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210" w:leftChars="-100"/>
        <w:jc w:val="center"/>
        <w:rPr>
          <w:rFonts w:ascii="Times New Roman" w:hAnsi="Times New Roman"/>
          <w:b/>
          <w:sz w:val="28"/>
          <w:szCs w:val="28"/>
        </w:rPr>
      </w:pPr>
      <w:r>
        <w:rPr>
          <w:rFonts w:hint="eastAsia" w:ascii="Times New Roman" w:hAnsi="Times New Roman"/>
          <w:b/>
          <w:sz w:val="28"/>
          <w:szCs w:val="28"/>
        </w:rPr>
        <w:t>江西省绿色建筑</w:t>
      </w:r>
      <w:bookmarkStart w:id="0" w:name="_GoBack"/>
      <w:bookmarkEnd w:id="0"/>
      <w:r>
        <w:rPr>
          <w:rFonts w:hint="eastAsia" w:ascii="Times New Roman" w:hAnsi="Times New Roman"/>
          <w:b/>
          <w:sz w:val="28"/>
          <w:szCs w:val="28"/>
        </w:rPr>
        <w:t>设计专篇</w:t>
      </w:r>
      <w:r>
        <w:rPr>
          <w:rFonts w:hint="eastAsia" w:ascii="Times New Roman" w:hAnsi="Times New Roman"/>
          <w:b/>
          <w:sz w:val="28"/>
          <w:szCs w:val="28"/>
          <w:lang w:val="en-US" w:eastAsia="zh-CN"/>
        </w:rPr>
        <w:t>参考模板</w:t>
      </w:r>
      <w:r>
        <w:rPr>
          <w:rFonts w:hint="eastAsia" w:ascii="Times New Roman" w:hAnsi="Times New Roman"/>
          <w:b/>
          <w:sz w:val="28"/>
          <w:szCs w:val="28"/>
        </w:rPr>
        <w:t>（建筑）</w:t>
      </w:r>
    </w:p>
    <w:p>
      <w:pPr>
        <w:pStyle w:val="24"/>
        <w:numPr>
          <w:ilvl w:val="0"/>
          <w:numId w:val="1"/>
        </w:numPr>
        <w:spacing w:line="360" w:lineRule="auto"/>
        <w:ind w:left="-210" w:leftChars="-100" w:firstLineChars="0"/>
        <w:rPr>
          <w:b/>
          <w:sz w:val="28"/>
          <w:szCs w:val="28"/>
        </w:rPr>
      </w:pPr>
      <w:r>
        <w:rPr>
          <w:rFonts w:hint="eastAsia"/>
          <w:b/>
          <w:sz w:val="28"/>
          <w:szCs w:val="28"/>
        </w:rPr>
        <w:t>项目概况</w:t>
      </w:r>
    </w:p>
    <w:p>
      <w:pPr>
        <w:spacing w:line="360" w:lineRule="auto"/>
        <w:ind w:left="142"/>
        <w:rPr>
          <w:rFonts w:ascii="Times New Roman"/>
          <w:sz w:val="24"/>
        </w:rPr>
      </w:pPr>
      <w:r>
        <w:rPr>
          <w:rFonts w:hint="eastAsia" w:ascii="Times New Roman"/>
          <w:sz w:val="24"/>
        </w:rPr>
        <w:t>项目名称：</w:t>
      </w:r>
      <w:r>
        <w:rPr>
          <w:rFonts w:hint="eastAsia" w:ascii="Times New Roman"/>
          <w:sz w:val="24"/>
          <w:u w:val="single"/>
        </w:rPr>
        <w:t xml:space="preserve">                          </w:t>
      </w:r>
    </w:p>
    <w:p>
      <w:pPr>
        <w:spacing w:line="360" w:lineRule="auto"/>
        <w:ind w:left="142"/>
        <w:rPr>
          <w:rFonts w:ascii="Times New Roman"/>
          <w:sz w:val="24"/>
          <w:u w:val="single"/>
        </w:rPr>
      </w:pPr>
      <w:r>
        <w:rPr>
          <w:rFonts w:hint="eastAsia" w:ascii="Times New Roman"/>
          <w:sz w:val="24"/>
        </w:rPr>
        <w:t>项目地址：</w:t>
      </w:r>
      <w:r>
        <w:rPr>
          <w:rFonts w:hint="eastAsia" w:ascii="Times New Roman"/>
          <w:sz w:val="24"/>
          <w:u w:val="single"/>
        </w:rPr>
        <w:t xml:space="preserve">                          </w:t>
      </w:r>
    </w:p>
    <w:p>
      <w:pPr>
        <w:spacing w:line="360" w:lineRule="auto"/>
        <w:ind w:left="142"/>
        <w:rPr>
          <w:rFonts w:ascii="Times New Roman"/>
          <w:sz w:val="24"/>
        </w:rPr>
      </w:pPr>
      <w:r>
        <w:rPr>
          <w:rFonts w:hint="eastAsia" w:ascii="Times New Roman"/>
          <w:sz w:val="24"/>
        </w:rPr>
        <w:t>用地面积：</w:t>
      </w:r>
      <w:r>
        <w:rPr>
          <w:rFonts w:hint="eastAsia" w:ascii="Times New Roman"/>
          <w:sz w:val="24"/>
          <w:u w:val="single"/>
        </w:rPr>
        <w:t xml:space="preserve">             </w:t>
      </w:r>
      <w:r>
        <w:rPr>
          <w:rFonts w:hint="eastAsia" w:ascii="Times New Roman"/>
          <w:sz w:val="24"/>
        </w:rPr>
        <w:t>总建筑面积：</w:t>
      </w:r>
      <w:r>
        <w:rPr>
          <w:rFonts w:hint="eastAsia" w:ascii="Times New Roman"/>
          <w:sz w:val="24"/>
          <w:u w:val="single"/>
        </w:rPr>
        <w:t xml:space="preserve">             </w:t>
      </w:r>
      <w:r>
        <w:rPr>
          <w:rFonts w:hint="eastAsia" w:ascii="Times New Roman"/>
          <w:sz w:val="24"/>
        </w:rPr>
        <w:t>地上建筑面积：</w:t>
      </w:r>
      <w:r>
        <w:rPr>
          <w:rFonts w:hint="eastAsia" w:ascii="Times New Roman"/>
          <w:sz w:val="24"/>
          <w:u w:val="single"/>
        </w:rPr>
        <w:t xml:space="preserve">             </w:t>
      </w:r>
    </w:p>
    <w:p>
      <w:pPr>
        <w:spacing w:line="360" w:lineRule="auto"/>
        <w:ind w:left="142"/>
        <w:rPr>
          <w:rFonts w:ascii="Times New Roman"/>
          <w:sz w:val="24"/>
        </w:rPr>
      </w:pPr>
      <w:r>
        <w:rPr>
          <w:rFonts w:hint="eastAsia" w:ascii="Times New Roman"/>
          <w:sz w:val="24"/>
        </w:rPr>
        <w:t>容积率：</w:t>
      </w:r>
      <w:r>
        <w:rPr>
          <w:rFonts w:hint="eastAsia" w:ascii="Times New Roman"/>
          <w:sz w:val="24"/>
          <w:u w:val="single"/>
        </w:rPr>
        <w:t xml:space="preserve">             </w:t>
      </w:r>
      <w:r>
        <w:rPr>
          <w:rFonts w:hint="eastAsia" w:ascii="Times New Roman"/>
          <w:sz w:val="24"/>
        </w:rPr>
        <w:t>建筑密度：</w:t>
      </w:r>
      <w:r>
        <w:rPr>
          <w:rFonts w:hint="eastAsia" w:ascii="Times New Roman"/>
          <w:sz w:val="24"/>
          <w:u w:val="single"/>
        </w:rPr>
        <w:t xml:space="preserve">             </w:t>
      </w:r>
      <w:r>
        <w:rPr>
          <w:rFonts w:hint="eastAsia" w:ascii="Times New Roman"/>
          <w:sz w:val="24"/>
        </w:rPr>
        <w:t>绿地率：</w:t>
      </w:r>
      <w:r>
        <w:rPr>
          <w:rFonts w:hint="eastAsia" w:ascii="Times New Roman"/>
          <w:sz w:val="24"/>
          <w:u w:val="single"/>
        </w:rPr>
        <w:t xml:space="preserve">             </w:t>
      </w:r>
    </w:p>
    <w:tbl>
      <w:tblPr>
        <w:tblStyle w:val="17"/>
        <w:tblW w:w="8613"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1295"/>
        <w:gridCol w:w="6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restart"/>
            <w:vAlign w:val="center"/>
          </w:tcPr>
          <w:p>
            <w:pPr>
              <w:spacing w:line="360" w:lineRule="auto"/>
              <w:ind w:left="-141" w:leftChars="-67" w:right="-107" w:rightChars="-51"/>
              <w:jc w:val="center"/>
              <w:rPr>
                <w:rFonts w:ascii="Times New Roman"/>
                <w:sz w:val="24"/>
              </w:rPr>
            </w:pPr>
            <w:r>
              <w:rPr>
                <w:rFonts w:hint="eastAsia" w:ascii="Times New Roman"/>
                <w:sz w:val="24"/>
              </w:rPr>
              <w:t>建筑类型</w:t>
            </w:r>
          </w:p>
        </w:tc>
        <w:tc>
          <w:tcPr>
            <w:tcW w:w="7460" w:type="dxa"/>
            <w:gridSpan w:val="2"/>
          </w:tcPr>
          <w:p>
            <w:pPr>
              <w:spacing w:line="360" w:lineRule="auto"/>
              <w:rPr>
                <w:rFonts w:ascii="Times New Roman"/>
                <w:sz w:val="24"/>
              </w:rPr>
            </w:pPr>
            <w:r>
              <w:rPr>
                <w:rFonts w:hint="eastAsia" w:ascii="Times New Roman"/>
                <w:sz w:val="24"/>
              </w:rPr>
              <w:t xml:space="preserve">□住宅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tcPr>
          <w:p>
            <w:pPr>
              <w:spacing w:line="360" w:lineRule="auto"/>
              <w:ind w:left="-141" w:leftChars="-67" w:right="-107" w:rightChars="-51"/>
              <w:rPr>
                <w:rFonts w:ascii="Times New Roman"/>
                <w:sz w:val="24"/>
              </w:rPr>
            </w:pPr>
          </w:p>
        </w:tc>
        <w:tc>
          <w:tcPr>
            <w:tcW w:w="7460" w:type="dxa"/>
            <w:gridSpan w:val="2"/>
          </w:tcPr>
          <w:p>
            <w:pPr>
              <w:spacing w:line="360" w:lineRule="auto"/>
              <w:rPr>
                <w:rFonts w:ascii="Times New Roman"/>
                <w:sz w:val="24"/>
              </w:rPr>
            </w:pPr>
            <w:r>
              <w:rPr>
                <w:rFonts w:hint="eastAsia" w:ascii="Times New Roman"/>
                <w:sz w:val="24"/>
              </w:rPr>
              <w:t>□公建（□宾馆类  □办公类  □其他</w:t>
            </w:r>
            <w:r>
              <w:rPr>
                <w:rFonts w:hint="eastAsia" w:ascii="Times New Roman"/>
                <w:sz w:val="24"/>
                <w:u w:val="single"/>
              </w:rPr>
              <w:t xml:space="preserve">                </w:t>
            </w:r>
            <w:r>
              <w:rPr>
                <w:rFonts w:hint="eastAsia" w:ascii="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tcPr>
          <w:p>
            <w:pPr>
              <w:spacing w:line="360" w:lineRule="auto"/>
              <w:ind w:left="-141" w:leftChars="-67" w:right="-107" w:rightChars="-51"/>
              <w:rPr>
                <w:rFonts w:ascii="Times New Roman"/>
                <w:sz w:val="24"/>
              </w:rPr>
            </w:pPr>
          </w:p>
        </w:tc>
        <w:tc>
          <w:tcPr>
            <w:tcW w:w="7460" w:type="dxa"/>
            <w:gridSpan w:val="2"/>
          </w:tcPr>
          <w:p>
            <w:pPr>
              <w:spacing w:line="360" w:lineRule="auto"/>
              <w:rPr>
                <w:rFonts w:ascii="Times New Roman"/>
                <w:sz w:val="24"/>
              </w:rPr>
            </w:pPr>
            <w:r>
              <w:rPr>
                <w:rFonts w:hint="eastAsia" w:ascii="Times New Roman"/>
                <w:sz w:val="24"/>
              </w:rPr>
              <w:t>□住宅/公建（其中公建属于（□宾馆类  □办公类  □其他</w:t>
            </w:r>
            <w:r>
              <w:rPr>
                <w:rFonts w:hint="eastAsia" w:ascii="Times New Roman"/>
                <w:sz w:val="24"/>
                <w:u w:val="single"/>
              </w:rPr>
              <w:t xml:space="preserve">     </w:t>
            </w:r>
            <w:r>
              <w:rPr>
                <w:rFonts w:hint="eastAsia" w:ascii="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Align w:val="center"/>
          </w:tcPr>
          <w:p>
            <w:pPr>
              <w:spacing w:line="360" w:lineRule="auto"/>
              <w:ind w:left="-141" w:leftChars="-67" w:right="-107" w:rightChars="-51"/>
              <w:jc w:val="center"/>
              <w:rPr>
                <w:rFonts w:ascii="Times New Roman"/>
                <w:sz w:val="24"/>
              </w:rPr>
            </w:pPr>
            <w:r>
              <w:rPr>
                <w:rFonts w:hint="eastAsia" w:ascii="Times New Roman"/>
                <w:sz w:val="24"/>
              </w:rPr>
              <w:t>空调形式</w:t>
            </w:r>
          </w:p>
        </w:tc>
        <w:tc>
          <w:tcPr>
            <w:tcW w:w="7460" w:type="dxa"/>
            <w:gridSpan w:val="2"/>
            <w:vAlign w:val="center"/>
          </w:tcPr>
          <w:p>
            <w:pPr>
              <w:spacing w:line="360" w:lineRule="auto"/>
              <w:rPr>
                <w:rFonts w:ascii="Times New Roman"/>
                <w:sz w:val="24"/>
              </w:rPr>
            </w:pPr>
            <w:r>
              <w:rPr>
                <w:rFonts w:hint="eastAsia" w:ascii="Times New Roman"/>
                <w:sz w:val="24"/>
              </w:rPr>
              <w:t xml:space="preserve">□集中空调、□分体空调、□集中空调+分体空调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restart"/>
            <w:vAlign w:val="center"/>
          </w:tcPr>
          <w:p>
            <w:pPr>
              <w:spacing w:line="360" w:lineRule="auto"/>
              <w:ind w:left="-141" w:leftChars="-67" w:right="-107" w:rightChars="-51"/>
              <w:jc w:val="center"/>
              <w:rPr>
                <w:rFonts w:ascii="Times New Roman"/>
                <w:sz w:val="24"/>
              </w:rPr>
            </w:pPr>
            <w:r>
              <w:rPr>
                <w:rFonts w:hint="eastAsia" w:ascii="Times New Roman"/>
                <w:sz w:val="24"/>
              </w:rPr>
              <w:t>专项设计</w:t>
            </w:r>
          </w:p>
        </w:tc>
        <w:tc>
          <w:tcPr>
            <w:tcW w:w="1295" w:type="dxa"/>
            <w:vMerge w:val="restart"/>
            <w:vAlign w:val="center"/>
          </w:tcPr>
          <w:p>
            <w:pPr>
              <w:spacing w:line="360" w:lineRule="auto"/>
              <w:rPr>
                <w:rFonts w:ascii="Times New Roman"/>
                <w:sz w:val="24"/>
              </w:rPr>
            </w:pPr>
            <w:r>
              <w:rPr>
                <w:rFonts w:hint="eastAsia" w:ascii="Times New Roman"/>
                <w:sz w:val="24"/>
              </w:rPr>
              <w:t>可再生能源利用率</w:t>
            </w:r>
          </w:p>
        </w:tc>
        <w:tc>
          <w:tcPr>
            <w:tcW w:w="6165" w:type="dxa"/>
            <w:vAlign w:val="center"/>
          </w:tcPr>
          <w:p>
            <w:pPr>
              <w:spacing w:line="360" w:lineRule="auto"/>
              <w:rPr>
                <w:rFonts w:ascii="Times New Roman"/>
                <w:sz w:val="24"/>
              </w:rPr>
            </w:pPr>
            <w:r>
              <w:rPr>
                <w:rFonts w:hint="eastAsia" w:ascii="Times New Roman"/>
                <w:sz w:val="24"/>
              </w:rPr>
              <w:t xml:space="preserve">光热□集中式  □分户式  </w:t>
            </w:r>
          </w:p>
          <w:p>
            <w:pPr>
              <w:spacing w:line="360" w:lineRule="auto"/>
              <w:rPr>
                <w:rFonts w:ascii="Times New Roman"/>
                <w:sz w:val="24"/>
              </w:rPr>
            </w:pPr>
            <w:r>
              <w:rPr>
                <w:rFonts w:hint="eastAsia" w:ascii="Times New Roman"/>
                <w:sz w:val="24"/>
              </w:rPr>
              <w:t>产生热水量比例</w:t>
            </w:r>
            <w:r>
              <w:rPr>
                <w:rFonts w:hint="eastAsia" w:ascii="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spacing w:line="360" w:lineRule="auto"/>
              <w:jc w:val="center"/>
              <w:rPr>
                <w:rFonts w:ascii="Times New Roman"/>
                <w:sz w:val="24"/>
              </w:rPr>
            </w:pPr>
          </w:p>
        </w:tc>
        <w:tc>
          <w:tcPr>
            <w:tcW w:w="1295" w:type="dxa"/>
            <w:vMerge w:val="continue"/>
            <w:vAlign w:val="center"/>
          </w:tcPr>
          <w:p>
            <w:pPr>
              <w:spacing w:line="360" w:lineRule="auto"/>
              <w:rPr>
                <w:rFonts w:ascii="Times New Roman"/>
                <w:sz w:val="24"/>
              </w:rPr>
            </w:pPr>
          </w:p>
        </w:tc>
        <w:tc>
          <w:tcPr>
            <w:tcW w:w="6165" w:type="dxa"/>
            <w:vAlign w:val="center"/>
          </w:tcPr>
          <w:p>
            <w:pPr>
              <w:spacing w:line="360" w:lineRule="auto"/>
              <w:rPr>
                <w:rFonts w:ascii="Times New Roman"/>
                <w:sz w:val="24"/>
              </w:rPr>
            </w:pPr>
            <w:r>
              <w:rPr>
                <w:rFonts w:hint="eastAsia" w:ascii="Times New Roman"/>
                <w:sz w:val="24"/>
              </w:rPr>
              <w:t>□光伏发电量比例</w:t>
            </w:r>
            <w:r>
              <w:rPr>
                <w:rFonts w:hint="eastAsia" w:ascii="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spacing w:line="360" w:lineRule="auto"/>
              <w:jc w:val="center"/>
              <w:rPr>
                <w:rFonts w:ascii="Times New Roman"/>
                <w:sz w:val="24"/>
              </w:rPr>
            </w:pPr>
          </w:p>
        </w:tc>
        <w:tc>
          <w:tcPr>
            <w:tcW w:w="1295" w:type="dxa"/>
            <w:vMerge w:val="continue"/>
            <w:vAlign w:val="center"/>
          </w:tcPr>
          <w:p>
            <w:pPr>
              <w:spacing w:line="360" w:lineRule="auto"/>
              <w:rPr>
                <w:rFonts w:ascii="Times New Roman"/>
                <w:sz w:val="24"/>
              </w:rPr>
            </w:pPr>
          </w:p>
        </w:tc>
        <w:tc>
          <w:tcPr>
            <w:tcW w:w="6165" w:type="dxa"/>
            <w:vAlign w:val="center"/>
          </w:tcPr>
          <w:p>
            <w:pPr>
              <w:spacing w:line="360" w:lineRule="auto"/>
              <w:rPr>
                <w:rFonts w:ascii="Times New Roman"/>
                <w:sz w:val="24"/>
              </w:rPr>
            </w:pPr>
            <w:r>
              <w:rPr>
                <w:rFonts w:hint="eastAsia" w:ascii="宋体" w:hAnsi="宋体"/>
                <w:bCs/>
                <w:color w:val="000000"/>
                <w:sz w:val="24"/>
              </w:rPr>
              <w:t>提供空调（采暖）用冷量和热量比例</w:t>
            </w:r>
            <w:r>
              <w:rPr>
                <w:rFonts w:hint="eastAsia" w:ascii="Times New Roman"/>
                <w:sz w:val="24"/>
                <w:u w:val="single"/>
              </w:rPr>
              <w:t xml:space="preserve">              %</w:t>
            </w:r>
          </w:p>
          <w:p>
            <w:pPr>
              <w:spacing w:line="360" w:lineRule="auto"/>
              <w:rPr>
                <w:rFonts w:ascii="Times New Roman"/>
                <w:sz w:val="24"/>
              </w:rPr>
            </w:pPr>
            <w:r>
              <w:rPr>
                <w:rFonts w:hint="eastAsia" w:ascii="Times New Roman"/>
                <w:sz w:val="24"/>
              </w:rPr>
              <w:t>□水源 □地源 □污水源  □其他</w:t>
            </w:r>
            <w:r>
              <w:rPr>
                <w:rFonts w:hint="eastAsia" w:ascii="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tcPr>
          <w:p>
            <w:pPr>
              <w:spacing w:line="360" w:lineRule="auto"/>
              <w:jc w:val="center"/>
              <w:rPr>
                <w:rFonts w:ascii="Times New Roman"/>
                <w:sz w:val="24"/>
              </w:rPr>
            </w:pPr>
          </w:p>
        </w:tc>
        <w:tc>
          <w:tcPr>
            <w:tcW w:w="7460" w:type="dxa"/>
            <w:gridSpan w:val="2"/>
            <w:vAlign w:val="center"/>
          </w:tcPr>
          <w:p>
            <w:pPr>
              <w:spacing w:line="360" w:lineRule="auto"/>
              <w:rPr>
                <w:rFonts w:ascii="Times New Roman"/>
                <w:sz w:val="24"/>
              </w:rPr>
            </w:pPr>
            <w:r>
              <w:rPr>
                <w:rFonts w:hint="eastAsia" w:ascii="Times New Roman"/>
                <w:sz w:val="24"/>
              </w:rPr>
              <w:t>BIM设计：□是  □否   具体内容</w:t>
            </w:r>
            <w:r>
              <w:rPr>
                <w:rFonts w:hint="eastAsia" w:ascii="Times New Roman"/>
                <w:sz w:val="24"/>
                <w:u w:val="single"/>
              </w:rPr>
              <w:t xml:space="preserve">        </w:t>
            </w:r>
            <w:r>
              <w:rPr>
                <w:rFonts w:hint="eastAsia" w:ascii="Times New Roman"/>
                <w:sz w:val="24"/>
              </w:rPr>
              <w:t xml:space="preserve"> （图纸等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tcPr>
          <w:p>
            <w:pPr>
              <w:spacing w:line="360" w:lineRule="auto"/>
              <w:jc w:val="center"/>
              <w:rPr>
                <w:rFonts w:ascii="Times New Roman"/>
                <w:sz w:val="24"/>
              </w:rPr>
            </w:pPr>
          </w:p>
        </w:tc>
        <w:tc>
          <w:tcPr>
            <w:tcW w:w="7460" w:type="dxa"/>
            <w:gridSpan w:val="2"/>
            <w:vAlign w:val="center"/>
          </w:tcPr>
          <w:p>
            <w:pPr>
              <w:spacing w:line="360" w:lineRule="auto"/>
              <w:rPr>
                <w:rFonts w:ascii="Times New Roman"/>
                <w:sz w:val="24"/>
              </w:rPr>
            </w:pPr>
            <w:r>
              <w:rPr>
                <w:rFonts w:hint="eastAsia" w:ascii="Times New Roman"/>
                <w:sz w:val="24"/>
              </w:rPr>
              <w:t>其他：</w:t>
            </w:r>
            <w:r>
              <w:rPr>
                <w:rFonts w:hint="eastAsia" w:ascii="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tcPr>
          <w:p>
            <w:pPr>
              <w:spacing w:line="360" w:lineRule="auto"/>
              <w:jc w:val="center"/>
              <w:rPr>
                <w:rFonts w:ascii="Times New Roman"/>
                <w:sz w:val="24"/>
              </w:rPr>
            </w:pPr>
            <w:r>
              <w:rPr>
                <w:rFonts w:hint="eastAsia" w:ascii="Times New Roman"/>
                <w:sz w:val="24"/>
              </w:rPr>
              <w:t>绿色建筑等级</w:t>
            </w:r>
          </w:p>
        </w:tc>
        <w:tc>
          <w:tcPr>
            <w:tcW w:w="7460" w:type="dxa"/>
            <w:gridSpan w:val="2"/>
            <w:vAlign w:val="center"/>
          </w:tcPr>
          <w:p>
            <w:pPr>
              <w:spacing w:line="360" w:lineRule="auto"/>
              <w:rPr>
                <w:rFonts w:ascii="Times New Roman"/>
                <w:sz w:val="24"/>
              </w:rPr>
            </w:pPr>
            <w:r>
              <w:rPr>
                <w:rFonts w:hint="eastAsia" w:ascii="Times New Roman"/>
                <w:sz w:val="24"/>
              </w:rPr>
              <w:t>□基本级□一星级□二星级□三星级</w:t>
            </w:r>
          </w:p>
        </w:tc>
      </w:tr>
    </w:tbl>
    <w:p>
      <w:pPr>
        <w:spacing w:line="360" w:lineRule="auto"/>
        <w:rPr>
          <w:b/>
          <w:sz w:val="28"/>
          <w:szCs w:val="28"/>
        </w:rPr>
      </w:pPr>
    </w:p>
    <w:p>
      <w:pPr>
        <w:pStyle w:val="24"/>
        <w:numPr>
          <w:ilvl w:val="0"/>
          <w:numId w:val="1"/>
        </w:numPr>
        <w:spacing w:line="360" w:lineRule="auto"/>
        <w:ind w:left="-210" w:leftChars="-100" w:firstLineChars="0"/>
        <w:rPr>
          <w:b/>
          <w:sz w:val="28"/>
          <w:szCs w:val="28"/>
        </w:rPr>
      </w:pPr>
      <w:r>
        <w:rPr>
          <w:rFonts w:hint="eastAsia"/>
          <w:b/>
          <w:sz w:val="28"/>
          <w:szCs w:val="28"/>
        </w:rPr>
        <w:t>设计依据</w:t>
      </w:r>
    </w:p>
    <w:p>
      <w:pPr>
        <w:pStyle w:val="24"/>
        <w:numPr>
          <w:ilvl w:val="0"/>
          <w:numId w:val="2"/>
        </w:numPr>
        <w:spacing w:line="360" w:lineRule="auto"/>
        <w:ind w:firstLineChars="0"/>
        <w:rPr>
          <w:rFonts w:ascii="Times New Roman"/>
          <w:sz w:val="24"/>
        </w:rPr>
      </w:pPr>
      <w:r>
        <w:rPr>
          <w:rFonts w:hint="eastAsia" w:ascii="Times New Roman"/>
          <w:sz w:val="24"/>
        </w:rPr>
        <w:t>《民用建筑设计统一标准》GB 50352-2019</w:t>
      </w:r>
    </w:p>
    <w:p>
      <w:pPr>
        <w:pStyle w:val="24"/>
        <w:numPr>
          <w:ilvl w:val="0"/>
          <w:numId w:val="2"/>
        </w:numPr>
        <w:spacing w:line="360" w:lineRule="auto"/>
        <w:ind w:firstLineChars="0"/>
        <w:rPr>
          <w:rFonts w:ascii="Times New Roman"/>
          <w:sz w:val="24"/>
        </w:rPr>
      </w:pPr>
      <w:r>
        <w:rPr>
          <w:rFonts w:hint="eastAsia" w:ascii="Times New Roman"/>
          <w:sz w:val="24"/>
        </w:rPr>
        <w:t>《建筑设计防火规范》GB 50016-2014（2018版）</w:t>
      </w:r>
    </w:p>
    <w:p>
      <w:pPr>
        <w:pStyle w:val="24"/>
        <w:numPr>
          <w:ilvl w:val="0"/>
          <w:numId w:val="2"/>
        </w:numPr>
        <w:spacing w:line="360" w:lineRule="auto"/>
        <w:ind w:firstLineChars="0"/>
        <w:rPr>
          <w:rFonts w:ascii="Times New Roman"/>
          <w:sz w:val="24"/>
        </w:rPr>
      </w:pPr>
      <w:r>
        <w:rPr>
          <w:rFonts w:hint="eastAsia" w:ascii="Times New Roman"/>
          <w:sz w:val="24"/>
        </w:rPr>
        <w:t>《绿色建筑评价标准》</w:t>
      </w:r>
      <w:r>
        <w:rPr>
          <w:rFonts w:hint="eastAsia" w:ascii="Times New Roman"/>
          <w:sz w:val="24"/>
          <w:lang w:val="en-US" w:eastAsia="zh-CN"/>
        </w:rPr>
        <w:t>G</w:t>
      </w:r>
      <w:r>
        <w:rPr>
          <w:rFonts w:hint="eastAsia" w:ascii="Times New Roman"/>
          <w:sz w:val="24"/>
        </w:rPr>
        <w:t>B/T</w:t>
      </w:r>
      <w:r>
        <w:rPr>
          <w:rFonts w:hint="eastAsia" w:ascii="Times New Roman"/>
          <w:sz w:val="24"/>
          <w:lang w:val="en-US" w:eastAsia="zh-CN"/>
        </w:rPr>
        <w:t>50378-2019</w:t>
      </w:r>
    </w:p>
    <w:p>
      <w:pPr>
        <w:pStyle w:val="24"/>
        <w:numPr>
          <w:ilvl w:val="0"/>
          <w:numId w:val="2"/>
        </w:numPr>
        <w:spacing w:line="360" w:lineRule="auto"/>
        <w:ind w:firstLineChars="0"/>
        <w:rPr>
          <w:rFonts w:ascii="Times New Roman"/>
          <w:sz w:val="24"/>
        </w:rPr>
      </w:pPr>
      <w:r>
        <w:rPr>
          <w:rFonts w:hint="eastAsia" w:ascii="Times New Roman"/>
          <w:sz w:val="24"/>
        </w:rPr>
        <w:t xml:space="preserve">《民用建筑热工设计规范》GB 50176-2016 </w:t>
      </w:r>
    </w:p>
    <w:p>
      <w:pPr>
        <w:pStyle w:val="24"/>
        <w:numPr>
          <w:ilvl w:val="0"/>
          <w:numId w:val="2"/>
        </w:numPr>
        <w:spacing w:line="360" w:lineRule="auto"/>
        <w:ind w:firstLineChars="0"/>
        <w:rPr>
          <w:rFonts w:ascii="Times New Roman"/>
          <w:sz w:val="24"/>
        </w:rPr>
      </w:pPr>
      <w:r>
        <w:rPr>
          <w:rFonts w:hint="eastAsia" w:ascii="Times New Roman"/>
          <w:sz w:val="24"/>
        </w:rPr>
        <w:t>《公共建筑节能设计标准》GB 50189-2015</w:t>
      </w:r>
    </w:p>
    <w:p>
      <w:pPr>
        <w:pStyle w:val="24"/>
        <w:numPr>
          <w:ilvl w:val="0"/>
          <w:numId w:val="2"/>
        </w:numPr>
        <w:spacing w:line="360" w:lineRule="auto"/>
        <w:ind w:firstLineChars="0"/>
        <w:rPr>
          <w:rFonts w:ascii="Times New Roman"/>
          <w:sz w:val="24"/>
        </w:rPr>
      </w:pPr>
      <w:r>
        <w:rPr>
          <w:rFonts w:hint="eastAsia" w:ascii="Times New Roman"/>
          <w:sz w:val="24"/>
        </w:rPr>
        <w:t>《江西省居住建筑节能设计标准》DBJ/T 36-024-2014</w:t>
      </w:r>
    </w:p>
    <w:p>
      <w:pPr>
        <w:pStyle w:val="24"/>
        <w:numPr>
          <w:ilvl w:val="0"/>
          <w:numId w:val="2"/>
        </w:numPr>
        <w:spacing w:line="360" w:lineRule="auto"/>
        <w:ind w:firstLineChars="0"/>
        <w:rPr>
          <w:rFonts w:ascii="Times New Roman"/>
          <w:sz w:val="24"/>
        </w:rPr>
      </w:pPr>
      <w:r>
        <w:rPr>
          <w:rFonts w:hint="eastAsia" w:ascii="Times New Roman"/>
          <w:sz w:val="24"/>
        </w:rPr>
        <w:t>《民用建筑隔声设计规范》GB 50118-2010</w:t>
      </w:r>
    </w:p>
    <w:p>
      <w:pPr>
        <w:pStyle w:val="24"/>
        <w:numPr>
          <w:ilvl w:val="0"/>
          <w:numId w:val="2"/>
        </w:numPr>
        <w:spacing w:line="360" w:lineRule="auto"/>
        <w:ind w:firstLineChars="0"/>
        <w:rPr>
          <w:rFonts w:ascii="Times New Roman"/>
          <w:sz w:val="24"/>
        </w:rPr>
      </w:pPr>
      <w:r>
        <w:rPr>
          <w:rFonts w:hint="eastAsia" w:ascii="Times New Roman"/>
          <w:sz w:val="24"/>
        </w:rPr>
        <w:t>《建筑采光设计标准》GB 50033-2013</w:t>
      </w:r>
    </w:p>
    <w:p>
      <w:pPr>
        <w:pStyle w:val="24"/>
        <w:numPr>
          <w:ilvl w:val="0"/>
          <w:numId w:val="2"/>
        </w:numPr>
        <w:spacing w:line="360" w:lineRule="auto"/>
        <w:ind w:firstLineChars="0"/>
        <w:rPr>
          <w:rFonts w:ascii="Times New Roman"/>
          <w:sz w:val="24"/>
        </w:rPr>
      </w:pPr>
      <w:r>
        <w:rPr>
          <w:rFonts w:hint="eastAsia" w:ascii="Times New Roman"/>
          <w:sz w:val="24"/>
        </w:rPr>
        <w:t>国家、省、市现行的法律、规范及其他相关规定</w:t>
      </w:r>
    </w:p>
    <w:p>
      <w:pPr>
        <w:pStyle w:val="24"/>
        <w:spacing w:line="360" w:lineRule="auto"/>
        <w:ind w:left="150" w:firstLine="0" w:firstLineChars="0"/>
        <w:rPr>
          <w:rFonts w:ascii="Times New Roman"/>
          <w:sz w:val="24"/>
        </w:rPr>
      </w:pPr>
    </w:p>
    <w:p>
      <w:pPr>
        <w:pStyle w:val="24"/>
        <w:numPr>
          <w:ilvl w:val="0"/>
          <w:numId w:val="1"/>
        </w:numPr>
        <w:spacing w:line="360" w:lineRule="auto"/>
        <w:ind w:left="-210" w:leftChars="-100" w:firstLineChars="0"/>
        <w:rPr>
          <w:b/>
          <w:sz w:val="28"/>
          <w:szCs w:val="28"/>
        </w:rPr>
      </w:pPr>
      <w:r>
        <w:rPr>
          <w:rFonts w:hint="eastAsia"/>
          <w:b/>
          <w:sz w:val="28"/>
          <w:szCs w:val="28"/>
        </w:rPr>
        <w:t>基本级设计内容</w:t>
      </w:r>
    </w:p>
    <w:p>
      <w:pPr>
        <w:pStyle w:val="24"/>
        <w:numPr>
          <w:ilvl w:val="0"/>
          <w:numId w:val="3"/>
        </w:numPr>
        <w:spacing w:line="360" w:lineRule="auto"/>
        <w:ind w:firstLineChars="0"/>
        <w:rPr>
          <w:rFonts w:ascii="Times New Roman"/>
          <w:sz w:val="24"/>
        </w:rPr>
      </w:pPr>
      <w:r>
        <w:rPr>
          <w:rFonts w:ascii="Times New Roman"/>
          <w:sz w:val="24"/>
        </w:rPr>
        <w:t>场地</w:t>
      </w:r>
      <w:r>
        <w:rPr>
          <w:rFonts w:hint="eastAsia" w:ascii="Times New Roman"/>
          <w:sz w:val="24"/>
        </w:rPr>
        <w:t>应</w:t>
      </w:r>
      <w:r>
        <w:rPr>
          <w:rFonts w:ascii="Times New Roman"/>
          <w:sz w:val="24"/>
        </w:rPr>
        <w:t>避开滑坡、泥石流等地质危险地段，易发生洪涝地区</w:t>
      </w:r>
      <w:r>
        <w:rPr>
          <w:rFonts w:hint="eastAsia" w:ascii="Times New Roman"/>
          <w:sz w:val="24"/>
        </w:rPr>
        <w:t>应</w:t>
      </w:r>
      <w:r>
        <w:rPr>
          <w:rFonts w:ascii="Times New Roman"/>
          <w:sz w:val="24"/>
        </w:rPr>
        <w:t>有可靠的防洪涝基础设施；场地无危险化学品、易燃易爆危险源的威胁，无电磁辐射、含氡土壤的危害。</w:t>
      </w:r>
    </w:p>
    <w:p>
      <w:pPr>
        <w:spacing w:line="360" w:lineRule="auto"/>
        <w:ind w:left="142"/>
        <w:rPr>
          <w:rFonts w:ascii="Times New Roman"/>
          <w:sz w:val="24"/>
        </w:rPr>
      </w:pPr>
      <w:r>
        <w:rPr>
          <w:rFonts w:hint="eastAsia" w:ascii="Times New Roman"/>
          <w:sz w:val="24"/>
        </w:rPr>
        <w:t>（1）场地选址附近是否有以下威胁或者危险源：</w:t>
      </w:r>
    </w:p>
    <w:p>
      <w:pPr>
        <w:spacing w:line="360" w:lineRule="auto"/>
        <w:ind w:left="142"/>
        <w:rPr>
          <w:rFonts w:ascii="Times New Roman"/>
          <w:sz w:val="24"/>
        </w:rPr>
      </w:pPr>
      <w:r>
        <w:rPr>
          <w:rFonts w:hint="eastAsia" w:ascii="Times New Roman"/>
          <w:sz w:val="24"/>
        </w:rPr>
        <w:t>□洪灾、□泥石流、□风切变、□抗震不利地段（如地震断裂带、易液化土、人工填土等）、□火、爆、有毒物质等（如油库、煤气站、有毒物质车间等）、□以上皆无。</w:t>
      </w:r>
    </w:p>
    <w:p>
      <w:pPr>
        <w:numPr>
          <w:ilvl w:val="0"/>
          <w:numId w:val="4"/>
        </w:numPr>
        <w:spacing w:line="360" w:lineRule="auto"/>
        <w:ind w:left="142"/>
        <w:rPr>
          <w:rFonts w:ascii="Times New Roman"/>
          <w:sz w:val="24"/>
        </w:rPr>
      </w:pPr>
      <w:r>
        <w:rPr>
          <w:rFonts w:hint="eastAsia" w:ascii="Times New Roman"/>
          <w:sz w:val="24"/>
        </w:rPr>
        <w:t>土壤中的氡浓度符合现行国家标准《民用建筑工程室内环境污染控制规范》GB 50325的规定，详见</w:t>
      </w:r>
      <w:r>
        <w:rPr>
          <w:rFonts w:hint="eastAsia" w:ascii="Times New Roman"/>
          <w:sz w:val="24"/>
          <w:u w:val="single"/>
        </w:rPr>
        <w:t>《土壤氡浓度检测报告》</w:t>
      </w:r>
      <w:r>
        <w:rPr>
          <w:rFonts w:hint="eastAsia" w:ascii="Times New Roman"/>
          <w:sz w:val="24"/>
        </w:rPr>
        <w:t>；如含氡，防氡措施为：</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（3）电磁辐射符合现行国家标准《电磁辐射防护规定》GB 8702的规定。电磁辐射源：□电视广播发射塔、□雷达站、□通信发射台、□变电站、□高压电线，□其他：</w:t>
      </w:r>
      <w:r>
        <w:rPr>
          <w:rFonts w:hint="eastAsia" w:ascii="Times New Roman"/>
          <w:sz w:val="24"/>
          <w:u w:val="single"/>
        </w:rPr>
        <w:t xml:space="preserve">             </w:t>
      </w:r>
      <w:r>
        <w:rPr>
          <w:rFonts w:hint="eastAsia" w:ascii="Times New Roman"/>
          <w:sz w:val="24"/>
        </w:rPr>
        <w:t xml:space="preserve"> ，详见</w:t>
      </w:r>
      <w:r>
        <w:rPr>
          <w:rFonts w:hint="eastAsia" w:ascii="Times New Roman"/>
          <w:sz w:val="24"/>
          <w:u w:val="single"/>
        </w:rPr>
        <w:t>《电磁辐射监测报告》</w:t>
      </w:r>
      <w:r>
        <w:rPr>
          <w:rFonts w:hint="eastAsia" w:ascii="Times New Roman"/>
          <w:sz w:val="24"/>
        </w:rPr>
        <w:t>；如有，简要说明避免以上威胁或危险源的措施：</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建筑外墙、屋面、门窗、幕墙及外保温等围护结构满足安全、耐久和防护的要求。详见</w:t>
      </w:r>
      <w:r>
        <w:rPr>
          <w:rFonts w:hint="eastAsia" w:ascii="Times New Roman"/>
          <w:sz w:val="24"/>
          <w:u w:val="single"/>
        </w:rPr>
        <w:t xml:space="preserve">               </w:t>
      </w:r>
      <w:r>
        <w:rPr>
          <w:rFonts w:hint="eastAsia" w:ascii="Times New Roman"/>
          <w:sz w:val="24"/>
        </w:rPr>
        <w:t>。（如建筑设计总说明、工程做法和构造一览表等）</w:t>
      </w:r>
    </w:p>
    <w:p>
      <w:pPr>
        <w:pStyle w:val="24"/>
        <w:numPr>
          <w:ilvl w:val="0"/>
          <w:numId w:val="3"/>
        </w:numPr>
        <w:spacing w:line="360" w:lineRule="auto"/>
        <w:ind w:firstLineChars="0"/>
        <w:rPr>
          <w:rFonts w:ascii="Times New Roman"/>
          <w:sz w:val="24"/>
        </w:rPr>
      </w:pPr>
      <w:r>
        <w:rPr>
          <w:rFonts w:hint="eastAsia" w:ascii="Times New Roman"/>
          <w:sz w:val="24"/>
        </w:rPr>
        <w:t>外部设施与建筑主体结构统一设计、施工，并具备安装、检修与维护条件。</w:t>
      </w:r>
    </w:p>
    <w:p>
      <w:pPr>
        <w:spacing w:line="360" w:lineRule="auto"/>
        <w:ind w:left="142"/>
        <w:rPr>
          <w:rFonts w:ascii="Times New Roman"/>
          <w:sz w:val="24"/>
        </w:rPr>
      </w:pPr>
      <w:r>
        <w:rPr>
          <w:rFonts w:hint="eastAsia" w:ascii="Times New Roman"/>
          <w:sz w:val="24"/>
        </w:rPr>
        <w:t>建筑外部有以下设施：</w:t>
      </w:r>
    </w:p>
    <w:p>
      <w:pPr>
        <w:spacing w:line="360" w:lineRule="auto"/>
        <w:ind w:left="142"/>
        <w:rPr>
          <w:rFonts w:ascii="Times New Roman"/>
          <w:sz w:val="24"/>
        </w:rPr>
      </w:pPr>
      <w:r>
        <w:rPr>
          <w:rFonts w:hint="eastAsia" w:ascii="Times New Roman"/>
          <w:sz w:val="24"/>
        </w:rPr>
        <w:t>□外遮阳、□太阳能设施、□空调室外机位、□外墙花池、□广告、□店招、□检修通道、□马道、□吊篮固定端、□预埋件、</w:t>
      </w:r>
      <w:r>
        <w:rPr>
          <w:rFonts w:hint="eastAsia" w:ascii="宋体" w:hAnsi="宋体"/>
          <w:bCs/>
          <w:sz w:val="24"/>
          <w:lang w:val="zh-CN"/>
        </w:rPr>
        <w:t>□</w:t>
      </w:r>
      <w:r>
        <w:rPr>
          <w:rFonts w:hint="eastAsia" w:ascii="宋体" w:hAnsi="宋体"/>
          <w:sz w:val="24"/>
          <w:lang w:val="zh-CN"/>
        </w:rPr>
        <w:t>其他</w:t>
      </w:r>
      <w:r>
        <w:rPr>
          <w:rFonts w:hint="eastAsia" w:ascii="Times New Roman"/>
          <w:sz w:val="24"/>
        </w:rPr>
        <w:t>：</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外部设施的位置、尺寸、构造详见图纸：</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建筑外门窗必须安装牢固，建筑外门窗的气密性分级符合国家标准《建筑外门窗气密、水密、抗风压性能分级及检测方法》GB/T 7106、《公共建筑节能设计标准》GB 50189和《江西省居住建筑节能设计标准》DBJ/T 36-024中的相关规定。详见</w:t>
      </w:r>
      <w:r>
        <w:rPr>
          <w:rFonts w:hint="eastAsia" w:ascii="Times New Roman"/>
          <w:sz w:val="24"/>
          <w:u w:val="single"/>
        </w:rPr>
        <w:t xml:space="preserve">               </w:t>
      </w:r>
      <w:r>
        <w:rPr>
          <w:rFonts w:hint="eastAsia" w:ascii="Times New Roman"/>
          <w:sz w:val="24"/>
        </w:rPr>
        <w:t>（如建筑设计总说明、节能设计专篇、门窗表等）。</w:t>
      </w:r>
    </w:p>
    <w:p>
      <w:pPr>
        <w:pStyle w:val="24"/>
        <w:numPr>
          <w:ilvl w:val="0"/>
          <w:numId w:val="3"/>
        </w:numPr>
        <w:spacing w:line="360" w:lineRule="auto"/>
        <w:ind w:firstLineChars="0"/>
        <w:rPr>
          <w:rFonts w:ascii="Times New Roman"/>
          <w:sz w:val="24"/>
        </w:rPr>
      </w:pPr>
      <w:r>
        <w:rPr>
          <w:rFonts w:hint="eastAsia" w:ascii="Times New Roman"/>
          <w:sz w:val="24"/>
        </w:rPr>
        <w:t>□卫生间、□浴室、□其他:</w:t>
      </w:r>
      <w:r>
        <w:rPr>
          <w:rFonts w:hint="eastAsia" w:ascii="Times New Roman"/>
          <w:sz w:val="24"/>
          <w:u w:val="single"/>
        </w:rPr>
        <w:t xml:space="preserve">        </w:t>
      </w:r>
      <w:r>
        <w:rPr>
          <w:rFonts w:hint="eastAsia" w:ascii="Times New Roman"/>
          <w:sz w:val="24"/>
        </w:rPr>
        <w:t>的地面设置防水层，墙面、顶棚设置防潮层。防水、防潮措施详见图纸或说明</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走廊、疏散通道等通行空间满足现行《建筑设计防火规范》GB 50016、《防灾避难场所设计规范》GB 51143对紧急疏散、应急救护等要求，且保持畅通。</w:t>
      </w:r>
    </w:p>
    <w:p>
      <w:pPr>
        <w:pStyle w:val="24"/>
        <w:spacing w:line="360" w:lineRule="auto"/>
        <w:ind w:left="150" w:firstLine="0" w:firstLineChars="0"/>
        <w:rPr>
          <w:rFonts w:ascii="Times New Roman"/>
          <w:sz w:val="24"/>
        </w:rPr>
      </w:pPr>
      <w:r>
        <w:rPr>
          <w:rFonts w:hint="eastAsia" w:ascii="Times New Roman"/>
          <w:sz w:val="24"/>
        </w:rPr>
        <w:t>合理设置以下设施或措施：</w:t>
      </w:r>
    </w:p>
    <w:p>
      <w:pPr>
        <w:pStyle w:val="24"/>
        <w:spacing w:line="360" w:lineRule="auto"/>
        <w:ind w:left="150" w:firstLine="0" w:firstLineChars="0"/>
        <w:rPr>
          <w:rFonts w:ascii="Times New Roman"/>
          <w:sz w:val="24"/>
        </w:rPr>
      </w:pPr>
      <w:r>
        <w:rPr>
          <w:rFonts w:hint="eastAsia" w:ascii="Times New Roman"/>
          <w:sz w:val="24"/>
        </w:rPr>
        <w:t>□担架电梯、□避难层、□安全疏散出口、□安全疏散宽度计算、□走道宽度、□安全疏散距离、□防火分区示意图、□其他：</w:t>
      </w:r>
      <w:r>
        <w:rPr>
          <w:rFonts w:hint="eastAsia" w:ascii="Times New Roman"/>
          <w:sz w:val="24"/>
          <w:u w:val="single"/>
        </w:rPr>
        <w:t xml:space="preserve">                </w:t>
      </w:r>
      <w:r>
        <w:rPr>
          <w:rFonts w:hint="eastAsia" w:ascii="Times New Roman"/>
          <w:sz w:val="24"/>
        </w:rPr>
        <w:t>；</w:t>
      </w:r>
    </w:p>
    <w:p>
      <w:pPr>
        <w:pStyle w:val="24"/>
        <w:spacing w:line="360" w:lineRule="auto"/>
        <w:ind w:left="150" w:firstLine="0" w:firstLineChars="0"/>
        <w:rPr>
          <w:rFonts w:ascii="Times New Roman"/>
          <w:sz w:val="24"/>
        </w:rPr>
      </w:pPr>
      <w:r>
        <w:rPr>
          <w:rFonts w:hint="eastAsia" w:ascii="Times New Roman"/>
          <w:sz w:val="24"/>
        </w:rPr>
        <w:t>详见图纸</w:t>
      </w:r>
      <w:r>
        <w:rPr>
          <w:rFonts w:hint="eastAsia" w:ascii="Times New Roman"/>
          <w:sz w:val="24"/>
          <w:u w:val="single"/>
        </w:rPr>
        <w:t xml:space="preserve">                </w:t>
      </w:r>
      <w:r>
        <w:rPr>
          <w:rFonts w:hint="eastAsia" w:ascii="Times New Roman"/>
          <w:sz w:val="24"/>
        </w:rPr>
        <w:t>。（防火分区示意图及疏散宽度计算等）</w:t>
      </w:r>
    </w:p>
    <w:p>
      <w:pPr>
        <w:pStyle w:val="24"/>
        <w:numPr>
          <w:ilvl w:val="0"/>
          <w:numId w:val="3"/>
        </w:numPr>
        <w:spacing w:line="360" w:lineRule="auto"/>
        <w:ind w:firstLineChars="0"/>
        <w:rPr>
          <w:rFonts w:ascii="Times New Roman"/>
          <w:sz w:val="24"/>
        </w:rPr>
      </w:pPr>
      <w:r>
        <w:rPr>
          <w:rFonts w:hint="eastAsia" w:ascii="Times New Roman"/>
          <w:sz w:val="24"/>
        </w:rPr>
        <w:t>具有安全防护的警示和引导标识系统。设置位置详见图纸（文件）：</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室内空气中的氨、甲醛、苯、总挥发性有机物、氡等污染物浓度符合现行国家标准《室内空气质量标准》GB/T 18883的有关规定。建筑室内和建筑主出入口处禁止吸烟，并在醒目位置设置禁烟标志。</w:t>
      </w:r>
    </w:p>
    <w:p>
      <w:pPr>
        <w:spacing w:line="360" w:lineRule="auto"/>
        <w:ind w:left="142"/>
        <w:rPr>
          <w:rFonts w:ascii="Times New Roman"/>
          <w:sz w:val="24"/>
        </w:rPr>
      </w:pPr>
      <w:r>
        <w:rPr>
          <w:rFonts w:hint="eastAsia" w:ascii="Times New Roman"/>
          <w:sz w:val="24"/>
        </w:rPr>
        <w:t>主要功能房间污染物浓度符合现行国家标准《民用建筑工程室内环境污染控制规范》GB 50325的有关要求，主要功能房间污染物浓度详</w:t>
      </w:r>
      <w:r>
        <w:rPr>
          <w:rFonts w:hint="eastAsia" w:ascii="Times New Roman"/>
          <w:sz w:val="24"/>
          <w:u w:val="single"/>
        </w:rPr>
        <w:t xml:space="preserve">          </w:t>
      </w:r>
      <w:r>
        <w:rPr>
          <w:rFonts w:hint="eastAsia" w:ascii="Times New Roman"/>
          <w:sz w:val="24"/>
        </w:rPr>
        <w:t>（建筑设计说明及工程做法或装修工程一览表等）；禁烟标志、吸烟区的设置位置详见图纸：</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主要功能房间的室内噪声级和隔声性能符合下列规定：</w:t>
      </w:r>
      <w:r>
        <w:rPr>
          <w:rFonts w:ascii="Times New Roman"/>
          <w:sz w:val="24"/>
        </w:rPr>
        <w:t xml:space="preserve"> </w:t>
      </w:r>
    </w:p>
    <w:p>
      <w:pPr>
        <w:spacing w:line="360" w:lineRule="auto"/>
        <w:ind w:left="142"/>
        <w:rPr>
          <w:rFonts w:ascii="Times New Roman"/>
          <w:sz w:val="24"/>
        </w:rPr>
      </w:pPr>
      <w:r>
        <w:rPr>
          <w:rFonts w:hint="eastAsia" w:ascii="Times New Roman"/>
          <w:sz w:val="24"/>
        </w:rPr>
        <w:t>（1）室内噪声级满足现行国家标准《民用建筑隔声设计规范》GB 50118中的低限要求；详见</w:t>
      </w:r>
      <w:r>
        <w:rPr>
          <w:rFonts w:hint="eastAsia" w:ascii="Times New Roman"/>
          <w:sz w:val="24"/>
          <w:u w:val="single"/>
        </w:rPr>
        <w:t>《室内噪声级分析报告》</w:t>
      </w:r>
      <w:r>
        <w:rPr>
          <w:rFonts w:hint="eastAsia" w:ascii="Times New Roman"/>
          <w:sz w:val="24"/>
        </w:rPr>
        <w:t>。</w:t>
      </w:r>
    </w:p>
    <w:tbl>
      <w:tblPr>
        <w:tblStyle w:val="17"/>
        <w:tblW w:w="822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1"/>
        <w:gridCol w:w="2069"/>
        <w:gridCol w:w="2041"/>
        <w:gridCol w:w="2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1" w:type="dxa"/>
            <w:vAlign w:val="center"/>
          </w:tcPr>
          <w:p>
            <w:pPr>
              <w:pStyle w:val="24"/>
              <w:ind w:firstLine="0" w:firstLineChars="0"/>
              <w:jc w:val="center"/>
              <w:rPr>
                <w:rFonts w:ascii="Times New Roman"/>
                <w:b/>
                <w:szCs w:val="21"/>
              </w:rPr>
            </w:pPr>
            <w:r>
              <w:rPr>
                <w:rFonts w:hint="eastAsia" w:ascii="Times New Roman"/>
                <w:b/>
                <w:szCs w:val="21"/>
              </w:rPr>
              <w:t>主要功能房间类型</w:t>
            </w:r>
          </w:p>
        </w:tc>
        <w:tc>
          <w:tcPr>
            <w:tcW w:w="2069" w:type="dxa"/>
            <w:vAlign w:val="center"/>
          </w:tcPr>
          <w:p>
            <w:pPr>
              <w:pStyle w:val="24"/>
              <w:ind w:firstLine="0" w:firstLineChars="0"/>
              <w:jc w:val="center"/>
              <w:rPr>
                <w:rFonts w:ascii="Times New Roman"/>
                <w:b/>
                <w:szCs w:val="21"/>
              </w:rPr>
            </w:pPr>
            <w:r>
              <w:rPr>
                <w:rFonts w:hint="eastAsia" w:ascii="Times New Roman"/>
                <w:b/>
                <w:szCs w:val="21"/>
              </w:rPr>
              <w:t>允许噪声级</w:t>
            </w:r>
          </w:p>
          <w:p>
            <w:pPr>
              <w:pStyle w:val="24"/>
              <w:ind w:firstLine="0" w:firstLineChars="0"/>
              <w:jc w:val="center"/>
              <w:rPr>
                <w:rFonts w:ascii="Times New Roman"/>
                <w:b/>
                <w:szCs w:val="21"/>
              </w:rPr>
            </w:pPr>
            <w:r>
              <w:rPr>
                <w:rFonts w:hint="eastAsia" w:ascii="Times New Roman"/>
                <w:b/>
                <w:szCs w:val="21"/>
              </w:rPr>
              <w:t>（A声级，dB）</w:t>
            </w:r>
          </w:p>
        </w:tc>
        <w:tc>
          <w:tcPr>
            <w:tcW w:w="2041" w:type="dxa"/>
            <w:vAlign w:val="center"/>
          </w:tcPr>
          <w:p>
            <w:pPr>
              <w:pStyle w:val="24"/>
              <w:ind w:firstLine="0" w:firstLineChars="0"/>
              <w:jc w:val="center"/>
              <w:rPr>
                <w:rFonts w:ascii="Times New Roman"/>
                <w:b/>
                <w:szCs w:val="21"/>
              </w:rPr>
            </w:pPr>
            <w:r>
              <w:rPr>
                <w:rFonts w:hint="eastAsia" w:ascii="Times New Roman"/>
                <w:b/>
                <w:szCs w:val="21"/>
              </w:rPr>
              <w:t>主要功能房间类型</w:t>
            </w:r>
          </w:p>
        </w:tc>
        <w:tc>
          <w:tcPr>
            <w:tcW w:w="2069" w:type="dxa"/>
            <w:vAlign w:val="center"/>
          </w:tcPr>
          <w:p>
            <w:pPr>
              <w:pStyle w:val="24"/>
              <w:ind w:firstLine="0" w:firstLineChars="0"/>
              <w:jc w:val="center"/>
              <w:rPr>
                <w:rFonts w:ascii="Times New Roman"/>
                <w:b/>
                <w:szCs w:val="21"/>
              </w:rPr>
            </w:pPr>
            <w:r>
              <w:rPr>
                <w:rFonts w:hint="eastAsia" w:ascii="Times New Roman"/>
                <w:b/>
                <w:szCs w:val="21"/>
              </w:rPr>
              <w:t>允许噪声级</w:t>
            </w:r>
          </w:p>
          <w:p>
            <w:pPr>
              <w:pStyle w:val="24"/>
              <w:ind w:firstLine="0" w:firstLineChars="0"/>
              <w:jc w:val="center"/>
              <w:rPr>
                <w:rFonts w:ascii="Times New Roman"/>
                <w:b/>
                <w:szCs w:val="21"/>
              </w:rPr>
            </w:pPr>
            <w:r>
              <w:rPr>
                <w:rFonts w:hint="eastAsia" w:ascii="Times New Roman"/>
                <w:b/>
                <w:szCs w:val="21"/>
              </w:rPr>
              <w:t>（A声级，dB）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1" w:type="dxa"/>
            <w:vAlign w:val="center"/>
          </w:tcPr>
          <w:p>
            <w:pPr>
              <w:pStyle w:val="24"/>
              <w:spacing w:line="360" w:lineRule="auto"/>
              <w:ind w:firstLine="0" w:firstLineChars="0"/>
              <w:jc w:val="center"/>
              <w:rPr>
                <w:rFonts w:ascii="Times New Roman"/>
                <w:szCs w:val="21"/>
              </w:rPr>
            </w:pPr>
            <w:r>
              <w:rPr>
                <w:rFonts w:hint="eastAsia" w:ascii="Times New Roman"/>
                <w:szCs w:val="21"/>
              </w:rPr>
              <w:t>如：卧室</w:t>
            </w:r>
          </w:p>
        </w:tc>
        <w:tc>
          <w:tcPr>
            <w:tcW w:w="2069" w:type="dxa"/>
            <w:vAlign w:val="center"/>
          </w:tcPr>
          <w:p>
            <w:pPr>
              <w:pStyle w:val="24"/>
              <w:spacing w:line="360" w:lineRule="auto"/>
              <w:ind w:firstLine="0" w:firstLineChars="0"/>
              <w:jc w:val="center"/>
              <w:rPr>
                <w:rFonts w:ascii="Times New Roman"/>
                <w:szCs w:val="21"/>
              </w:rPr>
            </w:pPr>
            <w:r>
              <w:rPr>
                <w:rFonts w:hint="eastAsia" w:ascii="Times New Roman"/>
                <w:szCs w:val="21"/>
              </w:rPr>
              <w:t>昼：≤45；夜：≤37</w:t>
            </w:r>
          </w:p>
        </w:tc>
        <w:tc>
          <w:tcPr>
            <w:tcW w:w="2041" w:type="dxa"/>
            <w:vAlign w:val="center"/>
          </w:tcPr>
          <w:p>
            <w:pPr>
              <w:pStyle w:val="24"/>
              <w:spacing w:line="360" w:lineRule="auto"/>
              <w:ind w:firstLine="0" w:firstLineChars="0"/>
              <w:jc w:val="center"/>
              <w:rPr>
                <w:rFonts w:ascii="Times New Roman"/>
                <w:szCs w:val="21"/>
              </w:rPr>
            </w:pPr>
            <w:r>
              <w:rPr>
                <w:rFonts w:hint="eastAsia" w:ascii="Times New Roman"/>
                <w:szCs w:val="21"/>
              </w:rPr>
              <w:t>起居室</w:t>
            </w:r>
          </w:p>
        </w:tc>
        <w:tc>
          <w:tcPr>
            <w:tcW w:w="2069" w:type="dxa"/>
            <w:vAlign w:val="center"/>
          </w:tcPr>
          <w:p>
            <w:pPr>
              <w:pStyle w:val="24"/>
              <w:spacing w:line="360" w:lineRule="auto"/>
              <w:ind w:firstLine="0" w:firstLineChars="0"/>
              <w:jc w:val="center"/>
              <w:rPr>
                <w:rFonts w:ascii="Times New Roman"/>
                <w:szCs w:val="21"/>
              </w:rPr>
            </w:pPr>
            <w:r>
              <w:rPr>
                <w:rFonts w:hint="eastAsia" w:ascii="Times New Roman"/>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1" w:type="dxa"/>
            <w:vAlign w:val="center"/>
          </w:tcPr>
          <w:p>
            <w:pPr>
              <w:pStyle w:val="24"/>
              <w:spacing w:line="360" w:lineRule="auto"/>
              <w:ind w:firstLine="0" w:firstLineChars="0"/>
              <w:jc w:val="center"/>
              <w:rPr>
                <w:rFonts w:ascii="Times New Roman"/>
                <w:szCs w:val="21"/>
              </w:rPr>
            </w:pPr>
            <w:r>
              <w:rPr>
                <w:rFonts w:hint="eastAsia" w:ascii="Times New Roman"/>
                <w:szCs w:val="21"/>
              </w:rPr>
              <w:t>办公</w:t>
            </w:r>
          </w:p>
        </w:tc>
        <w:tc>
          <w:tcPr>
            <w:tcW w:w="2069" w:type="dxa"/>
            <w:vAlign w:val="center"/>
          </w:tcPr>
          <w:p>
            <w:pPr>
              <w:pStyle w:val="24"/>
              <w:spacing w:line="360" w:lineRule="auto"/>
              <w:ind w:firstLine="0" w:firstLineChars="0"/>
              <w:jc w:val="center"/>
              <w:rPr>
                <w:rFonts w:ascii="Times New Roman"/>
                <w:szCs w:val="21"/>
              </w:rPr>
            </w:pPr>
            <w:r>
              <w:rPr>
                <w:rFonts w:hint="eastAsia" w:ascii="Times New Roman"/>
                <w:szCs w:val="21"/>
              </w:rPr>
              <w:t>≤45</w:t>
            </w:r>
          </w:p>
        </w:tc>
        <w:tc>
          <w:tcPr>
            <w:tcW w:w="2041" w:type="dxa"/>
            <w:vAlign w:val="center"/>
          </w:tcPr>
          <w:p>
            <w:pPr>
              <w:pStyle w:val="24"/>
              <w:spacing w:line="360" w:lineRule="auto"/>
              <w:ind w:firstLine="0" w:firstLineChars="0"/>
              <w:jc w:val="center"/>
              <w:rPr>
                <w:rFonts w:ascii="Times New Roman"/>
                <w:szCs w:val="21"/>
              </w:rPr>
            </w:pPr>
            <w:r>
              <w:rPr>
                <w:rFonts w:hint="eastAsia" w:ascii="Times New Roman"/>
                <w:szCs w:val="21"/>
              </w:rPr>
              <w:t>客房</w:t>
            </w:r>
          </w:p>
        </w:tc>
        <w:tc>
          <w:tcPr>
            <w:tcW w:w="2069" w:type="dxa"/>
            <w:vAlign w:val="center"/>
          </w:tcPr>
          <w:p>
            <w:pPr>
              <w:pStyle w:val="24"/>
              <w:spacing w:line="360" w:lineRule="auto"/>
              <w:ind w:firstLine="0" w:firstLineChars="0"/>
              <w:jc w:val="center"/>
              <w:rPr>
                <w:rFonts w:ascii="Times New Roman"/>
                <w:szCs w:val="21"/>
              </w:rPr>
            </w:pPr>
            <w:r>
              <w:rPr>
                <w:rFonts w:hint="eastAsia" w:ascii="Times New Roman"/>
                <w:szCs w:val="21"/>
              </w:rPr>
              <w:t>昼：≤45；夜：≤40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1" w:type="dxa"/>
            <w:vAlign w:val="center"/>
          </w:tcPr>
          <w:p>
            <w:pPr>
              <w:pStyle w:val="24"/>
              <w:spacing w:line="360" w:lineRule="auto"/>
              <w:ind w:firstLine="0" w:firstLineChars="0"/>
              <w:jc w:val="center"/>
              <w:rPr>
                <w:rFonts w:ascii="Times New Roman"/>
                <w:szCs w:val="21"/>
              </w:rPr>
            </w:pPr>
            <w:r>
              <w:rPr>
                <w:rFonts w:hint="eastAsia" w:ascii="Times New Roman"/>
                <w:szCs w:val="21"/>
              </w:rPr>
              <w:t>商业</w:t>
            </w:r>
          </w:p>
        </w:tc>
        <w:tc>
          <w:tcPr>
            <w:tcW w:w="2069" w:type="dxa"/>
            <w:vAlign w:val="center"/>
          </w:tcPr>
          <w:p>
            <w:pPr>
              <w:pStyle w:val="24"/>
              <w:spacing w:line="360" w:lineRule="auto"/>
              <w:ind w:firstLine="0" w:firstLineChars="0"/>
              <w:jc w:val="center"/>
              <w:rPr>
                <w:rFonts w:ascii="Times New Roman"/>
                <w:szCs w:val="21"/>
              </w:rPr>
            </w:pPr>
            <w:r>
              <w:rPr>
                <w:rFonts w:hint="eastAsia" w:ascii="Times New Roman"/>
                <w:szCs w:val="21"/>
              </w:rPr>
              <w:t>≤55</w:t>
            </w:r>
          </w:p>
        </w:tc>
        <w:tc>
          <w:tcPr>
            <w:tcW w:w="2041" w:type="dxa"/>
            <w:vAlign w:val="center"/>
          </w:tcPr>
          <w:p>
            <w:pPr>
              <w:pStyle w:val="24"/>
              <w:spacing w:line="360" w:lineRule="auto"/>
              <w:ind w:firstLine="0" w:firstLineChars="0"/>
              <w:jc w:val="center"/>
              <w:rPr>
                <w:rFonts w:ascii="Times New Roman"/>
                <w:szCs w:val="21"/>
              </w:rPr>
            </w:pPr>
            <w:r>
              <w:rPr>
                <w:rFonts w:hint="eastAsia" w:ascii="Times New Roman"/>
                <w:szCs w:val="21"/>
              </w:rPr>
              <w:t>普通教室</w:t>
            </w:r>
          </w:p>
        </w:tc>
        <w:tc>
          <w:tcPr>
            <w:tcW w:w="2069" w:type="dxa"/>
            <w:vAlign w:val="center"/>
          </w:tcPr>
          <w:p>
            <w:pPr>
              <w:pStyle w:val="24"/>
              <w:spacing w:line="360" w:lineRule="auto"/>
              <w:ind w:firstLine="0" w:firstLineChars="0"/>
              <w:jc w:val="center"/>
              <w:rPr>
                <w:rFonts w:ascii="Times New Roman"/>
                <w:szCs w:val="21"/>
              </w:rPr>
            </w:pPr>
            <w:r>
              <w:rPr>
                <w:rFonts w:hint="eastAsia" w:ascii="Times New Roman"/>
                <w:szCs w:val="21"/>
              </w:rPr>
              <w:t>≤45</w:t>
            </w:r>
          </w:p>
        </w:tc>
      </w:tr>
    </w:tbl>
    <w:p>
      <w:pPr>
        <w:spacing w:line="360" w:lineRule="auto"/>
        <w:ind w:left="142"/>
        <w:rPr>
          <w:rFonts w:ascii="Times New Roman"/>
          <w:sz w:val="24"/>
        </w:rPr>
      </w:pPr>
      <w:r>
        <w:rPr>
          <w:rFonts w:hint="eastAsia" w:ascii="Times New Roman"/>
          <w:sz w:val="24"/>
        </w:rPr>
        <w:t>（2）外墙、隔墙、楼板和门窗的隔声性能满足现行国家标准《民用建筑隔声设计规范》GB 50118中的低限要求；详见</w:t>
      </w:r>
      <w:r>
        <w:rPr>
          <w:rFonts w:hint="eastAsia" w:ascii="Times New Roman"/>
          <w:sz w:val="24"/>
          <w:u w:val="single"/>
        </w:rPr>
        <w:t>《围护结构隔声性能分析报告》</w:t>
      </w:r>
      <w:r>
        <w:rPr>
          <w:rFonts w:hint="eastAsia" w:ascii="Times New Roman"/>
          <w:sz w:val="24"/>
        </w:rPr>
        <w:t>。</w:t>
      </w:r>
    </w:p>
    <w:p>
      <w:pPr>
        <w:spacing w:line="360" w:lineRule="auto"/>
        <w:ind w:left="142"/>
        <w:rPr>
          <w:rFonts w:ascii="Times New Roman"/>
          <w:sz w:val="24"/>
        </w:rPr>
      </w:pPr>
      <w:r>
        <w:rPr>
          <w:rFonts w:hint="eastAsia" w:ascii="Times New Roman"/>
          <w:sz w:val="24"/>
        </w:rPr>
        <w:t>围护结构的空气声隔声性能列表：</w:t>
      </w:r>
    </w:p>
    <w:tbl>
      <w:tblPr>
        <w:tblStyle w:val="17"/>
        <w:tblW w:w="8278"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71"/>
        <w:gridCol w:w="2268"/>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center"/>
          </w:tcPr>
          <w:p>
            <w:pPr>
              <w:pStyle w:val="24"/>
              <w:ind w:firstLine="0" w:firstLineChars="0"/>
              <w:jc w:val="center"/>
              <w:rPr>
                <w:rFonts w:ascii="Times New Roman"/>
                <w:b/>
                <w:szCs w:val="21"/>
              </w:rPr>
            </w:pPr>
            <w:r>
              <w:rPr>
                <w:rFonts w:hint="eastAsia" w:ascii="Times New Roman"/>
                <w:b/>
                <w:szCs w:val="21"/>
              </w:rPr>
              <w:t>围护结构构件类型</w:t>
            </w:r>
          </w:p>
        </w:tc>
        <w:tc>
          <w:tcPr>
            <w:tcW w:w="1871" w:type="dxa"/>
            <w:vAlign w:val="center"/>
          </w:tcPr>
          <w:p>
            <w:pPr>
              <w:pStyle w:val="24"/>
              <w:ind w:firstLine="0" w:firstLineChars="0"/>
              <w:jc w:val="center"/>
              <w:rPr>
                <w:rFonts w:ascii="Times New Roman"/>
                <w:b/>
                <w:szCs w:val="21"/>
              </w:rPr>
            </w:pPr>
            <w:r>
              <w:rPr>
                <w:rFonts w:hint="eastAsia" w:ascii="Times New Roman"/>
                <w:b/>
                <w:szCs w:val="21"/>
              </w:rPr>
              <w:t>空气声隔声量</w:t>
            </w:r>
          </w:p>
          <w:p>
            <w:pPr>
              <w:pStyle w:val="24"/>
              <w:ind w:firstLine="0" w:firstLineChars="0"/>
              <w:jc w:val="center"/>
              <w:rPr>
                <w:rFonts w:ascii="Times New Roman"/>
                <w:b/>
                <w:szCs w:val="21"/>
              </w:rPr>
            </w:pPr>
            <w:r>
              <w:rPr>
                <w:rFonts w:hint="eastAsia" w:ascii="Times New Roman"/>
                <w:b/>
                <w:szCs w:val="21"/>
              </w:rPr>
              <w:t>（dB）</w:t>
            </w:r>
          </w:p>
        </w:tc>
        <w:tc>
          <w:tcPr>
            <w:tcW w:w="2268" w:type="dxa"/>
            <w:vAlign w:val="center"/>
          </w:tcPr>
          <w:p>
            <w:pPr>
              <w:pStyle w:val="24"/>
              <w:ind w:firstLine="0" w:firstLineChars="0"/>
              <w:jc w:val="center"/>
              <w:rPr>
                <w:rFonts w:ascii="Times New Roman"/>
                <w:b/>
                <w:szCs w:val="21"/>
              </w:rPr>
            </w:pPr>
            <w:r>
              <w:rPr>
                <w:rFonts w:hint="eastAsia" w:ascii="Times New Roman"/>
                <w:b/>
                <w:szCs w:val="21"/>
              </w:rPr>
              <w:t>围护结构构件类型</w:t>
            </w:r>
          </w:p>
        </w:tc>
        <w:tc>
          <w:tcPr>
            <w:tcW w:w="1871" w:type="dxa"/>
            <w:vAlign w:val="center"/>
          </w:tcPr>
          <w:p>
            <w:pPr>
              <w:pStyle w:val="24"/>
              <w:ind w:firstLine="0" w:firstLineChars="0"/>
              <w:jc w:val="center"/>
              <w:rPr>
                <w:rFonts w:ascii="Times New Roman"/>
                <w:b/>
                <w:szCs w:val="21"/>
              </w:rPr>
            </w:pPr>
            <w:r>
              <w:rPr>
                <w:rFonts w:hint="eastAsia" w:ascii="Times New Roman"/>
                <w:b/>
                <w:szCs w:val="21"/>
              </w:rPr>
              <w:t>空气声隔声量</w:t>
            </w:r>
          </w:p>
          <w:p>
            <w:pPr>
              <w:pStyle w:val="24"/>
              <w:ind w:firstLine="0" w:firstLineChars="0"/>
              <w:jc w:val="center"/>
              <w:rPr>
                <w:rFonts w:ascii="Times New Roman"/>
                <w:b/>
                <w:szCs w:val="21"/>
              </w:rPr>
            </w:pPr>
            <w:r>
              <w:rPr>
                <w:rFonts w:hint="eastAsia" w:ascii="Times New Roman"/>
                <w:b/>
                <w:szCs w:val="21"/>
              </w:rPr>
              <w:t>（dB）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center"/>
          </w:tcPr>
          <w:p>
            <w:pPr>
              <w:pStyle w:val="24"/>
              <w:spacing w:line="360" w:lineRule="auto"/>
              <w:ind w:firstLine="0" w:firstLineChars="0"/>
              <w:jc w:val="center"/>
              <w:rPr>
                <w:rFonts w:ascii="Times New Roman"/>
                <w:szCs w:val="21"/>
              </w:rPr>
            </w:pPr>
            <w:r>
              <w:rPr>
                <w:rFonts w:hint="eastAsia" w:ascii="Times New Roman"/>
                <w:szCs w:val="21"/>
              </w:rPr>
              <w:t>外墙</w:t>
            </w:r>
          </w:p>
        </w:tc>
        <w:tc>
          <w:tcPr>
            <w:tcW w:w="1871" w:type="dxa"/>
            <w:vAlign w:val="center"/>
          </w:tcPr>
          <w:p>
            <w:pPr>
              <w:pStyle w:val="24"/>
              <w:spacing w:line="360" w:lineRule="auto"/>
              <w:ind w:firstLine="0" w:firstLineChars="0"/>
              <w:jc w:val="center"/>
              <w:rPr>
                <w:rFonts w:ascii="Times New Roman"/>
                <w:szCs w:val="21"/>
              </w:rPr>
            </w:pPr>
          </w:p>
        </w:tc>
        <w:tc>
          <w:tcPr>
            <w:tcW w:w="2268" w:type="dxa"/>
            <w:vAlign w:val="center"/>
          </w:tcPr>
          <w:p>
            <w:pPr>
              <w:pStyle w:val="24"/>
              <w:spacing w:line="360" w:lineRule="auto"/>
              <w:ind w:firstLine="0" w:firstLineChars="0"/>
              <w:jc w:val="center"/>
              <w:rPr>
                <w:rFonts w:ascii="Times New Roman"/>
                <w:szCs w:val="21"/>
              </w:rPr>
            </w:pPr>
            <w:r>
              <w:rPr>
                <w:rFonts w:hint="eastAsia" w:ascii="Times New Roman"/>
                <w:szCs w:val="21"/>
              </w:rPr>
              <w:t>楼板</w:t>
            </w:r>
          </w:p>
        </w:tc>
        <w:tc>
          <w:tcPr>
            <w:tcW w:w="1871" w:type="dxa"/>
            <w:vAlign w:val="center"/>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center"/>
          </w:tcPr>
          <w:p>
            <w:pPr>
              <w:pStyle w:val="24"/>
              <w:spacing w:line="360" w:lineRule="auto"/>
              <w:ind w:firstLine="0" w:firstLineChars="0"/>
              <w:jc w:val="center"/>
              <w:rPr>
                <w:rFonts w:ascii="Times New Roman"/>
                <w:szCs w:val="21"/>
              </w:rPr>
            </w:pPr>
            <w:r>
              <w:rPr>
                <w:rFonts w:hint="eastAsia" w:ascii="Times New Roman"/>
                <w:szCs w:val="21"/>
              </w:rPr>
              <w:t>内隔墙</w:t>
            </w:r>
          </w:p>
        </w:tc>
        <w:tc>
          <w:tcPr>
            <w:tcW w:w="1871" w:type="dxa"/>
            <w:vAlign w:val="center"/>
          </w:tcPr>
          <w:p>
            <w:pPr>
              <w:pStyle w:val="24"/>
              <w:spacing w:line="360" w:lineRule="auto"/>
              <w:ind w:firstLine="0" w:firstLineChars="0"/>
              <w:jc w:val="center"/>
              <w:rPr>
                <w:rFonts w:ascii="Times New Roman"/>
                <w:szCs w:val="21"/>
              </w:rPr>
            </w:pPr>
          </w:p>
        </w:tc>
        <w:tc>
          <w:tcPr>
            <w:tcW w:w="2268" w:type="dxa"/>
            <w:vAlign w:val="center"/>
          </w:tcPr>
          <w:p>
            <w:pPr>
              <w:pStyle w:val="24"/>
              <w:spacing w:line="360" w:lineRule="auto"/>
              <w:ind w:firstLine="0" w:firstLineChars="0"/>
              <w:jc w:val="center"/>
              <w:rPr>
                <w:rFonts w:ascii="Times New Roman"/>
                <w:szCs w:val="21"/>
              </w:rPr>
            </w:pPr>
            <w:r>
              <w:rPr>
                <w:rFonts w:hint="eastAsia" w:ascii="Times New Roman"/>
                <w:szCs w:val="21"/>
              </w:rPr>
              <w:t>外窗</w:t>
            </w:r>
          </w:p>
        </w:tc>
        <w:tc>
          <w:tcPr>
            <w:tcW w:w="1871" w:type="dxa"/>
            <w:vAlign w:val="center"/>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center"/>
          </w:tcPr>
          <w:p>
            <w:pPr>
              <w:pStyle w:val="24"/>
              <w:spacing w:line="360" w:lineRule="auto"/>
              <w:ind w:firstLine="0" w:firstLineChars="0"/>
              <w:jc w:val="center"/>
              <w:rPr>
                <w:rFonts w:ascii="Times New Roman"/>
                <w:szCs w:val="21"/>
              </w:rPr>
            </w:pPr>
            <w:r>
              <w:rPr>
                <w:rFonts w:hint="eastAsia" w:ascii="Times New Roman"/>
                <w:szCs w:val="21"/>
              </w:rPr>
              <w:t>外门</w:t>
            </w:r>
          </w:p>
        </w:tc>
        <w:tc>
          <w:tcPr>
            <w:tcW w:w="1871" w:type="dxa"/>
            <w:vAlign w:val="center"/>
          </w:tcPr>
          <w:p>
            <w:pPr>
              <w:pStyle w:val="24"/>
              <w:spacing w:line="360" w:lineRule="auto"/>
              <w:ind w:firstLine="0" w:firstLineChars="0"/>
              <w:jc w:val="center"/>
              <w:rPr>
                <w:rFonts w:ascii="Times New Roman"/>
                <w:szCs w:val="21"/>
              </w:rPr>
            </w:pPr>
          </w:p>
        </w:tc>
        <w:tc>
          <w:tcPr>
            <w:tcW w:w="2268" w:type="dxa"/>
            <w:vAlign w:val="center"/>
          </w:tcPr>
          <w:p>
            <w:pPr>
              <w:pStyle w:val="24"/>
              <w:spacing w:line="360" w:lineRule="auto"/>
              <w:ind w:firstLine="0" w:firstLineChars="0"/>
              <w:jc w:val="center"/>
              <w:rPr>
                <w:rFonts w:ascii="Times New Roman"/>
                <w:szCs w:val="21"/>
              </w:rPr>
            </w:pPr>
          </w:p>
        </w:tc>
        <w:tc>
          <w:tcPr>
            <w:tcW w:w="1871" w:type="dxa"/>
            <w:vAlign w:val="center"/>
          </w:tcPr>
          <w:p>
            <w:pPr>
              <w:pStyle w:val="24"/>
              <w:spacing w:line="360" w:lineRule="auto"/>
              <w:ind w:firstLine="0" w:firstLineChars="0"/>
              <w:jc w:val="center"/>
              <w:rPr>
                <w:rFonts w:ascii="Times New Roman"/>
                <w:szCs w:val="21"/>
              </w:rPr>
            </w:pPr>
          </w:p>
        </w:tc>
      </w:tr>
    </w:tbl>
    <w:p>
      <w:pPr>
        <w:spacing w:line="360" w:lineRule="auto"/>
        <w:ind w:left="142"/>
        <w:rPr>
          <w:rFonts w:ascii="Times New Roman"/>
          <w:sz w:val="24"/>
        </w:rPr>
      </w:pPr>
      <w:r>
        <w:rPr>
          <w:rFonts w:hint="eastAsia" w:ascii="Times New Roman"/>
          <w:sz w:val="24"/>
        </w:rPr>
        <w:t>楼板的撞击声隔声性能列表：</w:t>
      </w:r>
    </w:p>
    <w:tbl>
      <w:tblPr>
        <w:tblStyle w:val="17"/>
        <w:tblW w:w="577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5"/>
        <w:gridCol w:w="2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85" w:type="dxa"/>
            <w:vAlign w:val="center"/>
          </w:tcPr>
          <w:p>
            <w:pPr>
              <w:pStyle w:val="24"/>
              <w:spacing w:line="360" w:lineRule="auto"/>
              <w:ind w:firstLine="0" w:firstLineChars="0"/>
              <w:jc w:val="center"/>
              <w:rPr>
                <w:rFonts w:ascii="Times New Roman"/>
                <w:b/>
                <w:szCs w:val="21"/>
              </w:rPr>
            </w:pPr>
            <w:r>
              <w:rPr>
                <w:rFonts w:hint="eastAsia" w:ascii="Times New Roman"/>
                <w:b/>
                <w:szCs w:val="21"/>
              </w:rPr>
              <w:t>主要功能房间楼板部位</w:t>
            </w:r>
          </w:p>
        </w:tc>
        <w:tc>
          <w:tcPr>
            <w:tcW w:w="2885" w:type="dxa"/>
            <w:vAlign w:val="center"/>
          </w:tcPr>
          <w:p>
            <w:pPr>
              <w:pStyle w:val="24"/>
              <w:spacing w:line="360" w:lineRule="auto"/>
              <w:ind w:firstLine="0" w:firstLineChars="0"/>
              <w:jc w:val="center"/>
              <w:rPr>
                <w:rFonts w:ascii="Times New Roman"/>
                <w:b/>
                <w:szCs w:val="21"/>
              </w:rPr>
            </w:pPr>
            <w:r>
              <w:rPr>
                <w:rFonts w:hint="eastAsia" w:ascii="Times New Roman"/>
                <w:b/>
                <w:szCs w:val="21"/>
              </w:rPr>
              <w:t>撞击声隔声量（dB）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85" w:type="dxa"/>
            <w:vAlign w:val="center"/>
          </w:tcPr>
          <w:p>
            <w:pPr>
              <w:pStyle w:val="24"/>
              <w:spacing w:line="360" w:lineRule="auto"/>
              <w:ind w:firstLine="0" w:firstLineChars="0"/>
              <w:jc w:val="center"/>
              <w:rPr>
                <w:rFonts w:ascii="Times New Roman"/>
                <w:szCs w:val="21"/>
              </w:rPr>
            </w:pPr>
          </w:p>
        </w:tc>
        <w:tc>
          <w:tcPr>
            <w:tcW w:w="2885" w:type="dxa"/>
            <w:vAlign w:val="center"/>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85" w:type="dxa"/>
            <w:vAlign w:val="center"/>
          </w:tcPr>
          <w:p>
            <w:pPr>
              <w:pStyle w:val="24"/>
              <w:spacing w:line="360" w:lineRule="auto"/>
              <w:ind w:firstLine="0" w:firstLineChars="0"/>
              <w:jc w:val="center"/>
              <w:rPr>
                <w:rFonts w:ascii="Times New Roman"/>
                <w:szCs w:val="21"/>
              </w:rPr>
            </w:pPr>
          </w:p>
        </w:tc>
        <w:tc>
          <w:tcPr>
            <w:tcW w:w="2885" w:type="dxa"/>
            <w:vAlign w:val="center"/>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85" w:type="dxa"/>
            <w:vAlign w:val="center"/>
          </w:tcPr>
          <w:p>
            <w:pPr>
              <w:pStyle w:val="24"/>
              <w:spacing w:line="360" w:lineRule="auto"/>
              <w:ind w:firstLine="0" w:firstLineChars="0"/>
              <w:jc w:val="center"/>
              <w:rPr>
                <w:rFonts w:ascii="Times New Roman"/>
                <w:szCs w:val="21"/>
              </w:rPr>
            </w:pPr>
          </w:p>
        </w:tc>
        <w:tc>
          <w:tcPr>
            <w:tcW w:w="2885" w:type="dxa"/>
            <w:vAlign w:val="center"/>
          </w:tcPr>
          <w:p>
            <w:pPr>
              <w:pStyle w:val="24"/>
              <w:spacing w:line="360" w:lineRule="auto"/>
              <w:ind w:firstLine="0" w:firstLineChars="0"/>
              <w:jc w:val="center"/>
              <w:rPr>
                <w:rFonts w:ascii="Times New Roman"/>
                <w:szCs w:val="21"/>
              </w:rPr>
            </w:pPr>
          </w:p>
        </w:tc>
      </w:tr>
    </w:tbl>
    <w:p>
      <w:pPr>
        <w:pStyle w:val="24"/>
        <w:numPr>
          <w:ilvl w:val="0"/>
          <w:numId w:val="3"/>
        </w:numPr>
        <w:spacing w:line="360" w:lineRule="auto"/>
        <w:ind w:firstLineChars="0"/>
        <w:rPr>
          <w:rFonts w:ascii="Times New Roman"/>
          <w:sz w:val="24"/>
        </w:rPr>
      </w:pPr>
      <w:r>
        <w:rPr>
          <w:rFonts w:hint="eastAsia" w:ascii="Times New Roman"/>
          <w:sz w:val="24"/>
        </w:rPr>
        <w:t>围护结构热工性能符合下列规定：</w:t>
      </w:r>
      <w:r>
        <w:rPr>
          <w:rFonts w:ascii="Times New Roman"/>
          <w:sz w:val="24"/>
        </w:rPr>
        <w:t xml:space="preserve"> </w:t>
      </w:r>
    </w:p>
    <w:p>
      <w:pPr>
        <w:spacing w:line="360" w:lineRule="auto"/>
        <w:ind w:left="142"/>
        <w:rPr>
          <w:rFonts w:ascii="Times New Roman"/>
          <w:sz w:val="24"/>
        </w:rPr>
      </w:pPr>
      <w:r>
        <w:rPr>
          <w:rFonts w:hint="eastAsia" w:ascii="Times New Roman"/>
          <w:sz w:val="24"/>
        </w:rPr>
        <w:t>（1）在室内设计温度、湿度条件下，建筑非透光围护结构内表面不得结露；详见</w:t>
      </w:r>
      <w:r>
        <w:rPr>
          <w:rFonts w:hint="eastAsia" w:ascii="Times New Roman"/>
          <w:sz w:val="24"/>
          <w:u w:val="single"/>
        </w:rPr>
        <w:t>《建筑围护结构结露验算计算书》</w:t>
      </w:r>
      <w:r>
        <w:rPr>
          <w:rFonts w:hint="eastAsia" w:ascii="Times New Roman"/>
          <w:sz w:val="24"/>
        </w:rPr>
        <w:t>。</w:t>
      </w:r>
    </w:p>
    <w:tbl>
      <w:tblPr>
        <w:tblStyle w:val="17"/>
        <w:tblW w:w="9102"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977"/>
        <w:gridCol w:w="2198"/>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1" w:type="dxa"/>
            <w:vAlign w:val="center"/>
          </w:tcPr>
          <w:p>
            <w:pPr>
              <w:pStyle w:val="24"/>
              <w:spacing w:line="360" w:lineRule="auto"/>
              <w:ind w:firstLine="0" w:firstLineChars="0"/>
              <w:jc w:val="center"/>
              <w:rPr>
                <w:rFonts w:ascii="Times New Roman"/>
                <w:b/>
                <w:szCs w:val="21"/>
              </w:rPr>
            </w:pPr>
            <w:r>
              <w:rPr>
                <w:rFonts w:hint="eastAsia" w:ascii="Times New Roman"/>
                <w:b/>
                <w:szCs w:val="21"/>
              </w:rPr>
              <w:t>围护结构类型</w:t>
            </w:r>
          </w:p>
        </w:tc>
        <w:tc>
          <w:tcPr>
            <w:tcW w:w="2977" w:type="dxa"/>
            <w:vAlign w:val="center"/>
          </w:tcPr>
          <w:p>
            <w:pPr>
              <w:pStyle w:val="24"/>
              <w:spacing w:line="360" w:lineRule="auto"/>
              <w:ind w:firstLine="0" w:firstLineChars="0"/>
              <w:jc w:val="center"/>
              <w:rPr>
                <w:rFonts w:ascii="Times New Roman"/>
                <w:b/>
                <w:szCs w:val="21"/>
              </w:rPr>
            </w:pPr>
            <w:r>
              <w:rPr>
                <w:rFonts w:hint="eastAsia" w:ascii="Times New Roman"/>
                <w:b/>
                <w:szCs w:val="21"/>
              </w:rPr>
              <w:t>设计工况下的内表面温度（℃）</w:t>
            </w:r>
          </w:p>
        </w:tc>
        <w:tc>
          <w:tcPr>
            <w:tcW w:w="2198" w:type="dxa"/>
            <w:vAlign w:val="center"/>
          </w:tcPr>
          <w:p>
            <w:pPr>
              <w:pStyle w:val="24"/>
              <w:spacing w:line="360" w:lineRule="auto"/>
              <w:ind w:firstLine="0" w:firstLineChars="0"/>
              <w:jc w:val="center"/>
              <w:rPr>
                <w:rFonts w:ascii="Times New Roman"/>
                <w:b/>
                <w:szCs w:val="21"/>
              </w:rPr>
            </w:pPr>
            <w:r>
              <w:rPr>
                <w:rFonts w:hint="eastAsia" w:ascii="Times New Roman"/>
                <w:b/>
                <w:szCs w:val="21"/>
              </w:rPr>
              <w:t>室内空气露点温度</w:t>
            </w:r>
          </w:p>
          <w:p>
            <w:pPr>
              <w:pStyle w:val="24"/>
              <w:spacing w:line="360" w:lineRule="auto"/>
              <w:ind w:firstLine="0" w:firstLineChars="0"/>
              <w:jc w:val="center"/>
              <w:rPr>
                <w:rFonts w:ascii="Times New Roman"/>
                <w:b/>
                <w:szCs w:val="21"/>
              </w:rPr>
            </w:pPr>
            <w:r>
              <w:rPr>
                <w:rFonts w:hint="eastAsia" w:ascii="Times New Roman"/>
                <w:b/>
                <w:szCs w:val="21"/>
              </w:rPr>
              <w:t>（℃）</w:t>
            </w:r>
          </w:p>
        </w:tc>
        <w:tc>
          <w:tcPr>
            <w:tcW w:w="2126" w:type="dxa"/>
            <w:vAlign w:val="center"/>
          </w:tcPr>
          <w:p>
            <w:pPr>
              <w:pStyle w:val="24"/>
              <w:spacing w:line="360" w:lineRule="auto"/>
              <w:ind w:firstLine="0" w:firstLineChars="0"/>
              <w:jc w:val="center"/>
              <w:rPr>
                <w:rFonts w:ascii="Times New Roman"/>
                <w:b/>
                <w:szCs w:val="21"/>
              </w:rPr>
            </w:pPr>
            <w:r>
              <w:rPr>
                <w:rFonts w:hint="eastAsia" w:ascii="Times New Roman"/>
                <w:b/>
                <w:szCs w:val="21"/>
              </w:rPr>
              <w:t>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1" w:type="dxa"/>
            <w:vAlign w:val="center"/>
          </w:tcPr>
          <w:p>
            <w:pPr>
              <w:pStyle w:val="24"/>
              <w:spacing w:line="360" w:lineRule="auto"/>
              <w:ind w:firstLine="0" w:firstLineChars="0"/>
              <w:jc w:val="center"/>
              <w:rPr>
                <w:rFonts w:ascii="Times New Roman"/>
                <w:szCs w:val="21"/>
              </w:rPr>
            </w:pPr>
          </w:p>
        </w:tc>
        <w:tc>
          <w:tcPr>
            <w:tcW w:w="2977" w:type="dxa"/>
            <w:vAlign w:val="center"/>
          </w:tcPr>
          <w:p>
            <w:pPr>
              <w:pStyle w:val="24"/>
              <w:spacing w:line="360" w:lineRule="auto"/>
              <w:ind w:firstLine="0" w:firstLineChars="0"/>
              <w:jc w:val="center"/>
              <w:rPr>
                <w:rFonts w:ascii="Times New Roman"/>
                <w:szCs w:val="21"/>
              </w:rPr>
            </w:pPr>
          </w:p>
        </w:tc>
        <w:tc>
          <w:tcPr>
            <w:tcW w:w="2198" w:type="dxa"/>
            <w:vAlign w:val="center"/>
          </w:tcPr>
          <w:p>
            <w:pPr>
              <w:pStyle w:val="24"/>
              <w:spacing w:line="360" w:lineRule="auto"/>
              <w:ind w:firstLine="0" w:firstLineChars="0"/>
              <w:jc w:val="center"/>
              <w:rPr>
                <w:rFonts w:ascii="Times New Roman"/>
                <w:szCs w:val="21"/>
              </w:rPr>
            </w:pPr>
          </w:p>
        </w:tc>
        <w:tc>
          <w:tcPr>
            <w:tcW w:w="2126"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1" w:type="dxa"/>
            <w:vAlign w:val="center"/>
          </w:tcPr>
          <w:p>
            <w:pPr>
              <w:pStyle w:val="24"/>
              <w:spacing w:line="360" w:lineRule="auto"/>
              <w:ind w:firstLine="0" w:firstLineChars="0"/>
              <w:jc w:val="center"/>
              <w:rPr>
                <w:rFonts w:ascii="Times New Roman"/>
                <w:szCs w:val="21"/>
              </w:rPr>
            </w:pPr>
          </w:p>
        </w:tc>
        <w:tc>
          <w:tcPr>
            <w:tcW w:w="2977" w:type="dxa"/>
            <w:vAlign w:val="center"/>
          </w:tcPr>
          <w:p>
            <w:pPr>
              <w:pStyle w:val="24"/>
              <w:spacing w:line="360" w:lineRule="auto"/>
              <w:ind w:firstLine="0" w:firstLineChars="0"/>
              <w:jc w:val="center"/>
              <w:rPr>
                <w:rFonts w:ascii="Times New Roman"/>
                <w:szCs w:val="21"/>
              </w:rPr>
            </w:pPr>
          </w:p>
        </w:tc>
        <w:tc>
          <w:tcPr>
            <w:tcW w:w="2198" w:type="dxa"/>
            <w:vAlign w:val="center"/>
          </w:tcPr>
          <w:p>
            <w:pPr>
              <w:pStyle w:val="24"/>
              <w:spacing w:line="360" w:lineRule="auto"/>
              <w:ind w:firstLine="0" w:firstLineChars="0"/>
              <w:jc w:val="center"/>
              <w:rPr>
                <w:rFonts w:ascii="Times New Roman"/>
                <w:szCs w:val="21"/>
              </w:rPr>
            </w:pPr>
          </w:p>
        </w:tc>
        <w:tc>
          <w:tcPr>
            <w:tcW w:w="2126"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bl>
    <w:p>
      <w:pPr>
        <w:spacing w:line="360" w:lineRule="auto"/>
        <w:ind w:left="142"/>
        <w:rPr>
          <w:rFonts w:ascii="Times New Roman"/>
          <w:sz w:val="24"/>
        </w:rPr>
      </w:pPr>
      <w:r>
        <w:rPr>
          <w:rFonts w:hint="eastAsia" w:ascii="Times New Roman"/>
          <w:sz w:val="24"/>
        </w:rPr>
        <w:t>（2）供暖建筑的屋面、外墙内部不产生冷凝；详见</w:t>
      </w:r>
      <w:r>
        <w:rPr>
          <w:rFonts w:hint="eastAsia" w:ascii="Times New Roman"/>
          <w:sz w:val="24"/>
          <w:u w:val="single"/>
        </w:rPr>
        <w:t>《建筑围护结构内部冷凝验算计算书》</w:t>
      </w:r>
      <w:r>
        <w:rPr>
          <w:rFonts w:hint="eastAsia" w:ascii="Times New Roman"/>
          <w:sz w:val="24"/>
        </w:rPr>
        <w:t>。</w:t>
      </w:r>
    </w:p>
    <w:p>
      <w:pPr>
        <w:spacing w:line="360" w:lineRule="auto"/>
        <w:ind w:left="142"/>
        <w:rPr>
          <w:rFonts w:ascii="Times New Roman"/>
          <w:sz w:val="24"/>
        </w:rPr>
      </w:pPr>
      <w:r>
        <w:rPr>
          <w:rFonts w:hint="eastAsia" w:ascii="Times New Roman"/>
          <w:sz w:val="24"/>
        </w:rPr>
        <w:t>（3）屋顶和外墙隔热性能满足现行国家标准《民用建筑热工设计规范》GB 50176的要求；详见</w:t>
      </w:r>
      <w:r>
        <w:rPr>
          <w:rFonts w:hint="eastAsia" w:ascii="Times New Roman"/>
          <w:sz w:val="24"/>
          <w:u w:val="single"/>
        </w:rPr>
        <w:t>《屋顶和东西外墙内表面温度计算书》</w:t>
      </w:r>
      <w:r>
        <w:rPr>
          <w:rFonts w:hint="eastAsia" w:ascii="Times New Roman"/>
          <w:sz w:val="24"/>
        </w:rPr>
        <w:t>。</w:t>
      </w:r>
    </w:p>
    <w:p>
      <w:pPr>
        <w:pStyle w:val="24"/>
        <w:spacing w:line="360" w:lineRule="auto"/>
        <w:ind w:left="150" w:firstLine="0" w:firstLineChars="0"/>
        <w:jc w:val="center"/>
        <w:rPr>
          <w:rFonts w:ascii="Times New Roman"/>
          <w:sz w:val="24"/>
        </w:rPr>
      </w:pPr>
      <w:r>
        <w:rPr>
          <w:rFonts w:hint="eastAsia" w:ascii="Times New Roman"/>
          <w:sz w:val="24"/>
        </w:rPr>
        <w:t>屋顶的内表面温度计算列表</w:t>
      </w:r>
    </w:p>
    <w:tbl>
      <w:tblPr>
        <w:tblStyle w:val="17"/>
        <w:tblW w:w="8372"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2408"/>
        <w:gridCol w:w="2127"/>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86" w:type="dxa"/>
            <w:vAlign w:val="center"/>
          </w:tcPr>
          <w:p>
            <w:pPr>
              <w:pStyle w:val="24"/>
              <w:spacing w:line="360" w:lineRule="auto"/>
              <w:ind w:firstLine="0" w:firstLineChars="0"/>
              <w:jc w:val="center"/>
              <w:rPr>
                <w:rFonts w:ascii="Times New Roman"/>
                <w:b/>
                <w:szCs w:val="21"/>
              </w:rPr>
            </w:pPr>
          </w:p>
        </w:tc>
        <w:tc>
          <w:tcPr>
            <w:tcW w:w="2408" w:type="dxa"/>
            <w:vAlign w:val="center"/>
          </w:tcPr>
          <w:p>
            <w:pPr>
              <w:pStyle w:val="24"/>
              <w:spacing w:line="360" w:lineRule="auto"/>
              <w:ind w:firstLine="0" w:firstLineChars="0"/>
              <w:jc w:val="center"/>
              <w:rPr>
                <w:rFonts w:ascii="Times New Roman"/>
                <w:b/>
                <w:szCs w:val="21"/>
              </w:rPr>
            </w:pPr>
            <w:r>
              <w:rPr>
                <w:rFonts w:hint="eastAsia" w:ascii="Times New Roman"/>
                <w:b/>
                <w:szCs w:val="21"/>
              </w:rPr>
              <w:t>内表面最高温度（℃）</w:t>
            </w:r>
          </w:p>
        </w:tc>
        <w:tc>
          <w:tcPr>
            <w:tcW w:w="2127" w:type="dxa"/>
            <w:vAlign w:val="center"/>
          </w:tcPr>
          <w:p>
            <w:pPr>
              <w:pStyle w:val="24"/>
              <w:spacing w:line="360" w:lineRule="auto"/>
              <w:ind w:firstLine="0" w:firstLineChars="0"/>
              <w:jc w:val="center"/>
              <w:rPr>
                <w:rFonts w:ascii="Times New Roman"/>
                <w:b/>
                <w:szCs w:val="21"/>
              </w:rPr>
            </w:pPr>
            <w:r>
              <w:rPr>
                <w:rFonts w:hint="eastAsia" w:ascii="Times New Roman"/>
                <w:b/>
                <w:szCs w:val="21"/>
              </w:rPr>
              <w:t>标准要求（℃）</w:t>
            </w:r>
          </w:p>
        </w:tc>
        <w:tc>
          <w:tcPr>
            <w:tcW w:w="1751" w:type="dxa"/>
            <w:vAlign w:val="center"/>
          </w:tcPr>
          <w:p>
            <w:pPr>
              <w:pStyle w:val="24"/>
              <w:spacing w:line="360" w:lineRule="auto"/>
              <w:ind w:firstLine="0" w:firstLineChars="0"/>
              <w:jc w:val="center"/>
              <w:rPr>
                <w:rFonts w:ascii="Times New Roman"/>
                <w:b/>
                <w:szCs w:val="21"/>
              </w:rPr>
            </w:pPr>
            <w:r>
              <w:rPr>
                <w:rFonts w:hint="eastAsia" w:ascii="Times New Roman"/>
                <w:b/>
                <w:szCs w:val="21"/>
              </w:rPr>
              <w:t>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86" w:type="dxa"/>
            <w:vAlign w:val="center"/>
          </w:tcPr>
          <w:p>
            <w:pPr>
              <w:pStyle w:val="24"/>
              <w:spacing w:line="360" w:lineRule="auto"/>
              <w:ind w:firstLine="0" w:firstLineChars="0"/>
              <w:jc w:val="center"/>
              <w:rPr>
                <w:rFonts w:ascii="Times New Roman"/>
                <w:szCs w:val="21"/>
              </w:rPr>
            </w:pPr>
            <w:r>
              <w:rPr>
                <w:rFonts w:hint="eastAsia" w:ascii="Times New Roman"/>
                <w:szCs w:val="21"/>
              </w:rPr>
              <w:t>自然通风房间</w:t>
            </w:r>
          </w:p>
        </w:tc>
        <w:tc>
          <w:tcPr>
            <w:tcW w:w="2408" w:type="dxa"/>
            <w:vAlign w:val="center"/>
          </w:tcPr>
          <w:p>
            <w:pPr>
              <w:pStyle w:val="24"/>
              <w:spacing w:line="360" w:lineRule="auto"/>
              <w:ind w:firstLine="0" w:firstLineChars="0"/>
              <w:jc w:val="center"/>
              <w:rPr>
                <w:rFonts w:ascii="Times New Roman"/>
                <w:szCs w:val="21"/>
              </w:rPr>
            </w:pPr>
          </w:p>
        </w:tc>
        <w:tc>
          <w:tcPr>
            <w:tcW w:w="2127" w:type="dxa"/>
            <w:vAlign w:val="center"/>
          </w:tcPr>
          <w:p>
            <w:pPr>
              <w:pStyle w:val="24"/>
              <w:spacing w:line="360" w:lineRule="auto"/>
              <w:ind w:firstLine="0" w:firstLineChars="0"/>
              <w:jc w:val="center"/>
              <w:rPr>
                <w:rFonts w:ascii="Times New Roman"/>
                <w:szCs w:val="21"/>
              </w:rPr>
            </w:pPr>
          </w:p>
        </w:tc>
        <w:tc>
          <w:tcPr>
            <w:tcW w:w="1751"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86" w:type="dxa"/>
            <w:vAlign w:val="center"/>
          </w:tcPr>
          <w:p>
            <w:pPr>
              <w:pStyle w:val="24"/>
              <w:spacing w:line="360" w:lineRule="auto"/>
              <w:ind w:firstLine="0" w:firstLineChars="0"/>
              <w:jc w:val="center"/>
              <w:rPr>
                <w:rFonts w:ascii="Times New Roman"/>
                <w:szCs w:val="21"/>
              </w:rPr>
            </w:pPr>
            <w:r>
              <w:rPr>
                <w:rFonts w:hint="eastAsia" w:ascii="Times New Roman"/>
                <w:szCs w:val="21"/>
              </w:rPr>
              <w:t>空调房间</w:t>
            </w:r>
          </w:p>
        </w:tc>
        <w:tc>
          <w:tcPr>
            <w:tcW w:w="2408" w:type="dxa"/>
            <w:vAlign w:val="center"/>
          </w:tcPr>
          <w:p>
            <w:pPr>
              <w:pStyle w:val="24"/>
              <w:spacing w:line="360" w:lineRule="auto"/>
              <w:ind w:firstLine="0" w:firstLineChars="0"/>
              <w:jc w:val="center"/>
              <w:rPr>
                <w:rFonts w:ascii="Times New Roman"/>
                <w:szCs w:val="21"/>
              </w:rPr>
            </w:pPr>
          </w:p>
        </w:tc>
        <w:tc>
          <w:tcPr>
            <w:tcW w:w="2127" w:type="dxa"/>
            <w:vAlign w:val="center"/>
          </w:tcPr>
          <w:p>
            <w:pPr>
              <w:pStyle w:val="24"/>
              <w:spacing w:line="360" w:lineRule="auto"/>
              <w:ind w:firstLine="0" w:firstLineChars="0"/>
              <w:jc w:val="center"/>
              <w:rPr>
                <w:rFonts w:ascii="Times New Roman"/>
                <w:szCs w:val="21"/>
              </w:rPr>
            </w:pPr>
          </w:p>
        </w:tc>
        <w:tc>
          <w:tcPr>
            <w:tcW w:w="1751"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bl>
    <w:p>
      <w:pPr>
        <w:pStyle w:val="24"/>
        <w:spacing w:line="360" w:lineRule="auto"/>
        <w:ind w:left="150" w:firstLine="0" w:firstLineChars="0"/>
        <w:jc w:val="center"/>
        <w:rPr>
          <w:rFonts w:ascii="Times New Roman"/>
          <w:sz w:val="24"/>
        </w:rPr>
      </w:pPr>
      <w:r>
        <w:rPr>
          <w:rFonts w:hint="eastAsia" w:ascii="Times New Roman"/>
          <w:sz w:val="24"/>
        </w:rPr>
        <w:t>东向外墙的内表面温度计算列表</w:t>
      </w:r>
    </w:p>
    <w:tbl>
      <w:tblPr>
        <w:tblStyle w:val="17"/>
        <w:tblW w:w="8372"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2408"/>
        <w:gridCol w:w="2127"/>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86" w:type="dxa"/>
            <w:vAlign w:val="center"/>
          </w:tcPr>
          <w:p>
            <w:pPr>
              <w:pStyle w:val="24"/>
              <w:spacing w:line="360" w:lineRule="auto"/>
              <w:ind w:firstLine="0" w:firstLineChars="0"/>
              <w:jc w:val="center"/>
              <w:rPr>
                <w:rFonts w:ascii="Times New Roman"/>
                <w:b/>
                <w:szCs w:val="21"/>
              </w:rPr>
            </w:pPr>
          </w:p>
        </w:tc>
        <w:tc>
          <w:tcPr>
            <w:tcW w:w="2408" w:type="dxa"/>
            <w:vAlign w:val="center"/>
          </w:tcPr>
          <w:p>
            <w:pPr>
              <w:pStyle w:val="24"/>
              <w:spacing w:line="360" w:lineRule="auto"/>
              <w:ind w:firstLine="0" w:firstLineChars="0"/>
              <w:jc w:val="center"/>
              <w:rPr>
                <w:rFonts w:ascii="Times New Roman"/>
                <w:b/>
                <w:szCs w:val="21"/>
              </w:rPr>
            </w:pPr>
            <w:r>
              <w:rPr>
                <w:rFonts w:hint="eastAsia" w:ascii="Times New Roman"/>
                <w:b/>
                <w:szCs w:val="21"/>
              </w:rPr>
              <w:t>内表面最高温度（℃）</w:t>
            </w:r>
          </w:p>
        </w:tc>
        <w:tc>
          <w:tcPr>
            <w:tcW w:w="2127" w:type="dxa"/>
            <w:vAlign w:val="center"/>
          </w:tcPr>
          <w:p>
            <w:pPr>
              <w:pStyle w:val="24"/>
              <w:spacing w:line="360" w:lineRule="auto"/>
              <w:ind w:firstLine="0" w:firstLineChars="0"/>
              <w:jc w:val="center"/>
              <w:rPr>
                <w:rFonts w:ascii="Times New Roman"/>
                <w:b/>
                <w:szCs w:val="21"/>
              </w:rPr>
            </w:pPr>
            <w:r>
              <w:rPr>
                <w:rFonts w:hint="eastAsia" w:ascii="Times New Roman"/>
                <w:b/>
                <w:szCs w:val="21"/>
              </w:rPr>
              <w:t>标准要求（℃）</w:t>
            </w:r>
          </w:p>
        </w:tc>
        <w:tc>
          <w:tcPr>
            <w:tcW w:w="1751" w:type="dxa"/>
            <w:vAlign w:val="center"/>
          </w:tcPr>
          <w:p>
            <w:pPr>
              <w:pStyle w:val="24"/>
              <w:spacing w:line="360" w:lineRule="auto"/>
              <w:ind w:firstLine="0" w:firstLineChars="0"/>
              <w:jc w:val="center"/>
              <w:rPr>
                <w:rFonts w:ascii="Times New Roman"/>
                <w:b/>
                <w:szCs w:val="21"/>
              </w:rPr>
            </w:pPr>
            <w:r>
              <w:rPr>
                <w:rFonts w:hint="eastAsia" w:ascii="Times New Roman"/>
                <w:b/>
                <w:szCs w:val="21"/>
              </w:rPr>
              <w:t>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86" w:type="dxa"/>
            <w:vAlign w:val="center"/>
          </w:tcPr>
          <w:p>
            <w:pPr>
              <w:pStyle w:val="24"/>
              <w:spacing w:line="360" w:lineRule="auto"/>
              <w:ind w:firstLine="0" w:firstLineChars="0"/>
              <w:jc w:val="center"/>
              <w:rPr>
                <w:rFonts w:ascii="Times New Roman"/>
                <w:szCs w:val="21"/>
              </w:rPr>
            </w:pPr>
            <w:r>
              <w:rPr>
                <w:rFonts w:hint="eastAsia" w:ascii="Times New Roman"/>
                <w:szCs w:val="21"/>
              </w:rPr>
              <w:t>自然通风房间</w:t>
            </w:r>
          </w:p>
        </w:tc>
        <w:tc>
          <w:tcPr>
            <w:tcW w:w="2408" w:type="dxa"/>
            <w:vAlign w:val="center"/>
          </w:tcPr>
          <w:p>
            <w:pPr>
              <w:pStyle w:val="24"/>
              <w:spacing w:line="360" w:lineRule="auto"/>
              <w:ind w:firstLine="0" w:firstLineChars="0"/>
              <w:jc w:val="center"/>
              <w:rPr>
                <w:rFonts w:ascii="Times New Roman"/>
                <w:szCs w:val="21"/>
              </w:rPr>
            </w:pPr>
          </w:p>
        </w:tc>
        <w:tc>
          <w:tcPr>
            <w:tcW w:w="2127" w:type="dxa"/>
            <w:vAlign w:val="center"/>
          </w:tcPr>
          <w:p>
            <w:pPr>
              <w:pStyle w:val="24"/>
              <w:spacing w:line="360" w:lineRule="auto"/>
              <w:ind w:firstLine="0" w:firstLineChars="0"/>
              <w:jc w:val="center"/>
              <w:rPr>
                <w:rFonts w:ascii="Times New Roman"/>
                <w:szCs w:val="21"/>
              </w:rPr>
            </w:pPr>
          </w:p>
        </w:tc>
        <w:tc>
          <w:tcPr>
            <w:tcW w:w="1751"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86" w:type="dxa"/>
            <w:vAlign w:val="center"/>
          </w:tcPr>
          <w:p>
            <w:pPr>
              <w:pStyle w:val="24"/>
              <w:spacing w:line="360" w:lineRule="auto"/>
              <w:ind w:firstLine="0" w:firstLineChars="0"/>
              <w:jc w:val="center"/>
              <w:rPr>
                <w:rFonts w:ascii="Times New Roman"/>
                <w:szCs w:val="21"/>
              </w:rPr>
            </w:pPr>
            <w:r>
              <w:rPr>
                <w:rFonts w:hint="eastAsia" w:ascii="Times New Roman"/>
                <w:szCs w:val="21"/>
              </w:rPr>
              <w:t>空调房间</w:t>
            </w:r>
          </w:p>
        </w:tc>
        <w:tc>
          <w:tcPr>
            <w:tcW w:w="2408" w:type="dxa"/>
            <w:vAlign w:val="center"/>
          </w:tcPr>
          <w:p>
            <w:pPr>
              <w:pStyle w:val="24"/>
              <w:spacing w:line="360" w:lineRule="auto"/>
              <w:ind w:firstLine="0" w:firstLineChars="0"/>
              <w:jc w:val="center"/>
              <w:rPr>
                <w:rFonts w:ascii="Times New Roman"/>
                <w:szCs w:val="21"/>
              </w:rPr>
            </w:pPr>
          </w:p>
        </w:tc>
        <w:tc>
          <w:tcPr>
            <w:tcW w:w="2127" w:type="dxa"/>
            <w:vAlign w:val="center"/>
          </w:tcPr>
          <w:p>
            <w:pPr>
              <w:pStyle w:val="24"/>
              <w:spacing w:line="360" w:lineRule="auto"/>
              <w:ind w:firstLine="0" w:firstLineChars="0"/>
              <w:jc w:val="center"/>
              <w:rPr>
                <w:rFonts w:ascii="Times New Roman"/>
                <w:szCs w:val="21"/>
              </w:rPr>
            </w:pPr>
          </w:p>
        </w:tc>
        <w:tc>
          <w:tcPr>
            <w:tcW w:w="1751"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bl>
    <w:p>
      <w:pPr>
        <w:pStyle w:val="24"/>
        <w:spacing w:line="360" w:lineRule="auto"/>
        <w:ind w:left="150" w:firstLine="0" w:firstLineChars="0"/>
        <w:jc w:val="center"/>
        <w:rPr>
          <w:rFonts w:ascii="Times New Roman"/>
          <w:sz w:val="24"/>
        </w:rPr>
      </w:pPr>
      <w:r>
        <w:rPr>
          <w:rFonts w:hint="eastAsia" w:ascii="Times New Roman"/>
          <w:sz w:val="24"/>
        </w:rPr>
        <w:t>西向外墙的内表面温度计算列表</w:t>
      </w:r>
    </w:p>
    <w:tbl>
      <w:tblPr>
        <w:tblStyle w:val="17"/>
        <w:tblW w:w="8372"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2408"/>
        <w:gridCol w:w="2127"/>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2086" w:type="dxa"/>
            <w:vAlign w:val="center"/>
          </w:tcPr>
          <w:p>
            <w:pPr>
              <w:pStyle w:val="24"/>
              <w:spacing w:line="360" w:lineRule="auto"/>
              <w:ind w:firstLine="0" w:firstLineChars="0"/>
              <w:jc w:val="center"/>
              <w:rPr>
                <w:rFonts w:ascii="Times New Roman"/>
                <w:b/>
                <w:szCs w:val="21"/>
              </w:rPr>
            </w:pPr>
          </w:p>
        </w:tc>
        <w:tc>
          <w:tcPr>
            <w:tcW w:w="2408" w:type="dxa"/>
            <w:vAlign w:val="center"/>
          </w:tcPr>
          <w:p>
            <w:pPr>
              <w:pStyle w:val="24"/>
              <w:spacing w:line="360" w:lineRule="auto"/>
              <w:ind w:firstLine="0" w:firstLineChars="0"/>
              <w:jc w:val="center"/>
              <w:rPr>
                <w:rFonts w:ascii="Times New Roman"/>
                <w:b/>
                <w:szCs w:val="21"/>
              </w:rPr>
            </w:pPr>
            <w:r>
              <w:rPr>
                <w:rFonts w:hint="eastAsia" w:ascii="Times New Roman"/>
                <w:b/>
                <w:szCs w:val="21"/>
              </w:rPr>
              <w:t>内表面最高温度（℃）</w:t>
            </w:r>
          </w:p>
        </w:tc>
        <w:tc>
          <w:tcPr>
            <w:tcW w:w="2127" w:type="dxa"/>
            <w:vAlign w:val="center"/>
          </w:tcPr>
          <w:p>
            <w:pPr>
              <w:pStyle w:val="24"/>
              <w:spacing w:line="360" w:lineRule="auto"/>
              <w:ind w:firstLine="0" w:firstLineChars="0"/>
              <w:jc w:val="center"/>
              <w:rPr>
                <w:rFonts w:ascii="Times New Roman"/>
                <w:b/>
                <w:szCs w:val="21"/>
              </w:rPr>
            </w:pPr>
            <w:r>
              <w:rPr>
                <w:rFonts w:hint="eastAsia" w:ascii="Times New Roman"/>
                <w:b/>
                <w:szCs w:val="21"/>
              </w:rPr>
              <w:t>标准要求（℃）</w:t>
            </w:r>
          </w:p>
        </w:tc>
        <w:tc>
          <w:tcPr>
            <w:tcW w:w="1751" w:type="dxa"/>
            <w:vAlign w:val="center"/>
          </w:tcPr>
          <w:p>
            <w:pPr>
              <w:pStyle w:val="24"/>
              <w:spacing w:line="360" w:lineRule="auto"/>
              <w:ind w:firstLine="0" w:firstLineChars="0"/>
              <w:jc w:val="center"/>
              <w:rPr>
                <w:rFonts w:ascii="Times New Roman"/>
                <w:b/>
                <w:szCs w:val="21"/>
              </w:rPr>
            </w:pPr>
            <w:r>
              <w:rPr>
                <w:rFonts w:hint="eastAsia" w:ascii="Times New Roman"/>
                <w:b/>
                <w:szCs w:val="21"/>
              </w:rPr>
              <w:t>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2086" w:type="dxa"/>
            <w:vAlign w:val="center"/>
          </w:tcPr>
          <w:p>
            <w:pPr>
              <w:pStyle w:val="24"/>
              <w:spacing w:line="360" w:lineRule="auto"/>
              <w:ind w:firstLine="0" w:firstLineChars="0"/>
              <w:jc w:val="center"/>
              <w:rPr>
                <w:rFonts w:ascii="Times New Roman"/>
                <w:szCs w:val="21"/>
              </w:rPr>
            </w:pPr>
            <w:r>
              <w:rPr>
                <w:rFonts w:hint="eastAsia" w:ascii="Times New Roman"/>
                <w:szCs w:val="21"/>
              </w:rPr>
              <w:t>自然通风房间</w:t>
            </w:r>
          </w:p>
        </w:tc>
        <w:tc>
          <w:tcPr>
            <w:tcW w:w="2408" w:type="dxa"/>
            <w:vAlign w:val="center"/>
          </w:tcPr>
          <w:p>
            <w:pPr>
              <w:pStyle w:val="24"/>
              <w:spacing w:line="360" w:lineRule="auto"/>
              <w:ind w:firstLine="0" w:firstLineChars="0"/>
              <w:jc w:val="center"/>
              <w:rPr>
                <w:rFonts w:ascii="Times New Roman"/>
                <w:szCs w:val="21"/>
              </w:rPr>
            </w:pPr>
          </w:p>
        </w:tc>
        <w:tc>
          <w:tcPr>
            <w:tcW w:w="2127" w:type="dxa"/>
            <w:vAlign w:val="center"/>
          </w:tcPr>
          <w:p>
            <w:pPr>
              <w:pStyle w:val="24"/>
              <w:spacing w:line="360" w:lineRule="auto"/>
              <w:ind w:firstLine="0" w:firstLineChars="0"/>
              <w:jc w:val="center"/>
              <w:rPr>
                <w:rFonts w:ascii="Times New Roman"/>
                <w:szCs w:val="21"/>
              </w:rPr>
            </w:pPr>
          </w:p>
        </w:tc>
        <w:tc>
          <w:tcPr>
            <w:tcW w:w="1751"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2086" w:type="dxa"/>
            <w:vAlign w:val="center"/>
          </w:tcPr>
          <w:p>
            <w:pPr>
              <w:pStyle w:val="24"/>
              <w:spacing w:line="360" w:lineRule="auto"/>
              <w:ind w:firstLine="0" w:firstLineChars="0"/>
              <w:jc w:val="center"/>
              <w:rPr>
                <w:rFonts w:ascii="Times New Roman"/>
                <w:szCs w:val="21"/>
              </w:rPr>
            </w:pPr>
            <w:r>
              <w:rPr>
                <w:rFonts w:hint="eastAsia" w:ascii="Times New Roman"/>
                <w:szCs w:val="21"/>
              </w:rPr>
              <w:t>空调房间</w:t>
            </w:r>
          </w:p>
        </w:tc>
        <w:tc>
          <w:tcPr>
            <w:tcW w:w="2408" w:type="dxa"/>
            <w:vAlign w:val="center"/>
          </w:tcPr>
          <w:p>
            <w:pPr>
              <w:pStyle w:val="24"/>
              <w:spacing w:line="360" w:lineRule="auto"/>
              <w:ind w:firstLine="0" w:firstLineChars="0"/>
              <w:jc w:val="center"/>
              <w:rPr>
                <w:rFonts w:ascii="Times New Roman"/>
                <w:szCs w:val="21"/>
              </w:rPr>
            </w:pPr>
          </w:p>
        </w:tc>
        <w:tc>
          <w:tcPr>
            <w:tcW w:w="2127" w:type="dxa"/>
            <w:vAlign w:val="center"/>
          </w:tcPr>
          <w:p>
            <w:pPr>
              <w:pStyle w:val="24"/>
              <w:spacing w:line="360" w:lineRule="auto"/>
              <w:ind w:firstLine="0" w:firstLineChars="0"/>
              <w:jc w:val="center"/>
              <w:rPr>
                <w:rFonts w:ascii="Times New Roman"/>
                <w:szCs w:val="21"/>
              </w:rPr>
            </w:pPr>
          </w:p>
        </w:tc>
        <w:tc>
          <w:tcPr>
            <w:tcW w:w="1751" w:type="dxa"/>
            <w:vAlign w:val="center"/>
          </w:tcPr>
          <w:p>
            <w:pPr>
              <w:pStyle w:val="24"/>
              <w:spacing w:line="360" w:lineRule="auto"/>
              <w:ind w:firstLine="0" w:firstLineChars="0"/>
              <w:jc w:val="center"/>
              <w:rPr>
                <w:rFonts w:ascii="Times New Roman"/>
                <w:szCs w:val="21"/>
              </w:rPr>
            </w:pPr>
            <w:r>
              <w:rPr>
                <w:rFonts w:hint="eastAsia" w:ascii="Times New Roman"/>
                <w:szCs w:val="21"/>
              </w:rPr>
              <w:t>□</w:t>
            </w:r>
          </w:p>
        </w:tc>
      </w:tr>
    </w:tbl>
    <w:p>
      <w:pPr>
        <w:pStyle w:val="24"/>
        <w:numPr>
          <w:ilvl w:val="0"/>
          <w:numId w:val="3"/>
        </w:numPr>
        <w:spacing w:line="360" w:lineRule="auto"/>
        <w:ind w:firstLineChars="0"/>
        <w:rPr>
          <w:rFonts w:ascii="Times New Roman"/>
          <w:sz w:val="24"/>
        </w:rPr>
      </w:pPr>
      <w:r>
        <w:rPr>
          <w:rFonts w:hint="eastAsia" w:ascii="Times New Roman"/>
          <w:sz w:val="24"/>
        </w:rPr>
        <w:t>外窗可开启面积比例达到</w:t>
      </w:r>
      <w:r>
        <w:rPr>
          <w:rFonts w:hint="eastAsia" w:ascii="Times New Roman"/>
          <w:sz w:val="24"/>
          <w:u w:val="single"/>
        </w:rPr>
        <w:t xml:space="preserve">            </w:t>
      </w:r>
      <w:r>
        <w:rPr>
          <w:rFonts w:hint="eastAsia" w:ascii="Times New Roman"/>
          <w:sz w:val="24"/>
        </w:rPr>
        <w:t>≥30%，当采用玻璃幕墙时，玻璃幕墙可开启面积比例达到</w:t>
      </w:r>
      <w:r>
        <w:rPr>
          <w:rFonts w:hint="eastAsia" w:ascii="Times New Roman"/>
          <w:sz w:val="24"/>
          <w:u w:val="single"/>
        </w:rPr>
        <w:t xml:space="preserve">            </w:t>
      </w:r>
      <w:r>
        <w:rPr>
          <w:rFonts w:hint="eastAsia" w:ascii="Times New Roman"/>
          <w:sz w:val="24"/>
        </w:rPr>
        <w:t>≥5%，可见光反射比</w:t>
      </w:r>
      <w:r>
        <w:rPr>
          <w:rFonts w:hint="eastAsia" w:ascii="Times New Roman"/>
          <w:sz w:val="24"/>
          <w:u w:val="single"/>
        </w:rPr>
        <w:t xml:space="preserve">            </w:t>
      </w:r>
      <w:r>
        <w:rPr>
          <w:rFonts w:hint="eastAsia" w:ascii="Times New Roman"/>
          <w:sz w:val="24"/>
        </w:rPr>
        <w:t>≤0.2，详见</w:t>
      </w:r>
      <w:r>
        <w:rPr>
          <w:rFonts w:hint="eastAsia" w:ascii="Times New Roman"/>
          <w:sz w:val="24"/>
          <w:u w:val="single"/>
        </w:rPr>
        <w:t>《外窗/幕墙可开启面积比例计算书》</w:t>
      </w:r>
      <w:r>
        <w:rPr>
          <w:rFonts w:hint="eastAsia" w:ascii="Times New Roman"/>
          <w:sz w:val="24"/>
        </w:rPr>
        <w:t>。</w:t>
      </w:r>
    </w:p>
    <w:p>
      <w:pPr>
        <w:pStyle w:val="24"/>
        <w:numPr>
          <w:ilvl w:val="0"/>
          <w:numId w:val="3"/>
        </w:numPr>
        <w:spacing w:line="360" w:lineRule="auto"/>
        <w:ind w:firstLineChars="0"/>
        <w:rPr>
          <w:rFonts w:hint="eastAsia" w:ascii="Times New Roman"/>
          <w:sz w:val="24"/>
        </w:rPr>
      </w:pPr>
      <w:r>
        <w:rPr>
          <w:rFonts w:hint="eastAsia" w:ascii="Times New Roman"/>
          <w:sz w:val="24"/>
        </w:rPr>
        <w:t>有外窗的功能用房数不得少于房间总数的75%，详见</w:t>
      </w:r>
      <w:r>
        <w:rPr>
          <w:rFonts w:hint="eastAsia" w:ascii="Times New Roman"/>
          <w:sz w:val="24"/>
          <w:u w:val="single"/>
        </w:rPr>
        <w:t>《有外窗的功能用房比例计算书》</w:t>
      </w:r>
      <w:r>
        <w:rPr>
          <w:rFonts w:hint="eastAsia" w:ascii="Times New Roman"/>
          <w:sz w:val="24"/>
        </w:rPr>
        <w:t>。</w:t>
      </w:r>
    </w:p>
    <w:p>
      <w:pPr>
        <w:pStyle w:val="24"/>
        <w:spacing w:line="360" w:lineRule="auto"/>
        <w:ind w:left="150" w:firstLine="0" w:firstLineChars="0"/>
        <w:rPr>
          <w:rFonts w:hint="eastAsia" w:ascii="Times New Roman"/>
          <w:sz w:val="24"/>
        </w:rPr>
      </w:pPr>
      <w:r>
        <w:rPr>
          <w:rFonts w:hint="eastAsia" w:ascii="Times New Roman"/>
          <w:sz w:val="24"/>
        </w:rPr>
        <w:t>建筑功能房间数量：</w:t>
      </w:r>
      <w:r>
        <w:rPr>
          <w:rFonts w:hint="eastAsia" w:ascii="Times New Roman"/>
          <w:sz w:val="24"/>
          <w:u w:val="single"/>
        </w:rPr>
        <w:t xml:space="preserve">            </w:t>
      </w:r>
      <w:r>
        <w:rPr>
          <w:rFonts w:hint="eastAsia" w:ascii="Times New Roman"/>
          <w:sz w:val="24"/>
        </w:rPr>
        <w:t>；有外窗的功能房间数量：</w:t>
      </w:r>
      <w:r>
        <w:rPr>
          <w:rFonts w:hint="eastAsia" w:ascii="Times New Roman"/>
          <w:sz w:val="24"/>
          <w:u w:val="single"/>
        </w:rPr>
        <w:t xml:space="preserve">            </w:t>
      </w:r>
      <w:r>
        <w:rPr>
          <w:rFonts w:hint="eastAsia" w:ascii="Times New Roman"/>
          <w:sz w:val="24"/>
        </w:rPr>
        <w:t>；</w:t>
      </w:r>
    </w:p>
    <w:p>
      <w:pPr>
        <w:pStyle w:val="24"/>
        <w:spacing w:line="360" w:lineRule="auto"/>
        <w:ind w:left="150" w:firstLine="0" w:firstLineChars="0"/>
        <w:rPr>
          <w:rFonts w:hint="eastAsia" w:ascii="Times New Roman"/>
          <w:sz w:val="24"/>
        </w:rPr>
      </w:pPr>
      <w:r>
        <w:rPr>
          <w:rFonts w:hint="eastAsia" w:ascii="Times New Roman"/>
          <w:sz w:val="24"/>
        </w:rPr>
        <w:t>有外窗的房间比例为：</w:t>
      </w:r>
      <w:r>
        <w:rPr>
          <w:rFonts w:hint="eastAsia" w:ascii="Times New Roman"/>
          <w:sz w:val="24"/>
          <w:u w:val="single"/>
        </w:rPr>
        <w:t xml:space="preserve">            </w:t>
      </w:r>
      <w:r>
        <w:rPr>
          <w:rFonts w:hint="eastAsia" w:ascii="Times New Roman"/>
          <w:sz w:val="24"/>
        </w:rPr>
        <w:t>；（可按无外窗房间考虑的有地下室、KTV、酒吧、开敞大厅、设备用房、仓库、储藏间、管道井和功能要求可为暗室的房间）。</w:t>
      </w:r>
    </w:p>
    <w:p>
      <w:pPr>
        <w:pStyle w:val="24"/>
        <w:numPr>
          <w:ilvl w:val="0"/>
          <w:numId w:val="3"/>
        </w:numPr>
        <w:spacing w:line="360" w:lineRule="auto"/>
        <w:ind w:firstLineChars="0"/>
        <w:rPr>
          <w:rFonts w:ascii="Times New Roman"/>
          <w:sz w:val="24"/>
        </w:rPr>
      </w:pPr>
      <w:r>
        <w:rPr>
          <w:rFonts w:hint="eastAsia" w:ascii="Times New Roman"/>
          <w:sz w:val="24"/>
        </w:rPr>
        <w:t>充分利用天然光，符合现行国家标准《建筑采光设计标准》GB/T 50033的要求。</w:t>
      </w:r>
    </w:p>
    <w:p>
      <w:pPr>
        <w:spacing w:line="360" w:lineRule="auto"/>
        <w:ind w:left="142"/>
        <w:rPr>
          <w:rFonts w:ascii="Times New Roman"/>
          <w:sz w:val="24"/>
        </w:rPr>
      </w:pPr>
      <w:r>
        <w:rPr>
          <w:rFonts w:hint="eastAsia" w:ascii="Times New Roman"/>
          <w:b/>
          <w:sz w:val="24"/>
        </w:rPr>
        <w:t>□居住建筑</w:t>
      </w:r>
      <w:r>
        <w:rPr>
          <w:rFonts w:hint="eastAsia" w:ascii="Times New Roman"/>
          <w:sz w:val="24"/>
        </w:rPr>
        <w:t>：卧室、起居室的窗地比达到</w:t>
      </w:r>
      <w:r>
        <w:rPr>
          <w:rFonts w:hint="eastAsia" w:ascii="Times New Roman"/>
          <w:sz w:val="24"/>
          <w:u w:val="single"/>
        </w:rPr>
        <w:t xml:space="preserve">            </w:t>
      </w:r>
      <w:r>
        <w:rPr>
          <w:rFonts w:hint="eastAsia" w:ascii="Times New Roman"/>
          <w:sz w:val="24"/>
        </w:rPr>
        <w:t>≥1/6，详见</w:t>
      </w:r>
      <w:r>
        <w:rPr>
          <w:rFonts w:hint="eastAsia" w:ascii="Times New Roman"/>
          <w:sz w:val="24"/>
          <w:u w:val="single"/>
        </w:rPr>
        <w:t>《窗地面积比计算书》</w:t>
      </w:r>
      <w:r>
        <w:rPr>
          <w:rFonts w:hint="eastAsia" w:ascii="Times New Roman"/>
          <w:sz w:val="24"/>
        </w:rPr>
        <w:t>。</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1704" w:type="dxa"/>
            <w:vMerge w:val="restart"/>
            <w:vAlign w:val="center"/>
          </w:tcPr>
          <w:p>
            <w:pPr>
              <w:pStyle w:val="24"/>
              <w:spacing w:line="360" w:lineRule="auto"/>
              <w:ind w:firstLine="0" w:firstLineChars="0"/>
              <w:jc w:val="center"/>
              <w:rPr>
                <w:rFonts w:ascii="Times New Roman"/>
                <w:b/>
                <w:szCs w:val="21"/>
              </w:rPr>
            </w:pPr>
            <w:r>
              <w:rPr>
                <w:rFonts w:hint="eastAsia" w:ascii="Times New Roman"/>
                <w:b/>
                <w:szCs w:val="21"/>
              </w:rPr>
              <w:t>房间类型</w:t>
            </w:r>
          </w:p>
        </w:tc>
        <w:tc>
          <w:tcPr>
            <w:tcW w:w="1704" w:type="dxa"/>
            <w:vMerge w:val="restart"/>
            <w:vAlign w:val="center"/>
          </w:tcPr>
          <w:p>
            <w:pPr>
              <w:pStyle w:val="24"/>
              <w:spacing w:line="360" w:lineRule="auto"/>
              <w:ind w:firstLine="0" w:firstLineChars="0"/>
              <w:jc w:val="center"/>
              <w:rPr>
                <w:rFonts w:ascii="Times New Roman"/>
                <w:b/>
                <w:szCs w:val="21"/>
              </w:rPr>
            </w:pPr>
            <w:r>
              <w:rPr>
                <w:rFonts w:hint="eastAsia" w:ascii="Times New Roman"/>
                <w:b/>
                <w:szCs w:val="21"/>
              </w:rPr>
              <w:t>采光等级</w:t>
            </w:r>
          </w:p>
        </w:tc>
        <w:tc>
          <w:tcPr>
            <w:tcW w:w="1704" w:type="dxa"/>
            <w:vMerge w:val="restart"/>
            <w:vAlign w:val="center"/>
          </w:tcPr>
          <w:p>
            <w:pPr>
              <w:pStyle w:val="24"/>
              <w:spacing w:line="360" w:lineRule="auto"/>
              <w:ind w:firstLine="0" w:firstLineChars="0"/>
              <w:jc w:val="center"/>
              <w:rPr>
                <w:rFonts w:ascii="Times New Roman"/>
                <w:b/>
                <w:szCs w:val="21"/>
              </w:rPr>
            </w:pPr>
            <w:r>
              <w:rPr>
                <w:rFonts w:hint="eastAsia" w:ascii="Times New Roman"/>
                <w:b/>
                <w:szCs w:val="21"/>
              </w:rPr>
              <w:t>外窗类型</w:t>
            </w:r>
          </w:p>
        </w:tc>
        <w:tc>
          <w:tcPr>
            <w:tcW w:w="3410" w:type="dxa"/>
            <w:gridSpan w:val="2"/>
            <w:vAlign w:val="center"/>
          </w:tcPr>
          <w:p>
            <w:pPr>
              <w:pStyle w:val="24"/>
              <w:spacing w:line="360" w:lineRule="auto"/>
              <w:ind w:firstLine="0" w:firstLineChars="0"/>
              <w:jc w:val="center"/>
              <w:rPr>
                <w:rFonts w:ascii="Times New Roman"/>
                <w:b/>
                <w:szCs w:val="21"/>
              </w:rPr>
            </w:pPr>
            <w:r>
              <w:rPr>
                <w:rFonts w:hint="eastAsia" w:ascii="Times New Roman"/>
                <w:b/>
                <w:szCs w:val="21"/>
              </w:rPr>
              <w:t>窗地面积比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1704" w:type="dxa"/>
            <w:vMerge w:val="continue"/>
            <w:vAlign w:val="center"/>
          </w:tcPr>
          <w:p>
            <w:pPr>
              <w:pStyle w:val="24"/>
              <w:spacing w:line="360" w:lineRule="auto"/>
              <w:ind w:firstLine="0" w:firstLineChars="0"/>
              <w:jc w:val="center"/>
              <w:rPr>
                <w:rFonts w:ascii="Times New Roman"/>
                <w:b/>
                <w:szCs w:val="21"/>
              </w:rPr>
            </w:pPr>
          </w:p>
        </w:tc>
        <w:tc>
          <w:tcPr>
            <w:tcW w:w="1704" w:type="dxa"/>
            <w:vMerge w:val="continue"/>
            <w:vAlign w:val="center"/>
          </w:tcPr>
          <w:p>
            <w:pPr>
              <w:pStyle w:val="24"/>
              <w:spacing w:line="360" w:lineRule="auto"/>
              <w:ind w:firstLine="0" w:firstLineChars="0"/>
              <w:jc w:val="center"/>
              <w:rPr>
                <w:rFonts w:ascii="Times New Roman"/>
                <w:b/>
                <w:szCs w:val="21"/>
              </w:rPr>
            </w:pPr>
          </w:p>
        </w:tc>
        <w:tc>
          <w:tcPr>
            <w:tcW w:w="1704" w:type="dxa"/>
            <w:vMerge w:val="continue"/>
            <w:vAlign w:val="center"/>
          </w:tcPr>
          <w:p>
            <w:pPr>
              <w:pStyle w:val="24"/>
              <w:spacing w:line="360" w:lineRule="auto"/>
              <w:ind w:firstLine="0" w:firstLineChars="0"/>
              <w:jc w:val="center"/>
              <w:rPr>
                <w:rFonts w:ascii="Times New Roman"/>
                <w:b/>
                <w:szCs w:val="21"/>
              </w:rPr>
            </w:pPr>
          </w:p>
        </w:tc>
        <w:tc>
          <w:tcPr>
            <w:tcW w:w="1705" w:type="dxa"/>
            <w:vAlign w:val="center"/>
          </w:tcPr>
          <w:p>
            <w:pPr>
              <w:pStyle w:val="24"/>
              <w:spacing w:line="360" w:lineRule="auto"/>
              <w:ind w:firstLine="0" w:firstLineChars="0"/>
              <w:jc w:val="center"/>
              <w:rPr>
                <w:rFonts w:ascii="Times New Roman"/>
                <w:b/>
                <w:szCs w:val="21"/>
              </w:rPr>
            </w:pPr>
            <w:r>
              <w:rPr>
                <w:rFonts w:hint="eastAsia" w:ascii="Times New Roman"/>
                <w:b/>
                <w:szCs w:val="21"/>
              </w:rPr>
              <w:t>实际值</w:t>
            </w:r>
          </w:p>
        </w:tc>
        <w:tc>
          <w:tcPr>
            <w:tcW w:w="1705" w:type="dxa"/>
            <w:vAlign w:val="center"/>
          </w:tcPr>
          <w:p>
            <w:pPr>
              <w:pStyle w:val="24"/>
              <w:spacing w:line="360" w:lineRule="auto"/>
              <w:ind w:firstLine="0" w:firstLineChars="0"/>
              <w:jc w:val="center"/>
              <w:rPr>
                <w:rFonts w:ascii="Times New Roman"/>
                <w:b/>
                <w:szCs w:val="21"/>
              </w:rPr>
            </w:pPr>
            <w:r>
              <w:rPr>
                <w:rFonts w:hint="eastAsia" w:ascii="Times New Roman"/>
                <w:b/>
                <w:szCs w:val="21"/>
              </w:rPr>
              <w:t>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1704" w:type="dxa"/>
            <w:vAlign w:val="center"/>
          </w:tcPr>
          <w:p>
            <w:pPr>
              <w:pStyle w:val="24"/>
              <w:spacing w:line="360" w:lineRule="auto"/>
              <w:ind w:firstLine="0" w:firstLineChars="0"/>
              <w:jc w:val="center"/>
              <w:rPr>
                <w:rFonts w:ascii="Times New Roman"/>
                <w:szCs w:val="21"/>
              </w:rPr>
            </w:pPr>
          </w:p>
        </w:tc>
        <w:tc>
          <w:tcPr>
            <w:tcW w:w="1704" w:type="dxa"/>
            <w:vAlign w:val="center"/>
          </w:tcPr>
          <w:p>
            <w:pPr>
              <w:pStyle w:val="24"/>
              <w:spacing w:line="360" w:lineRule="auto"/>
              <w:ind w:firstLine="0" w:firstLineChars="0"/>
              <w:jc w:val="center"/>
              <w:rPr>
                <w:rFonts w:ascii="Times New Roman"/>
                <w:szCs w:val="21"/>
              </w:rPr>
            </w:pPr>
          </w:p>
        </w:tc>
        <w:tc>
          <w:tcPr>
            <w:tcW w:w="1704" w:type="dxa"/>
            <w:vAlign w:val="center"/>
          </w:tcPr>
          <w:p>
            <w:pPr>
              <w:pStyle w:val="24"/>
              <w:spacing w:line="360" w:lineRule="auto"/>
              <w:ind w:firstLine="0" w:firstLineChars="0"/>
              <w:jc w:val="center"/>
              <w:rPr>
                <w:rFonts w:ascii="Times New Roman"/>
                <w:szCs w:val="21"/>
              </w:rPr>
            </w:pPr>
          </w:p>
        </w:tc>
        <w:tc>
          <w:tcPr>
            <w:tcW w:w="1705" w:type="dxa"/>
            <w:vAlign w:val="center"/>
          </w:tcPr>
          <w:p>
            <w:pPr>
              <w:pStyle w:val="24"/>
              <w:spacing w:line="360" w:lineRule="auto"/>
              <w:ind w:firstLine="0" w:firstLineChars="0"/>
              <w:jc w:val="center"/>
              <w:rPr>
                <w:rFonts w:ascii="Times New Roman"/>
                <w:szCs w:val="21"/>
              </w:rPr>
            </w:pPr>
          </w:p>
        </w:tc>
        <w:tc>
          <w:tcPr>
            <w:tcW w:w="1705" w:type="dxa"/>
            <w:vAlign w:val="center"/>
          </w:tcPr>
          <w:p>
            <w:pPr>
              <w:pStyle w:val="24"/>
              <w:spacing w:line="360" w:lineRule="auto"/>
              <w:ind w:firstLine="0" w:firstLineChars="0"/>
              <w:jc w:val="center"/>
              <w:rPr>
                <w:rFonts w:ascii="Times New Roman"/>
                <w:szCs w:val="21"/>
              </w:rPr>
            </w:pPr>
            <w:r>
              <w:rPr>
                <w:rFonts w:hint="eastAsia" w:ascii="Times New Roman"/>
                <w:sz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1704" w:type="dxa"/>
            <w:vAlign w:val="center"/>
          </w:tcPr>
          <w:p>
            <w:pPr>
              <w:pStyle w:val="24"/>
              <w:spacing w:line="360" w:lineRule="auto"/>
              <w:ind w:firstLine="0" w:firstLineChars="0"/>
              <w:jc w:val="center"/>
              <w:rPr>
                <w:rFonts w:ascii="Times New Roman"/>
                <w:szCs w:val="21"/>
              </w:rPr>
            </w:pPr>
          </w:p>
        </w:tc>
        <w:tc>
          <w:tcPr>
            <w:tcW w:w="1704" w:type="dxa"/>
            <w:vAlign w:val="center"/>
          </w:tcPr>
          <w:p>
            <w:pPr>
              <w:pStyle w:val="24"/>
              <w:spacing w:line="360" w:lineRule="auto"/>
              <w:ind w:firstLine="0" w:firstLineChars="0"/>
              <w:jc w:val="center"/>
              <w:rPr>
                <w:rFonts w:ascii="Times New Roman"/>
                <w:szCs w:val="21"/>
              </w:rPr>
            </w:pPr>
          </w:p>
        </w:tc>
        <w:tc>
          <w:tcPr>
            <w:tcW w:w="1704" w:type="dxa"/>
            <w:vAlign w:val="center"/>
          </w:tcPr>
          <w:p>
            <w:pPr>
              <w:pStyle w:val="24"/>
              <w:spacing w:line="360" w:lineRule="auto"/>
              <w:ind w:firstLine="0" w:firstLineChars="0"/>
              <w:jc w:val="center"/>
              <w:rPr>
                <w:rFonts w:ascii="Times New Roman"/>
                <w:szCs w:val="21"/>
              </w:rPr>
            </w:pPr>
          </w:p>
        </w:tc>
        <w:tc>
          <w:tcPr>
            <w:tcW w:w="1705" w:type="dxa"/>
            <w:vAlign w:val="center"/>
          </w:tcPr>
          <w:p>
            <w:pPr>
              <w:pStyle w:val="24"/>
              <w:spacing w:line="360" w:lineRule="auto"/>
              <w:ind w:firstLine="0" w:firstLineChars="0"/>
              <w:jc w:val="center"/>
              <w:rPr>
                <w:rFonts w:ascii="Times New Roman"/>
                <w:szCs w:val="21"/>
              </w:rPr>
            </w:pPr>
          </w:p>
        </w:tc>
        <w:tc>
          <w:tcPr>
            <w:tcW w:w="1705" w:type="dxa"/>
            <w:vAlign w:val="center"/>
          </w:tcPr>
          <w:p>
            <w:pPr>
              <w:pStyle w:val="24"/>
              <w:spacing w:line="360" w:lineRule="auto"/>
              <w:ind w:firstLine="0" w:firstLineChars="0"/>
              <w:jc w:val="center"/>
              <w:rPr>
                <w:rFonts w:ascii="Times New Roman"/>
                <w:szCs w:val="21"/>
              </w:rPr>
            </w:pPr>
            <w:r>
              <w:rPr>
                <w:rFonts w:hint="eastAsia" w:ascii="Times New Roman"/>
                <w:sz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1704" w:type="dxa"/>
            <w:vAlign w:val="center"/>
          </w:tcPr>
          <w:p>
            <w:pPr>
              <w:pStyle w:val="24"/>
              <w:spacing w:line="360" w:lineRule="auto"/>
              <w:ind w:firstLine="0" w:firstLineChars="0"/>
              <w:jc w:val="center"/>
              <w:rPr>
                <w:rFonts w:ascii="Times New Roman"/>
                <w:szCs w:val="21"/>
              </w:rPr>
            </w:pPr>
          </w:p>
        </w:tc>
        <w:tc>
          <w:tcPr>
            <w:tcW w:w="1704" w:type="dxa"/>
            <w:vAlign w:val="center"/>
          </w:tcPr>
          <w:p>
            <w:pPr>
              <w:pStyle w:val="24"/>
              <w:spacing w:line="360" w:lineRule="auto"/>
              <w:ind w:firstLine="0" w:firstLineChars="0"/>
              <w:jc w:val="center"/>
              <w:rPr>
                <w:rFonts w:ascii="Times New Roman"/>
                <w:szCs w:val="21"/>
              </w:rPr>
            </w:pPr>
          </w:p>
        </w:tc>
        <w:tc>
          <w:tcPr>
            <w:tcW w:w="1704" w:type="dxa"/>
            <w:vAlign w:val="center"/>
          </w:tcPr>
          <w:p>
            <w:pPr>
              <w:pStyle w:val="24"/>
              <w:spacing w:line="360" w:lineRule="auto"/>
              <w:ind w:firstLine="0" w:firstLineChars="0"/>
              <w:jc w:val="center"/>
              <w:rPr>
                <w:rFonts w:ascii="Times New Roman"/>
                <w:szCs w:val="21"/>
              </w:rPr>
            </w:pPr>
          </w:p>
        </w:tc>
        <w:tc>
          <w:tcPr>
            <w:tcW w:w="1705" w:type="dxa"/>
            <w:vAlign w:val="center"/>
          </w:tcPr>
          <w:p>
            <w:pPr>
              <w:pStyle w:val="24"/>
              <w:spacing w:line="360" w:lineRule="auto"/>
              <w:ind w:firstLine="0" w:firstLineChars="0"/>
              <w:jc w:val="center"/>
              <w:rPr>
                <w:rFonts w:ascii="Times New Roman"/>
                <w:szCs w:val="21"/>
              </w:rPr>
            </w:pPr>
          </w:p>
        </w:tc>
        <w:tc>
          <w:tcPr>
            <w:tcW w:w="1705" w:type="dxa"/>
            <w:vAlign w:val="center"/>
          </w:tcPr>
          <w:p>
            <w:pPr>
              <w:pStyle w:val="24"/>
              <w:spacing w:line="360" w:lineRule="auto"/>
              <w:ind w:firstLine="0" w:firstLineChars="0"/>
              <w:jc w:val="center"/>
              <w:rPr>
                <w:rFonts w:ascii="Times New Roman"/>
                <w:szCs w:val="21"/>
              </w:rPr>
            </w:pPr>
            <w:r>
              <w:rPr>
                <w:rFonts w:hint="eastAsia" w:ascii="Times New Roman"/>
                <w:sz w:val="24"/>
              </w:rPr>
              <w:t>1/6</w:t>
            </w:r>
          </w:p>
        </w:tc>
      </w:tr>
    </w:tbl>
    <w:p>
      <w:pPr>
        <w:spacing w:line="360" w:lineRule="auto"/>
        <w:ind w:left="142"/>
        <w:rPr>
          <w:rFonts w:ascii="Times New Roman"/>
          <w:sz w:val="24"/>
        </w:rPr>
      </w:pPr>
      <w:r>
        <w:rPr>
          <w:rFonts w:hint="eastAsia" w:ascii="Times New Roman"/>
          <w:b/>
          <w:sz w:val="24"/>
        </w:rPr>
        <w:t>□公共建筑</w:t>
      </w:r>
      <w:r>
        <w:rPr>
          <w:rFonts w:hint="eastAsia" w:ascii="Times New Roman"/>
          <w:sz w:val="24"/>
        </w:rPr>
        <w:t>：主要功能房间采光系数达标比例达到</w:t>
      </w:r>
      <w:r>
        <w:rPr>
          <w:rFonts w:hint="eastAsia" w:ascii="Times New Roman"/>
          <w:sz w:val="24"/>
          <w:u w:val="single"/>
        </w:rPr>
        <w:t xml:space="preserve">            </w:t>
      </w:r>
      <w:r>
        <w:rPr>
          <w:rFonts w:hint="eastAsia" w:ascii="Times New Roman"/>
          <w:sz w:val="24"/>
        </w:rPr>
        <w:t>≥50%，详见</w:t>
      </w:r>
      <w:r>
        <w:rPr>
          <w:rFonts w:hint="eastAsia" w:ascii="Times New Roman"/>
          <w:sz w:val="24"/>
          <w:u w:val="single"/>
        </w:rPr>
        <w:t>《室内自然采光模拟分析报告》</w:t>
      </w:r>
      <w:r>
        <w:rPr>
          <w:rFonts w:hint="eastAsia" w:ascii="Times New Roman"/>
          <w:sz w:val="24"/>
        </w:rPr>
        <w:t>。</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2548"/>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b/>
                <w:szCs w:val="21"/>
              </w:rPr>
            </w:pPr>
            <w:r>
              <w:rPr>
                <w:rFonts w:hint="eastAsia" w:ascii="Times New Roman"/>
                <w:b/>
                <w:szCs w:val="21"/>
              </w:rPr>
              <w:t>分析区域</w:t>
            </w:r>
          </w:p>
        </w:tc>
        <w:tc>
          <w:tcPr>
            <w:tcW w:w="2548" w:type="dxa"/>
          </w:tcPr>
          <w:p>
            <w:pPr>
              <w:pStyle w:val="24"/>
              <w:spacing w:line="360" w:lineRule="auto"/>
              <w:ind w:firstLine="0" w:firstLineChars="0"/>
              <w:jc w:val="center"/>
              <w:rPr>
                <w:rFonts w:ascii="Times New Roman"/>
                <w:b/>
                <w:szCs w:val="21"/>
              </w:rPr>
            </w:pPr>
            <w:r>
              <w:rPr>
                <w:rFonts w:hint="eastAsia" w:ascii="Times New Roman"/>
                <w:b/>
                <w:szCs w:val="21"/>
              </w:rPr>
              <w:t>主要功能空间面积（m</w:t>
            </w:r>
            <w:r>
              <w:rPr>
                <w:rFonts w:hint="eastAsia" w:ascii="Times New Roman"/>
                <w:b/>
                <w:szCs w:val="21"/>
                <w:vertAlign w:val="superscript"/>
              </w:rPr>
              <w:t>2</w:t>
            </w:r>
            <w:r>
              <w:rPr>
                <w:rFonts w:hint="eastAsia" w:ascii="Times New Roman"/>
                <w:b/>
                <w:szCs w:val="21"/>
              </w:rPr>
              <w:t>）</w:t>
            </w:r>
          </w:p>
        </w:tc>
        <w:tc>
          <w:tcPr>
            <w:tcW w:w="2131" w:type="dxa"/>
          </w:tcPr>
          <w:p>
            <w:pPr>
              <w:pStyle w:val="24"/>
              <w:spacing w:line="360" w:lineRule="auto"/>
              <w:ind w:firstLine="0" w:firstLineChars="0"/>
              <w:jc w:val="center"/>
              <w:rPr>
                <w:rFonts w:ascii="Times New Roman"/>
                <w:b/>
                <w:szCs w:val="21"/>
              </w:rPr>
            </w:pPr>
            <w:r>
              <w:rPr>
                <w:rFonts w:hint="eastAsia" w:ascii="Times New Roman"/>
                <w:b/>
                <w:szCs w:val="21"/>
              </w:rPr>
              <w:t>达标面积（m</w:t>
            </w:r>
            <w:r>
              <w:rPr>
                <w:rFonts w:hint="eastAsia" w:ascii="Times New Roman"/>
                <w:b/>
                <w:szCs w:val="21"/>
                <w:vertAlign w:val="superscript"/>
              </w:rPr>
              <w:t>2</w:t>
            </w:r>
            <w:r>
              <w:rPr>
                <w:rFonts w:hint="eastAsia" w:ascii="Times New Roman"/>
                <w:b/>
                <w:szCs w:val="21"/>
              </w:rPr>
              <w:t>）</w:t>
            </w:r>
          </w:p>
        </w:tc>
        <w:tc>
          <w:tcPr>
            <w:tcW w:w="2131" w:type="dxa"/>
          </w:tcPr>
          <w:p>
            <w:pPr>
              <w:pStyle w:val="24"/>
              <w:spacing w:line="360" w:lineRule="auto"/>
              <w:ind w:firstLine="0" w:firstLineChars="0"/>
              <w:jc w:val="center"/>
              <w:rPr>
                <w:rFonts w:ascii="Times New Roman"/>
                <w:b/>
                <w:szCs w:val="21"/>
              </w:rPr>
            </w:pPr>
            <w:r>
              <w:rPr>
                <w:rFonts w:hint="eastAsia" w:ascii="Times New Roman"/>
                <w:b/>
                <w:szCs w:val="21"/>
              </w:rPr>
              <w:t>采光达标比例（%）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szCs w:val="21"/>
              </w:rPr>
            </w:pPr>
          </w:p>
        </w:tc>
        <w:tc>
          <w:tcPr>
            <w:tcW w:w="2548"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szCs w:val="21"/>
              </w:rPr>
            </w:pPr>
          </w:p>
        </w:tc>
        <w:tc>
          <w:tcPr>
            <w:tcW w:w="2548"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szCs w:val="21"/>
              </w:rPr>
            </w:pPr>
          </w:p>
        </w:tc>
        <w:tc>
          <w:tcPr>
            <w:tcW w:w="2548"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r>
    </w:tbl>
    <w:p>
      <w:pPr>
        <w:pStyle w:val="24"/>
        <w:numPr>
          <w:ilvl w:val="0"/>
          <w:numId w:val="3"/>
        </w:numPr>
        <w:spacing w:line="360" w:lineRule="auto"/>
        <w:ind w:firstLineChars="0"/>
        <w:rPr>
          <w:rFonts w:ascii="Times New Roman"/>
          <w:sz w:val="24"/>
        </w:rPr>
      </w:pPr>
      <w:r>
        <w:rPr>
          <w:rFonts w:hint="eastAsia" w:ascii="Times New Roman"/>
          <w:sz w:val="24"/>
        </w:rPr>
        <w:t>优化建筑空间、平面布局和构造设计，改善自然通风效果。</w:t>
      </w:r>
    </w:p>
    <w:p>
      <w:pPr>
        <w:spacing w:line="360" w:lineRule="auto"/>
        <w:ind w:left="142"/>
        <w:rPr>
          <w:rFonts w:ascii="Times New Roman"/>
          <w:sz w:val="24"/>
        </w:rPr>
      </w:pPr>
      <w:r>
        <w:rPr>
          <w:rFonts w:hint="eastAsia" w:ascii="Times New Roman"/>
          <w:b/>
          <w:sz w:val="24"/>
        </w:rPr>
        <w:t>□居住建筑</w:t>
      </w:r>
      <w:r>
        <w:rPr>
          <w:rFonts w:hint="eastAsia" w:ascii="Times New Roman"/>
          <w:sz w:val="24"/>
        </w:rPr>
        <w:t>：设有明卫明厨且主要功能房间的通风开口面积与房间地板面积的比例达到</w:t>
      </w:r>
      <w:r>
        <w:rPr>
          <w:rFonts w:hint="eastAsia" w:ascii="Times New Roman"/>
          <w:sz w:val="24"/>
          <w:u w:val="single"/>
        </w:rPr>
        <w:t xml:space="preserve">            </w:t>
      </w:r>
      <w:r>
        <w:rPr>
          <w:rFonts w:hint="eastAsia" w:ascii="Times New Roman"/>
          <w:sz w:val="24"/>
        </w:rPr>
        <w:t>≥8%，详见</w:t>
      </w:r>
      <w:r>
        <w:rPr>
          <w:rFonts w:hint="eastAsia" w:ascii="Times New Roman"/>
          <w:sz w:val="24"/>
          <w:u w:val="single"/>
        </w:rPr>
        <w:t>《房间通风开口面积与地板面积比例计算书》</w:t>
      </w:r>
      <w:r>
        <w:rPr>
          <w:rFonts w:hint="eastAsia" w:ascii="Times New Roman"/>
          <w:sz w:val="24"/>
        </w:rPr>
        <w:t>。</w:t>
      </w:r>
    </w:p>
    <w:tbl>
      <w:tblPr>
        <w:tblStyle w:val="16"/>
        <w:tblW w:w="69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3389"/>
        <w:gridCol w:w="1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66" w:type="dxa"/>
            <w:vAlign w:val="center"/>
          </w:tcPr>
          <w:p>
            <w:pPr>
              <w:pStyle w:val="24"/>
              <w:spacing w:line="360" w:lineRule="auto"/>
              <w:ind w:firstLine="0" w:firstLineChars="0"/>
              <w:jc w:val="center"/>
              <w:rPr>
                <w:rFonts w:ascii="Times New Roman"/>
                <w:b/>
                <w:szCs w:val="21"/>
              </w:rPr>
            </w:pPr>
            <w:r>
              <w:rPr>
                <w:rFonts w:hint="eastAsia" w:ascii="Times New Roman"/>
                <w:b/>
                <w:szCs w:val="21"/>
              </w:rPr>
              <w:t>房间类型</w:t>
            </w:r>
          </w:p>
        </w:tc>
        <w:tc>
          <w:tcPr>
            <w:tcW w:w="3389" w:type="dxa"/>
            <w:vAlign w:val="center"/>
          </w:tcPr>
          <w:p>
            <w:pPr>
              <w:pStyle w:val="24"/>
              <w:spacing w:line="360" w:lineRule="auto"/>
              <w:ind w:firstLine="0" w:firstLineChars="0"/>
              <w:jc w:val="center"/>
              <w:rPr>
                <w:rFonts w:ascii="Times New Roman"/>
                <w:b/>
                <w:szCs w:val="21"/>
              </w:rPr>
            </w:pPr>
            <w:r>
              <w:rPr>
                <w:rFonts w:hint="eastAsia" w:ascii="Times New Roman"/>
                <w:b/>
                <w:szCs w:val="21"/>
              </w:rPr>
              <w:t>通风开口面积与房间地板面积比</w:t>
            </w:r>
          </w:p>
        </w:tc>
        <w:tc>
          <w:tcPr>
            <w:tcW w:w="1870" w:type="dxa"/>
            <w:vAlign w:val="center"/>
          </w:tcPr>
          <w:p>
            <w:pPr>
              <w:pStyle w:val="24"/>
              <w:spacing w:line="360" w:lineRule="auto"/>
              <w:ind w:firstLine="0" w:firstLineChars="0"/>
              <w:jc w:val="center"/>
              <w:rPr>
                <w:rFonts w:ascii="Times New Roman"/>
                <w:b/>
                <w:szCs w:val="21"/>
              </w:rPr>
            </w:pPr>
            <w:r>
              <w:rPr>
                <w:rFonts w:hint="eastAsia" w:ascii="Times New Roman"/>
                <w:b/>
                <w:szCs w:val="21"/>
              </w:rPr>
              <w:t>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66" w:type="dxa"/>
            <w:vAlign w:val="center"/>
          </w:tcPr>
          <w:p>
            <w:pPr>
              <w:pStyle w:val="24"/>
              <w:spacing w:line="360" w:lineRule="auto"/>
              <w:ind w:firstLine="0" w:firstLineChars="0"/>
              <w:jc w:val="center"/>
              <w:rPr>
                <w:rFonts w:ascii="Times New Roman"/>
                <w:b/>
                <w:szCs w:val="21"/>
              </w:rPr>
            </w:pPr>
          </w:p>
        </w:tc>
        <w:tc>
          <w:tcPr>
            <w:tcW w:w="3389" w:type="dxa"/>
            <w:vAlign w:val="center"/>
          </w:tcPr>
          <w:p>
            <w:pPr>
              <w:pStyle w:val="24"/>
              <w:spacing w:line="360" w:lineRule="auto"/>
              <w:ind w:firstLine="0" w:firstLineChars="0"/>
              <w:jc w:val="center"/>
              <w:rPr>
                <w:rFonts w:ascii="Times New Roman"/>
                <w:b/>
                <w:szCs w:val="21"/>
              </w:rPr>
            </w:pPr>
          </w:p>
        </w:tc>
        <w:tc>
          <w:tcPr>
            <w:tcW w:w="1870" w:type="dxa"/>
            <w:vAlign w:val="center"/>
          </w:tcPr>
          <w:p>
            <w:pPr>
              <w:pStyle w:val="24"/>
              <w:spacing w:line="360" w:lineRule="auto"/>
              <w:ind w:firstLine="0" w:firstLineChars="0"/>
              <w:jc w:val="center"/>
              <w:rPr>
                <w:rFonts w:ascii="Times New Roman"/>
                <w:b/>
                <w:szCs w:val="21"/>
              </w:rPr>
            </w:pPr>
            <w:r>
              <w:rPr>
                <w:rFonts w:hint="eastAsia" w:asci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66" w:type="dxa"/>
            <w:vAlign w:val="center"/>
          </w:tcPr>
          <w:p>
            <w:pPr>
              <w:pStyle w:val="24"/>
              <w:spacing w:line="360" w:lineRule="auto"/>
              <w:ind w:firstLine="0" w:firstLineChars="0"/>
              <w:jc w:val="center"/>
              <w:rPr>
                <w:rFonts w:ascii="Times New Roman"/>
                <w:b/>
                <w:szCs w:val="21"/>
              </w:rPr>
            </w:pPr>
          </w:p>
        </w:tc>
        <w:tc>
          <w:tcPr>
            <w:tcW w:w="3389" w:type="dxa"/>
            <w:vAlign w:val="center"/>
          </w:tcPr>
          <w:p>
            <w:pPr>
              <w:pStyle w:val="24"/>
              <w:spacing w:line="360" w:lineRule="auto"/>
              <w:ind w:firstLine="0" w:firstLineChars="0"/>
              <w:jc w:val="center"/>
              <w:rPr>
                <w:rFonts w:ascii="Times New Roman"/>
                <w:b/>
                <w:szCs w:val="21"/>
              </w:rPr>
            </w:pPr>
          </w:p>
        </w:tc>
        <w:tc>
          <w:tcPr>
            <w:tcW w:w="1870" w:type="dxa"/>
            <w:vAlign w:val="center"/>
          </w:tcPr>
          <w:p>
            <w:pPr>
              <w:pStyle w:val="24"/>
              <w:spacing w:line="360" w:lineRule="auto"/>
              <w:ind w:firstLine="0" w:firstLineChars="0"/>
              <w:jc w:val="center"/>
              <w:rPr>
                <w:rFonts w:ascii="Times New Roman"/>
                <w:b/>
                <w:szCs w:val="21"/>
              </w:rPr>
            </w:pPr>
            <w:r>
              <w:rPr>
                <w:rFonts w:hint="eastAsia" w:asci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66" w:type="dxa"/>
            <w:vAlign w:val="center"/>
          </w:tcPr>
          <w:p>
            <w:pPr>
              <w:pStyle w:val="24"/>
              <w:spacing w:line="360" w:lineRule="auto"/>
              <w:ind w:firstLine="0" w:firstLineChars="0"/>
              <w:jc w:val="center"/>
              <w:rPr>
                <w:rFonts w:ascii="Times New Roman"/>
                <w:b/>
                <w:szCs w:val="21"/>
              </w:rPr>
            </w:pPr>
          </w:p>
        </w:tc>
        <w:tc>
          <w:tcPr>
            <w:tcW w:w="3389" w:type="dxa"/>
            <w:vAlign w:val="center"/>
          </w:tcPr>
          <w:p>
            <w:pPr>
              <w:pStyle w:val="24"/>
              <w:spacing w:line="360" w:lineRule="auto"/>
              <w:ind w:firstLine="0" w:firstLineChars="0"/>
              <w:jc w:val="center"/>
              <w:rPr>
                <w:rFonts w:ascii="Times New Roman"/>
                <w:b/>
                <w:szCs w:val="21"/>
              </w:rPr>
            </w:pPr>
          </w:p>
        </w:tc>
        <w:tc>
          <w:tcPr>
            <w:tcW w:w="1870" w:type="dxa"/>
            <w:vAlign w:val="center"/>
          </w:tcPr>
          <w:p>
            <w:pPr>
              <w:pStyle w:val="24"/>
              <w:spacing w:line="360" w:lineRule="auto"/>
              <w:ind w:firstLine="0" w:firstLineChars="0"/>
              <w:jc w:val="center"/>
              <w:rPr>
                <w:rFonts w:ascii="Times New Roman"/>
                <w:b/>
                <w:szCs w:val="21"/>
              </w:rPr>
            </w:pPr>
            <w:r>
              <w:rPr>
                <w:rFonts w:hint="eastAsia" w:ascii="Times New Roman"/>
                <w:szCs w:val="21"/>
              </w:rPr>
              <w:t>□</w:t>
            </w:r>
          </w:p>
        </w:tc>
      </w:tr>
    </w:tbl>
    <w:p>
      <w:pPr>
        <w:spacing w:line="360" w:lineRule="auto"/>
        <w:ind w:left="142"/>
        <w:rPr>
          <w:rFonts w:ascii="Times New Roman"/>
          <w:sz w:val="24"/>
        </w:rPr>
      </w:pPr>
      <w:r>
        <w:rPr>
          <w:rFonts w:hint="eastAsia" w:ascii="Times New Roman"/>
          <w:b/>
          <w:sz w:val="24"/>
        </w:rPr>
        <w:t>□公共建筑</w:t>
      </w:r>
      <w:r>
        <w:rPr>
          <w:rFonts w:hint="eastAsia" w:ascii="Times New Roman"/>
          <w:sz w:val="24"/>
        </w:rPr>
        <w:t>：过渡季典型工况下主要功能房间平均自然通风换气次数不小于2次/h的面积比例达到</w:t>
      </w:r>
      <w:r>
        <w:rPr>
          <w:rFonts w:hint="eastAsia" w:ascii="Times New Roman"/>
          <w:sz w:val="24"/>
          <w:u w:val="single"/>
        </w:rPr>
        <w:t xml:space="preserve">            </w:t>
      </w:r>
      <w:r>
        <w:rPr>
          <w:rFonts w:hint="eastAsia" w:ascii="Times New Roman"/>
          <w:sz w:val="24"/>
        </w:rPr>
        <w:t>≥50%，详见</w:t>
      </w:r>
      <w:r>
        <w:rPr>
          <w:rFonts w:hint="eastAsia" w:ascii="Times New Roman"/>
          <w:sz w:val="24"/>
          <w:u w:val="single"/>
        </w:rPr>
        <w:t>《室内自然通风模拟分析报告》</w:t>
      </w:r>
      <w:r>
        <w:rPr>
          <w:rFonts w:hint="eastAsia" w:ascii="Times New Roman"/>
          <w:sz w:val="24"/>
        </w:rPr>
        <w:t>。</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2548"/>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b/>
                <w:szCs w:val="21"/>
              </w:rPr>
            </w:pPr>
            <w:r>
              <w:rPr>
                <w:rFonts w:hint="eastAsia" w:ascii="Times New Roman"/>
                <w:b/>
                <w:szCs w:val="21"/>
              </w:rPr>
              <w:t>分析区域</w:t>
            </w:r>
          </w:p>
        </w:tc>
        <w:tc>
          <w:tcPr>
            <w:tcW w:w="2548" w:type="dxa"/>
          </w:tcPr>
          <w:p>
            <w:pPr>
              <w:pStyle w:val="24"/>
              <w:spacing w:line="360" w:lineRule="auto"/>
              <w:ind w:firstLine="0" w:firstLineChars="0"/>
              <w:jc w:val="center"/>
              <w:rPr>
                <w:rFonts w:ascii="Times New Roman"/>
                <w:b/>
                <w:szCs w:val="21"/>
              </w:rPr>
            </w:pPr>
            <w:r>
              <w:rPr>
                <w:rFonts w:hint="eastAsia" w:ascii="Times New Roman"/>
                <w:b/>
                <w:szCs w:val="21"/>
              </w:rPr>
              <w:t>主要功能空间面积（m</w:t>
            </w:r>
            <w:r>
              <w:rPr>
                <w:rFonts w:hint="eastAsia" w:ascii="Times New Roman"/>
                <w:b/>
                <w:szCs w:val="21"/>
                <w:vertAlign w:val="superscript"/>
              </w:rPr>
              <w:t>2</w:t>
            </w:r>
            <w:r>
              <w:rPr>
                <w:rFonts w:hint="eastAsia" w:ascii="Times New Roman"/>
                <w:b/>
                <w:szCs w:val="21"/>
              </w:rPr>
              <w:t>）</w:t>
            </w:r>
          </w:p>
        </w:tc>
        <w:tc>
          <w:tcPr>
            <w:tcW w:w="2131" w:type="dxa"/>
          </w:tcPr>
          <w:p>
            <w:pPr>
              <w:pStyle w:val="24"/>
              <w:spacing w:line="360" w:lineRule="auto"/>
              <w:ind w:firstLine="0" w:firstLineChars="0"/>
              <w:jc w:val="center"/>
              <w:rPr>
                <w:rFonts w:ascii="Times New Roman"/>
                <w:b/>
                <w:szCs w:val="21"/>
              </w:rPr>
            </w:pPr>
            <w:r>
              <w:rPr>
                <w:rFonts w:hint="eastAsia" w:ascii="Times New Roman"/>
                <w:b/>
                <w:szCs w:val="21"/>
              </w:rPr>
              <w:t>达标面积（m</w:t>
            </w:r>
            <w:r>
              <w:rPr>
                <w:rFonts w:hint="eastAsia" w:ascii="Times New Roman"/>
                <w:b/>
                <w:szCs w:val="21"/>
                <w:vertAlign w:val="superscript"/>
              </w:rPr>
              <w:t>2</w:t>
            </w:r>
            <w:r>
              <w:rPr>
                <w:rFonts w:hint="eastAsia" w:ascii="Times New Roman"/>
                <w:b/>
                <w:szCs w:val="21"/>
              </w:rPr>
              <w:t>）</w:t>
            </w:r>
          </w:p>
        </w:tc>
        <w:tc>
          <w:tcPr>
            <w:tcW w:w="2131" w:type="dxa"/>
          </w:tcPr>
          <w:p>
            <w:pPr>
              <w:pStyle w:val="24"/>
              <w:spacing w:line="360" w:lineRule="auto"/>
              <w:ind w:firstLine="0" w:firstLineChars="0"/>
              <w:jc w:val="center"/>
              <w:rPr>
                <w:rFonts w:ascii="Times New Roman"/>
                <w:b/>
                <w:szCs w:val="21"/>
              </w:rPr>
            </w:pPr>
            <w:r>
              <w:rPr>
                <w:rFonts w:hint="eastAsia" w:ascii="Times New Roman"/>
                <w:b/>
                <w:szCs w:val="21"/>
              </w:rPr>
              <w:t>通风达标比例（%）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szCs w:val="21"/>
              </w:rPr>
            </w:pPr>
          </w:p>
        </w:tc>
        <w:tc>
          <w:tcPr>
            <w:tcW w:w="2548"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szCs w:val="21"/>
              </w:rPr>
            </w:pPr>
          </w:p>
        </w:tc>
        <w:tc>
          <w:tcPr>
            <w:tcW w:w="2548"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712" w:type="dxa"/>
          </w:tcPr>
          <w:p>
            <w:pPr>
              <w:pStyle w:val="24"/>
              <w:spacing w:line="360" w:lineRule="auto"/>
              <w:ind w:firstLine="0" w:firstLineChars="0"/>
              <w:jc w:val="center"/>
              <w:rPr>
                <w:rFonts w:ascii="Times New Roman"/>
                <w:szCs w:val="21"/>
              </w:rPr>
            </w:pPr>
          </w:p>
        </w:tc>
        <w:tc>
          <w:tcPr>
            <w:tcW w:w="2548"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c>
          <w:tcPr>
            <w:tcW w:w="2131" w:type="dxa"/>
          </w:tcPr>
          <w:p>
            <w:pPr>
              <w:pStyle w:val="24"/>
              <w:spacing w:line="360" w:lineRule="auto"/>
              <w:ind w:firstLine="0" w:firstLineChars="0"/>
              <w:jc w:val="center"/>
              <w:rPr>
                <w:rFonts w:ascii="Times New Roman"/>
                <w:szCs w:val="21"/>
              </w:rPr>
            </w:pPr>
          </w:p>
        </w:tc>
      </w:tr>
    </w:tbl>
    <w:p>
      <w:pPr>
        <w:pStyle w:val="24"/>
        <w:numPr>
          <w:ilvl w:val="0"/>
          <w:numId w:val="3"/>
        </w:numPr>
        <w:spacing w:line="360" w:lineRule="auto"/>
        <w:ind w:firstLineChars="0"/>
        <w:rPr>
          <w:rFonts w:ascii="Times New Roman"/>
          <w:sz w:val="24"/>
        </w:rPr>
      </w:pPr>
      <w:r>
        <w:rPr>
          <w:rFonts w:hint="eastAsia" w:ascii="Times New Roman"/>
          <w:sz w:val="24"/>
        </w:rPr>
        <w:t>建筑、室外场地、公共绿地、城市道路相互之间设置连贯的无障碍步行系统。详见图纸：</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场地人行出入口500m内设有公共交通站点或配备联系公共交通站点的专用接驳车；详见：</w:t>
      </w:r>
      <w:r>
        <w:rPr>
          <w:rFonts w:hint="eastAsia" w:ascii="Times New Roman"/>
          <w:sz w:val="24"/>
          <w:u w:val="single"/>
        </w:rPr>
        <w:t xml:space="preserve">            </w:t>
      </w:r>
      <w:r>
        <w:rPr>
          <w:rFonts w:hint="eastAsia" w:ascii="Times New Roman"/>
          <w:sz w:val="24"/>
        </w:rPr>
        <w:t>。（公交站点分析报告）</w:t>
      </w:r>
    </w:p>
    <w:p>
      <w:pPr>
        <w:pStyle w:val="24"/>
        <w:numPr>
          <w:ilvl w:val="0"/>
          <w:numId w:val="3"/>
        </w:numPr>
        <w:spacing w:line="360" w:lineRule="auto"/>
        <w:ind w:firstLineChars="0"/>
        <w:rPr>
          <w:rFonts w:ascii="Times New Roman"/>
          <w:sz w:val="24"/>
        </w:rPr>
      </w:pPr>
      <w:r>
        <w:rPr>
          <w:rFonts w:hint="eastAsia" w:ascii="Times New Roman"/>
          <w:sz w:val="24"/>
        </w:rPr>
        <w:t>合理设置电动汽车和无障碍汽车停车位且符合规划指标要求。</w:t>
      </w:r>
    </w:p>
    <w:p>
      <w:pPr>
        <w:spacing w:line="360" w:lineRule="auto"/>
        <w:ind w:left="142"/>
        <w:rPr>
          <w:rFonts w:ascii="Times New Roman"/>
          <w:sz w:val="24"/>
        </w:rPr>
      </w:pPr>
      <w:r>
        <w:rPr>
          <w:rFonts w:hint="eastAsia" w:ascii="Times New Roman"/>
          <w:sz w:val="24"/>
        </w:rPr>
        <w:t>停车方式节约集约用地：□机械式停车库、□地下停车库、□立体停车楼（库）、□其他方式</w:t>
      </w:r>
      <w:r>
        <w:rPr>
          <w:rFonts w:hint="eastAsia" w:ascii="Times New Roman"/>
          <w:sz w:val="24"/>
          <w:u w:val="single"/>
        </w:rPr>
        <w:t xml:space="preserve">          </w:t>
      </w:r>
      <w:r>
        <w:rPr>
          <w:rFonts w:hint="eastAsia" w:ascii="Times New Roman"/>
          <w:sz w:val="24"/>
        </w:rPr>
        <w:t>。</w:t>
      </w:r>
    </w:p>
    <w:p>
      <w:pPr>
        <w:pStyle w:val="24"/>
        <w:spacing w:line="360" w:lineRule="auto"/>
        <w:ind w:firstLine="0" w:firstLineChars="0"/>
        <w:rPr>
          <w:rFonts w:ascii="Times New Roman"/>
          <w:sz w:val="24"/>
        </w:rPr>
      </w:pPr>
      <w:r>
        <w:rPr>
          <w:rFonts w:hint="eastAsia" w:ascii="Times New Roman"/>
          <w:sz w:val="24"/>
        </w:rPr>
        <w:t>采用错时停车方式向社会开放：□是、□否（原因：</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地面停车设计合理，不挤占步行空间及活动场所：□是、□否</w:t>
      </w:r>
    </w:p>
    <w:p>
      <w:pPr>
        <w:spacing w:line="360" w:lineRule="auto"/>
        <w:ind w:left="142"/>
        <w:rPr>
          <w:rFonts w:ascii="Times New Roman"/>
          <w:sz w:val="24"/>
        </w:rPr>
      </w:pPr>
      <w:r>
        <w:rPr>
          <w:rFonts w:hint="eastAsia" w:ascii="Times New Roman"/>
          <w:sz w:val="24"/>
        </w:rPr>
        <w:t>规划要求机动车停车位数量：</w:t>
      </w:r>
      <w:r>
        <w:rPr>
          <w:rFonts w:hint="eastAsia" w:ascii="Times New Roman"/>
          <w:sz w:val="24"/>
          <w:u w:val="single"/>
        </w:rPr>
        <w:t xml:space="preserve">     </w:t>
      </w:r>
      <w:r>
        <w:rPr>
          <w:rFonts w:hint="eastAsia" w:ascii="Times New Roman"/>
          <w:sz w:val="24"/>
        </w:rPr>
        <w:t>个，设计机动车停车位数量：</w:t>
      </w:r>
      <w:r>
        <w:rPr>
          <w:rFonts w:hint="eastAsia" w:ascii="Times New Roman"/>
          <w:sz w:val="24"/>
          <w:u w:val="single"/>
        </w:rPr>
        <w:t xml:space="preserve">     </w:t>
      </w:r>
      <w:r>
        <w:rPr>
          <w:rFonts w:hint="eastAsia" w:ascii="Times New Roman"/>
          <w:sz w:val="24"/>
        </w:rPr>
        <w:t>个，其中电动汽车停车位数量：</w:t>
      </w:r>
      <w:r>
        <w:rPr>
          <w:rFonts w:hint="eastAsia" w:ascii="Times New Roman"/>
          <w:sz w:val="24"/>
          <w:u w:val="single"/>
        </w:rPr>
        <w:t xml:space="preserve">     </w:t>
      </w:r>
      <w:r>
        <w:rPr>
          <w:rFonts w:hint="eastAsia" w:ascii="Times New Roman"/>
          <w:sz w:val="24"/>
        </w:rPr>
        <w:t>个，无障碍汽车停车位数量：</w:t>
      </w:r>
      <w:r>
        <w:rPr>
          <w:rFonts w:hint="eastAsia" w:ascii="Times New Roman"/>
          <w:sz w:val="24"/>
          <w:u w:val="single"/>
        </w:rPr>
        <w:t xml:space="preserve">     </w:t>
      </w:r>
      <w:r>
        <w:rPr>
          <w:rFonts w:hint="eastAsia" w:ascii="Times New Roman"/>
          <w:sz w:val="24"/>
        </w:rPr>
        <w:t>个。</w:t>
      </w:r>
    </w:p>
    <w:p>
      <w:pPr>
        <w:spacing w:line="360" w:lineRule="auto"/>
        <w:ind w:left="142"/>
        <w:rPr>
          <w:rFonts w:ascii="Times New Roman"/>
          <w:sz w:val="24"/>
        </w:rPr>
      </w:pPr>
      <w:r>
        <w:rPr>
          <w:rFonts w:hint="eastAsia" w:ascii="Times New Roman"/>
          <w:sz w:val="24"/>
        </w:rPr>
        <w:t>详见图纸：</w:t>
      </w:r>
      <w:r>
        <w:rPr>
          <w:rFonts w:hint="eastAsia" w:ascii="Times New Roman"/>
          <w:sz w:val="24"/>
          <w:u w:val="single"/>
        </w:rPr>
        <w:t xml:space="preserve">                          </w:t>
      </w:r>
      <w:r>
        <w:rPr>
          <w:rFonts w:hint="eastAsia" w:ascii="Times New Roman"/>
          <w:sz w:val="24"/>
        </w:rPr>
        <w:t>，且符合规划要求。</w:t>
      </w:r>
    </w:p>
    <w:p>
      <w:pPr>
        <w:pStyle w:val="24"/>
        <w:numPr>
          <w:ilvl w:val="0"/>
          <w:numId w:val="3"/>
        </w:numPr>
        <w:spacing w:line="360" w:lineRule="auto"/>
        <w:ind w:firstLineChars="0"/>
        <w:rPr>
          <w:kern w:val="0"/>
        </w:rPr>
      </w:pPr>
      <w:r>
        <w:rPr>
          <w:rFonts w:hint="eastAsia" w:ascii="Times New Roman"/>
          <w:sz w:val="24"/>
        </w:rPr>
        <w:t>自行车停车场所位置合理、方便出入。</w:t>
      </w:r>
    </w:p>
    <w:p>
      <w:pPr>
        <w:spacing w:line="360" w:lineRule="auto"/>
        <w:ind w:left="142"/>
        <w:rPr>
          <w:rFonts w:ascii="Times New Roman"/>
          <w:sz w:val="24"/>
        </w:rPr>
      </w:pPr>
      <w:r>
        <w:rPr>
          <w:rFonts w:hint="eastAsia" w:ascii="Times New Roman"/>
          <w:sz w:val="24"/>
        </w:rPr>
        <w:t>规划要求自行车停车位数量：</w:t>
      </w:r>
      <w:r>
        <w:rPr>
          <w:rFonts w:hint="eastAsia" w:ascii="Times New Roman"/>
          <w:sz w:val="24"/>
          <w:u w:val="single"/>
        </w:rPr>
        <w:t xml:space="preserve">     </w:t>
      </w:r>
      <w:r>
        <w:rPr>
          <w:rFonts w:hint="eastAsia" w:ascii="Times New Roman"/>
          <w:sz w:val="24"/>
        </w:rPr>
        <w:t>个，设计自行车停车位数量：</w:t>
      </w:r>
      <w:r>
        <w:rPr>
          <w:rFonts w:hint="eastAsia" w:ascii="Times New Roman"/>
          <w:sz w:val="24"/>
          <w:u w:val="single"/>
        </w:rPr>
        <w:t xml:space="preserve">     </w:t>
      </w:r>
      <w:r>
        <w:rPr>
          <w:rFonts w:hint="eastAsia" w:ascii="Times New Roman"/>
          <w:sz w:val="24"/>
        </w:rPr>
        <w:t>个。</w:t>
      </w:r>
    </w:p>
    <w:p>
      <w:pPr>
        <w:spacing w:line="360" w:lineRule="auto"/>
        <w:ind w:left="142"/>
        <w:rPr>
          <w:rFonts w:ascii="Times New Roman"/>
          <w:sz w:val="24"/>
        </w:rPr>
      </w:pPr>
      <w:r>
        <w:rPr>
          <w:rFonts w:hint="eastAsia" w:ascii="Times New Roman"/>
          <w:sz w:val="24"/>
        </w:rPr>
        <w:t>自行车位及自行车库/车棚设计详见图纸：</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结合场地自然条件和建筑功能需求，对建筑的体形、平面布局、空间尺度、围护结构等进行节能设计，且符合国家有关节能设计的要求。</w:t>
      </w:r>
    </w:p>
    <w:p>
      <w:pPr>
        <w:spacing w:line="360" w:lineRule="auto"/>
        <w:ind w:left="142"/>
        <w:rPr>
          <w:rFonts w:ascii="Times New Roman"/>
          <w:sz w:val="24"/>
        </w:rPr>
      </w:pPr>
      <w:r>
        <w:rPr>
          <w:rFonts w:hint="eastAsia" w:ascii="Times New Roman"/>
          <w:sz w:val="24"/>
        </w:rPr>
        <w:t>建筑朝向：</w:t>
      </w:r>
      <w:r>
        <w:rPr>
          <w:rFonts w:hint="eastAsia" w:ascii="Times New Roman"/>
          <w:sz w:val="24"/>
          <w:u w:val="single"/>
        </w:rPr>
        <w:t xml:space="preserve">         </w:t>
      </w:r>
      <w:r>
        <w:rPr>
          <w:rFonts w:hint="eastAsia" w:ascii="Times New Roman"/>
          <w:sz w:val="24"/>
        </w:rPr>
        <w:t>；建筑的楼间距最小为：</w:t>
      </w:r>
      <w:r>
        <w:rPr>
          <w:rFonts w:hint="eastAsia" w:ascii="Times New Roman"/>
          <w:sz w:val="24"/>
          <w:u w:val="single"/>
        </w:rPr>
        <w:t xml:space="preserve">    </w:t>
      </w:r>
      <w:r>
        <w:rPr>
          <w:rFonts w:hint="eastAsia" w:ascii="Times New Roman"/>
          <w:sz w:val="24"/>
        </w:rPr>
        <w:t>，这两栋楼为：</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详见</w:t>
      </w:r>
      <w:r>
        <w:rPr>
          <w:rFonts w:hint="eastAsia" w:ascii="Times New Roman"/>
          <w:sz w:val="24"/>
          <w:u w:val="single"/>
        </w:rPr>
        <w:t>节能设计专篇、节能计算书</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垂直电梯和自动扶梯采用节能控制措施。</w:t>
      </w:r>
    </w:p>
    <w:p>
      <w:pPr>
        <w:spacing w:line="360" w:lineRule="auto"/>
        <w:ind w:left="142"/>
        <w:rPr>
          <w:rFonts w:ascii="Times New Roman"/>
          <w:sz w:val="24"/>
        </w:rPr>
      </w:pPr>
      <w:r>
        <w:rPr>
          <w:rFonts w:hint="eastAsia" w:ascii="Times New Roman"/>
          <w:sz w:val="24"/>
        </w:rPr>
        <w:t>选型详见图纸：</w:t>
      </w:r>
      <w:r>
        <w:rPr>
          <w:rFonts w:hint="eastAsia" w:ascii="Times New Roman"/>
          <w:sz w:val="24"/>
          <w:u w:val="single"/>
        </w:rPr>
        <w:t xml:space="preserve">                     </w:t>
      </w:r>
      <w:r>
        <w:rPr>
          <w:rFonts w:hint="eastAsia" w:ascii="Times New Roman"/>
          <w:sz w:val="24"/>
        </w:rPr>
        <w:t>，节能控制措施详见电气设计专篇。</w:t>
      </w:r>
    </w:p>
    <w:tbl>
      <w:tblPr>
        <w:tblStyle w:val="16"/>
        <w:tblW w:w="5066"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851"/>
        <w:gridCol w:w="1134"/>
        <w:gridCol w:w="12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b/>
                <w:kern w:val="0"/>
                <w:szCs w:val="21"/>
              </w:rPr>
            </w:pPr>
            <w:r>
              <w:rPr>
                <w:rFonts w:hint="eastAsia" w:ascii="宋体" w:hAnsi="宋体"/>
                <w:b/>
                <w:kern w:val="0"/>
                <w:szCs w:val="21"/>
              </w:rPr>
              <w:t>设备类型及型号</w:t>
            </w:r>
          </w:p>
        </w:tc>
        <w:tc>
          <w:tcPr>
            <w:tcW w:w="851" w:type="dxa"/>
            <w:vAlign w:val="center"/>
          </w:tcPr>
          <w:p>
            <w:pPr>
              <w:spacing w:line="288" w:lineRule="auto"/>
              <w:jc w:val="center"/>
              <w:rPr>
                <w:rFonts w:ascii="宋体" w:hAnsi="宋体"/>
                <w:b/>
                <w:kern w:val="0"/>
                <w:szCs w:val="21"/>
              </w:rPr>
            </w:pPr>
            <w:r>
              <w:rPr>
                <w:rFonts w:hint="eastAsia" w:ascii="宋体" w:hAnsi="宋体"/>
                <w:b/>
                <w:kern w:val="0"/>
                <w:szCs w:val="21"/>
              </w:rPr>
              <w:t>台数</w:t>
            </w:r>
          </w:p>
        </w:tc>
        <w:tc>
          <w:tcPr>
            <w:tcW w:w="1134" w:type="dxa"/>
            <w:vAlign w:val="center"/>
          </w:tcPr>
          <w:p>
            <w:pPr>
              <w:spacing w:line="288" w:lineRule="auto"/>
              <w:jc w:val="center"/>
              <w:rPr>
                <w:rFonts w:ascii="宋体" w:hAnsi="宋体"/>
                <w:b/>
                <w:kern w:val="0"/>
                <w:szCs w:val="21"/>
              </w:rPr>
            </w:pPr>
            <w:r>
              <w:rPr>
                <w:rFonts w:hint="eastAsia" w:ascii="宋体" w:hAnsi="宋体"/>
                <w:b/>
                <w:kern w:val="0"/>
                <w:szCs w:val="21"/>
              </w:rPr>
              <w:t>载客量</w:t>
            </w:r>
          </w:p>
        </w:tc>
        <w:tc>
          <w:tcPr>
            <w:tcW w:w="1276" w:type="dxa"/>
            <w:vAlign w:val="center"/>
          </w:tcPr>
          <w:p>
            <w:pPr>
              <w:spacing w:line="288" w:lineRule="auto"/>
              <w:jc w:val="center"/>
              <w:rPr>
                <w:rFonts w:ascii="宋体" w:hAnsi="宋体"/>
                <w:b/>
                <w:kern w:val="0"/>
                <w:szCs w:val="21"/>
              </w:rPr>
            </w:pPr>
            <w:r>
              <w:rPr>
                <w:rFonts w:hint="eastAsia" w:ascii="宋体" w:hAnsi="宋体"/>
                <w:b/>
                <w:kern w:val="0"/>
                <w:szCs w:val="21"/>
              </w:rPr>
              <w:t>速度m/s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kern w:val="0"/>
                <w:szCs w:val="21"/>
              </w:rPr>
            </w:pPr>
          </w:p>
        </w:tc>
        <w:tc>
          <w:tcPr>
            <w:tcW w:w="1276" w:type="dxa"/>
            <w:vAlign w:val="center"/>
          </w:tcPr>
          <w:p>
            <w:pPr>
              <w:spacing w:line="288" w:lineRule="auto"/>
              <w:jc w:val="center"/>
              <w:rPr>
                <w:rFonts w:ascii="宋体" w:hAnsi="宋体"/>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szCs w:val="21"/>
              </w:rPr>
            </w:pPr>
          </w:p>
        </w:tc>
        <w:tc>
          <w:tcPr>
            <w:tcW w:w="1276" w:type="dxa"/>
            <w:vAlign w:val="center"/>
          </w:tcPr>
          <w:p>
            <w:pPr>
              <w:spacing w:line="288" w:lineRule="auto"/>
              <w:jc w:val="center"/>
              <w:rPr>
                <w:rFonts w:ascii="宋体" w:hAnsi="宋体"/>
                <w:szCs w:val="21"/>
              </w:rPr>
            </w:pPr>
          </w:p>
        </w:tc>
      </w:tr>
    </w:tbl>
    <w:p>
      <w:pPr>
        <w:spacing w:line="360" w:lineRule="auto"/>
        <w:ind w:left="142"/>
        <w:rPr>
          <w:rFonts w:ascii="Times New Roman"/>
          <w:sz w:val="24"/>
        </w:rPr>
      </w:pPr>
      <w:r>
        <w:rPr>
          <w:rFonts w:hint="eastAsia" w:ascii="Times New Roman"/>
          <w:sz w:val="24"/>
        </w:rPr>
        <w:t>注：无电梯和扶梯的建筑，本条不做要求。</w:t>
      </w:r>
    </w:p>
    <w:p>
      <w:pPr>
        <w:pStyle w:val="24"/>
        <w:numPr>
          <w:ilvl w:val="0"/>
          <w:numId w:val="3"/>
        </w:numPr>
        <w:spacing w:line="360" w:lineRule="auto"/>
        <w:ind w:firstLineChars="0"/>
        <w:rPr>
          <w:rFonts w:ascii="Times New Roman"/>
          <w:sz w:val="24"/>
        </w:rPr>
      </w:pPr>
      <w:r>
        <w:rPr>
          <w:rFonts w:hint="eastAsia" w:ascii="Times New Roman"/>
          <w:sz w:val="24"/>
        </w:rPr>
        <w:t>建筑规划布局满足日照标准，且不得降低周边建筑的日照标准。</w:t>
      </w:r>
    </w:p>
    <w:p>
      <w:pPr>
        <w:pStyle w:val="24"/>
        <w:spacing w:line="360" w:lineRule="auto"/>
        <w:ind w:left="150" w:firstLine="0" w:firstLineChars="0"/>
        <w:rPr>
          <w:rFonts w:ascii="Times New Roman"/>
          <w:sz w:val="24"/>
        </w:rPr>
      </w:pPr>
      <w:r>
        <w:rPr>
          <w:rFonts w:hint="eastAsia" w:ascii="Times New Roman"/>
          <w:sz w:val="24"/>
        </w:rPr>
        <w:t>□满足、□不降低已有建筑日照标准。详见</w:t>
      </w:r>
      <w:r>
        <w:rPr>
          <w:rFonts w:hint="eastAsia" w:ascii="Times New Roman"/>
          <w:sz w:val="24"/>
          <w:u w:val="single"/>
        </w:rPr>
        <w:t>建筑日照模拟分析图和《日照分析报告》</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配建的绿地符合所在地城乡规划的要求，合理选择绿化方式，植物种植适应当地气候和土壤，且无毒、易维护，种植区域覆土深度（地下室种植顶板：</w:t>
      </w:r>
      <w:r>
        <w:rPr>
          <w:rFonts w:hint="eastAsia" w:ascii="Times New Roman"/>
          <w:sz w:val="24"/>
          <w:u w:val="single"/>
        </w:rPr>
        <w:t xml:space="preserve">     </w:t>
      </w:r>
      <w:r>
        <w:rPr>
          <w:rFonts w:hint="eastAsia" w:ascii="Times New Roman"/>
          <w:sz w:val="24"/>
        </w:rPr>
        <w:t>；种植屋顶：</w:t>
      </w:r>
      <w:r>
        <w:rPr>
          <w:rFonts w:hint="eastAsia" w:ascii="Times New Roman"/>
          <w:sz w:val="24"/>
          <w:u w:val="single"/>
        </w:rPr>
        <w:t xml:space="preserve">     </w:t>
      </w:r>
      <w:r>
        <w:rPr>
          <w:rFonts w:hint="eastAsia" w:ascii="Times New Roman"/>
          <w:sz w:val="24"/>
        </w:rPr>
        <w:t>）和排水能力满足植物生长需求，并采用复层绿化方式：□是、□否。详见图纸：</w:t>
      </w:r>
      <w:r>
        <w:rPr>
          <w:rFonts w:hint="eastAsia" w:ascii="Times New Roman"/>
          <w:sz w:val="24"/>
          <w:u w:val="single"/>
        </w:rPr>
        <w:t xml:space="preserve">          </w:t>
      </w:r>
      <w:r>
        <w:rPr>
          <w:rFonts w:hint="eastAsia" w:ascii="Times New Roman"/>
          <w:sz w:val="24"/>
        </w:rPr>
        <w:t>（景观设计图、总平面设计图、给排水设计图）。</w:t>
      </w:r>
    </w:p>
    <w:p>
      <w:pPr>
        <w:pStyle w:val="24"/>
        <w:numPr>
          <w:ilvl w:val="0"/>
          <w:numId w:val="3"/>
        </w:numPr>
        <w:spacing w:line="360" w:lineRule="auto"/>
        <w:ind w:firstLineChars="0"/>
        <w:rPr>
          <w:rFonts w:ascii="Times New Roman"/>
          <w:sz w:val="24"/>
        </w:rPr>
      </w:pPr>
      <w:r>
        <w:rPr>
          <w:rFonts w:hint="eastAsia" w:ascii="Times New Roman"/>
          <w:sz w:val="24"/>
        </w:rPr>
        <w:t>场地的竖向设计有利于雨水的收集或排放，有效组织雨水的下渗、滞蓄或再利用。详见</w:t>
      </w:r>
      <w:r>
        <w:rPr>
          <w:rFonts w:hint="eastAsia" w:ascii="Times New Roman"/>
          <w:sz w:val="24"/>
          <w:u w:val="single"/>
        </w:rPr>
        <w:t xml:space="preserve">            </w:t>
      </w:r>
      <w:r>
        <w:rPr>
          <w:rFonts w:hint="eastAsia" w:ascii="Times New Roman"/>
          <w:sz w:val="24"/>
        </w:rPr>
        <w:t>。地下一层建筑面积与总用地比例</w:t>
      </w:r>
      <w:r>
        <w:rPr>
          <w:rFonts w:hint="eastAsia" w:ascii="Times New Roman"/>
          <w:sz w:val="24"/>
          <w:u w:val="single"/>
        </w:rPr>
        <w:t xml:space="preserve">            </w:t>
      </w:r>
      <w:r>
        <w:rPr>
          <w:rFonts w:hint="eastAsia" w:ascii="Times New Roman"/>
          <w:sz w:val="24"/>
        </w:rPr>
        <w:t>≤75%。</w:t>
      </w:r>
    </w:p>
    <w:p>
      <w:pPr>
        <w:pStyle w:val="24"/>
        <w:numPr>
          <w:ilvl w:val="0"/>
          <w:numId w:val="3"/>
        </w:numPr>
        <w:spacing w:line="360" w:lineRule="auto"/>
        <w:ind w:firstLineChars="0"/>
        <w:rPr>
          <w:rFonts w:ascii="Times New Roman"/>
          <w:sz w:val="24"/>
        </w:rPr>
      </w:pPr>
      <w:r>
        <w:rPr>
          <w:rFonts w:hint="eastAsia" w:ascii="Times New Roman"/>
          <w:sz w:val="24"/>
        </w:rPr>
        <w:t>建筑内外均设置便于识别和使用的标识系统。</w:t>
      </w:r>
    </w:p>
    <w:p>
      <w:pPr>
        <w:spacing w:line="360" w:lineRule="auto"/>
        <w:ind w:left="142"/>
        <w:rPr>
          <w:rFonts w:ascii="Times New Roman"/>
          <w:sz w:val="24"/>
          <w:u w:val="single"/>
        </w:rPr>
      </w:pPr>
      <w:r>
        <w:rPr>
          <w:rFonts w:hint="eastAsia" w:ascii="Times New Roman"/>
          <w:sz w:val="24"/>
        </w:rPr>
        <w:t>□是、□否，设置位置详见图纸/文件：</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合理设置以下标识：</w:t>
      </w:r>
    </w:p>
    <w:p>
      <w:pPr>
        <w:spacing w:line="360" w:lineRule="auto"/>
        <w:ind w:left="142"/>
        <w:rPr>
          <w:rFonts w:ascii="Times New Roman"/>
          <w:sz w:val="24"/>
        </w:rPr>
      </w:pPr>
      <w:r>
        <w:rPr>
          <w:rFonts w:hint="eastAsia" w:ascii="Times New Roman"/>
          <w:sz w:val="24"/>
        </w:rPr>
        <w:t>□人车分流标识、□公共交通接驳引导标识、□易于老年人识别的标识、□满足儿童使用需求与身高匹配的标识、□无障碍标识、□楼座及配套设施定位标识、□健身慢行道导向标识、□公共卫生间导向标识、□其他促进建筑便捷实用的导向标识：</w:t>
      </w:r>
      <w:r>
        <w:rPr>
          <w:rFonts w:hint="eastAsia" w:ascii="Times New Roman"/>
          <w:sz w:val="24"/>
          <w:u w:val="single"/>
        </w:rPr>
        <w:t xml:space="preserve">            </w:t>
      </w:r>
      <w:r>
        <w:rPr>
          <w:rFonts w:hint="eastAsia" w:ascii="Times New Roman"/>
          <w:sz w:val="24"/>
        </w:rPr>
        <w:t>。</w:t>
      </w:r>
    </w:p>
    <w:p>
      <w:pPr>
        <w:pStyle w:val="24"/>
        <w:numPr>
          <w:ilvl w:val="0"/>
          <w:numId w:val="3"/>
        </w:numPr>
        <w:spacing w:line="360" w:lineRule="auto"/>
        <w:ind w:firstLineChars="0"/>
        <w:rPr>
          <w:rFonts w:ascii="Times New Roman"/>
          <w:sz w:val="24"/>
        </w:rPr>
      </w:pPr>
      <w:r>
        <w:rPr>
          <w:rFonts w:hint="eastAsia" w:ascii="Times New Roman"/>
          <w:sz w:val="24"/>
        </w:rPr>
        <w:t>生活垃圾分类收集，垃圾容器和收集点的设置合理并与周围景观协调：□是、□否，设置位置详见图纸/文件：</w:t>
      </w:r>
      <w:r>
        <w:rPr>
          <w:rFonts w:hint="eastAsia" w:ascii="Times New Roman"/>
          <w:sz w:val="24"/>
          <w:u w:val="single"/>
        </w:rPr>
        <w:t xml:space="preserve">            </w:t>
      </w:r>
      <w:r>
        <w:rPr>
          <w:rFonts w:hint="eastAsia" w:ascii="Times New Roman"/>
          <w:sz w:val="24"/>
        </w:rPr>
        <w:t>。</w:t>
      </w:r>
    </w:p>
    <w:p>
      <w:pPr>
        <w:pStyle w:val="24"/>
        <w:spacing w:line="360" w:lineRule="auto"/>
        <w:ind w:left="150" w:firstLine="0" w:firstLineChars="0"/>
        <w:rPr>
          <w:rFonts w:ascii="Times New Roman"/>
          <w:sz w:val="24"/>
        </w:rPr>
      </w:pPr>
    </w:p>
    <w:p>
      <w:pPr>
        <w:pStyle w:val="24"/>
        <w:numPr>
          <w:ilvl w:val="0"/>
          <w:numId w:val="1"/>
        </w:numPr>
        <w:spacing w:line="360" w:lineRule="auto"/>
        <w:ind w:left="-210" w:leftChars="-100" w:firstLineChars="0"/>
        <w:rPr>
          <w:rFonts w:ascii="Times New Roman"/>
          <w:szCs w:val="21"/>
        </w:rPr>
      </w:pPr>
      <w:r>
        <w:rPr>
          <w:rFonts w:hint="eastAsia"/>
          <w:b/>
          <w:sz w:val="28"/>
          <w:szCs w:val="28"/>
        </w:rPr>
        <w:t>绿色建筑</w:t>
      </w:r>
      <w:r>
        <w:rPr>
          <w:rFonts w:hint="eastAsia" w:ascii="Times New Roman"/>
          <w:sz w:val="28"/>
          <w:szCs w:val="28"/>
          <w:u w:val="single"/>
        </w:rPr>
        <w:t xml:space="preserve">     </w:t>
      </w:r>
      <w:r>
        <w:rPr>
          <w:rFonts w:hint="eastAsia"/>
          <w:b/>
          <w:sz w:val="28"/>
          <w:szCs w:val="28"/>
        </w:rPr>
        <w:t>星级</w:t>
      </w:r>
    </w:p>
    <w:p>
      <w:pPr>
        <w:spacing w:line="360" w:lineRule="auto"/>
        <w:rPr>
          <w:rFonts w:ascii="Times New Roman" w:hAnsi="Times New Roman"/>
          <w:b/>
          <w:sz w:val="28"/>
          <w:szCs w:val="28"/>
        </w:rPr>
      </w:pPr>
      <w:r>
        <w:rPr>
          <w:rFonts w:ascii="Times New Roman"/>
          <w:sz w:val="24"/>
        </w:rPr>
        <w:t>根据项目特点合理选择</w:t>
      </w:r>
      <w:r>
        <w:rPr>
          <w:rFonts w:hint="eastAsia" w:ascii="Times New Roman"/>
          <w:sz w:val="24"/>
        </w:rPr>
        <w:t>绿色建筑的</w:t>
      </w:r>
      <w:r>
        <w:rPr>
          <w:rFonts w:ascii="Times New Roman"/>
          <w:sz w:val="24"/>
        </w:rPr>
        <w:t>技术路线</w:t>
      </w:r>
      <w:r>
        <w:rPr>
          <w:rFonts w:hint="eastAsia" w:ascii="Times New Roman"/>
          <w:sz w:val="24"/>
        </w:rPr>
        <w:t>，</w:t>
      </w:r>
      <w:r>
        <w:rPr>
          <w:rFonts w:ascii="Times New Roman"/>
          <w:sz w:val="24"/>
        </w:rPr>
        <w:t>增加相关</w:t>
      </w:r>
      <w:r>
        <w:rPr>
          <w:rFonts w:hint="eastAsia" w:ascii="Times New Roman"/>
          <w:sz w:val="24"/>
        </w:rPr>
        <w:t>条款、</w:t>
      </w:r>
      <w:r>
        <w:rPr>
          <w:rFonts w:ascii="Times New Roman"/>
          <w:sz w:val="24"/>
        </w:rPr>
        <w:t>说明、图纸和报告。</w:t>
      </w:r>
    </w:p>
    <w:p>
      <w:pPr>
        <w:widowControl/>
        <w:jc w:val="left"/>
        <w:rPr>
          <w:rFonts w:ascii="Times New Roman" w:hAnsi="Times New Roman"/>
          <w:b/>
          <w:sz w:val="28"/>
          <w:szCs w:val="28"/>
        </w:rPr>
      </w:pPr>
      <w:r>
        <w:rPr>
          <w:rFonts w:ascii="Times New Roman" w:hAnsi="Times New Roman"/>
          <w:b/>
          <w:sz w:val="28"/>
          <w:szCs w:val="28"/>
        </w:rPr>
        <w:br w:type="page"/>
      </w:r>
    </w:p>
    <w:p>
      <w:pPr>
        <w:spacing w:line="360" w:lineRule="auto"/>
        <w:ind w:left="-210" w:leftChars="-100"/>
        <w:jc w:val="center"/>
        <w:rPr>
          <w:rFonts w:ascii="Times New Roman" w:hAnsi="Times New Roman"/>
          <w:b/>
          <w:sz w:val="28"/>
          <w:szCs w:val="28"/>
        </w:rPr>
      </w:pPr>
      <w:r>
        <w:rPr>
          <w:rFonts w:hint="eastAsia" w:ascii="Times New Roman" w:hAnsi="Times New Roman"/>
          <w:b/>
          <w:sz w:val="28"/>
          <w:szCs w:val="28"/>
        </w:rPr>
        <w:t>江西省绿色建筑设计专篇</w:t>
      </w:r>
      <w:r>
        <w:rPr>
          <w:rFonts w:hint="eastAsia" w:ascii="Times New Roman" w:hAnsi="Times New Roman"/>
          <w:b/>
          <w:sz w:val="28"/>
          <w:szCs w:val="28"/>
          <w:lang w:val="en-US" w:eastAsia="zh-CN"/>
        </w:rPr>
        <w:t>参考模板</w:t>
      </w:r>
      <w:r>
        <w:rPr>
          <w:rFonts w:hint="eastAsia" w:ascii="Times New Roman" w:hAnsi="Times New Roman"/>
          <w:b/>
          <w:sz w:val="28"/>
          <w:szCs w:val="28"/>
        </w:rPr>
        <w:t>（结构）</w:t>
      </w:r>
    </w:p>
    <w:p>
      <w:pPr>
        <w:pStyle w:val="24"/>
        <w:numPr>
          <w:ilvl w:val="0"/>
          <w:numId w:val="5"/>
        </w:numPr>
        <w:spacing w:line="360" w:lineRule="auto"/>
        <w:ind w:left="-210" w:leftChars="-100" w:firstLineChars="0"/>
        <w:rPr>
          <w:b/>
          <w:sz w:val="28"/>
          <w:szCs w:val="28"/>
        </w:rPr>
      </w:pPr>
      <w:r>
        <w:rPr>
          <w:rFonts w:hint="eastAsia"/>
          <w:b/>
          <w:sz w:val="28"/>
          <w:szCs w:val="28"/>
        </w:rPr>
        <w:t>设计依据</w:t>
      </w:r>
    </w:p>
    <w:p>
      <w:pPr>
        <w:pStyle w:val="24"/>
        <w:numPr>
          <w:ilvl w:val="0"/>
          <w:numId w:val="6"/>
        </w:numPr>
        <w:spacing w:line="360" w:lineRule="auto"/>
        <w:ind w:firstLineChars="0"/>
        <w:rPr>
          <w:rFonts w:ascii="Times New Roman"/>
          <w:sz w:val="24"/>
        </w:rPr>
      </w:pPr>
      <w:r>
        <w:rPr>
          <w:rFonts w:hint="eastAsia" w:ascii="Times New Roman"/>
          <w:sz w:val="24"/>
        </w:rPr>
        <w:t>《建筑结构可靠度设计统一标准》</w:t>
      </w:r>
      <w:r>
        <w:rPr>
          <w:rFonts w:ascii="Times New Roman"/>
          <w:sz w:val="24"/>
        </w:rPr>
        <w:t>GB 50068-2018</w:t>
      </w:r>
    </w:p>
    <w:p>
      <w:pPr>
        <w:pStyle w:val="24"/>
        <w:numPr>
          <w:ilvl w:val="0"/>
          <w:numId w:val="6"/>
        </w:numPr>
        <w:spacing w:line="360" w:lineRule="auto"/>
        <w:ind w:firstLineChars="0"/>
        <w:rPr>
          <w:rFonts w:ascii="Times New Roman"/>
          <w:sz w:val="24"/>
        </w:rPr>
      </w:pPr>
      <w:r>
        <w:rPr>
          <w:rFonts w:hint="eastAsia" w:ascii="Times New Roman"/>
          <w:sz w:val="24"/>
        </w:rPr>
        <w:t>《混凝土结构设计规范》</w:t>
      </w:r>
      <w:r>
        <w:rPr>
          <w:rFonts w:ascii="Times New Roman"/>
          <w:sz w:val="24"/>
        </w:rPr>
        <w:t>GB</w:t>
      </w:r>
      <w:r>
        <w:rPr>
          <w:rFonts w:hint="eastAsia" w:ascii="Times New Roman"/>
          <w:sz w:val="24"/>
        </w:rPr>
        <w:t xml:space="preserve"> </w:t>
      </w:r>
      <w:r>
        <w:rPr>
          <w:rFonts w:ascii="Times New Roman"/>
          <w:sz w:val="24"/>
        </w:rPr>
        <w:t>50010-2010</w:t>
      </w:r>
      <w:r>
        <w:rPr>
          <w:rFonts w:hint="eastAsia" w:ascii="Times New Roman"/>
          <w:sz w:val="24"/>
        </w:rPr>
        <w:t>（</w:t>
      </w:r>
      <w:r>
        <w:rPr>
          <w:rFonts w:ascii="Times New Roman"/>
          <w:sz w:val="24"/>
        </w:rPr>
        <w:t>2015版</w:t>
      </w:r>
      <w:r>
        <w:rPr>
          <w:rFonts w:hint="eastAsia" w:ascii="Times New Roman"/>
          <w:sz w:val="24"/>
        </w:rPr>
        <w:t>）</w:t>
      </w:r>
    </w:p>
    <w:p>
      <w:pPr>
        <w:pStyle w:val="24"/>
        <w:numPr>
          <w:ilvl w:val="0"/>
          <w:numId w:val="6"/>
        </w:numPr>
        <w:spacing w:line="360" w:lineRule="auto"/>
        <w:ind w:firstLineChars="0"/>
        <w:rPr>
          <w:rFonts w:ascii="Times New Roman"/>
          <w:sz w:val="24"/>
        </w:rPr>
      </w:pPr>
      <w:r>
        <w:rPr>
          <w:rFonts w:hint="eastAsia" w:ascii="Times New Roman"/>
          <w:sz w:val="24"/>
        </w:rPr>
        <w:t>《钢结构设计规范》</w:t>
      </w:r>
      <w:r>
        <w:rPr>
          <w:rFonts w:ascii="Times New Roman"/>
          <w:sz w:val="24"/>
        </w:rPr>
        <w:t>GB</w:t>
      </w:r>
      <w:r>
        <w:rPr>
          <w:rFonts w:hint="eastAsia" w:ascii="Times New Roman"/>
          <w:sz w:val="24"/>
        </w:rPr>
        <w:t xml:space="preserve"> </w:t>
      </w:r>
      <w:r>
        <w:rPr>
          <w:rFonts w:ascii="Times New Roman"/>
          <w:sz w:val="24"/>
        </w:rPr>
        <w:t>50017-2017</w:t>
      </w:r>
    </w:p>
    <w:p>
      <w:pPr>
        <w:pStyle w:val="24"/>
        <w:numPr>
          <w:ilvl w:val="0"/>
          <w:numId w:val="6"/>
        </w:numPr>
        <w:spacing w:line="360" w:lineRule="auto"/>
        <w:ind w:firstLineChars="0"/>
        <w:rPr>
          <w:rFonts w:ascii="Times New Roman"/>
          <w:sz w:val="24"/>
        </w:rPr>
      </w:pPr>
      <w:r>
        <w:rPr>
          <w:rFonts w:hint="eastAsia" w:ascii="Times New Roman"/>
          <w:sz w:val="24"/>
        </w:rPr>
        <w:t>《建筑抗震设计规范》</w:t>
      </w:r>
      <w:r>
        <w:rPr>
          <w:rFonts w:ascii="Times New Roman"/>
          <w:sz w:val="24"/>
        </w:rPr>
        <w:t>GB 50011-2010（2016年版）</w:t>
      </w:r>
    </w:p>
    <w:p>
      <w:pPr>
        <w:pStyle w:val="24"/>
        <w:numPr>
          <w:ilvl w:val="0"/>
          <w:numId w:val="6"/>
        </w:numPr>
        <w:spacing w:line="360" w:lineRule="auto"/>
        <w:ind w:firstLineChars="0"/>
        <w:rPr>
          <w:rFonts w:ascii="Times New Roman"/>
          <w:sz w:val="24"/>
        </w:rPr>
      </w:pPr>
      <w:r>
        <w:rPr>
          <w:rFonts w:hint="eastAsia" w:ascii="Times New Roman"/>
          <w:sz w:val="24"/>
        </w:rPr>
        <w:t>《预拌混凝土》GB/T 14902-2012</w:t>
      </w:r>
    </w:p>
    <w:p>
      <w:pPr>
        <w:pStyle w:val="24"/>
        <w:numPr>
          <w:ilvl w:val="0"/>
          <w:numId w:val="6"/>
        </w:numPr>
        <w:spacing w:line="360" w:lineRule="auto"/>
        <w:ind w:firstLineChars="0"/>
        <w:rPr>
          <w:rFonts w:ascii="Times New Roman"/>
          <w:sz w:val="24"/>
        </w:rPr>
      </w:pPr>
      <w:r>
        <w:rPr>
          <w:rFonts w:hint="eastAsia" w:ascii="Times New Roman"/>
          <w:sz w:val="24"/>
        </w:rPr>
        <w:t>《预拌砂浆》GB/T 25181-2010</w:t>
      </w:r>
    </w:p>
    <w:p>
      <w:pPr>
        <w:pStyle w:val="24"/>
        <w:numPr>
          <w:ilvl w:val="0"/>
          <w:numId w:val="6"/>
        </w:numPr>
        <w:spacing w:line="360" w:lineRule="auto"/>
        <w:ind w:firstLineChars="0"/>
        <w:rPr>
          <w:rFonts w:ascii="Times New Roman"/>
          <w:sz w:val="24"/>
        </w:rPr>
      </w:pPr>
      <w:r>
        <w:rPr>
          <w:rFonts w:hint="eastAsia" w:ascii="Times New Roman"/>
          <w:sz w:val="24"/>
        </w:rPr>
        <w:t>《绿色建筑评价标准》GB/T50378-2019</w:t>
      </w:r>
    </w:p>
    <w:p>
      <w:pPr>
        <w:pStyle w:val="24"/>
        <w:numPr>
          <w:ilvl w:val="0"/>
          <w:numId w:val="6"/>
        </w:numPr>
        <w:spacing w:line="360" w:lineRule="auto"/>
        <w:ind w:firstLineChars="0"/>
        <w:rPr>
          <w:rFonts w:ascii="Times New Roman"/>
          <w:sz w:val="24"/>
        </w:rPr>
      </w:pPr>
      <w:r>
        <w:rPr>
          <w:rFonts w:hint="eastAsia" w:ascii="Times New Roman"/>
          <w:sz w:val="24"/>
        </w:rPr>
        <w:t>国家、省、市现行的法律、规范及其他相关规定</w:t>
      </w:r>
    </w:p>
    <w:p>
      <w:pPr>
        <w:spacing w:line="360" w:lineRule="auto"/>
        <w:ind w:left="-210"/>
        <w:rPr>
          <w:b/>
          <w:sz w:val="28"/>
          <w:szCs w:val="28"/>
        </w:rPr>
      </w:pPr>
    </w:p>
    <w:p>
      <w:pPr>
        <w:pStyle w:val="24"/>
        <w:numPr>
          <w:ilvl w:val="0"/>
          <w:numId w:val="5"/>
        </w:numPr>
        <w:spacing w:line="360" w:lineRule="auto"/>
        <w:ind w:left="-210" w:leftChars="-100" w:firstLineChars="0"/>
        <w:rPr>
          <w:b/>
          <w:sz w:val="28"/>
          <w:szCs w:val="28"/>
        </w:rPr>
      </w:pPr>
      <w:r>
        <w:rPr>
          <w:rFonts w:hint="eastAsia"/>
          <w:b/>
          <w:sz w:val="28"/>
          <w:szCs w:val="28"/>
        </w:rPr>
        <w:t>基本级设计内容</w:t>
      </w:r>
    </w:p>
    <w:p>
      <w:pPr>
        <w:pStyle w:val="24"/>
        <w:numPr>
          <w:ilvl w:val="0"/>
          <w:numId w:val="7"/>
        </w:numPr>
        <w:spacing w:line="360" w:lineRule="auto"/>
        <w:ind w:firstLineChars="0"/>
        <w:rPr>
          <w:rFonts w:ascii="Times New Roman"/>
          <w:sz w:val="24"/>
        </w:rPr>
      </w:pPr>
      <w:r>
        <w:rPr>
          <w:rFonts w:ascii="Times New Roman"/>
          <w:sz w:val="24"/>
        </w:rPr>
        <w:t>场地</w:t>
      </w:r>
      <w:r>
        <w:rPr>
          <w:rFonts w:hint="eastAsia" w:ascii="Times New Roman"/>
          <w:sz w:val="24"/>
        </w:rPr>
        <w:t>应</w:t>
      </w:r>
      <w:r>
        <w:rPr>
          <w:rFonts w:ascii="Times New Roman"/>
          <w:sz w:val="24"/>
        </w:rPr>
        <w:t>避开滑坡、泥石流</w:t>
      </w:r>
      <w:r>
        <w:rPr>
          <w:rFonts w:hint="eastAsia" w:ascii="Times New Roman"/>
          <w:sz w:val="24"/>
        </w:rPr>
        <w:t>、活动断层及其附近，及容易产生开裂、沉陷、滑移的陡坎、河坎</w:t>
      </w:r>
      <w:r>
        <w:rPr>
          <w:rFonts w:ascii="Times New Roman"/>
          <w:sz w:val="24"/>
        </w:rPr>
        <w:t>等地质危险地段，易发生洪涝地区</w:t>
      </w:r>
      <w:r>
        <w:rPr>
          <w:rFonts w:hint="eastAsia" w:ascii="Times New Roman"/>
          <w:sz w:val="24"/>
        </w:rPr>
        <w:t>应</w:t>
      </w:r>
      <w:r>
        <w:rPr>
          <w:rFonts w:ascii="Times New Roman"/>
          <w:sz w:val="24"/>
        </w:rPr>
        <w:t>有可靠的防洪涝基础设施。</w:t>
      </w:r>
      <w:r>
        <w:rPr>
          <w:rFonts w:hint="eastAsia" w:ascii="Times New Roman"/>
          <w:sz w:val="24"/>
        </w:rPr>
        <w:t>详见</w:t>
      </w:r>
      <w:r>
        <w:rPr>
          <w:rFonts w:hint="eastAsia" w:ascii="Times New Roman"/>
          <w:sz w:val="24"/>
          <w:u w:val="single"/>
        </w:rPr>
        <w:t>《岩土工程勘察报告》</w:t>
      </w:r>
      <w:r>
        <w:rPr>
          <w:rFonts w:hint="eastAsia" w:ascii="Times New Roman"/>
          <w:sz w:val="24"/>
        </w:rPr>
        <w:t>。</w:t>
      </w:r>
    </w:p>
    <w:p>
      <w:pPr>
        <w:spacing w:line="360" w:lineRule="auto"/>
        <w:ind w:left="142"/>
        <w:rPr>
          <w:rFonts w:ascii="Times New Roman"/>
          <w:sz w:val="24"/>
        </w:rPr>
      </w:pPr>
      <w:r>
        <w:rPr>
          <w:rFonts w:hint="eastAsia" w:ascii="Times New Roman"/>
          <w:sz w:val="24"/>
        </w:rPr>
        <w:t>对场地中的不利地段或潜在的危险源采取必要的避让、防护或控制、治理等措施：□是、□否</w:t>
      </w:r>
    </w:p>
    <w:p>
      <w:pPr>
        <w:pStyle w:val="24"/>
        <w:numPr>
          <w:ilvl w:val="0"/>
          <w:numId w:val="7"/>
        </w:numPr>
        <w:spacing w:line="360" w:lineRule="auto"/>
        <w:ind w:firstLineChars="0"/>
        <w:rPr>
          <w:rFonts w:ascii="Times New Roman"/>
          <w:sz w:val="24"/>
        </w:rPr>
      </w:pPr>
      <w:r>
        <w:rPr>
          <w:rFonts w:hint="eastAsia" w:ascii="Times New Roman"/>
          <w:sz w:val="24"/>
        </w:rPr>
        <w:t>抗震防灾设计符合现行国家标准《城镇抗震防灾规划标准》GB50413及《建筑抗震设计规范》GB50011的要求：□是、□否</w:t>
      </w:r>
    </w:p>
    <w:p>
      <w:pPr>
        <w:pStyle w:val="24"/>
        <w:numPr>
          <w:ilvl w:val="0"/>
          <w:numId w:val="7"/>
        </w:numPr>
        <w:spacing w:line="360" w:lineRule="auto"/>
        <w:ind w:firstLineChars="0"/>
        <w:rPr>
          <w:rFonts w:ascii="Times New Roman"/>
          <w:sz w:val="24"/>
        </w:rPr>
      </w:pPr>
      <w:r>
        <w:rPr>
          <w:rFonts w:hint="eastAsia" w:ascii="Times New Roman"/>
          <w:sz w:val="24"/>
        </w:rPr>
        <w:t>建筑结构满足承载力、稳定性、耐久性和建筑使用功能要求。</w:t>
      </w:r>
    </w:p>
    <w:p>
      <w:pPr>
        <w:pStyle w:val="24"/>
        <w:spacing w:line="360" w:lineRule="auto"/>
        <w:ind w:left="150" w:firstLine="0" w:firstLineChars="0"/>
        <w:rPr>
          <w:rFonts w:ascii="Times New Roman"/>
          <w:sz w:val="24"/>
        </w:rPr>
      </w:pPr>
      <w:r>
        <w:rPr>
          <w:rFonts w:hint="eastAsia" w:ascii="Times New Roman"/>
          <w:sz w:val="24"/>
        </w:rPr>
        <w:t>结构设计符合以下国家现行标准的规定：</w:t>
      </w:r>
    </w:p>
    <w:p>
      <w:pPr>
        <w:spacing w:line="360" w:lineRule="auto"/>
        <w:ind w:left="142"/>
        <w:rPr>
          <w:rFonts w:ascii="Times New Roman"/>
          <w:sz w:val="24"/>
        </w:rPr>
      </w:pPr>
      <w:r>
        <w:rPr>
          <w:rFonts w:hint="eastAsia" w:ascii="Times New Roman"/>
          <w:sz w:val="24"/>
        </w:rPr>
        <w:t>□《建筑结构可靠性设计统一标准》GB 50068、□《建筑结构荷载规范》GB 50009、□《混凝土结构设计规范》GB 50010、□《混凝土结构耐久性设计标准》GB/T 50476、□《建筑地基基础设计规范》GB 50007、□《钢结构设计标准》GB 50017、□《建筑抗震设计规范》GB 50011、□《砌体结构设计规范》GB 50003、□《木结构设计标准》GB 50005、□《建筑抗震鉴定标准》GB 50023、□《高层建筑混凝土结构技术规程》JGJ 3、</w:t>
      </w:r>
      <w:r>
        <w:rPr>
          <w:rFonts w:hint="eastAsia" w:ascii="宋体" w:hAnsi="宋体"/>
          <w:bCs/>
          <w:sz w:val="24"/>
          <w:lang w:val="zh-CN"/>
        </w:rPr>
        <w:t>□</w:t>
      </w:r>
      <w:r>
        <w:rPr>
          <w:rFonts w:hint="eastAsia" w:ascii="宋体" w:hAnsi="宋体"/>
          <w:sz w:val="24"/>
          <w:lang w:val="zh-CN"/>
        </w:rPr>
        <w:t>其他：</w:t>
      </w:r>
      <w:r>
        <w:rPr>
          <w:rFonts w:hint="eastAsia" w:ascii="Times New Roman"/>
          <w:sz w:val="24"/>
          <w:u w:val="single"/>
        </w:rPr>
        <w:t xml:space="preserve">          </w:t>
      </w:r>
      <w:r>
        <w:rPr>
          <w:rFonts w:hint="eastAsia" w:ascii="Times New Roman"/>
          <w:sz w:val="24"/>
        </w:rPr>
        <w:t>。</w:t>
      </w:r>
    </w:p>
    <w:p>
      <w:pPr>
        <w:pStyle w:val="24"/>
        <w:numPr>
          <w:ilvl w:val="0"/>
          <w:numId w:val="7"/>
        </w:numPr>
        <w:spacing w:line="360" w:lineRule="auto"/>
        <w:ind w:firstLineChars="0"/>
        <w:rPr>
          <w:rFonts w:ascii="Times New Roman"/>
          <w:sz w:val="24"/>
        </w:rPr>
      </w:pPr>
      <w:r>
        <w:rPr>
          <w:rFonts w:hint="eastAsia" w:ascii="Times New Roman"/>
          <w:sz w:val="24"/>
        </w:rPr>
        <w:t>外部设施与建筑主体结构统一设计、施工，连接牢固并具备安装、检修与维护条件。</w:t>
      </w:r>
    </w:p>
    <w:p>
      <w:pPr>
        <w:spacing w:line="360" w:lineRule="auto"/>
        <w:ind w:left="142"/>
        <w:rPr>
          <w:rFonts w:ascii="Times New Roman"/>
          <w:sz w:val="24"/>
        </w:rPr>
      </w:pPr>
      <w:r>
        <w:rPr>
          <w:rFonts w:hint="eastAsia" w:ascii="Times New Roman"/>
          <w:sz w:val="24"/>
        </w:rPr>
        <w:t>建筑外部是否有以下设施：</w:t>
      </w:r>
    </w:p>
    <w:p>
      <w:pPr>
        <w:spacing w:line="360" w:lineRule="auto"/>
        <w:ind w:left="142"/>
        <w:rPr>
          <w:rFonts w:ascii="Times New Roman"/>
          <w:sz w:val="24"/>
        </w:rPr>
      </w:pPr>
      <w:r>
        <w:rPr>
          <w:rFonts w:hint="eastAsia" w:ascii="Times New Roman"/>
          <w:sz w:val="24"/>
        </w:rPr>
        <w:t>□外遮阳、□太阳能设施、□空调室外机位、□外墙花池、□广告、□店招、□检修通道、□马道、□吊篮固定端、□预埋件、</w:t>
      </w:r>
      <w:r>
        <w:rPr>
          <w:rFonts w:hint="eastAsia" w:ascii="宋体" w:hAnsi="宋体"/>
          <w:bCs/>
          <w:sz w:val="24"/>
          <w:lang w:val="zh-CN"/>
        </w:rPr>
        <w:t>□</w:t>
      </w:r>
      <w:r>
        <w:rPr>
          <w:rFonts w:hint="eastAsia" w:ascii="宋体" w:hAnsi="宋体"/>
          <w:sz w:val="24"/>
          <w:lang w:val="zh-CN"/>
        </w:rPr>
        <w:t>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如有，简要说明连接牢固保障安装、检修与维护的措施：</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外部设施的位置、尺寸、构造详见图纸：</w:t>
      </w:r>
      <w:r>
        <w:rPr>
          <w:rFonts w:hint="eastAsia" w:ascii="Times New Roman"/>
          <w:sz w:val="24"/>
          <w:u w:val="single"/>
        </w:rPr>
        <w:t xml:space="preserve">                          </w:t>
      </w:r>
      <w:r>
        <w:rPr>
          <w:rFonts w:hint="eastAsia" w:ascii="Times New Roman"/>
          <w:sz w:val="24"/>
        </w:rPr>
        <w:t>。</w:t>
      </w:r>
    </w:p>
    <w:p>
      <w:pPr>
        <w:pStyle w:val="24"/>
        <w:numPr>
          <w:ilvl w:val="0"/>
          <w:numId w:val="7"/>
        </w:numPr>
        <w:spacing w:line="360" w:lineRule="auto"/>
        <w:ind w:firstLineChars="0"/>
        <w:rPr>
          <w:rFonts w:ascii="Times New Roman"/>
          <w:sz w:val="24"/>
        </w:rPr>
      </w:pPr>
      <w:r>
        <w:rPr>
          <w:rFonts w:hint="eastAsia" w:ascii="Times New Roman"/>
          <w:sz w:val="24"/>
        </w:rPr>
        <w:t>建筑内部的非结构构件、设备及附属设施等连接牢固并能适应主体结构变形及抗震要求。</w:t>
      </w:r>
    </w:p>
    <w:p>
      <w:pPr>
        <w:spacing w:line="360" w:lineRule="auto"/>
        <w:ind w:left="142"/>
        <w:rPr>
          <w:rFonts w:ascii="Times New Roman"/>
          <w:sz w:val="24"/>
        </w:rPr>
      </w:pPr>
      <w:r>
        <w:rPr>
          <w:rFonts w:hint="eastAsia" w:ascii="Times New Roman"/>
          <w:sz w:val="24"/>
        </w:rPr>
        <w:t>建筑内部的非结构构件、设备及附属设施与建筑主体的连接方式：</w:t>
      </w:r>
    </w:p>
    <w:p>
      <w:pPr>
        <w:spacing w:line="360" w:lineRule="auto"/>
        <w:ind w:left="142"/>
        <w:rPr>
          <w:rFonts w:ascii="Times New Roman"/>
          <w:sz w:val="24"/>
        </w:rPr>
      </w:pPr>
      <w:r>
        <w:rPr>
          <w:rFonts w:hint="eastAsia" w:ascii="Times New Roman"/>
          <w:sz w:val="24"/>
        </w:rPr>
        <w:t>□机械固定、□焊接、□预埋、□一体化建造、□以上皆无</w:t>
      </w:r>
    </w:p>
    <w:p>
      <w:pPr>
        <w:spacing w:line="360" w:lineRule="auto"/>
        <w:ind w:left="142"/>
        <w:rPr>
          <w:rFonts w:ascii="Times New Roman"/>
          <w:sz w:val="24"/>
        </w:rPr>
      </w:pPr>
      <w:r>
        <w:rPr>
          <w:rFonts w:hint="eastAsia" w:ascii="Times New Roman"/>
          <w:sz w:val="24"/>
        </w:rPr>
        <w:t>非结构构件和主体构件的连接情况，设备及附属设施的位置、尺寸、构造详见图纸：</w:t>
      </w:r>
      <w:r>
        <w:rPr>
          <w:rFonts w:hint="eastAsia" w:ascii="Times New Roman"/>
          <w:sz w:val="24"/>
          <w:u w:val="single"/>
        </w:rPr>
        <w:t xml:space="preserve">                          </w:t>
      </w:r>
      <w:r>
        <w:rPr>
          <w:rFonts w:hint="eastAsia" w:ascii="Times New Roman"/>
          <w:sz w:val="24"/>
        </w:rPr>
        <w:t>。</w:t>
      </w:r>
    </w:p>
    <w:p>
      <w:pPr>
        <w:pStyle w:val="24"/>
        <w:numPr>
          <w:ilvl w:val="0"/>
          <w:numId w:val="7"/>
        </w:numPr>
        <w:spacing w:line="360" w:lineRule="auto"/>
        <w:ind w:firstLineChars="0"/>
        <w:rPr>
          <w:rFonts w:ascii="Times New Roman"/>
          <w:sz w:val="24"/>
        </w:rPr>
      </w:pPr>
      <w:r>
        <w:rPr>
          <w:rFonts w:hint="eastAsia" w:ascii="Times New Roman"/>
          <w:sz w:val="24"/>
        </w:rPr>
        <w:t>不应采用建筑形体和结构布置严重不规则的建筑结构。详见</w:t>
      </w:r>
      <w:r>
        <w:rPr>
          <w:rFonts w:hint="eastAsia" w:ascii="Times New Roman"/>
          <w:sz w:val="24"/>
          <w:u w:val="single"/>
        </w:rPr>
        <w:t>《结构计算书》、《建筑形体规则性判定报告》</w:t>
      </w:r>
      <w:r>
        <w:rPr>
          <w:rFonts w:hint="eastAsia" w:ascii="Times New Roman"/>
          <w:sz w:val="24"/>
        </w:rPr>
        <w:t>。</w:t>
      </w:r>
    </w:p>
    <w:p>
      <w:pPr>
        <w:spacing w:line="360" w:lineRule="auto"/>
        <w:ind w:left="142"/>
        <w:rPr>
          <w:rFonts w:ascii="Times New Roman"/>
          <w:sz w:val="24"/>
        </w:rPr>
      </w:pPr>
      <w:r>
        <w:rPr>
          <w:rFonts w:hint="eastAsia" w:ascii="Times New Roman"/>
          <w:sz w:val="24"/>
        </w:rPr>
        <w:t>项目的结构类型：□混凝土结构、□钢结构、□混合结构、□砌体结构、□其他：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项目</w:t>
      </w:r>
      <w:r>
        <w:rPr>
          <w:rFonts w:ascii="Times New Roman"/>
          <w:sz w:val="24"/>
        </w:rPr>
        <w:t>建筑形体规则性：</w:t>
      </w:r>
      <w:r>
        <w:rPr>
          <w:rFonts w:hint="eastAsia" w:ascii="Times New Roman"/>
          <w:sz w:val="24"/>
        </w:rPr>
        <w:t>□规则、□不规则、□特别不规则、□严重不规则。</w:t>
      </w:r>
    </w:p>
    <w:p>
      <w:pPr>
        <w:spacing w:line="360" w:lineRule="auto"/>
        <w:ind w:left="142"/>
        <w:rPr>
          <w:rFonts w:ascii="Times New Roman"/>
          <w:sz w:val="24"/>
        </w:rPr>
      </w:pPr>
      <w:r>
        <w:rPr>
          <w:rFonts w:hint="eastAsia" w:ascii="Times New Roman"/>
          <w:sz w:val="24"/>
        </w:rPr>
        <w:t>建筑形体规则判定指标：</w:t>
      </w:r>
    </w:p>
    <w:tbl>
      <w:tblPr>
        <w:tblStyle w:val="16"/>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6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rFonts w:ascii="Times New Roman" w:hAnsi="Times New Roman" w:eastAsiaTheme="minorEastAsia"/>
                <w:b/>
                <w:bCs/>
                <w:szCs w:val="18"/>
              </w:rPr>
            </w:pPr>
            <w:r>
              <w:rPr>
                <w:rFonts w:ascii="Times New Roman" w:hAnsiTheme="minorEastAsia" w:eastAsiaTheme="minorEastAsia"/>
                <w:b/>
                <w:szCs w:val="18"/>
              </w:rPr>
              <w:t>平面不规则类型</w:t>
            </w:r>
          </w:p>
        </w:tc>
        <w:tc>
          <w:tcPr>
            <w:tcW w:w="6379" w:type="dxa"/>
            <w:vAlign w:val="center"/>
          </w:tcPr>
          <w:p>
            <w:pPr>
              <w:autoSpaceDE w:val="0"/>
              <w:autoSpaceDN w:val="0"/>
              <w:adjustRightInd w:val="0"/>
              <w:snapToGrid w:val="0"/>
              <w:spacing w:line="288" w:lineRule="auto"/>
              <w:jc w:val="center"/>
              <w:rPr>
                <w:rFonts w:ascii="Times New Roman" w:hAnsi="Times New Roman" w:eastAsiaTheme="minorEastAsia"/>
                <w:b/>
                <w:bCs/>
                <w:szCs w:val="18"/>
              </w:rPr>
            </w:pPr>
            <w:r>
              <w:rPr>
                <w:rFonts w:ascii="Times New Roman" w:hAnsiTheme="minorEastAsia" w:eastAsiaTheme="minorEastAsia"/>
                <w:b/>
                <w:szCs w:val="18"/>
              </w:rPr>
              <w:t>定义和参考指标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rFonts w:ascii="Times New Roman" w:hAnsi="Times New Roman" w:eastAsiaTheme="minorEastAsia"/>
                <w:b/>
                <w:bCs/>
                <w:szCs w:val="18"/>
              </w:rPr>
            </w:pPr>
            <w:r>
              <w:rPr>
                <w:rFonts w:ascii="Times New Roman" w:hAnsiTheme="minorEastAsia" w:eastAsiaTheme="minorEastAsia"/>
                <w:szCs w:val="18"/>
              </w:rPr>
              <w:t>扭转不规则</w:t>
            </w:r>
          </w:p>
        </w:tc>
        <w:tc>
          <w:tcPr>
            <w:tcW w:w="6379" w:type="dxa"/>
            <w:vAlign w:val="center"/>
          </w:tcPr>
          <w:p>
            <w:pPr>
              <w:autoSpaceDE w:val="0"/>
              <w:autoSpaceDN w:val="0"/>
              <w:adjustRightInd w:val="0"/>
              <w:snapToGrid w:val="0"/>
              <w:spacing w:line="288" w:lineRule="auto"/>
              <w:rPr>
                <w:rFonts w:ascii="Times New Roman" w:hAnsi="Times New Roman" w:eastAsiaTheme="minorEastAsia"/>
                <w:b/>
                <w:bCs/>
                <w:szCs w:val="18"/>
              </w:rPr>
            </w:pPr>
            <w:r>
              <w:rPr>
                <w:rFonts w:ascii="Times New Roman" w:hAnsiTheme="minorEastAsia" w:eastAsiaTheme="minorEastAsia"/>
                <w:szCs w:val="18"/>
              </w:rPr>
              <w:t>在规定的水平力作用下，楼层的最大弹性水平位移或</w:t>
            </w:r>
            <w:r>
              <w:rPr>
                <w:rFonts w:hint="eastAsia" w:ascii="Times New Roman" w:hAnsi="Times New Roman" w:eastAsiaTheme="minorEastAsia"/>
                <w:szCs w:val="18"/>
              </w:rPr>
              <w:t>（</w:t>
            </w:r>
            <w:r>
              <w:rPr>
                <w:rFonts w:ascii="Times New Roman" w:hAnsiTheme="minorEastAsia" w:eastAsiaTheme="minorEastAsia"/>
                <w:szCs w:val="18"/>
              </w:rPr>
              <w:t>层间位移</w:t>
            </w:r>
            <w:r>
              <w:rPr>
                <w:rFonts w:hint="eastAsia" w:ascii="Times New Roman" w:hAnsi="Times New Roman" w:eastAsiaTheme="minorEastAsia"/>
                <w:szCs w:val="18"/>
              </w:rPr>
              <w:t>）</w:t>
            </w:r>
            <w:r>
              <w:rPr>
                <w:rFonts w:ascii="Times New Roman" w:hAnsiTheme="minorEastAsia" w:eastAsiaTheme="minorEastAsia"/>
                <w:szCs w:val="18"/>
              </w:rPr>
              <w:t>，大于该楼层两端弹性水平位移</w:t>
            </w:r>
            <w:r>
              <w:rPr>
                <w:rFonts w:hint="eastAsia" w:ascii="Times New Roman" w:hAnsi="Times New Roman" w:eastAsiaTheme="minorEastAsia"/>
                <w:szCs w:val="18"/>
              </w:rPr>
              <w:t>（</w:t>
            </w:r>
            <w:r>
              <w:rPr>
                <w:rFonts w:ascii="Times New Roman" w:hAnsiTheme="minorEastAsia" w:eastAsiaTheme="minorEastAsia"/>
                <w:szCs w:val="18"/>
              </w:rPr>
              <w:t>或层间位移</w:t>
            </w:r>
            <w:r>
              <w:rPr>
                <w:rFonts w:hint="eastAsia" w:ascii="Times New Roman" w:hAnsi="Times New Roman" w:eastAsiaTheme="minorEastAsia"/>
                <w:szCs w:val="18"/>
              </w:rPr>
              <w:t>）</w:t>
            </w:r>
            <w:r>
              <w:rPr>
                <w:rFonts w:ascii="Times New Roman" w:hAnsiTheme="minorEastAsia" w:eastAsiaTheme="minorEastAsia"/>
                <w:szCs w:val="18"/>
              </w:rPr>
              <w:t>平均值的</w:t>
            </w:r>
            <w:r>
              <w:rPr>
                <w:rFonts w:ascii="Times New Roman" w:hAnsi="Times New Roman" w:eastAsiaTheme="minorEastAsia"/>
                <w:szCs w:val="18"/>
              </w:rPr>
              <w:t>1.2</w:t>
            </w:r>
            <w:r>
              <w:rPr>
                <w:rFonts w:ascii="Times New Roman" w:hAnsiTheme="minorEastAsia" w:eastAsiaTheme="minorEastAsia"/>
                <w:szCs w:val="18"/>
              </w:rPr>
              <w:t>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rFonts w:ascii="Times New Roman" w:hAnsi="Times New Roman" w:eastAsiaTheme="minorEastAsia"/>
                <w:b/>
                <w:bCs/>
                <w:szCs w:val="18"/>
              </w:rPr>
            </w:pPr>
            <w:r>
              <w:rPr>
                <w:rFonts w:ascii="Times New Roman" w:hAnsiTheme="minorEastAsia" w:eastAsiaTheme="minorEastAsia"/>
                <w:szCs w:val="18"/>
              </w:rPr>
              <w:t>凹凸不规则</w:t>
            </w:r>
          </w:p>
        </w:tc>
        <w:tc>
          <w:tcPr>
            <w:tcW w:w="6379" w:type="dxa"/>
            <w:vAlign w:val="center"/>
          </w:tcPr>
          <w:p>
            <w:pPr>
              <w:autoSpaceDE w:val="0"/>
              <w:autoSpaceDN w:val="0"/>
              <w:adjustRightInd w:val="0"/>
              <w:snapToGrid w:val="0"/>
              <w:spacing w:line="288" w:lineRule="auto"/>
              <w:rPr>
                <w:rFonts w:ascii="Times New Roman" w:hAnsi="Times New Roman" w:eastAsiaTheme="minorEastAsia"/>
                <w:b/>
                <w:bCs/>
                <w:szCs w:val="18"/>
              </w:rPr>
            </w:pPr>
            <w:r>
              <w:rPr>
                <w:rFonts w:ascii="Times New Roman" w:hAnsiTheme="minorEastAsia" w:eastAsiaTheme="minorEastAsia"/>
                <w:szCs w:val="18"/>
              </w:rPr>
              <w:t>平面凹进的尺寸，大于相应投影方向总尺寸的</w:t>
            </w:r>
            <w:r>
              <w:rPr>
                <w:rFonts w:ascii="Times New Roman" w:hAnsi="Times New Roman" w:eastAsiaTheme="minorEastAsia"/>
                <w:szCs w:val="1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rFonts w:ascii="Times New Roman" w:hAnsi="Times New Roman" w:eastAsiaTheme="minorEastAsia"/>
                <w:b/>
                <w:bCs/>
                <w:szCs w:val="18"/>
              </w:rPr>
            </w:pPr>
            <w:r>
              <w:rPr>
                <w:rFonts w:ascii="Times New Roman" w:hAnsiTheme="minorEastAsia" w:eastAsiaTheme="minorEastAsia"/>
                <w:szCs w:val="18"/>
              </w:rPr>
              <w:t>楼板局部不连续</w:t>
            </w:r>
          </w:p>
        </w:tc>
        <w:tc>
          <w:tcPr>
            <w:tcW w:w="6379" w:type="dxa"/>
            <w:vAlign w:val="center"/>
          </w:tcPr>
          <w:p>
            <w:pPr>
              <w:autoSpaceDE w:val="0"/>
              <w:autoSpaceDN w:val="0"/>
              <w:adjustRightInd w:val="0"/>
              <w:snapToGrid w:val="0"/>
              <w:spacing w:line="288" w:lineRule="auto"/>
              <w:rPr>
                <w:rFonts w:ascii="Times New Roman" w:hAnsi="Times New Roman" w:eastAsiaTheme="minorEastAsia"/>
                <w:b/>
                <w:bCs/>
                <w:szCs w:val="18"/>
              </w:rPr>
            </w:pPr>
            <w:r>
              <w:rPr>
                <w:rFonts w:ascii="Times New Roman" w:hAnsiTheme="minorEastAsia" w:eastAsiaTheme="minorEastAsia"/>
                <w:szCs w:val="18"/>
              </w:rPr>
              <w:t>楼板的尺寸和平面刚度急剧变化，例如，有效楼板宽度小于该层楼板典型宽度的</w:t>
            </w:r>
            <w:r>
              <w:rPr>
                <w:rFonts w:ascii="Times New Roman" w:hAnsi="Times New Roman" w:eastAsiaTheme="minorEastAsia"/>
                <w:szCs w:val="18"/>
              </w:rPr>
              <w:t>50%</w:t>
            </w:r>
            <w:r>
              <w:rPr>
                <w:rFonts w:ascii="Times New Roman" w:hAnsiTheme="minorEastAsia" w:eastAsiaTheme="minorEastAsia"/>
                <w:szCs w:val="18"/>
              </w:rPr>
              <w:t>，或开洞面积大于该层楼面面积的</w:t>
            </w:r>
            <w:r>
              <w:rPr>
                <w:rFonts w:ascii="Times New Roman" w:hAnsi="Times New Roman" w:eastAsiaTheme="minorEastAsia"/>
                <w:szCs w:val="18"/>
              </w:rPr>
              <w:t>30%</w:t>
            </w:r>
            <w:r>
              <w:rPr>
                <w:rFonts w:ascii="Times New Roman" w:hAnsiTheme="minorEastAsia" w:eastAsiaTheme="minorEastAsia"/>
                <w:szCs w:val="18"/>
              </w:rPr>
              <w:t>，或较大的楼层错层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b/>
                <w:szCs w:val="18"/>
              </w:rPr>
            </w:pPr>
            <w:r>
              <w:rPr>
                <w:rFonts w:hint="eastAsia"/>
                <w:b/>
                <w:szCs w:val="18"/>
              </w:rPr>
              <w:t>竖向</w:t>
            </w:r>
            <w:r>
              <w:rPr>
                <w:b/>
                <w:szCs w:val="18"/>
              </w:rPr>
              <w:t>不规则类型</w:t>
            </w:r>
          </w:p>
        </w:tc>
        <w:tc>
          <w:tcPr>
            <w:tcW w:w="6379" w:type="dxa"/>
            <w:vAlign w:val="center"/>
          </w:tcPr>
          <w:p>
            <w:pPr>
              <w:autoSpaceDE w:val="0"/>
              <w:autoSpaceDN w:val="0"/>
              <w:adjustRightInd w:val="0"/>
              <w:snapToGrid w:val="0"/>
              <w:spacing w:line="288" w:lineRule="auto"/>
              <w:jc w:val="center"/>
              <w:rPr>
                <w:b/>
                <w:szCs w:val="18"/>
              </w:rPr>
            </w:pPr>
            <w:r>
              <w:rPr>
                <w:b/>
                <w:szCs w:val="18"/>
              </w:rPr>
              <w:t>定义和参考指标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rFonts w:ascii="Times New Roman" w:hAnsi="Times New Roman"/>
                <w:szCs w:val="18"/>
              </w:rPr>
            </w:pPr>
            <w:r>
              <w:rPr>
                <w:rFonts w:ascii="Times New Roman"/>
                <w:szCs w:val="18"/>
              </w:rPr>
              <w:t>侧向刚度不规则</w:t>
            </w:r>
          </w:p>
        </w:tc>
        <w:tc>
          <w:tcPr>
            <w:tcW w:w="6379" w:type="dxa"/>
            <w:vAlign w:val="center"/>
          </w:tcPr>
          <w:p>
            <w:pPr>
              <w:autoSpaceDE w:val="0"/>
              <w:autoSpaceDN w:val="0"/>
              <w:adjustRightInd w:val="0"/>
              <w:snapToGrid w:val="0"/>
              <w:spacing w:line="288" w:lineRule="auto"/>
              <w:rPr>
                <w:rFonts w:ascii="Times New Roman" w:hAnsi="Times New Roman"/>
                <w:szCs w:val="18"/>
              </w:rPr>
            </w:pPr>
            <w:r>
              <w:rPr>
                <w:rFonts w:ascii="Times New Roman"/>
                <w:szCs w:val="18"/>
              </w:rPr>
              <w:t>该层的侧向刚度小于相邻上一层的</w:t>
            </w:r>
            <w:r>
              <w:rPr>
                <w:rFonts w:ascii="Times New Roman" w:hAnsi="Times New Roman"/>
                <w:szCs w:val="18"/>
              </w:rPr>
              <w:t>70%</w:t>
            </w:r>
            <w:r>
              <w:rPr>
                <w:rFonts w:ascii="Times New Roman"/>
                <w:szCs w:val="18"/>
              </w:rPr>
              <w:t>，或小于其上相邻三个楼层侧向刚度平均值的</w:t>
            </w:r>
            <w:r>
              <w:rPr>
                <w:rFonts w:ascii="Times New Roman" w:hAnsi="Times New Roman"/>
                <w:szCs w:val="18"/>
              </w:rPr>
              <w:t>80%</w:t>
            </w:r>
            <w:r>
              <w:rPr>
                <w:rFonts w:ascii="Times New Roman"/>
                <w:szCs w:val="18"/>
              </w:rPr>
              <w:t>；除顶层或出屋面小建筑外，局部收进的水平向尺寸大于相邻下一层的</w:t>
            </w:r>
            <w:r>
              <w:rPr>
                <w:rFonts w:ascii="Times New Roman" w:hAnsi="Times New Roman"/>
                <w:szCs w:val="18"/>
              </w:rPr>
              <w:t>25</w:t>
            </w:r>
            <w:r>
              <w:rPr>
                <w:rFonts w:ascii="Times New Roman"/>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rFonts w:ascii="Times New Roman" w:hAnsi="Times New Roman"/>
                <w:szCs w:val="18"/>
              </w:rPr>
            </w:pPr>
            <w:r>
              <w:rPr>
                <w:rFonts w:ascii="Times New Roman"/>
                <w:szCs w:val="18"/>
              </w:rPr>
              <w:t>竖向抗侧力构件不连续</w:t>
            </w:r>
          </w:p>
        </w:tc>
        <w:tc>
          <w:tcPr>
            <w:tcW w:w="6379" w:type="dxa"/>
            <w:vAlign w:val="center"/>
          </w:tcPr>
          <w:p>
            <w:pPr>
              <w:autoSpaceDE w:val="0"/>
              <w:autoSpaceDN w:val="0"/>
              <w:adjustRightInd w:val="0"/>
              <w:snapToGrid w:val="0"/>
              <w:spacing w:line="288" w:lineRule="auto"/>
              <w:rPr>
                <w:rFonts w:ascii="Times New Roman" w:hAnsi="Times New Roman"/>
                <w:szCs w:val="18"/>
              </w:rPr>
            </w:pPr>
            <w:r>
              <w:rPr>
                <w:rFonts w:ascii="Times New Roman"/>
                <w:szCs w:val="18"/>
              </w:rPr>
              <w:t>竖向抗侧力构件</w:t>
            </w:r>
            <w:r>
              <w:rPr>
                <w:rFonts w:hint="eastAsia" w:ascii="Times New Roman" w:hAnsi="Times New Roman"/>
                <w:szCs w:val="18"/>
              </w:rPr>
              <w:t>（</w:t>
            </w:r>
            <w:r>
              <w:rPr>
                <w:rFonts w:ascii="Times New Roman"/>
                <w:szCs w:val="18"/>
              </w:rPr>
              <w:t>柱、抗震墙、抗震支撑</w:t>
            </w:r>
            <w:r>
              <w:rPr>
                <w:rFonts w:hint="eastAsia" w:ascii="Times New Roman" w:hAnsi="Times New Roman"/>
                <w:szCs w:val="18"/>
              </w:rPr>
              <w:t>）</w:t>
            </w:r>
            <w:r>
              <w:rPr>
                <w:rFonts w:ascii="Times New Roman"/>
                <w:szCs w:val="18"/>
              </w:rPr>
              <w:t>的内力由水平转换构件</w:t>
            </w:r>
            <w:r>
              <w:rPr>
                <w:rFonts w:hint="eastAsia" w:ascii="Times New Roman" w:hAnsi="Times New Roman"/>
                <w:szCs w:val="18"/>
              </w:rPr>
              <w:t>（</w:t>
            </w:r>
            <w:r>
              <w:rPr>
                <w:rFonts w:ascii="Times New Roman"/>
                <w:szCs w:val="18"/>
              </w:rPr>
              <w:t>梁、桁架等</w:t>
            </w:r>
            <w:r>
              <w:rPr>
                <w:rFonts w:hint="eastAsia" w:ascii="Times New Roman" w:hAnsi="Times New Roman"/>
                <w:szCs w:val="18"/>
              </w:rPr>
              <w:t>）</w:t>
            </w:r>
            <w:r>
              <w:rPr>
                <w:rFonts w:ascii="Times New Roman"/>
                <w:szCs w:val="18"/>
              </w:rPr>
              <w:t>向下传递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51" w:type="dxa"/>
            <w:vAlign w:val="center"/>
          </w:tcPr>
          <w:p>
            <w:pPr>
              <w:autoSpaceDE w:val="0"/>
              <w:autoSpaceDN w:val="0"/>
              <w:adjustRightInd w:val="0"/>
              <w:snapToGrid w:val="0"/>
              <w:spacing w:line="288" w:lineRule="auto"/>
              <w:jc w:val="center"/>
              <w:rPr>
                <w:rFonts w:ascii="Times New Roman" w:hAnsi="Times New Roman"/>
                <w:szCs w:val="18"/>
              </w:rPr>
            </w:pPr>
            <w:r>
              <w:rPr>
                <w:rFonts w:ascii="Times New Roman"/>
                <w:szCs w:val="18"/>
              </w:rPr>
              <w:t>楼层承载力突变</w:t>
            </w:r>
          </w:p>
        </w:tc>
        <w:tc>
          <w:tcPr>
            <w:tcW w:w="6379" w:type="dxa"/>
            <w:vAlign w:val="center"/>
          </w:tcPr>
          <w:p>
            <w:pPr>
              <w:autoSpaceDE w:val="0"/>
              <w:autoSpaceDN w:val="0"/>
              <w:adjustRightInd w:val="0"/>
              <w:snapToGrid w:val="0"/>
              <w:spacing w:line="288" w:lineRule="auto"/>
              <w:rPr>
                <w:rFonts w:ascii="Times New Roman" w:hAnsi="Times New Roman"/>
                <w:szCs w:val="18"/>
              </w:rPr>
            </w:pPr>
            <w:r>
              <w:rPr>
                <w:rFonts w:ascii="Times New Roman"/>
                <w:szCs w:val="18"/>
              </w:rPr>
              <w:t>抗侧力结构的层间受剪承载力小于相邻上一楼层的</w:t>
            </w:r>
            <w:r>
              <w:rPr>
                <w:rFonts w:ascii="Times New Roman" w:hAnsi="Times New Roman"/>
                <w:szCs w:val="18"/>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8330" w:type="dxa"/>
            <w:gridSpan w:val="2"/>
            <w:vAlign w:val="center"/>
          </w:tcPr>
          <w:p>
            <w:pPr>
              <w:autoSpaceDE w:val="0"/>
              <w:autoSpaceDN w:val="0"/>
              <w:adjustRightInd w:val="0"/>
              <w:snapToGrid w:val="0"/>
              <w:spacing w:line="288" w:lineRule="auto"/>
              <w:rPr>
                <w:rFonts w:ascii="Times New Roman"/>
                <w:szCs w:val="18"/>
              </w:rPr>
            </w:pPr>
            <w:r>
              <w:rPr>
                <w:rFonts w:hint="eastAsia"/>
                <w:bCs/>
                <w:kern w:val="0"/>
              </w:rPr>
              <w:t>其他</w:t>
            </w:r>
            <w:r>
              <w:rPr>
                <w:bCs/>
                <w:kern w:val="0"/>
              </w:rPr>
              <w:t>不</w:t>
            </w:r>
            <w:r>
              <w:rPr>
                <w:rFonts w:hint="eastAsia"/>
                <w:bCs/>
                <w:kern w:val="0"/>
              </w:rPr>
              <w:t>规则类型：</w:t>
            </w:r>
            <w:r>
              <w:rPr>
                <w:rFonts w:hint="eastAsia" w:ascii="Times New Roman"/>
                <w:sz w:val="24"/>
                <w:u w:val="single"/>
              </w:rPr>
              <w:t xml:space="preserve">          </w:t>
            </w:r>
          </w:p>
        </w:tc>
      </w:tr>
    </w:tbl>
    <w:p>
      <w:pPr>
        <w:spacing w:line="360" w:lineRule="auto"/>
        <w:ind w:left="142" w:hanging="2"/>
        <w:jc w:val="center"/>
        <w:rPr>
          <w:rFonts w:ascii="Times New Roman"/>
          <w:sz w:val="24"/>
        </w:rPr>
      </w:pPr>
      <w:r>
        <w:rPr>
          <w:rFonts w:hint="eastAsia" w:ascii="Times New Roman"/>
          <w:sz w:val="24"/>
        </w:rPr>
        <w:t>建筑形体规则性判定汇总表</w:t>
      </w:r>
    </w:p>
    <w:tbl>
      <w:tblPr>
        <w:tblStyle w:val="17"/>
        <w:tblW w:w="83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4062"/>
        <w:gridCol w:w="2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26" w:type="dxa"/>
            <w:vAlign w:val="center"/>
          </w:tcPr>
          <w:p>
            <w:pPr>
              <w:spacing w:line="360" w:lineRule="auto"/>
              <w:jc w:val="center"/>
              <w:rPr>
                <w:rFonts w:ascii="Times New Roman"/>
                <w:b/>
                <w:szCs w:val="21"/>
              </w:rPr>
            </w:pPr>
            <w:r>
              <w:rPr>
                <w:rFonts w:hint="eastAsia" w:ascii="Times New Roman"/>
                <w:b/>
                <w:szCs w:val="21"/>
              </w:rPr>
              <w:t>楼栋号</w:t>
            </w:r>
          </w:p>
        </w:tc>
        <w:tc>
          <w:tcPr>
            <w:tcW w:w="4062" w:type="dxa"/>
            <w:vAlign w:val="center"/>
          </w:tcPr>
          <w:p>
            <w:pPr>
              <w:spacing w:line="360" w:lineRule="auto"/>
              <w:jc w:val="center"/>
              <w:rPr>
                <w:rFonts w:ascii="Times New Roman"/>
                <w:b/>
                <w:szCs w:val="21"/>
              </w:rPr>
            </w:pPr>
            <w:r>
              <w:rPr>
                <w:rFonts w:hint="eastAsia" w:ascii="Times New Roman"/>
                <w:b/>
                <w:szCs w:val="21"/>
              </w:rPr>
              <w:t>简要描述存在的不规则类型；个数</w:t>
            </w:r>
          </w:p>
        </w:tc>
        <w:tc>
          <w:tcPr>
            <w:tcW w:w="2792" w:type="dxa"/>
            <w:vAlign w:val="center"/>
          </w:tcPr>
          <w:p>
            <w:pPr>
              <w:spacing w:line="360" w:lineRule="auto"/>
              <w:jc w:val="center"/>
              <w:rPr>
                <w:rFonts w:ascii="Times New Roman"/>
                <w:b/>
                <w:szCs w:val="21"/>
              </w:rPr>
            </w:pPr>
            <w:r>
              <w:rPr>
                <w:rFonts w:hint="eastAsia" w:ascii="Times New Roman"/>
                <w:b/>
                <w:szCs w:val="21"/>
              </w:rPr>
              <w:t>判定结果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26" w:type="dxa"/>
            <w:vAlign w:val="center"/>
          </w:tcPr>
          <w:p>
            <w:pPr>
              <w:spacing w:line="360" w:lineRule="auto"/>
              <w:jc w:val="center"/>
              <w:rPr>
                <w:rFonts w:ascii="Times New Roman"/>
                <w:szCs w:val="21"/>
              </w:rPr>
            </w:pPr>
          </w:p>
        </w:tc>
        <w:tc>
          <w:tcPr>
            <w:tcW w:w="4062" w:type="dxa"/>
            <w:vAlign w:val="center"/>
          </w:tcPr>
          <w:p>
            <w:pPr>
              <w:spacing w:line="360" w:lineRule="auto"/>
              <w:jc w:val="center"/>
              <w:rPr>
                <w:rFonts w:ascii="Times New Roman"/>
                <w:szCs w:val="21"/>
              </w:rPr>
            </w:pPr>
          </w:p>
        </w:tc>
        <w:tc>
          <w:tcPr>
            <w:tcW w:w="2792" w:type="dxa"/>
            <w:vAlign w:val="center"/>
          </w:tcPr>
          <w:p>
            <w:pPr>
              <w:spacing w:line="360" w:lineRule="auto"/>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26" w:type="dxa"/>
            <w:vAlign w:val="center"/>
          </w:tcPr>
          <w:p>
            <w:pPr>
              <w:spacing w:line="360" w:lineRule="auto"/>
              <w:jc w:val="center"/>
              <w:rPr>
                <w:rFonts w:ascii="Times New Roman"/>
                <w:szCs w:val="21"/>
              </w:rPr>
            </w:pPr>
          </w:p>
        </w:tc>
        <w:tc>
          <w:tcPr>
            <w:tcW w:w="4062" w:type="dxa"/>
            <w:vAlign w:val="center"/>
          </w:tcPr>
          <w:p>
            <w:pPr>
              <w:spacing w:line="360" w:lineRule="auto"/>
              <w:jc w:val="center"/>
              <w:rPr>
                <w:rFonts w:ascii="Times New Roman"/>
                <w:szCs w:val="21"/>
              </w:rPr>
            </w:pPr>
          </w:p>
        </w:tc>
        <w:tc>
          <w:tcPr>
            <w:tcW w:w="2792" w:type="dxa"/>
            <w:vAlign w:val="center"/>
          </w:tcPr>
          <w:p>
            <w:pPr>
              <w:spacing w:line="360" w:lineRule="auto"/>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26" w:type="dxa"/>
            <w:vAlign w:val="center"/>
          </w:tcPr>
          <w:p>
            <w:pPr>
              <w:spacing w:line="360" w:lineRule="auto"/>
              <w:jc w:val="center"/>
              <w:rPr>
                <w:rFonts w:ascii="Times New Roman"/>
                <w:szCs w:val="21"/>
              </w:rPr>
            </w:pPr>
          </w:p>
        </w:tc>
        <w:tc>
          <w:tcPr>
            <w:tcW w:w="4062" w:type="dxa"/>
            <w:vAlign w:val="center"/>
          </w:tcPr>
          <w:p>
            <w:pPr>
              <w:spacing w:line="360" w:lineRule="auto"/>
              <w:jc w:val="center"/>
              <w:rPr>
                <w:rFonts w:ascii="Times New Roman"/>
                <w:szCs w:val="21"/>
              </w:rPr>
            </w:pPr>
          </w:p>
        </w:tc>
        <w:tc>
          <w:tcPr>
            <w:tcW w:w="2792" w:type="dxa"/>
            <w:vAlign w:val="center"/>
          </w:tcPr>
          <w:p>
            <w:pPr>
              <w:spacing w:line="360" w:lineRule="auto"/>
              <w:jc w:val="center"/>
              <w:rPr>
                <w:rFonts w:ascii="Times New Roman"/>
                <w:szCs w:val="21"/>
              </w:rPr>
            </w:pPr>
          </w:p>
        </w:tc>
      </w:tr>
    </w:tbl>
    <w:p>
      <w:pPr>
        <w:pStyle w:val="24"/>
        <w:numPr>
          <w:ilvl w:val="0"/>
          <w:numId w:val="7"/>
        </w:numPr>
        <w:spacing w:line="360" w:lineRule="auto"/>
        <w:ind w:firstLineChars="0"/>
        <w:rPr>
          <w:rFonts w:ascii="Times New Roman"/>
          <w:sz w:val="24"/>
        </w:rPr>
      </w:pPr>
      <w:r>
        <w:rPr>
          <w:rFonts w:hint="eastAsia" w:ascii="Times New Roman"/>
          <w:sz w:val="24"/>
        </w:rPr>
        <w:t>建筑造型要素简约，无大量装饰性构件。详见</w:t>
      </w:r>
      <w:r>
        <w:rPr>
          <w:rFonts w:hint="eastAsia" w:ascii="Times New Roman"/>
          <w:sz w:val="24"/>
          <w:u w:val="single"/>
        </w:rPr>
        <w:t>《工程概算书》、《装饰性构件造价比例计算书》</w:t>
      </w:r>
      <w:r>
        <w:rPr>
          <w:rFonts w:hint="eastAsia" w:ascii="Times New Roman"/>
          <w:sz w:val="24"/>
        </w:rPr>
        <w:t>。</w:t>
      </w:r>
    </w:p>
    <w:p>
      <w:pPr>
        <w:spacing w:line="360" w:lineRule="auto"/>
        <w:ind w:left="142"/>
        <w:rPr>
          <w:rFonts w:ascii="Times New Roman"/>
          <w:b/>
          <w:sz w:val="24"/>
        </w:rPr>
      </w:pPr>
      <w:r>
        <w:rPr>
          <w:rFonts w:hint="eastAsia" w:ascii="Times New Roman"/>
          <w:b/>
          <w:sz w:val="24"/>
        </w:rPr>
        <w:t>□居住建筑：</w:t>
      </w:r>
    </w:p>
    <w:p>
      <w:pPr>
        <w:spacing w:line="360" w:lineRule="auto"/>
        <w:ind w:left="142"/>
        <w:rPr>
          <w:rFonts w:ascii="Times New Roman" w:hAnsi="Times New Roman"/>
          <w:sz w:val="24"/>
          <w:lang w:val="zh-CN"/>
        </w:rPr>
      </w:pPr>
      <w:r>
        <w:rPr>
          <w:rFonts w:ascii="Times New Roman" w:hAnsi="宋体"/>
          <w:sz w:val="24"/>
        </w:rPr>
        <w:t>纯装饰性构件的造价：</w:t>
      </w:r>
      <w:r>
        <w:rPr>
          <w:rFonts w:ascii="Times New Roman" w:hAnsi="Times New Roman"/>
          <w:sz w:val="24"/>
          <w:u w:val="single"/>
        </w:rPr>
        <w:t xml:space="preserve">          </w:t>
      </w:r>
      <w:r>
        <w:rPr>
          <w:rFonts w:ascii="Times New Roman" w:hAnsi="宋体"/>
          <w:sz w:val="24"/>
        </w:rPr>
        <w:t>（万元），</w:t>
      </w:r>
      <w:r>
        <w:rPr>
          <w:rFonts w:ascii="Times New Roman" w:hAnsi="宋体"/>
          <w:sz w:val="24"/>
          <w:lang w:val="zh-CN"/>
        </w:rPr>
        <w:t>工程总造价：</w:t>
      </w:r>
      <w:r>
        <w:rPr>
          <w:rFonts w:ascii="Times New Roman" w:hAnsi="Times New Roman"/>
          <w:sz w:val="24"/>
          <w:u w:val="single"/>
        </w:rPr>
        <w:t xml:space="preserve">          </w:t>
      </w:r>
      <w:r>
        <w:rPr>
          <w:rFonts w:ascii="Times New Roman" w:hAnsi="宋体"/>
          <w:sz w:val="24"/>
          <w:lang w:val="zh-CN"/>
        </w:rPr>
        <w:t>（万元）；</w:t>
      </w:r>
    </w:p>
    <w:p>
      <w:pPr>
        <w:spacing w:line="360" w:lineRule="auto"/>
        <w:ind w:left="142"/>
        <w:rPr>
          <w:rFonts w:ascii="Times New Roman" w:hAnsi="Times New Roman"/>
          <w:sz w:val="24"/>
        </w:rPr>
      </w:pPr>
      <w:r>
        <w:rPr>
          <w:rFonts w:ascii="Times New Roman" w:hAnsi="宋体"/>
          <w:sz w:val="24"/>
          <w:lang w:val="zh-CN"/>
        </w:rPr>
        <w:t>纯装饰性构件造价占工程总造价的比例：</w:t>
      </w:r>
      <w:r>
        <w:rPr>
          <w:rFonts w:ascii="Times New Roman" w:hAnsi="Times New Roman"/>
          <w:sz w:val="24"/>
          <w:u w:val="single"/>
        </w:rPr>
        <w:t xml:space="preserve">          </w:t>
      </w:r>
      <w:r>
        <w:rPr>
          <w:rFonts w:ascii="Times New Roman" w:hAnsi="Times New Roman"/>
          <w:sz w:val="24"/>
          <w:lang w:val="zh-CN"/>
        </w:rPr>
        <w:t>%</w:t>
      </w:r>
      <w:r>
        <w:rPr>
          <w:rFonts w:ascii="Times New Roman" w:hAnsi="宋体"/>
          <w:sz w:val="24"/>
          <w:lang w:val="zh-CN"/>
        </w:rPr>
        <w:t>＜</w:t>
      </w:r>
      <w:r>
        <w:rPr>
          <w:rFonts w:ascii="Times New Roman" w:hAnsi="Times New Roman"/>
          <w:sz w:val="24"/>
          <w:lang w:val="zh-CN"/>
        </w:rPr>
        <w:t>2%</w:t>
      </w:r>
      <w:r>
        <w:rPr>
          <w:rFonts w:ascii="Times New Roman" w:hAnsi="宋体"/>
          <w:sz w:val="24"/>
        </w:rPr>
        <w:t>。</w:t>
      </w:r>
    </w:p>
    <w:p>
      <w:pPr>
        <w:spacing w:line="360" w:lineRule="auto"/>
        <w:ind w:left="142"/>
        <w:rPr>
          <w:rFonts w:ascii="Times New Roman"/>
          <w:b/>
          <w:sz w:val="24"/>
        </w:rPr>
      </w:pPr>
      <w:r>
        <w:rPr>
          <w:rFonts w:hint="eastAsia" w:ascii="Times New Roman"/>
          <w:b/>
          <w:sz w:val="24"/>
        </w:rPr>
        <w:t>□公共建筑：</w:t>
      </w:r>
    </w:p>
    <w:p>
      <w:pPr>
        <w:spacing w:line="360" w:lineRule="auto"/>
        <w:ind w:left="142"/>
        <w:rPr>
          <w:rFonts w:ascii="宋体" w:hAnsi="宋体" w:cs="宋体"/>
          <w:sz w:val="24"/>
          <w:lang w:val="zh-CN"/>
        </w:rPr>
      </w:pPr>
      <w:r>
        <w:rPr>
          <w:rFonts w:hint="eastAsia" w:ascii="宋体" w:hAnsi="宋体" w:cs="宋体"/>
          <w:sz w:val="24"/>
        </w:rPr>
        <w:t>装饰性构件的造价：</w:t>
      </w:r>
      <w:r>
        <w:rPr>
          <w:rFonts w:hint="eastAsia" w:ascii="Times New Roman"/>
          <w:sz w:val="24"/>
          <w:u w:val="single"/>
        </w:rPr>
        <w:t xml:space="preserve">          </w:t>
      </w:r>
      <w:r>
        <w:rPr>
          <w:rFonts w:hint="eastAsia" w:ascii="宋体" w:hAnsi="宋体" w:cs="宋体"/>
          <w:sz w:val="24"/>
        </w:rPr>
        <w:t>（万元），</w:t>
      </w:r>
      <w:r>
        <w:rPr>
          <w:rFonts w:hint="eastAsia" w:ascii="宋体" w:hAnsi="宋体" w:cs="宋体"/>
          <w:sz w:val="24"/>
          <w:lang w:val="zh-CN"/>
        </w:rPr>
        <w:t>工程总造价：</w:t>
      </w:r>
      <w:r>
        <w:rPr>
          <w:rFonts w:hint="eastAsia" w:ascii="Times New Roman"/>
          <w:sz w:val="24"/>
          <w:u w:val="single"/>
        </w:rPr>
        <w:t xml:space="preserve">          </w:t>
      </w:r>
      <w:r>
        <w:rPr>
          <w:rFonts w:hint="eastAsia" w:ascii="宋体" w:hAnsi="宋体" w:cs="宋体"/>
          <w:sz w:val="24"/>
          <w:lang w:val="zh-CN"/>
        </w:rPr>
        <w:t>（万元）；</w:t>
      </w:r>
    </w:p>
    <w:p>
      <w:pPr>
        <w:spacing w:line="360" w:lineRule="auto"/>
        <w:ind w:left="142"/>
        <w:rPr>
          <w:rFonts w:ascii="宋体" w:hAnsi="宋体" w:cs="宋体"/>
          <w:sz w:val="24"/>
          <w:u w:val="single"/>
          <w:lang w:val="zh-CN"/>
        </w:rPr>
      </w:pPr>
      <w:r>
        <w:rPr>
          <w:rFonts w:hint="eastAsia" w:ascii="宋体" w:hAnsi="宋体" w:cs="宋体"/>
          <w:sz w:val="24"/>
          <w:lang w:val="zh-CN"/>
        </w:rPr>
        <w:t>纯装饰性构件造价占工程总造价的比例：</w:t>
      </w:r>
      <w:r>
        <w:rPr>
          <w:rFonts w:hint="eastAsia" w:ascii="Times New Roman"/>
          <w:sz w:val="24"/>
          <w:u w:val="single"/>
        </w:rPr>
        <w:t xml:space="preserve">          </w:t>
      </w:r>
      <w:r>
        <w:rPr>
          <w:rFonts w:ascii="Times New Roman" w:hAnsi="Times New Roman"/>
          <w:sz w:val="24"/>
          <w:lang w:val="zh-CN"/>
        </w:rPr>
        <w:t>%</w:t>
      </w:r>
      <w:r>
        <w:rPr>
          <w:rFonts w:ascii="Times New Roman" w:hAnsi="宋体"/>
          <w:sz w:val="24"/>
          <w:lang w:val="zh-CN"/>
        </w:rPr>
        <w:t>＜</w:t>
      </w:r>
      <w:r>
        <w:rPr>
          <w:rFonts w:hint="eastAsia" w:ascii="Times New Roman" w:hAnsi="Times New Roman"/>
          <w:sz w:val="24"/>
          <w:lang w:val="zh-CN"/>
        </w:rPr>
        <w:t>1</w:t>
      </w:r>
      <w:r>
        <w:rPr>
          <w:rFonts w:ascii="Times New Roman" w:hAnsi="Times New Roman"/>
          <w:sz w:val="24"/>
          <w:lang w:val="zh-CN"/>
        </w:rPr>
        <w:t>%</w:t>
      </w:r>
      <w:r>
        <w:rPr>
          <w:rFonts w:hint="eastAsia" w:ascii="宋体" w:hAnsi="宋体" w:cs="宋体"/>
          <w:sz w:val="24"/>
        </w:rPr>
        <w:t>。</w:t>
      </w:r>
    </w:p>
    <w:p>
      <w:pPr>
        <w:pStyle w:val="24"/>
        <w:numPr>
          <w:ilvl w:val="0"/>
          <w:numId w:val="7"/>
        </w:numPr>
        <w:spacing w:line="360" w:lineRule="auto"/>
        <w:ind w:firstLineChars="0"/>
        <w:rPr>
          <w:rFonts w:ascii="Times New Roman"/>
          <w:sz w:val="24"/>
        </w:rPr>
      </w:pPr>
      <w:r>
        <w:rPr>
          <w:rFonts w:hint="eastAsia" w:ascii="Times New Roman"/>
          <w:sz w:val="24"/>
        </w:rPr>
        <w:t>选用的建筑材料符合下列规定：</w:t>
      </w:r>
      <w:r>
        <w:rPr>
          <w:rFonts w:ascii="Times New Roman"/>
          <w:sz w:val="24"/>
        </w:rPr>
        <w:t xml:space="preserve"> </w:t>
      </w:r>
    </w:p>
    <w:p>
      <w:pPr>
        <w:spacing w:line="360" w:lineRule="auto"/>
        <w:ind w:left="142"/>
        <w:rPr>
          <w:rFonts w:ascii="Times New Roman"/>
          <w:sz w:val="24"/>
        </w:rPr>
      </w:pPr>
      <w:r>
        <w:rPr>
          <w:rFonts w:hint="eastAsia" w:ascii="Times New Roman"/>
          <w:sz w:val="24"/>
        </w:rPr>
        <w:t>（1）500km以内生产的建筑材料重量占建筑材料总重量的比例大于60%：□是、□否；</w:t>
      </w:r>
    </w:p>
    <w:p>
      <w:pPr>
        <w:spacing w:line="360" w:lineRule="auto"/>
        <w:ind w:left="142"/>
        <w:rPr>
          <w:rFonts w:ascii="Times New Roman"/>
          <w:sz w:val="24"/>
        </w:rPr>
      </w:pPr>
      <w:r>
        <w:rPr>
          <w:rFonts w:hint="eastAsia" w:ascii="Times New Roman"/>
          <w:sz w:val="24"/>
        </w:rPr>
        <w:t>（2）现浇混凝土采用预拌混凝土，建筑砂浆采用预拌砂浆：□是、□否；</w:t>
      </w:r>
    </w:p>
    <w:p>
      <w:pPr>
        <w:spacing w:line="360" w:lineRule="auto"/>
        <w:ind w:left="142"/>
        <w:rPr>
          <w:rFonts w:ascii="Times New Roman"/>
          <w:sz w:val="24"/>
        </w:rPr>
      </w:pPr>
      <w:r>
        <w:rPr>
          <w:rFonts w:hint="eastAsia" w:ascii="Times New Roman"/>
          <w:sz w:val="24"/>
        </w:rPr>
        <w:t>（3）不应采用实心粘土砖：□是、□否。</w:t>
      </w:r>
    </w:p>
    <w:p>
      <w:pPr>
        <w:pStyle w:val="24"/>
        <w:numPr>
          <w:ilvl w:val="0"/>
          <w:numId w:val="7"/>
        </w:numPr>
        <w:spacing w:line="360" w:lineRule="auto"/>
        <w:ind w:firstLineChars="0"/>
        <w:rPr>
          <w:rFonts w:ascii="Times New Roman"/>
          <w:sz w:val="24"/>
        </w:rPr>
      </w:pPr>
      <w:r>
        <w:rPr>
          <w:rFonts w:hint="eastAsia" w:ascii="Times New Roman"/>
          <w:sz w:val="24"/>
        </w:rPr>
        <w:t>种植区域覆土深度（地下室种植顶板：</w:t>
      </w:r>
      <w:r>
        <w:rPr>
          <w:rFonts w:hint="eastAsia" w:ascii="Times New Roman"/>
          <w:sz w:val="24"/>
          <w:u w:val="single"/>
        </w:rPr>
        <w:t xml:space="preserve">     </w:t>
      </w:r>
      <w:r>
        <w:rPr>
          <w:rFonts w:hint="eastAsia" w:ascii="Times New Roman"/>
          <w:sz w:val="24"/>
        </w:rPr>
        <w:t>；种植屋顶：</w:t>
      </w:r>
      <w:r>
        <w:rPr>
          <w:rFonts w:hint="eastAsia" w:ascii="Times New Roman"/>
          <w:sz w:val="24"/>
          <w:u w:val="single"/>
        </w:rPr>
        <w:t xml:space="preserve">     </w:t>
      </w:r>
      <w:r>
        <w:rPr>
          <w:rFonts w:hint="eastAsia" w:ascii="Times New Roman"/>
          <w:sz w:val="24"/>
        </w:rPr>
        <w:t>）和排水能力满足植物生长需求，同时结构能满足其承重要求。详见图纸：</w:t>
      </w:r>
      <w:r>
        <w:rPr>
          <w:rFonts w:hint="eastAsia" w:ascii="Times New Roman"/>
          <w:sz w:val="24"/>
          <w:u w:val="single"/>
        </w:rPr>
        <w:t xml:space="preserve">          </w:t>
      </w:r>
      <w:r>
        <w:rPr>
          <w:rFonts w:hint="eastAsia" w:ascii="Times New Roman"/>
          <w:sz w:val="24"/>
        </w:rPr>
        <w:t>。</w:t>
      </w:r>
    </w:p>
    <w:p>
      <w:pPr>
        <w:pStyle w:val="24"/>
        <w:spacing w:line="360" w:lineRule="auto"/>
        <w:ind w:left="150" w:firstLine="0" w:firstLineChars="0"/>
        <w:rPr>
          <w:rFonts w:ascii="Times New Roman"/>
          <w:sz w:val="24"/>
        </w:rPr>
      </w:pPr>
    </w:p>
    <w:p>
      <w:pPr>
        <w:pStyle w:val="24"/>
        <w:numPr>
          <w:ilvl w:val="0"/>
          <w:numId w:val="5"/>
        </w:numPr>
        <w:spacing w:line="360" w:lineRule="auto"/>
        <w:ind w:left="-210" w:leftChars="-100" w:firstLineChars="0"/>
        <w:rPr>
          <w:b/>
          <w:sz w:val="28"/>
          <w:szCs w:val="28"/>
        </w:rPr>
      </w:pPr>
      <w:r>
        <w:rPr>
          <w:rFonts w:hint="eastAsia"/>
          <w:b/>
          <w:sz w:val="28"/>
          <w:szCs w:val="28"/>
        </w:rPr>
        <w:t>绿色建筑</w:t>
      </w:r>
      <w:r>
        <w:rPr>
          <w:rFonts w:hint="eastAsia" w:ascii="Times New Roman"/>
          <w:sz w:val="28"/>
          <w:szCs w:val="28"/>
          <w:u w:val="single"/>
        </w:rPr>
        <w:t xml:space="preserve">     </w:t>
      </w:r>
      <w:r>
        <w:rPr>
          <w:rFonts w:hint="eastAsia"/>
          <w:b/>
          <w:sz w:val="28"/>
          <w:szCs w:val="28"/>
        </w:rPr>
        <w:t>星级</w:t>
      </w:r>
    </w:p>
    <w:p>
      <w:pPr>
        <w:spacing w:line="360" w:lineRule="auto"/>
        <w:rPr>
          <w:rFonts w:ascii="Times New Roman"/>
          <w:sz w:val="24"/>
        </w:rPr>
      </w:pPr>
      <w:r>
        <w:rPr>
          <w:rFonts w:ascii="Times New Roman"/>
          <w:sz w:val="24"/>
        </w:rPr>
        <w:t>根据项目特点合理选择</w:t>
      </w:r>
      <w:r>
        <w:rPr>
          <w:rFonts w:hint="eastAsia" w:ascii="Times New Roman"/>
          <w:sz w:val="24"/>
        </w:rPr>
        <w:t>绿色建筑的</w:t>
      </w:r>
      <w:r>
        <w:rPr>
          <w:rFonts w:ascii="Times New Roman"/>
          <w:sz w:val="24"/>
        </w:rPr>
        <w:t>技术路线</w:t>
      </w:r>
      <w:r>
        <w:rPr>
          <w:rFonts w:hint="eastAsia" w:ascii="Times New Roman"/>
          <w:sz w:val="24"/>
        </w:rPr>
        <w:t>，</w:t>
      </w:r>
      <w:r>
        <w:rPr>
          <w:rFonts w:ascii="Times New Roman"/>
          <w:sz w:val="24"/>
        </w:rPr>
        <w:t>增加相关</w:t>
      </w:r>
      <w:r>
        <w:rPr>
          <w:rFonts w:hint="eastAsia" w:ascii="Times New Roman"/>
          <w:sz w:val="24"/>
        </w:rPr>
        <w:t>条款、</w:t>
      </w:r>
      <w:r>
        <w:rPr>
          <w:rFonts w:ascii="Times New Roman"/>
          <w:sz w:val="24"/>
        </w:rPr>
        <w:t>说明、图纸和报告。</w:t>
      </w:r>
    </w:p>
    <w:p>
      <w:pPr>
        <w:pStyle w:val="24"/>
        <w:spacing w:line="360" w:lineRule="auto"/>
        <w:ind w:left="-210" w:firstLine="0" w:firstLineChars="0"/>
        <w:rPr>
          <w:b/>
          <w:sz w:val="28"/>
          <w:szCs w:val="28"/>
        </w:rPr>
      </w:pPr>
      <w:r>
        <w:rPr>
          <w:b/>
          <w:sz w:val="28"/>
          <w:szCs w:val="28"/>
        </w:rPr>
        <w:br w:type="page"/>
      </w:r>
    </w:p>
    <w:p>
      <w:pPr>
        <w:spacing w:line="360" w:lineRule="auto"/>
        <w:ind w:left="-210" w:leftChars="-100"/>
        <w:jc w:val="center"/>
        <w:rPr>
          <w:rFonts w:ascii="Times New Roman" w:hAnsi="Times New Roman"/>
          <w:b/>
          <w:sz w:val="28"/>
          <w:szCs w:val="28"/>
        </w:rPr>
      </w:pPr>
      <w:r>
        <w:rPr>
          <w:rFonts w:hint="eastAsia" w:ascii="Times New Roman" w:hAnsi="Times New Roman"/>
          <w:b/>
          <w:sz w:val="28"/>
          <w:szCs w:val="28"/>
        </w:rPr>
        <w:t>江西省绿色建筑设计专篇</w:t>
      </w:r>
      <w:r>
        <w:rPr>
          <w:rFonts w:hint="eastAsia" w:ascii="Times New Roman" w:hAnsi="Times New Roman"/>
          <w:b/>
          <w:sz w:val="28"/>
          <w:szCs w:val="28"/>
          <w:lang w:val="en-US" w:eastAsia="zh-CN"/>
        </w:rPr>
        <w:t>参考模板</w:t>
      </w:r>
      <w:r>
        <w:rPr>
          <w:rFonts w:hint="eastAsia" w:ascii="Times New Roman" w:hAnsi="Times New Roman"/>
          <w:b/>
          <w:sz w:val="28"/>
          <w:szCs w:val="28"/>
        </w:rPr>
        <w:t>（给排水）</w:t>
      </w:r>
    </w:p>
    <w:p>
      <w:pPr>
        <w:pStyle w:val="24"/>
        <w:numPr>
          <w:ilvl w:val="0"/>
          <w:numId w:val="8"/>
        </w:numPr>
        <w:spacing w:line="360" w:lineRule="auto"/>
        <w:ind w:left="-210" w:leftChars="-100" w:firstLineChars="0"/>
        <w:rPr>
          <w:b/>
          <w:sz w:val="28"/>
          <w:szCs w:val="28"/>
        </w:rPr>
      </w:pPr>
      <w:r>
        <w:rPr>
          <w:rFonts w:hint="eastAsia"/>
          <w:b/>
          <w:sz w:val="28"/>
          <w:szCs w:val="28"/>
        </w:rPr>
        <w:t>设计依据</w:t>
      </w:r>
    </w:p>
    <w:p>
      <w:pPr>
        <w:pStyle w:val="24"/>
        <w:numPr>
          <w:ilvl w:val="0"/>
          <w:numId w:val="9"/>
        </w:numPr>
        <w:spacing w:line="360" w:lineRule="auto"/>
        <w:ind w:firstLineChars="0"/>
        <w:rPr>
          <w:rFonts w:ascii="Times New Roman"/>
          <w:sz w:val="24"/>
        </w:rPr>
      </w:pPr>
      <w:r>
        <w:rPr>
          <w:rFonts w:hint="eastAsia" w:ascii="Times New Roman"/>
          <w:sz w:val="24"/>
        </w:rPr>
        <w:t>《建筑给水排水设计规范》GB 50015-2003（2009年版）</w:t>
      </w:r>
    </w:p>
    <w:p>
      <w:pPr>
        <w:pStyle w:val="24"/>
        <w:numPr>
          <w:ilvl w:val="0"/>
          <w:numId w:val="9"/>
        </w:numPr>
        <w:spacing w:line="360" w:lineRule="auto"/>
        <w:ind w:firstLineChars="0"/>
        <w:rPr>
          <w:rFonts w:ascii="Times New Roman"/>
          <w:sz w:val="24"/>
        </w:rPr>
      </w:pPr>
      <w:r>
        <w:rPr>
          <w:rFonts w:hint="eastAsia" w:ascii="Times New Roman"/>
          <w:sz w:val="24"/>
        </w:rPr>
        <w:t>《民用建筑节水设计标准》GB 50555-2010</w:t>
      </w:r>
    </w:p>
    <w:p>
      <w:pPr>
        <w:pStyle w:val="24"/>
        <w:numPr>
          <w:ilvl w:val="0"/>
          <w:numId w:val="9"/>
        </w:numPr>
        <w:spacing w:line="360" w:lineRule="auto"/>
        <w:ind w:firstLineChars="0"/>
        <w:rPr>
          <w:rFonts w:ascii="Times New Roman"/>
          <w:sz w:val="24"/>
        </w:rPr>
      </w:pPr>
      <w:r>
        <w:rPr>
          <w:rFonts w:hint="eastAsia" w:ascii="Times New Roman"/>
          <w:sz w:val="24"/>
        </w:rPr>
        <w:t>《节水型生活用水器具》</w:t>
      </w:r>
      <w:r>
        <w:rPr>
          <w:rFonts w:ascii="Times New Roman"/>
          <w:sz w:val="24"/>
        </w:rPr>
        <w:t>CJ/T</w:t>
      </w:r>
      <w:r>
        <w:rPr>
          <w:rFonts w:hint="eastAsia" w:ascii="Times New Roman"/>
          <w:sz w:val="24"/>
        </w:rPr>
        <w:t xml:space="preserve"> </w:t>
      </w:r>
      <w:r>
        <w:rPr>
          <w:rFonts w:ascii="Times New Roman"/>
          <w:sz w:val="24"/>
        </w:rPr>
        <w:t>164-2014</w:t>
      </w:r>
    </w:p>
    <w:p>
      <w:pPr>
        <w:pStyle w:val="24"/>
        <w:numPr>
          <w:ilvl w:val="0"/>
          <w:numId w:val="9"/>
        </w:numPr>
        <w:spacing w:line="360" w:lineRule="auto"/>
        <w:ind w:firstLineChars="0"/>
        <w:rPr>
          <w:rFonts w:ascii="Times New Roman"/>
          <w:sz w:val="24"/>
        </w:rPr>
      </w:pPr>
      <w:r>
        <w:rPr>
          <w:rFonts w:hint="eastAsia" w:ascii="Times New Roman"/>
          <w:sz w:val="24"/>
        </w:rPr>
        <w:t>《节水型产品通用技术条件》GB/T 18870 -2011</w:t>
      </w:r>
    </w:p>
    <w:p>
      <w:pPr>
        <w:pStyle w:val="24"/>
        <w:numPr>
          <w:ilvl w:val="0"/>
          <w:numId w:val="9"/>
        </w:numPr>
        <w:spacing w:line="360" w:lineRule="auto"/>
        <w:ind w:firstLineChars="0"/>
        <w:rPr>
          <w:rFonts w:ascii="Times New Roman"/>
          <w:sz w:val="24"/>
        </w:rPr>
      </w:pPr>
      <w:r>
        <w:rPr>
          <w:rFonts w:hint="eastAsia" w:ascii="Times New Roman"/>
          <w:sz w:val="24"/>
        </w:rPr>
        <w:t>《生活饮用水卫生标准》GB 5749-2006</w:t>
      </w:r>
    </w:p>
    <w:p>
      <w:pPr>
        <w:pStyle w:val="24"/>
        <w:numPr>
          <w:ilvl w:val="0"/>
          <w:numId w:val="9"/>
        </w:numPr>
        <w:spacing w:line="360" w:lineRule="auto"/>
        <w:ind w:firstLineChars="0"/>
        <w:rPr>
          <w:rFonts w:ascii="Times New Roman"/>
          <w:sz w:val="24"/>
        </w:rPr>
      </w:pPr>
      <w:r>
        <w:rPr>
          <w:rFonts w:hint="eastAsia" w:ascii="Times New Roman"/>
          <w:sz w:val="24"/>
        </w:rPr>
        <w:t>《绿色建筑评价标准》GB/T50378-2019</w:t>
      </w:r>
    </w:p>
    <w:p>
      <w:pPr>
        <w:pStyle w:val="24"/>
        <w:numPr>
          <w:ilvl w:val="0"/>
          <w:numId w:val="9"/>
        </w:numPr>
        <w:spacing w:line="360" w:lineRule="auto"/>
        <w:ind w:firstLineChars="0"/>
        <w:rPr>
          <w:rFonts w:ascii="Times New Roman"/>
          <w:sz w:val="24"/>
        </w:rPr>
      </w:pPr>
      <w:r>
        <w:rPr>
          <w:rFonts w:hint="eastAsia" w:ascii="Times New Roman"/>
          <w:sz w:val="24"/>
        </w:rPr>
        <w:t>国家、省、市现行的法律、规范及其他相关规定</w:t>
      </w:r>
    </w:p>
    <w:p>
      <w:pPr>
        <w:pStyle w:val="24"/>
        <w:spacing w:line="360" w:lineRule="auto"/>
        <w:ind w:left="210" w:firstLine="0" w:firstLineChars="0"/>
        <w:rPr>
          <w:b/>
          <w:sz w:val="28"/>
          <w:szCs w:val="28"/>
        </w:rPr>
      </w:pPr>
    </w:p>
    <w:p>
      <w:pPr>
        <w:pStyle w:val="24"/>
        <w:numPr>
          <w:ilvl w:val="0"/>
          <w:numId w:val="8"/>
        </w:numPr>
        <w:spacing w:line="360" w:lineRule="auto"/>
        <w:ind w:left="-210" w:leftChars="-100" w:firstLineChars="0"/>
        <w:rPr>
          <w:b/>
          <w:sz w:val="28"/>
          <w:szCs w:val="28"/>
        </w:rPr>
      </w:pPr>
      <w:r>
        <w:rPr>
          <w:rFonts w:hint="eastAsia"/>
          <w:b/>
          <w:sz w:val="28"/>
          <w:szCs w:val="28"/>
        </w:rPr>
        <w:t>基本级设计内容</w:t>
      </w:r>
    </w:p>
    <w:p>
      <w:pPr>
        <w:pStyle w:val="24"/>
        <w:numPr>
          <w:ilvl w:val="0"/>
          <w:numId w:val="10"/>
        </w:numPr>
        <w:spacing w:line="360" w:lineRule="auto"/>
        <w:ind w:firstLineChars="0"/>
        <w:rPr>
          <w:rFonts w:ascii="Times New Roman"/>
          <w:sz w:val="24"/>
        </w:rPr>
      </w:pPr>
      <w:r>
        <w:rPr>
          <w:rFonts w:hint="eastAsia" w:ascii="Times New Roman"/>
          <w:sz w:val="24"/>
        </w:rPr>
        <w:t>给水排水系统的设置符合下列规定：</w:t>
      </w:r>
    </w:p>
    <w:p>
      <w:pPr>
        <w:spacing w:line="360" w:lineRule="auto"/>
        <w:ind w:left="142"/>
        <w:rPr>
          <w:rFonts w:ascii="Times New Roman"/>
          <w:sz w:val="24"/>
        </w:rPr>
      </w:pPr>
      <w:r>
        <w:rPr>
          <w:rFonts w:hint="eastAsia" w:ascii="Times New Roman"/>
          <w:sz w:val="24"/>
        </w:rPr>
        <w:t>（1）生活饮用水水质满足现行国家标准《生活饮用水卫生标准》GB 5749的要求：□是、□否；如“是”，详见图纸：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（2）制定水池、水箱等储水设施定期清洗消毒计划并实施，且生活饮用水储水设施每半年清洗消毒不少于1次：□是、□否；如“是”，详见图纸：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（3）使用构造内自带水封的便器，且其水封深度不小于50mm：□是、□否；如“是”，详见图纸：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（4）非传统水源管道和设备设置明确、清晰的永久性标识：□是、□否；如“是”，详见图纸：</w:t>
      </w:r>
      <w:r>
        <w:rPr>
          <w:rFonts w:hint="eastAsia" w:ascii="Times New Roman"/>
          <w:sz w:val="24"/>
          <w:u w:val="single"/>
        </w:rPr>
        <w:t xml:space="preserve">            </w:t>
      </w:r>
      <w:r>
        <w:rPr>
          <w:rFonts w:hint="eastAsia" w:ascii="Times New Roman"/>
          <w:sz w:val="24"/>
        </w:rPr>
        <w:t>。</w:t>
      </w:r>
    </w:p>
    <w:p>
      <w:pPr>
        <w:pStyle w:val="24"/>
        <w:numPr>
          <w:ilvl w:val="0"/>
          <w:numId w:val="10"/>
        </w:numPr>
        <w:spacing w:line="360" w:lineRule="auto"/>
        <w:ind w:firstLineChars="0"/>
        <w:rPr>
          <w:rFonts w:ascii="Times New Roman"/>
          <w:sz w:val="24"/>
        </w:rPr>
      </w:pPr>
      <w:r>
        <w:rPr>
          <w:rFonts w:hint="eastAsia" w:ascii="Times New Roman"/>
          <w:sz w:val="24"/>
        </w:rPr>
        <w:t>制定水资源利用方案，统筹利用各种水资源，并符合下列规定：详见</w:t>
      </w:r>
      <w:r>
        <w:rPr>
          <w:rFonts w:hint="eastAsia" w:ascii="Times New Roman"/>
          <w:sz w:val="24"/>
          <w:u w:val="single"/>
        </w:rPr>
        <w:t>《水资源利用方案》</w:t>
      </w:r>
      <w:r>
        <w:rPr>
          <w:rFonts w:hint="eastAsia" w:ascii="Times New Roman"/>
          <w:sz w:val="24"/>
        </w:rPr>
        <w:t>。</w:t>
      </w:r>
    </w:p>
    <w:p>
      <w:pPr>
        <w:spacing w:line="360" w:lineRule="auto"/>
        <w:ind w:left="142"/>
        <w:rPr>
          <w:rFonts w:ascii="Times New Roman"/>
          <w:sz w:val="24"/>
        </w:rPr>
      </w:pPr>
      <w:r>
        <w:rPr>
          <w:rFonts w:hint="eastAsia" w:ascii="Times New Roman"/>
          <w:sz w:val="24"/>
        </w:rPr>
        <w:t>（1）按使用用途、付费或管理单元，分别设置用水计量装置；详见图纸：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□使用用途：□厨房、□卫生间、□空调、□游泳池、□绿化、□景观、□浇洒道路、□洗车、□其他：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□付费或管理单元：□住宅各户、□商场各商铺、□其他：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（2）用水点处水压大于0.2MPa的配水支管设置减压设施，并满足给水配件最低工作压力的要求；详见</w:t>
      </w:r>
      <w:r>
        <w:rPr>
          <w:rFonts w:hint="eastAsia" w:ascii="Times New Roman"/>
          <w:sz w:val="24"/>
          <w:u w:val="single"/>
        </w:rPr>
        <w:t>《各层用水点压力计算》书</w:t>
      </w:r>
      <w:r>
        <w:rPr>
          <w:rFonts w:hint="eastAsia" w:ascii="Times New Roman"/>
          <w:sz w:val="24"/>
        </w:rPr>
        <w:t>，详见图纸：</w:t>
      </w:r>
      <w:r>
        <w:rPr>
          <w:rFonts w:hint="eastAsia" w:ascii="Times New Roman"/>
          <w:sz w:val="24"/>
          <w:u w:val="single"/>
        </w:rPr>
        <w:t xml:space="preserve">            </w:t>
      </w:r>
      <w:r>
        <w:rPr>
          <w:rFonts w:hint="eastAsia" w:ascii="Times New Roman"/>
          <w:sz w:val="24"/>
        </w:rPr>
        <w:t>。</w:t>
      </w:r>
    </w:p>
    <w:p>
      <w:pPr>
        <w:pStyle w:val="24"/>
        <w:spacing w:line="360" w:lineRule="auto"/>
        <w:ind w:left="150" w:firstLine="0" w:firstLineChars="0"/>
        <w:jc w:val="center"/>
        <w:rPr>
          <w:rFonts w:ascii="Times New Roman"/>
          <w:sz w:val="24"/>
        </w:rPr>
      </w:pPr>
      <w:r>
        <w:rPr>
          <w:rFonts w:hint="eastAsia" w:ascii="Times New Roman"/>
          <w:sz w:val="24"/>
        </w:rPr>
        <w:t>节水器具压力统计表</w:t>
      </w:r>
    </w:p>
    <w:tbl>
      <w:tblPr>
        <w:tblStyle w:val="16"/>
        <w:tblW w:w="827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21"/>
        <w:gridCol w:w="2132"/>
        <w:gridCol w:w="2132"/>
        <w:gridCol w:w="199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021" w:type="dxa"/>
            <w:vAlign w:val="center"/>
          </w:tcPr>
          <w:p>
            <w:pPr>
              <w:adjustRightInd w:val="0"/>
              <w:snapToGrid w:val="0"/>
              <w:spacing w:line="288" w:lineRule="auto"/>
              <w:jc w:val="center"/>
              <w:rPr>
                <w:rFonts w:ascii="Times New Roman" w:hAnsi="Times New Roman"/>
                <w:b/>
                <w:szCs w:val="21"/>
              </w:rPr>
            </w:pPr>
            <w:r>
              <w:rPr>
                <w:rFonts w:ascii="Times New Roman" w:hAnsi="宋体"/>
                <w:b/>
                <w:szCs w:val="21"/>
              </w:rPr>
              <w:t>器具名称</w:t>
            </w:r>
          </w:p>
        </w:tc>
        <w:tc>
          <w:tcPr>
            <w:tcW w:w="2132" w:type="dxa"/>
            <w:vAlign w:val="center"/>
          </w:tcPr>
          <w:p>
            <w:pPr>
              <w:adjustRightInd w:val="0"/>
              <w:snapToGrid w:val="0"/>
              <w:spacing w:line="288" w:lineRule="auto"/>
              <w:jc w:val="center"/>
              <w:rPr>
                <w:rFonts w:ascii="Times New Roman" w:hAnsi="Times New Roman"/>
                <w:b/>
                <w:szCs w:val="21"/>
              </w:rPr>
            </w:pPr>
            <w:r>
              <w:rPr>
                <w:rFonts w:ascii="Times New Roman" w:hAnsi="宋体"/>
                <w:b/>
                <w:szCs w:val="21"/>
              </w:rPr>
              <w:t>器具最低工作压力</w:t>
            </w:r>
          </w:p>
          <w:p>
            <w:pPr>
              <w:adjustRightInd w:val="0"/>
              <w:snapToGrid w:val="0"/>
              <w:spacing w:line="288" w:lineRule="auto"/>
              <w:jc w:val="center"/>
              <w:rPr>
                <w:rFonts w:ascii="Times New Roman" w:hAnsi="Times New Roman"/>
                <w:b/>
                <w:szCs w:val="21"/>
              </w:rPr>
            </w:pPr>
            <w:r>
              <w:rPr>
                <w:rFonts w:ascii="Times New Roman" w:hAnsi="宋体"/>
                <w:b/>
                <w:szCs w:val="21"/>
              </w:rPr>
              <w:t>（</w:t>
            </w:r>
            <w:r>
              <w:rPr>
                <w:rFonts w:ascii="Times New Roman" w:hAnsi="Times New Roman"/>
                <w:b/>
                <w:szCs w:val="21"/>
              </w:rPr>
              <w:t>MPa</w:t>
            </w:r>
            <w:r>
              <w:rPr>
                <w:rFonts w:ascii="Times New Roman" w:hAnsi="宋体"/>
                <w:b/>
                <w:szCs w:val="21"/>
              </w:rPr>
              <w:t>）</w:t>
            </w:r>
          </w:p>
        </w:tc>
        <w:tc>
          <w:tcPr>
            <w:tcW w:w="2132" w:type="dxa"/>
            <w:vAlign w:val="center"/>
          </w:tcPr>
          <w:p>
            <w:pPr>
              <w:adjustRightInd w:val="0"/>
              <w:snapToGrid w:val="0"/>
              <w:spacing w:line="288" w:lineRule="auto"/>
              <w:jc w:val="center"/>
              <w:rPr>
                <w:rFonts w:ascii="Times New Roman" w:hAnsi="Times New Roman"/>
                <w:b/>
                <w:szCs w:val="21"/>
              </w:rPr>
            </w:pPr>
            <w:r>
              <w:rPr>
                <w:rFonts w:ascii="Times New Roman" w:hAnsi="宋体"/>
                <w:b/>
                <w:szCs w:val="21"/>
              </w:rPr>
              <w:t>用水点供水压力</w:t>
            </w:r>
          </w:p>
          <w:p>
            <w:pPr>
              <w:adjustRightInd w:val="0"/>
              <w:snapToGrid w:val="0"/>
              <w:spacing w:line="288" w:lineRule="auto"/>
              <w:jc w:val="center"/>
              <w:rPr>
                <w:rFonts w:ascii="Times New Roman" w:hAnsi="Times New Roman"/>
                <w:b/>
                <w:szCs w:val="21"/>
              </w:rPr>
            </w:pPr>
            <w:r>
              <w:rPr>
                <w:rFonts w:ascii="Times New Roman" w:hAnsi="宋体"/>
                <w:b/>
                <w:szCs w:val="21"/>
              </w:rPr>
              <w:t>（</w:t>
            </w:r>
            <w:r>
              <w:rPr>
                <w:rFonts w:ascii="Times New Roman" w:hAnsi="Times New Roman"/>
                <w:b/>
                <w:szCs w:val="21"/>
              </w:rPr>
              <w:t>MPa</w:t>
            </w:r>
            <w:r>
              <w:rPr>
                <w:rFonts w:ascii="Times New Roman" w:hAnsi="宋体"/>
                <w:b/>
                <w:szCs w:val="21"/>
              </w:rPr>
              <w:t>）</w:t>
            </w:r>
          </w:p>
        </w:tc>
        <w:tc>
          <w:tcPr>
            <w:tcW w:w="1993" w:type="dxa"/>
            <w:vAlign w:val="center"/>
          </w:tcPr>
          <w:p>
            <w:pPr>
              <w:adjustRightInd w:val="0"/>
              <w:snapToGrid w:val="0"/>
              <w:spacing w:line="288" w:lineRule="auto"/>
              <w:jc w:val="center"/>
              <w:rPr>
                <w:rFonts w:ascii="Times New Roman" w:hAnsi="Times New Roman"/>
                <w:b/>
                <w:szCs w:val="21"/>
              </w:rPr>
            </w:pPr>
            <w:r>
              <w:rPr>
                <w:rFonts w:ascii="Times New Roman" w:hAnsi="宋体"/>
                <w:b/>
                <w:szCs w:val="21"/>
              </w:rPr>
              <w:t>是否符合要求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021"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1993" w:type="dxa"/>
            <w:vAlign w:val="center"/>
          </w:tcPr>
          <w:p>
            <w:pPr>
              <w:jc w:val="center"/>
              <w:rPr>
                <w:rFonts w:ascii="Times New Roman" w:hAnsi="Times New Roman"/>
                <w:szCs w:val="21"/>
              </w:rPr>
            </w:pPr>
            <w:r>
              <w:rPr>
                <w:rFonts w:hint="eastAsia" w:ascii="Times New Roman"/>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021"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1993" w:type="dxa"/>
            <w:vAlign w:val="center"/>
          </w:tcPr>
          <w:p>
            <w:pPr>
              <w:jc w:val="center"/>
              <w:rPr>
                <w:rFonts w:ascii="Times New Roman" w:hAnsi="Times New Roman"/>
                <w:szCs w:val="21"/>
              </w:rPr>
            </w:pPr>
            <w:r>
              <w:rPr>
                <w:rFonts w:hint="eastAsia" w:ascii="Times New Roman"/>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021"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1993" w:type="dxa"/>
            <w:vAlign w:val="center"/>
          </w:tcPr>
          <w:p>
            <w:pPr>
              <w:jc w:val="center"/>
              <w:rPr>
                <w:rFonts w:ascii="Times New Roman" w:hAnsi="Times New Roman"/>
                <w:szCs w:val="21"/>
              </w:rPr>
            </w:pPr>
            <w:r>
              <w:rPr>
                <w:rFonts w:hint="eastAsia" w:ascii="Times New Roman"/>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021"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2132" w:type="dxa"/>
            <w:vAlign w:val="center"/>
          </w:tcPr>
          <w:p>
            <w:pPr>
              <w:jc w:val="center"/>
              <w:rPr>
                <w:rFonts w:ascii="Times New Roman" w:hAnsi="Times New Roman"/>
                <w:szCs w:val="21"/>
              </w:rPr>
            </w:pPr>
          </w:p>
        </w:tc>
        <w:tc>
          <w:tcPr>
            <w:tcW w:w="1993" w:type="dxa"/>
            <w:vAlign w:val="center"/>
          </w:tcPr>
          <w:p>
            <w:pPr>
              <w:jc w:val="center"/>
              <w:rPr>
                <w:rFonts w:ascii="Times New Roman" w:hAnsi="Times New Roman"/>
                <w:szCs w:val="21"/>
              </w:rPr>
            </w:pPr>
            <w:r>
              <w:rPr>
                <w:rFonts w:hint="eastAsia" w:ascii="Times New Roman"/>
                <w:szCs w:val="21"/>
              </w:rPr>
              <w:t>□</w:t>
            </w:r>
          </w:p>
        </w:tc>
      </w:tr>
    </w:tbl>
    <w:p>
      <w:pPr>
        <w:spacing w:line="360" w:lineRule="auto"/>
        <w:ind w:left="142"/>
        <w:rPr>
          <w:rFonts w:ascii="Times New Roman"/>
          <w:sz w:val="24"/>
        </w:rPr>
      </w:pPr>
      <w:r>
        <w:rPr>
          <w:rFonts w:hint="eastAsia" w:ascii="Times New Roman"/>
          <w:sz w:val="24"/>
        </w:rPr>
        <w:t>（3）用水器具和设备应满足节水产品的要求。</w:t>
      </w:r>
    </w:p>
    <w:p>
      <w:pPr>
        <w:spacing w:line="360" w:lineRule="auto"/>
        <w:ind w:left="142"/>
        <w:rPr>
          <w:rFonts w:ascii="Times New Roman"/>
          <w:sz w:val="24"/>
        </w:rPr>
      </w:pPr>
      <w:r>
        <w:rPr>
          <w:rFonts w:hint="eastAsia" w:ascii="Times New Roman"/>
          <w:sz w:val="24"/>
        </w:rPr>
        <w:t>主要器具类型有：</w:t>
      </w:r>
      <w:r>
        <w:rPr>
          <w:rFonts w:hint="eastAsia" w:ascii="Times New Roman"/>
          <w:szCs w:val="21"/>
        </w:rPr>
        <w:t>□</w:t>
      </w:r>
      <w:r>
        <w:rPr>
          <w:rFonts w:hint="eastAsia" w:ascii="Times New Roman"/>
          <w:sz w:val="24"/>
        </w:rPr>
        <w:t>龙头</w:t>
      </w:r>
      <w:r>
        <w:rPr>
          <w:rFonts w:ascii="Times New Roman"/>
          <w:sz w:val="24"/>
        </w:rPr>
        <w:t>、</w:t>
      </w:r>
      <w:r>
        <w:rPr>
          <w:rFonts w:hint="eastAsia" w:ascii="Times New Roman"/>
          <w:szCs w:val="21"/>
        </w:rPr>
        <w:t>□</w:t>
      </w:r>
      <w:r>
        <w:rPr>
          <w:rFonts w:hint="eastAsia" w:ascii="Times New Roman"/>
          <w:sz w:val="24"/>
        </w:rPr>
        <w:t>大便器</w:t>
      </w:r>
      <w:r>
        <w:rPr>
          <w:rFonts w:ascii="Times New Roman"/>
          <w:sz w:val="24"/>
        </w:rPr>
        <w:t>、</w:t>
      </w:r>
      <w:r>
        <w:rPr>
          <w:rFonts w:hint="eastAsia" w:ascii="Times New Roman"/>
          <w:szCs w:val="21"/>
        </w:rPr>
        <w:t>□</w:t>
      </w:r>
      <w:r>
        <w:rPr>
          <w:rFonts w:hint="eastAsia" w:ascii="Times New Roman"/>
          <w:sz w:val="24"/>
        </w:rPr>
        <w:t>小便器</w:t>
      </w:r>
      <w:r>
        <w:rPr>
          <w:rFonts w:ascii="Times New Roman"/>
          <w:sz w:val="24"/>
        </w:rPr>
        <w:t>、</w:t>
      </w:r>
      <w:r>
        <w:rPr>
          <w:rFonts w:hint="eastAsia" w:ascii="Times New Roman"/>
          <w:szCs w:val="21"/>
        </w:rPr>
        <w:t>□</w:t>
      </w:r>
      <w:r>
        <w:rPr>
          <w:rFonts w:hint="eastAsia" w:ascii="Times New Roman"/>
          <w:sz w:val="24"/>
        </w:rPr>
        <w:t>淋浴器</w:t>
      </w:r>
      <w:r>
        <w:rPr>
          <w:rFonts w:ascii="Times New Roman"/>
          <w:sz w:val="24"/>
        </w:rPr>
        <w:t>、</w:t>
      </w:r>
      <w:r>
        <w:rPr>
          <w:rFonts w:hint="eastAsia" w:ascii="Times New Roman"/>
          <w:szCs w:val="21"/>
        </w:rPr>
        <w:t>□</w:t>
      </w:r>
      <w:r>
        <w:rPr>
          <w:rFonts w:hint="eastAsia" w:ascii="Times New Roman"/>
          <w:sz w:val="24"/>
        </w:rPr>
        <w:t>其他：</w:t>
      </w:r>
      <w:r>
        <w:rPr>
          <w:rFonts w:hint="eastAsia" w:ascii="Times New Roman"/>
          <w:sz w:val="24"/>
          <w:u w:val="single"/>
        </w:rPr>
        <w:t xml:space="preserve">          </w:t>
      </w:r>
      <w:r>
        <w:rPr>
          <w:rFonts w:hint="eastAsia" w:ascii="Times New Roman"/>
          <w:sz w:val="24"/>
        </w:rPr>
        <w:t>。</w:t>
      </w:r>
    </w:p>
    <w:tbl>
      <w:tblPr>
        <w:tblStyle w:val="16"/>
        <w:tblW w:w="821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23"/>
        <w:gridCol w:w="1765"/>
        <w:gridCol w:w="2499"/>
        <w:gridCol w:w="213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adjustRightInd w:val="0"/>
              <w:snapToGrid w:val="0"/>
              <w:spacing w:beforeLines="50" w:afterLines="50"/>
              <w:jc w:val="center"/>
              <w:rPr>
                <w:rFonts w:ascii="Times New Roman" w:hAnsi="Times New Roman"/>
                <w:b/>
                <w:szCs w:val="21"/>
              </w:rPr>
            </w:pPr>
            <w:r>
              <w:rPr>
                <w:rFonts w:ascii="Times New Roman" w:hAnsi="宋体"/>
                <w:b/>
                <w:szCs w:val="21"/>
              </w:rPr>
              <w:t>器具名称</w:t>
            </w:r>
          </w:p>
        </w:tc>
        <w:tc>
          <w:tcPr>
            <w:tcW w:w="1765" w:type="dxa"/>
            <w:vAlign w:val="center"/>
          </w:tcPr>
          <w:p>
            <w:pPr>
              <w:adjustRightInd w:val="0"/>
              <w:snapToGrid w:val="0"/>
              <w:spacing w:beforeLines="50" w:afterLines="50"/>
              <w:jc w:val="center"/>
              <w:rPr>
                <w:rFonts w:ascii="Times New Roman" w:hAnsi="Times New Roman"/>
                <w:b/>
                <w:szCs w:val="21"/>
              </w:rPr>
            </w:pPr>
            <w:r>
              <w:rPr>
                <w:rFonts w:ascii="Times New Roman" w:hAnsi="宋体"/>
                <w:b/>
                <w:szCs w:val="21"/>
              </w:rPr>
              <w:t>器具类型</w:t>
            </w:r>
          </w:p>
        </w:tc>
        <w:tc>
          <w:tcPr>
            <w:tcW w:w="2499" w:type="dxa"/>
            <w:vAlign w:val="center"/>
          </w:tcPr>
          <w:p>
            <w:pPr>
              <w:adjustRightInd w:val="0"/>
              <w:snapToGrid w:val="0"/>
              <w:spacing w:beforeLines="50" w:afterLines="50"/>
              <w:jc w:val="center"/>
              <w:rPr>
                <w:rFonts w:ascii="Times New Roman" w:hAnsi="Times New Roman"/>
                <w:b/>
                <w:szCs w:val="21"/>
              </w:rPr>
            </w:pPr>
            <w:r>
              <w:rPr>
                <w:rFonts w:ascii="Times New Roman" w:hAnsi="宋体"/>
                <w:b/>
                <w:szCs w:val="21"/>
              </w:rPr>
              <w:t>流量（</w:t>
            </w:r>
            <w:r>
              <w:rPr>
                <w:rFonts w:ascii="Times New Roman" w:hAnsi="Times New Roman"/>
                <w:b/>
                <w:szCs w:val="21"/>
              </w:rPr>
              <w:t>L/s</w:t>
            </w:r>
            <w:r>
              <w:rPr>
                <w:rFonts w:ascii="Times New Roman" w:hAnsi="宋体"/>
                <w:b/>
                <w:szCs w:val="21"/>
              </w:rPr>
              <w:t>）或用水量（</w:t>
            </w:r>
            <w:r>
              <w:rPr>
                <w:rFonts w:ascii="Times New Roman" w:hAnsi="Times New Roman"/>
                <w:b/>
                <w:szCs w:val="21"/>
              </w:rPr>
              <w:t>L</w:t>
            </w:r>
            <w:r>
              <w:rPr>
                <w:rFonts w:ascii="Times New Roman" w:hAnsi="宋体"/>
                <w:b/>
                <w:szCs w:val="21"/>
              </w:rPr>
              <w:t>）</w:t>
            </w:r>
          </w:p>
        </w:tc>
        <w:tc>
          <w:tcPr>
            <w:tcW w:w="2132" w:type="dxa"/>
            <w:vAlign w:val="center"/>
          </w:tcPr>
          <w:p>
            <w:pPr>
              <w:adjustRightInd w:val="0"/>
              <w:snapToGrid w:val="0"/>
              <w:spacing w:beforeLines="50" w:afterLines="50"/>
              <w:jc w:val="center"/>
              <w:rPr>
                <w:rFonts w:ascii="Times New Roman" w:hAnsi="Times New Roman"/>
                <w:b/>
                <w:szCs w:val="21"/>
              </w:rPr>
            </w:pPr>
            <w:r>
              <w:rPr>
                <w:rFonts w:hint="eastAsia" w:ascii="Times New Roman" w:hAnsi="宋体"/>
                <w:b/>
                <w:szCs w:val="21"/>
              </w:rPr>
              <w:t>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r>
              <w:rPr>
                <w:rFonts w:hint="eastAsia" w:ascii="Times New Roman" w:hAnsi="Times New Roman"/>
              </w:rPr>
              <w:t>水嘴</w:t>
            </w: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r>
              <w:rPr>
                <w:rFonts w:hint="eastAsia" w:ascii="Times New Roman" w:hAnsi="Times New Roman"/>
              </w:rPr>
              <w:t>流量≤0.125L/s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r>
              <w:rPr>
                <w:rFonts w:hint="eastAsia" w:ascii="Times New Roman" w:hAnsi="Times New Roman"/>
              </w:rPr>
              <w:t>大便器</w:t>
            </w: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r>
              <w:rPr>
                <w:rFonts w:hint="eastAsia" w:ascii="Times New Roman" w:hAnsi="Times New Roman"/>
              </w:rPr>
              <w:t>冲洗水量≤5.0L</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r>
              <w:rPr>
                <w:rFonts w:hint="eastAsia" w:ascii="Times New Roman" w:hAnsi="Times New Roman"/>
              </w:rPr>
              <w:t>小便器</w:t>
            </w: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r>
              <w:rPr>
                <w:rFonts w:hint="eastAsia" w:ascii="Times New Roman" w:hAnsi="Times New Roman"/>
              </w:rPr>
              <w:t>冲洗水量≤3.0L</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r>
              <w:rPr>
                <w:rFonts w:hint="eastAsia" w:ascii="Times New Roman" w:hAnsi="Times New Roman"/>
              </w:rPr>
              <w:t>淋浴器</w:t>
            </w: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r>
              <w:rPr>
                <w:rFonts w:hint="eastAsia" w:ascii="Times New Roman" w:hAnsi="Times New Roman"/>
              </w:rPr>
              <w:t>流量≤0.12L/s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p>
        </w:tc>
      </w:tr>
    </w:tbl>
    <w:p>
      <w:pPr>
        <w:spacing w:line="360" w:lineRule="auto"/>
        <w:ind w:left="142"/>
        <w:rPr>
          <w:rFonts w:ascii="Times New Roman"/>
          <w:sz w:val="24"/>
        </w:rPr>
      </w:pPr>
      <w:r>
        <w:rPr>
          <w:rFonts w:hint="eastAsia" w:ascii="Times New Roman"/>
          <w:sz w:val="24"/>
        </w:rPr>
        <w:t>主要设备类型有：</w:t>
      </w:r>
      <w:r>
        <w:rPr>
          <w:rFonts w:hint="eastAsia" w:ascii="Times New Roman"/>
          <w:szCs w:val="21"/>
        </w:rPr>
        <w:t>□</w:t>
      </w:r>
      <w:r>
        <w:rPr>
          <w:rFonts w:hint="eastAsia" w:ascii="Times New Roman"/>
          <w:sz w:val="24"/>
        </w:rPr>
        <w:t>灌溉设备、</w:t>
      </w:r>
      <w:r>
        <w:rPr>
          <w:rFonts w:hint="eastAsia" w:ascii="Times New Roman"/>
          <w:szCs w:val="21"/>
        </w:rPr>
        <w:t>□</w:t>
      </w:r>
      <w:r>
        <w:rPr>
          <w:rFonts w:hint="eastAsia" w:ascii="Times New Roman"/>
          <w:sz w:val="24"/>
        </w:rPr>
        <w:t>冷却塔、</w:t>
      </w:r>
      <w:r>
        <w:rPr>
          <w:rFonts w:hint="eastAsia" w:ascii="Times New Roman"/>
          <w:szCs w:val="21"/>
        </w:rPr>
        <w:t>□</w:t>
      </w:r>
      <w:r>
        <w:rPr>
          <w:rFonts w:hint="eastAsia" w:ascii="Times New Roman"/>
          <w:sz w:val="24"/>
        </w:rPr>
        <w:t>输水管及管件、</w:t>
      </w:r>
      <w:r>
        <w:rPr>
          <w:rFonts w:hint="eastAsia" w:ascii="Times New Roman"/>
          <w:szCs w:val="21"/>
        </w:rPr>
        <w:t>□</w:t>
      </w:r>
      <w:r>
        <w:rPr>
          <w:rFonts w:hint="eastAsia" w:ascii="Times New Roman"/>
          <w:sz w:val="24"/>
        </w:rPr>
        <w:t>其他：</w:t>
      </w:r>
      <w:r>
        <w:rPr>
          <w:rFonts w:hint="eastAsia" w:ascii="Times New Roman"/>
          <w:sz w:val="24"/>
          <w:u w:val="single"/>
        </w:rPr>
        <w:t xml:space="preserve">          </w:t>
      </w:r>
      <w:r>
        <w:rPr>
          <w:rFonts w:hint="eastAsia" w:ascii="Times New Roman"/>
          <w:sz w:val="24"/>
        </w:rPr>
        <w:t>。</w:t>
      </w:r>
    </w:p>
    <w:tbl>
      <w:tblPr>
        <w:tblStyle w:val="16"/>
        <w:tblW w:w="821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23"/>
        <w:gridCol w:w="1765"/>
        <w:gridCol w:w="2499"/>
        <w:gridCol w:w="213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adjustRightInd w:val="0"/>
              <w:snapToGrid w:val="0"/>
              <w:spacing w:beforeLines="50" w:afterLines="50"/>
              <w:jc w:val="center"/>
              <w:rPr>
                <w:rFonts w:ascii="Times New Roman" w:hAnsi="Times New Roman"/>
                <w:b/>
                <w:szCs w:val="21"/>
              </w:rPr>
            </w:pPr>
            <w:r>
              <w:rPr>
                <w:rFonts w:hint="eastAsia" w:ascii="Times New Roman" w:hAnsi="宋体"/>
                <w:b/>
                <w:szCs w:val="21"/>
              </w:rPr>
              <w:t>设备</w:t>
            </w:r>
            <w:r>
              <w:rPr>
                <w:rFonts w:ascii="Times New Roman" w:hAnsi="宋体"/>
                <w:b/>
                <w:szCs w:val="21"/>
              </w:rPr>
              <w:t>名称</w:t>
            </w:r>
          </w:p>
        </w:tc>
        <w:tc>
          <w:tcPr>
            <w:tcW w:w="1765" w:type="dxa"/>
            <w:vAlign w:val="center"/>
          </w:tcPr>
          <w:p>
            <w:pPr>
              <w:adjustRightInd w:val="0"/>
              <w:snapToGrid w:val="0"/>
              <w:spacing w:beforeLines="50" w:afterLines="50"/>
              <w:jc w:val="center"/>
              <w:rPr>
                <w:rFonts w:ascii="Times New Roman" w:hAnsi="Times New Roman"/>
                <w:b/>
                <w:szCs w:val="21"/>
              </w:rPr>
            </w:pPr>
            <w:r>
              <w:rPr>
                <w:rFonts w:hint="eastAsia" w:ascii="Times New Roman" w:hAnsi="宋体"/>
                <w:b/>
                <w:szCs w:val="21"/>
              </w:rPr>
              <w:t>设备</w:t>
            </w:r>
            <w:r>
              <w:rPr>
                <w:rFonts w:ascii="Times New Roman" w:hAnsi="宋体"/>
                <w:b/>
                <w:szCs w:val="21"/>
              </w:rPr>
              <w:t>类型</w:t>
            </w:r>
          </w:p>
        </w:tc>
        <w:tc>
          <w:tcPr>
            <w:tcW w:w="2499" w:type="dxa"/>
            <w:vAlign w:val="center"/>
          </w:tcPr>
          <w:p>
            <w:pPr>
              <w:adjustRightInd w:val="0"/>
              <w:snapToGrid w:val="0"/>
              <w:spacing w:beforeLines="50" w:afterLines="50"/>
              <w:jc w:val="center"/>
              <w:rPr>
                <w:rFonts w:ascii="Times New Roman" w:hAnsi="Times New Roman"/>
                <w:b/>
                <w:szCs w:val="21"/>
              </w:rPr>
            </w:pPr>
            <w:r>
              <w:rPr>
                <w:rFonts w:hint="eastAsia" w:ascii="Times New Roman" w:hAnsi="宋体"/>
                <w:b/>
                <w:szCs w:val="21"/>
              </w:rPr>
              <w:t>设备参数</w:t>
            </w:r>
          </w:p>
        </w:tc>
        <w:tc>
          <w:tcPr>
            <w:tcW w:w="2132" w:type="dxa"/>
            <w:vAlign w:val="center"/>
          </w:tcPr>
          <w:p>
            <w:pPr>
              <w:adjustRightInd w:val="0"/>
              <w:snapToGrid w:val="0"/>
              <w:spacing w:beforeLines="50" w:afterLines="50"/>
              <w:jc w:val="center"/>
              <w:rPr>
                <w:rFonts w:ascii="Times New Roman" w:hAnsi="Times New Roman"/>
                <w:b/>
                <w:szCs w:val="21"/>
              </w:rPr>
            </w:pPr>
            <w:r>
              <w:rPr>
                <w:rFonts w:hint="eastAsia" w:ascii="Times New Roman" w:hAnsi="宋体"/>
                <w:b/>
                <w:szCs w:val="21"/>
              </w:rPr>
              <w:t>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823" w:type="dxa"/>
            <w:vAlign w:val="center"/>
          </w:tcPr>
          <w:p>
            <w:pPr>
              <w:jc w:val="center"/>
              <w:rPr>
                <w:rFonts w:ascii="Times New Roman" w:hAnsi="Times New Roman"/>
              </w:rPr>
            </w:pPr>
          </w:p>
        </w:tc>
        <w:tc>
          <w:tcPr>
            <w:tcW w:w="1765" w:type="dxa"/>
            <w:vAlign w:val="center"/>
          </w:tcPr>
          <w:p>
            <w:pPr>
              <w:jc w:val="center"/>
              <w:rPr>
                <w:rFonts w:ascii="Times New Roman" w:hAnsi="Times New Roman"/>
              </w:rPr>
            </w:pPr>
          </w:p>
        </w:tc>
        <w:tc>
          <w:tcPr>
            <w:tcW w:w="2499" w:type="dxa"/>
            <w:vAlign w:val="center"/>
          </w:tcPr>
          <w:p>
            <w:pPr>
              <w:jc w:val="center"/>
              <w:rPr>
                <w:rFonts w:ascii="Times New Roman" w:hAnsi="Times New Roman"/>
              </w:rPr>
            </w:pPr>
          </w:p>
        </w:tc>
        <w:tc>
          <w:tcPr>
            <w:tcW w:w="2132" w:type="dxa"/>
            <w:vAlign w:val="center"/>
          </w:tcPr>
          <w:p>
            <w:pPr>
              <w:jc w:val="center"/>
              <w:rPr>
                <w:rFonts w:ascii="Times New Roman" w:hAnsi="Times New Roman"/>
              </w:rPr>
            </w:pPr>
          </w:p>
        </w:tc>
      </w:tr>
    </w:tbl>
    <w:p>
      <w:pPr>
        <w:pStyle w:val="24"/>
        <w:numPr>
          <w:ilvl w:val="0"/>
          <w:numId w:val="10"/>
        </w:numPr>
        <w:spacing w:line="360" w:lineRule="auto"/>
        <w:ind w:firstLineChars="0"/>
        <w:rPr>
          <w:rFonts w:ascii="Times New Roman"/>
          <w:sz w:val="24"/>
        </w:rPr>
      </w:pPr>
      <w:r>
        <w:rPr>
          <w:rFonts w:hint="eastAsia" w:ascii="Times New Roman"/>
          <w:sz w:val="24"/>
        </w:rPr>
        <w:t>场地的竖向设计有利于雨水的收集或排放，有效组织雨水的下渗、滞蓄或再利用；对大于10hm</w:t>
      </w:r>
      <w:r>
        <w:rPr>
          <w:rFonts w:hint="eastAsia" w:ascii="Times New Roman"/>
          <w:sz w:val="24"/>
          <w:vertAlign w:val="superscript"/>
        </w:rPr>
        <w:t>2</w:t>
      </w:r>
      <w:r>
        <w:rPr>
          <w:rFonts w:hint="eastAsia" w:ascii="Times New Roman"/>
          <w:sz w:val="24"/>
        </w:rPr>
        <w:t>的场地进行雨水控制利用专项设计。详见</w:t>
      </w:r>
      <w:r>
        <w:rPr>
          <w:rFonts w:hint="eastAsia" w:ascii="Times New Roman"/>
          <w:sz w:val="24"/>
          <w:u w:val="single"/>
        </w:rPr>
        <w:t>《年径流总量控制率计算书》、《设计控制雨量计算书》、《场地雨水综合利用方案》或专项设计文件</w:t>
      </w:r>
      <w:r>
        <w:rPr>
          <w:rFonts w:hint="eastAsia" w:ascii="Times New Roman"/>
          <w:sz w:val="24"/>
        </w:rPr>
        <w:t>。</w:t>
      </w:r>
    </w:p>
    <w:p>
      <w:pPr>
        <w:spacing w:line="360" w:lineRule="auto"/>
        <w:ind w:left="142"/>
        <w:rPr>
          <w:rFonts w:ascii="Times New Roman"/>
          <w:sz w:val="24"/>
        </w:rPr>
      </w:pPr>
      <w:r>
        <w:rPr>
          <w:rFonts w:hint="eastAsia" w:ascii="Times New Roman"/>
          <w:sz w:val="24"/>
        </w:rPr>
        <w:t>场地用地面积是否大于</w:t>
      </w:r>
      <w:r>
        <w:rPr>
          <w:rFonts w:ascii="Times New Roman"/>
          <w:sz w:val="24"/>
        </w:rPr>
        <w:t>10hm</w:t>
      </w:r>
      <w:r>
        <w:rPr>
          <w:rFonts w:ascii="Times New Roman"/>
          <w:sz w:val="24"/>
          <w:vertAlign w:val="superscript"/>
        </w:rPr>
        <w:t>2</w:t>
      </w:r>
      <w:r>
        <w:rPr>
          <w:rFonts w:hint="eastAsia" w:ascii="Times New Roman"/>
          <w:sz w:val="24"/>
        </w:rPr>
        <w:t>：□是、□否。</w:t>
      </w:r>
    </w:p>
    <w:p>
      <w:pPr>
        <w:spacing w:line="360" w:lineRule="auto"/>
        <w:ind w:left="142"/>
        <w:rPr>
          <w:rFonts w:ascii="Times New Roman"/>
          <w:sz w:val="24"/>
        </w:rPr>
      </w:pPr>
      <w:r>
        <w:rPr>
          <w:rFonts w:hint="eastAsia" w:ascii="Times New Roman"/>
          <w:sz w:val="24"/>
        </w:rPr>
        <w:t>如“是”，简要描述场地雨水专项规划设计，包含对场地内径流减排、污染控制、雨水收集回用等的全面统筹规划设计：</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如“否”，简要描述场地雨水综合利用方案：</w:t>
      </w:r>
      <w:r>
        <w:rPr>
          <w:rFonts w:hint="eastAsia" w:ascii="Times New Roman"/>
          <w:sz w:val="24"/>
          <w:u w:val="single"/>
        </w:rPr>
        <w:t xml:space="preserve">                          </w:t>
      </w:r>
      <w:r>
        <w:rPr>
          <w:rFonts w:hint="eastAsia" w:ascii="Times New Roman"/>
          <w:sz w:val="24"/>
        </w:rPr>
        <w:t>。</w:t>
      </w:r>
    </w:p>
    <w:p>
      <w:pPr>
        <w:pStyle w:val="24"/>
        <w:numPr>
          <w:ilvl w:val="0"/>
          <w:numId w:val="10"/>
        </w:numPr>
        <w:spacing w:line="360" w:lineRule="auto"/>
        <w:ind w:firstLineChars="0"/>
        <w:rPr>
          <w:rFonts w:ascii="Times New Roman"/>
          <w:sz w:val="24"/>
        </w:rPr>
      </w:pPr>
      <w:r>
        <w:rPr>
          <w:rFonts w:hint="eastAsia" w:ascii="Times New Roman"/>
          <w:sz w:val="24"/>
        </w:rPr>
        <w:t>场地内有以下建筑或设施：□餐饮类建筑、□其他：</w:t>
      </w:r>
      <w:r>
        <w:rPr>
          <w:rFonts w:hint="eastAsia" w:ascii="Times New Roman"/>
          <w:sz w:val="24"/>
          <w:u w:val="single"/>
        </w:rPr>
        <w:t xml:space="preserve">          </w:t>
      </w:r>
      <w:r>
        <w:rPr>
          <w:rFonts w:hint="eastAsia" w:ascii="Times New Roman"/>
          <w:sz w:val="24"/>
        </w:rPr>
        <w:t>、□以上皆无。</w:t>
      </w:r>
    </w:p>
    <w:p>
      <w:pPr>
        <w:spacing w:line="360" w:lineRule="auto"/>
        <w:ind w:left="142"/>
        <w:rPr>
          <w:rFonts w:ascii="Times New Roman"/>
          <w:sz w:val="24"/>
        </w:rPr>
      </w:pPr>
      <w:r>
        <w:rPr>
          <w:rFonts w:hint="eastAsia" w:ascii="Times New Roman"/>
          <w:sz w:val="24"/>
        </w:rPr>
        <w:t>如有，简要说明避免排放超标的控制措施：</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p>
    <w:p>
      <w:pPr>
        <w:pStyle w:val="24"/>
        <w:numPr>
          <w:ilvl w:val="0"/>
          <w:numId w:val="8"/>
        </w:numPr>
        <w:spacing w:line="360" w:lineRule="auto"/>
        <w:ind w:left="-210" w:leftChars="-100" w:firstLineChars="0"/>
        <w:rPr>
          <w:rFonts w:ascii="Times New Roman"/>
          <w:szCs w:val="21"/>
        </w:rPr>
      </w:pPr>
      <w:r>
        <w:rPr>
          <w:rFonts w:hint="eastAsia"/>
          <w:b/>
          <w:sz w:val="28"/>
          <w:szCs w:val="28"/>
        </w:rPr>
        <w:t>绿色建筑</w:t>
      </w:r>
      <w:r>
        <w:rPr>
          <w:rFonts w:hint="eastAsia" w:ascii="Times New Roman"/>
          <w:sz w:val="28"/>
          <w:szCs w:val="28"/>
          <w:u w:val="single"/>
        </w:rPr>
        <w:t xml:space="preserve">     </w:t>
      </w:r>
      <w:r>
        <w:rPr>
          <w:rFonts w:hint="eastAsia"/>
          <w:b/>
          <w:sz w:val="28"/>
          <w:szCs w:val="28"/>
        </w:rPr>
        <w:t>星级</w:t>
      </w:r>
    </w:p>
    <w:p>
      <w:pPr>
        <w:spacing w:line="360" w:lineRule="auto"/>
        <w:rPr>
          <w:rFonts w:ascii="Times New Roman"/>
          <w:sz w:val="24"/>
        </w:rPr>
      </w:pPr>
      <w:r>
        <w:rPr>
          <w:rFonts w:ascii="Times New Roman"/>
          <w:sz w:val="24"/>
        </w:rPr>
        <w:t>根据项目特点合理选择</w:t>
      </w:r>
      <w:r>
        <w:rPr>
          <w:rFonts w:hint="eastAsia" w:ascii="Times New Roman"/>
          <w:sz w:val="24"/>
        </w:rPr>
        <w:t>绿色建筑的</w:t>
      </w:r>
      <w:r>
        <w:rPr>
          <w:rFonts w:ascii="Times New Roman"/>
          <w:sz w:val="24"/>
        </w:rPr>
        <w:t>技术路线</w:t>
      </w:r>
      <w:r>
        <w:rPr>
          <w:rFonts w:hint="eastAsia" w:ascii="Times New Roman"/>
          <w:sz w:val="24"/>
        </w:rPr>
        <w:t>，</w:t>
      </w:r>
      <w:r>
        <w:rPr>
          <w:rFonts w:ascii="Times New Roman"/>
          <w:sz w:val="24"/>
        </w:rPr>
        <w:t>增加相关</w:t>
      </w:r>
      <w:r>
        <w:rPr>
          <w:rFonts w:hint="eastAsia" w:ascii="Times New Roman"/>
          <w:sz w:val="24"/>
        </w:rPr>
        <w:t>条款、</w:t>
      </w:r>
      <w:r>
        <w:rPr>
          <w:rFonts w:ascii="Times New Roman"/>
          <w:sz w:val="24"/>
        </w:rPr>
        <w:t>说明、图纸和报告。</w:t>
      </w:r>
    </w:p>
    <w:p>
      <w:pPr>
        <w:spacing w:line="360" w:lineRule="auto"/>
        <w:rPr>
          <w:rFonts w:ascii="Times New Roman" w:hAnsi="Times New Roman"/>
          <w:b/>
          <w:sz w:val="28"/>
          <w:szCs w:val="28"/>
        </w:rPr>
      </w:pPr>
    </w:p>
    <w:p>
      <w:pPr>
        <w:widowControl/>
        <w:jc w:val="left"/>
        <w:rPr>
          <w:rFonts w:ascii="Times New Roman" w:hAnsi="Times New Roman"/>
          <w:b/>
          <w:sz w:val="28"/>
          <w:szCs w:val="28"/>
        </w:rPr>
      </w:pPr>
      <w:r>
        <w:rPr>
          <w:rFonts w:ascii="Times New Roman" w:hAnsi="Times New Roman"/>
          <w:b/>
          <w:sz w:val="28"/>
          <w:szCs w:val="28"/>
        </w:rPr>
        <w:br w:type="page"/>
      </w:r>
    </w:p>
    <w:p>
      <w:pPr>
        <w:spacing w:line="360" w:lineRule="auto"/>
        <w:ind w:firstLine="1405" w:firstLineChars="500"/>
        <w:rPr>
          <w:rFonts w:ascii="Times New Roman" w:hAnsi="Times New Roman"/>
          <w:b/>
          <w:sz w:val="28"/>
          <w:szCs w:val="28"/>
        </w:rPr>
      </w:pPr>
      <w:r>
        <w:rPr>
          <w:rFonts w:hint="eastAsia" w:ascii="Times New Roman" w:hAnsi="Times New Roman"/>
          <w:b/>
          <w:sz w:val="28"/>
          <w:szCs w:val="28"/>
        </w:rPr>
        <w:t>江西省绿色建筑设计专篇</w:t>
      </w:r>
      <w:r>
        <w:rPr>
          <w:rFonts w:hint="eastAsia" w:ascii="Times New Roman" w:hAnsi="Times New Roman"/>
          <w:b/>
          <w:sz w:val="28"/>
          <w:szCs w:val="28"/>
          <w:lang w:val="en-US" w:eastAsia="zh-CN"/>
        </w:rPr>
        <w:t>参考模板</w:t>
      </w:r>
      <w:r>
        <w:rPr>
          <w:rFonts w:hint="eastAsia" w:ascii="Times New Roman" w:hAnsi="Times New Roman"/>
          <w:b/>
          <w:sz w:val="28"/>
          <w:szCs w:val="28"/>
        </w:rPr>
        <w:t>（电气）</w:t>
      </w:r>
    </w:p>
    <w:p>
      <w:pPr>
        <w:pStyle w:val="24"/>
        <w:numPr>
          <w:ilvl w:val="0"/>
          <w:numId w:val="11"/>
        </w:numPr>
        <w:spacing w:line="360" w:lineRule="auto"/>
        <w:ind w:left="-210" w:leftChars="-100" w:firstLineChars="0"/>
        <w:rPr>
          <w:b/>
          <w:sz w:val="28"/>
          <w:szCs w:val="28"/>
        </w:rPr>
      </w:pPr>
      <w:r>
        <w:rPr>
          <w:rFonts w:hint="eastAsia"/>
          <w:b/>
          <w:sz w:val="28"/>
          <w:szCs w:val="28"/>
        </w:rPr>
        <w:t>设计依据</w:t>
      </w:r>
    </w:p>
    <w:p>
      <w:pPr>
        <w:pStyle w:val="24"/>
        <w:numPr>
          <w:ilvl w:val="0"/>
          <w:numId w:val="12"/>
        </w:numPr>
        <w:spacing w:line="360" w:lineRule="auto"/>
        <w:ind w:firstLineChars="0"/>
        <w:rPr>
          <w:rFonts w:ascii="Times New Roman"/>
          <w:sz w:val="24"/>
        </w:rPr>
      </w:pPr>
      <w:r>
        <w:rPr>
          <w:rFonts w:hint="eastAsia" w:ascii="Times New Roman"/>
          <w:sz w:val="24"/>
        </w:rPr>
        <w:t>《建筑照明设计标准》GB 50034-2013</w:t>
      </w:r>
    </w:p>
    <w:p>
      <w:pPr>
        <w:pStyle w:val="24"/>
        <w:numPr>
          <w:ilvl w:val="0"/>
          <w:numId w:val="12"/>
        </w:numPr>
        <w:spacing w:line="360" w:lineRule="auto"/>
        <w:ind w:firstLineChars="0"/>
        <w:rPr>
          <w:rFonts w:ascii="Times New Roman"/>
          <w:sz w:val="24"/>
        </w:rPr>
      </w:pPr>
      <w:r>
        <w:rPr>
          <w:rFonts w:hint="eastAsia" w:ascii="Times New Roman"/>
          <w:sz w:val="24"/>
        </w:rPr>
        <w:t>《三相配电变压器能效限定值及能效等级》GB 20052-2013</w:t>
      </w:r>
    </w:p>
    <w:p>
      <w:pPr>
        <w:pStyle w:val="24"/>
        <w:numPr>
          <w:ilvl w:val="0"/>
          <w:numId w:val="12"/>
        </w:numPr>
        <w:spacing w:line="360" w:lineRule="auto"/>
        <w:ind w:firstLineChars="0"/>
        <w:rPr>
          <w:rFonts w:ascii="Times New Roman"/>
          <w:sz w:val="24"/>
        </w:rPr>
      </w:pPr>
      <w:r>
        <w:rPr>
          <w:rFonts w:hint="eastAsia" w:ascii="Times New Roman"/>
          <w:sz w:val="24"/>
        </w:rPr>
        <w:t>《能源管理体系要求》GB/T 23331-2012</w:t>
      </w:r>
    </w:p>
    <w:p>
      <w:pPr>
        <w:pStyle w:val="24"/>
        <w:numPr>
          <w:ilvl w:val="0"/>
          <w:numId w:val="12"/>
        </w:numPr>
        <w:spacing w:line="360" w:lineRule="auto"/>
        <w:ind w:firstLineChars="0"/>
        <w:rPr>
          <w:rFonts w:ascii="Times New Roman"/>
          <w:sz w:val="24"/>
        </w:rPr>
      </w:pPr>
      <w:r>
        <w:rPr>
          <w:rFonts w:hint="eastAsia" w:ascii="Times New Roman"/>
          <w:sz w:val="24"/>
        </w:rPr>
        <w:t>《绿色建筑评价标准》GB/T50378-2019</w:t>
      </w:r>
    </w:p>
    <w:p>
      <w:pPr>
        <w:pStyle w:val="24"/>
        <w:numPr>
          <w:ilvl w:val="0"/>
          <w:numId w:val="12"/>
        </w:numPr>
        <w:spacing w:line="360" w:lineRule="auto"/>
        <w:ind w:firstLineChars="0"/>
        <w:rPr>
          <w:rFonts w:ascii="Times New Roman"/>
          <w:sz w:val="24"/>
        </w:rPr>
      </w:pPr>
      <w:r>
        <w:rPr>
          <w:rFonts w:hint="eastAsia" w:ascii="Times New Roman"/>
          <w:sz w:val="24"/>
        </w:rPr>
        <w:t>国家、省、市现行的法律、规范及其他相关规定</w:t>
      </w:r>
    </w:p>
    <w:p>
      <w:pPr>
        <w:pStyle w:val="24"/>
        <w:spacing w:line="360" w:lineRule="auto"/>
        <w:ind w:left="210" w:firstLine="0" w:firstLineChars="0"/>
        <w:rPr>
          <w:b/>
          <w:sz w:val="28"/>
          <w:szCs w:val="28"/>
        </w:rPr>
      </w:pPr>
    </w:p>
    <w:p>
      <w:pPr>
        <w:pStyle w:val="24"/>
        <w:numPr>
          <w:ilvl w:val="0"/>
          <w:numId w:val="11"/>
        </w:numPr>
        <w:spacing w:line="360" w:lineRule="auto"/>
        <w:ind w:left="-210" w:leftChars="-100" w:firstLineChars="0"/>
        <w:rPr>
          <w:b/>
          <w:sz w:val="28"/>
          <w:szCs w:val="28"/>
        </w:rPr>
      </w:pPr>
      <w:r>
        <w:rPr>
          <w:rFonts w:hint="eastAsia"/>
          <w:b/>
          <w:sz w:val="28"/>
          <w:szCs w:val="28"/>
        </w:rPr>
        <w:t>基本级设计内容</w:t>
      </w:r>
    </w:p>
    <w:p>
      <w:pPr>
        <w:pStyle w:val="24"/>
        <w:numPr>
          <w:ilvl w:val="0"/>
          <w:numId w:val="13"/>
        </w:numPr>
        <w:spacing w:line="360" w:lineRule="auto"/>
        <w:ind w:firstLineChars="0"/>
        <w:rPr>
          <w:rFonts w:ascii="Times New Roman"/>
          <w:sz w:val="24"/>
        </w:rPr>
      </w:pPr>
      <w:r>
        <w:rPr>
          <w:rFonts w:hint="eastAsia" w:ascii="Times New Roman"/>
          <w:sz w:val="24"/>
        </w:rPr>
        <w:t>设置火灾疏散指示标志，如紧急出口标志、疏散方向标志灯、楼层显示灯等。详见图纸：</w:t>
      </w:r>
      <w:r>
        <w:rPr>
          <w:rFonts w:hint="eastAsia" w:ascii="Times New Roman"/>
          <w:sz w:val="24"/>
          <w:u w:val="single"/>
        </w:rPr>
        <w:t xml:space="preserve">            </w:t>
      </w:r>
      <w:r>
        <w:rPr>
          <w:rFonts w:hint="eastAsia" w:ascii="Times New Roman"/>
          <w:sz w:val="24"/>
        </w:rPr>
        <w:t>。</w:t>
      </w:r>
    </w:p>
    <w:p>
      <w:pPr>
        <w:pStyle w:val="24"/>
        <w:numPr>
          <w:ilvl w:val="0"/>
          <w:numId w:val="13"/>
        </w:numPr>
        <w:spacing w:line="360" w:lineRule="auto"/>
        <w:ind w:firstLineChars="0"/>
        <w:rPr>
          <w:rFonts w:ascii="Times New Roman"/>
          <w:sz w:val="24"/>
        </w:rPr>
      </w:pPr>
      <w:r>
        <w:rPr>
          <w:rFonts w:hint="eastAsia" w:ascii="Times New Roman"/>
          <w:sz w:val="24"/>
        </w:rPr>
        <w:t>建筑照明符合下列规定：</w:t>
      </w:r>
      <w:r>
        <w:rPr>
          <w:rFonts w:ascii="Times New Roman"/>
          <w:sz w:val="24"/>
        </w:rPr>
        <w:t xml:space="preserve"> </w:t>
      </w:r>
    </w:p>
    <w:p>
      <w:pPr>
        <w:spacing w:line="360" w:lineRule="auto"/>
        <w:ind w:left="142"/>
        <w:rPr>
          <w:rFonts w:ascii="Times New Roman"/>
          <w:sz w:val="24"/>
        </w:rPr>
      </w:pPr>
      <w:r>
        <w:rPr>
          <w:rFonts w:hint="eastAsia" w:ascii="Times New Roman"/>
          <w:sz w:val="24"/>
        </w:rPr>
        <w:t>（1）照明数量和质量符合现行国家标准《建筑照明设计标准》GB 50034的规定；详见</w:t>
      </w:r>
      <w:r>
        <w:rPr>
          <w:rFonts w:hint="eastAsia" w:ascii="Times New Roman"/>
          <w:sz w:val="24"/>
          <w:u w:val="single"/>
        </w:rPr>
        <w:t>《照度计算书》</w:t>
      </w:r>
      <w:r>
        <w:rPr>
          <w:rFonts w:hint="eastAsia" w:ascii="Times New Roman"/>
          <w:sz w:val="24"/>
        </w:rPr>
        <w:t>：</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931"/>
        <w:gridCol w:w="871"/>
        <w:gridCol w:w="937"/>
        <w:gridCol w:w="876"/>
        <w:gridCol w:w="931"/>
        <w:gridCol w:w="871"/>
        <w:gridCol w:w="931"/>
        <w:gridCol w:w="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trPr>
        <w:tc>
          <w:tcPr>
            <w:tcW w:w="1303" w:type="dxa"/>
            <w:vMerge w:val="restart"/>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房间</w:t>
            </w:r>
            <w:r>
              <w:rPr>
                <w:rFonts w:hint="eastAsia"/>
                <w:b/>
                <w:bCs/>
                <w:kern w:val="2"/>
                <w:sz w:val="21"/>
                <w:szCs w:val="21"/>
              </w:rPr>
              <w:t>类型</w:t>
            </w:r>
          </w:p>
        </w:tc>
        <w:tc>
          <w:tcPr>
            <w:tcW w:w="1802" w:type="dxa"/>
            <w:gridSpan w:val="2"/>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照度（lx）</w:t>
            </w:r>
          </w:p>
        </w:tc>
        <w:tc>
          <w:tcPr>
            <w:tcW w:w="1813" w:type="dxa"/>
            <w:gridSpan w:val="2"/>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统一眩光值</w:t>
            </w:r>
            <w:r>
              <w:rPr>
                <w:b/>
                <w:bCs/>
                <w:i/>
                <w:kern w:val="2"/>
                <w:sz w:val="21"/>
                <w:szCs w:val="21"/>
              </w:rPr>
              <w:t>UGR</w:t>
            </w:r>
          </w:p>
        </w:tc>
        <w:tc>
          <w:tcPr>
            <w:tcW w:w="1802" w:type="dxa"/>
            <w:gridSpan w:val="2"/>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照度均匀度</w:t>
            </w:r>
            <w:r>
              <w:rPr>
                <w:b/>
                <w:bCs/>
                <w:i/>
                <w:kern w:val="2"/>
                <w:sz w:val="21"/>
                <w:szCs w:val="21"/>
              </w:rPr>
              <w:t>U</w:t>
            </w:r>
            <w:r>
              <w:rPr>
                <w:b/>
                <w:bCs/>
                <w:i/>
                <w:kern w:val="2"/>
                <w:sz w:val="21"/>
                <w:szCs w:val="21"/>
                <w:vertAlign w:val="subscript"/>
              </w:rPr>
              <w:t>0</w:t>
            </w:r>
          </w:p>
        </w:tc>
        <w:tc>
          <w:tcPr>
            <w:tcW w:w="1802" w:type="dxa"/>
            <w:gridSpan w:val="2"/>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一般显色指数</w:t>
            </w:r>
            <w:r>
              <w:rPr>
                <w:b/>
                <w:bCs/>
                <w:i/>
                <w:kern w:val="2"/>
                <w:sz w:val="21"/>
                <w:szCs w:val="21"/>
              </w:rPr>
              <w:t>R</w:t>
            </w:r>
            <w:r>
              <w:rPr>
                <w:b/>
                <w:bCs/>
                <w:i/>
                <w:kern w:val="2"/>
                <w:sz w:val="21"/>
                <w:szCs w:val="21"/>
                <w:vertAlign w:val="subscript"/>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trPr>
        <w:tc>
          <w:tcPr>
            <w:tcW w:w="1303" w:type="dxa"/>
            <w:vMerge w:val="continue"/>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设计值</w:t>
            </w: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标准值</w:t>
            </w:r>
          </w:p>
        </w:tc>
        <w:tc>
          <w:tcPr>
            <w:tcW w:w="937"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设计值</w:t>
            </w:r>
          </w:p>
        </w:tc>
        <w:tc>
          <w:tcPr>
            <w:tcW w:w="876"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标准值</w:t>
            </w: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设计值</w:t>
            </w: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标准值</w:t>
            </w: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设计值</w:t>
            </w: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21"/>
                <w:szCs w:val="21"/>
              </w:rPr>
            </w:pPr>
            <w:r>
              <w:rPr>
                <w:b/>
                <w:bCs/>
                <w:kern w:val="2"/>
                <w:sz w:val="21"/>
                <w:szCs w:val="21"/>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7"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7"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7"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303"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7"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6"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93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c>
          <w:tcPr>
            <w:tcW w:w="871" w:type="dxa"/>
            <w:tcBorders>
              <w:top w:val="single" w:color="auto" w:sz="4" w:space="0"/>
              <w:left w:val="single" w:color="auto" w:sz="4" w:space="0"/>
              <w:bottom w:val="single" w:color="auto" w:sz="4" w:space="0"/>
              <w:right w:val="single" w:color="auto" w:sz="4" w:space="0"/>
            </w:tcBorders>
            <w:vAlign w:val="center"/>
          </w:tcPr>
          <w:p>
            <w:pPr>
              <w:pStyle w:val="27"/>
              <w:spacing w:line="240" w:lineRule="auto"/>
              <w:jc w:val="center"/>
              <w:outlineLvl w:val="9"/>
              <w:rPr>
                <w:bCs/>
                <w:iCs/>
                <w:kern w:val="2"/>
                <w:sz w:val="21"/>
                <w:szCs w:val="21"/>
              </w:rPr>
            </w:pPr>
          </w:p>
        </w:tc>
      </w:tr>
    </w:tbl>
    <w:p>
      <w:pPr>
        <w:spacing w:line="360" w:lineRule="auto"/>
        <w:ind w:left="142"/>
        <w:rPr>
          <w:rFonts w:ascii="Times New Roman"/>
          <w:sz w:val="24"/>
        </w:rPr>
      </w:pPr>
      <w:r>
        <w:rPr>
          <w:rFonts w:hint="eastAsia" w:ascii="Times New Roman"/>
          <w:sz w:val="24"/>
        </w:rPr>
        <w:t>（2）人员长期停留的场所采用符合现行国家标准《灯和灯系统的光生物安全性》GB/T 20145规定的无危险类照明产品；详见图纸：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（3）选用LED照明产品的光输出波形的波动深度满足现行国家标准《LED室内照明应用技术要求》GB/T 31831的规定；详见图纸：</w:t>
      </w:r>
      <w:r>
        <w:rPr>
          <w:rFonts w:hint="eastAsia" w:ascii="Times New Roman"/>
          <w:sz w:val="24"/>
          <w:u w:val="single"/>
        </w:rPr>
        <w:t xml:space="preserve">            </w:t>
      </w:r>
      <w:r>
        <w:rPr>
          <w:rFonts w:hint="eastAsia" w:ascii="Times New Roman"/>
          <w:sz w:val="24"/>
        </w:rPr>
        <w:t>。</w:t>
      </w:r>
    </w:p>
    <w:p>
      <w:pPr>
        <w:pStyle w:val="24"/>
        <w:numPr>
          <w:ilvl w:val="0"/>
          <w:numId w:val="13"/>
        </w:numPr>
        <w:spacing w:line="360" w:lineRule="auto"/>
        <w:ind w:firstLineChars="0"/>
        <w:rPr>
          <w:rFonts w:ascii="Times New Roman"/>
          <w:sz w:val="24"/>
        </w:rPr>
      </w:pPr>
      <w:r>
        <w:rPr>
          <w:rFonts w:hint="eastAsia" w:ascii="Times New Roman"/>
          <w:sz w:val="24"/>
        </w:rPr>
        <w:t>地下车库设置与排风设备联动的一氧化碳浓度监测装置。</w:t>
      </w:r>
    </w:p>
    <w:p>
      <w:pPr>
        <w:spacing w:line="360" w:lineRule="auto"/>
        <w:ind w:left="142"/>
        <w:rPr>
          <w:rFonts w:ascii="Times New Roman"/>
          <w:sz w:val="24"/>
        </w:rPr>
      </w:pPr>
      <w:r>
        <w:rPr>
          <w:rFonts w:hint="eastAsia" w:ascii="Times New Roman"/>
          <w:sz w:val="24"/>
        </w:rPr>
        <w:t>地下车库设置与排风设备联动的一氧化碳检测装置，超过一定的量值时即报警并启动排风系统。所设定的量值按照现行国家标准《工作场所有害因素职业接触限值 第1部分：化学有害因素》GBZ 2．1等相关标准的规定；</w:t>
      </w:r>
    </w:p>
    <w:p>
      <w:pPr>
        <w:spacing w:line="360" w:lineRule="auto"/>
        <w:ind w:left="142"/>
        <w:rPr>
          <w:rFonts w:ascii="Times New Roman"/>
          <w:sz w:val="24"/>
        </w:rPr>
      </w:pPr>
      <w:r>
        <w:rPr>
          <w:rFonts w:hint="eastAsia" w:ascii="Times New Roman"/>
          <w:sz w:val="24"/>
        </w:rPr>
        <w:t>控制箱系统图详见图纸：</w:t>
      </w:r>
      <w:r>
        <w:rPr>
          <w:rFonts w:hint="eastAsia" w:ascii="Times New Roman"/>
          <w:sz w:val="24"/>
          <w:u w:val="single"/>
        </w:rPr>
        <w:t xml:space="preserve">           </w:t>
      </w:r>
      <w:r>
        <w:rPr>
          <w:rFonts w:hint="eastAsia" w:ascii="Times New Roman"/>
          <w:sz w:val="24"/>
        </w:rPr>
        <w:t>；现场一氧化碳浓度探测器详见图纸：</w:t>
      </w:r>
      <w:r>
        <w:rPr>
          <w:rFonts w:hint="eastAsia" w:ascii="Times New Roman"/>
          <w:sz w:val="24"/>
          <w:u w:val="single"/>
        </w:rPr>
        <w:t xml:space="preserve">               </w:t>
      </w:r>
      <w:r>
        <w:rPr>
          <w:rFonts w:hint="eastAsia" w:ascii="Times New Roman"/>
          <w:sz w:val="24"/>
        </w:rPr>
        <w:t>。</w:t>
      </w:r>
    </w:p>
    <w:p>
      <w:pPr>
        <w:pStyle w:val="24"/>
        <w:numPr>
          <w:ilvl w:val="0"/>
          <w:numId w:val="13"/>
        </w:numPr>
        <w:spacing w:line="360" w:lineRule="auto"/>
        <w:ind w:firstLineChars="0"/>
        <w:rPr>
          <w:rFonts w:ascii="Times New Roman"/>
          <w:sz w:val="24"/>
        </w:rPr>
      </w:pPr>
      <w:r>
        <w:rPr>
          <w:rFonts w:hint="eastAsia" w:ascii="Times New Roman"/>
          <w:sz w:val="24"/>
        </w:rPr>
        <w:t>停车场具有电动汽车充电设施或具备充电设施的安装条件。</w:t>
      </w:r>
    </w:p>
    <w:p>
      <w:pPr>
        <w:spacing w:line="360" w:lineRule="auto"/>
        <w:ind w:left="142"/>
        <w:rPr>
          <w:rFonts w:ascii="Times New Roman"/>
          <w:sz w:val="24"/>
        </w:rPr>
      </w:pPr>
      <w:r>
        <w:rPr>
          <w:rFonts w:hint="eastAsia" w:ascii="Times New Roman"/>
          <w:b/>
          <w:sz w:val="24"/>
        </w:rPr>
        <w:t>□居住建筑</w:t>
      </w:r>
      <w:r>
        <w:rPr>
          <w:rFonts w:hint="eastAsia" w:ascii="Times New Roman"/>
          <w:sz w:val="24"/>
        </w:rPr>
        <w:t>：总停车位</w:t>
      </w:r>
      <w:r>
        <w:rPr>
          <w:rFonts w:hint="eastAsia" w:ascii="Times New Roman"/>
          <w:sz w:val="24"/>
          <w:u w:val="single"/>
        </w:rPr>
        <w:t xml:space="preserve">     </w:t>
      </w:r>
      <w:r>
        <w:rPr>
          <w:rFonts w:hint="eastAsia" w:ascii="Times New Roman"/>
          <w:sz w:val="24"/>
        </w:rPr>
        <w:t>辆，按100%比例预留建设安装条件，并按</w:t>
      </w:r>
      <w:r>
        <w:rPr>
          <w:rFonts w:hint="eastAsia" w:ascii="Times New Roman"/>
          <w:sz w:val="24"/>
          <w:u w:val="single"/>
        </w:rPr>
        <w:t xml:space="preserve">     </w:t>
      </w:r>
      <w:r>
        <w:rPr>
          <w:rFonts w:hint="eastAsia" w:ascii="Times New Roman"/>
          <w:sz w:val="24"/>
        </w:rPr>
        <w:t>%比例建设充电设施；</w:t>
      </w:r>
    </w:p>
    <w:p>
      <w:pPr>
        <w:spacing w:line="360" w:lineRule="auto"/>
        <w:ind w:left="142"/>
        <w:rPr>
          <w:rFonts w:ascii="Times New Roman"/>
          <w:sz w:val="24"/>
        </w:rPr>
      </w:pPr>
      <w:r>
        <w:rPr>
          <w:rFonts w:hint="eastAsia" w:ascii="Times New Roman"/>
          <w:b/>
          <w:sz w:val="24"/>
        </w:rPr>
        <w:t>□公共建筑</w:t>
      </w:r>
      <w:r>
        <w:rPr>
          <w:rFonts w:hint="eastAsia" w:ascii="Times New Roman"/>
          <w:sz w:val="24"/>
        </w:rPr>
        <w:t>：总停车位</w:t>
      </w:r>
      <w:r>
        <w:rPr>
          <w:rFonts w:hint="eastAsia" w:ascii="Times New Roman"/>
          <w:sz w:val="24"/>
          <w:u w:val="single"/>
        </w:rPr>
        <w:t xml:space="preserve">     </w:t>
      </w:r>
      <w:r>
        <w:rPr>
          <w:rFonts w:hint="eastAsia" w:ascii="Times New Roman"/>
          <w:sz w:val="24"/>
        </w:rPr>
        <w:t>辆，按</w:t>
      </w:r>
      <w:r>
        <w:rPr>
          <w:rFonts w:hint="eastAsia" w:ascii="Times New Roman"/>
          <w:sz w:val="24"/>
          <w:u w:val="single"/>
        </w:rPr>
        <w:t xml:space="preserve">     </w:t>
      </w:r>
      <w:r>
        <w:rPr>
          <w:rFonts w:hint="eastAsia" w:ascii="Times New Roman"/>
          <w:sz w:val="24"/>
        </w:rPr>
        <w:t>%≥10%比例建设充电设施。</w:t>
      </w:r>
    </w:p>
    <w:p>
      <w:pPr>
        <w:spacing w:line="360" w:lineRule="auto"/>
        <w:ind w:left="142"/>
        <w:rPr>
          <w:rFonts w:ascii="Times New Roman"/>
          <w:sz w:val="24"/>
        </w:rPr>
      </w:pPr>
      <w:r>
        <w:rPr>
          <w:rFonts w:hint="eastAsia" w:ascii="Times New Roman"/>
          <w:sz w:val="24"/>
        </w:rPr>
        <w:t>变配电系统、电缆及桥架、充电设施及计量要求详见图纸：</w:t>
      </w:r>
      <w:r>
        <w:rPr>
          <w:rFonts w:hint="eastAsia" w:ascii="Times New Roman"/>
          <w:sz w:val="24"/>
          <w:u w:val="single"/>
        </w:rPr>
        <w:t xml:space="preserve">            </w:t>
      </w:r>
      <w:r>
        <w:rPr>
          <w:rFonts w:hint="eastAsia" w:ascii="Times New Roman"/>
          <w:sz w:val="24"/>
        </w:rPr>
        <w:t>。</w:t>
      </w:r>
    </w:p>
    <w:p>
      <w:pPr>
        <w:pStyle w:val="24"/>
        <w:numPr>
          <w:ilvl w:val="0"/>
          <w:numId w:val="13"/>
        </w:numPr>
        <w:spacing w:line="360" w:lineRule="auto"/>
        <w:ind w:firstLineChars="0"/>
        <w:rPr>
          <w:rFonts w:ascii="Times New Roman"/>
          <w:sz w:val="24"/>
        </w:rPr>
      </w:pPr>
      <w:r>
        <w:rPr>
          <w:rFonts w:hint="eastAsia" w:ascii="Times New Roman"/>
          <w:sz w:val="24"/>
        </w:rPr>
        <w:t>建筑设备管理系统具有自动监控管理功能。详见图纸：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b/>
          <w:sz w:val="24"/>
        </w:rPr>
        <w:t>□居住建筑</w:t>
      </w:r>
      <w:r>
        <w:rPr>
          <w:rFonts w:hint="eastAsia" w:ascii="Times New Roman"/>
          <w:sz w:val="24"/>
        </w:rPr>
        <w:t>：建筑面积</w:t>
      </w:r>
      <w:r>
        <w:rPr>
          <w:rFonts w:hint="eastAsia" w:ascii="Times New Roman"/>
          <w:sz w:val="24"/>
          <w:u w:val="single"/>
        </w:rPr>
        <w:t xml:space="preserve">          </w:t>
      </w:r>
      <w:r>
        <w:rPr>
          <w:rFonts w:hint="eastAsia" w:ascii="Times New Roman"/>
          <w:sz w:val="24"/>
        </w:rPr>
        <w:t>＞100000m</w:t>
      </w:r>
      <w:r>
        <w:rPr>
          <w:rFonts w:hint="eastAsia" w:ascii="Times New Roman"/>
          <w:sz w:val="24"/>
          <w:vertAlign w:val="superscript"/>
        </w:rPr>
        <w:t>2</w:t>
      </w:r>
      <w:r>
        <w:rPr>
          <w:rFonts w:hint="eastAsia" w:ascii="Times New Roman"/>
          <w:sz w:val="24"/>
        </w:rPr>
        <w:t>，应设置具有自动监控管理功能的建筑设备管理系统；</w:t>
      </w:r>
    </w:p>
    <w:p>
      <w:pPr>
        <w:spacing w:line="360" w:lineRule="auto"/>
        <w:ind w:left="142"/>
        <w:rPr>
          <w:rFonts w:ascii="Times New Roman"/>
          <w:sz w:val="24"/>
        </w:rPr>
      </w:pPr>
      <w:r>
        <w:rPr>
          <w:rFonts w:hint="eastAsia" w:ascii="Times New Roman"/>
          <w:b/>
          <w:sz w:val="24"/>
        </w:rPr>
        <w:t>□居住建筑</w:t>
      </w:r>
      <w:r>
        <w:rPr>
          <w:rFonts w:hint="eastAsia" w:ascii="Times New Roman"/>
          <w:sz w:val="24"/>
        </w:rPr>
        <w:t>：建筑面积</w:t>
      </w:r>
      <w:r>
        <w:rPr>
          <w:rFonts w:hint="eastAsia" w:ascii="Times New Roman"/>
          <w:sz w:val="24"/>
          <w:u w:val="single"/>
        </w:rPr>
        <w:t xml:space="preserve">          </w:t>
      </w:r>
      <w:r>
        <w:rPr>
          <w:rFonts w:hint="eastAsia" w:ascii="宋体" w:hAnsi="宋体" w:cs="宋体"/>
          <w:sz w:val="24"/>
        </w:rPr>
        <w:t>≤</w:t>
      </w:r>
      <w:r>
        <w:rPr>
          <w:rFonts w:hint="eastAsia" w:ascii="Times New Roman"/>
          <w:sz w:val="24"/>
        </w:rPr>
        <w:t>100000m</w:t>
      </w:r>
      <w:r>
        <w:rPr>
          <w:rFonts w:hint="eastAsia" w:ascii="Times New Roman"/>
          <w:sz w:val="24"/>
          <w:vertAlign w:val="superscript"/>
        </w:rPr>
        <w:t>2</w:t>
      </w:r>
      <w:r>
        <w:rPr>
          <w:rFonts w:hint="eastAsia" w:ascii="Times New Roman"/>
          <w:sz w:val="24"/>
        </w:rPr>
        <w:t>，公共设施的监控可以不设建筑设备自动监控系统，但设置简易的节能控制措施，如对风机水泵的变频控制、不联网的就地控制器、简单的单回路反馈控制等；</w:t>
      </w:r>
    </w:p>
    <w:p>
      <w:pPr>
        <w:spacing w:line="360" w:lineRule="auto"/>
        <w:ind w:left="142"/>
        <w:rPr>
          <w:rFonts w:ascii="Times New Roman"/>
          <w:sz w:val="24"/>
        </w:rPr>
      </w:pPr>
      <w:r>
        <w:rPr>
          <w:rFonts w:hint="eastAsia" w:ascii="Times New Roman"/>
          <w:b/>
          <w:sz w:val="24"/>
        </w:rPr>
        <w:t>□公共建筑</w:t>
      </w:r>
      <w:r>
        <w:rPr>
          <w:rFonts w:hint="eastAsia" w:ascii="Times New Roman"/>
          <w:sz w:val="24"/>
        </w:rPr>
        <w:t>：建筑面积</w:t>
      </w:r>
      <w:r>
        <w:rPr>
          <w:rFonts w:hint="eastAsia" w:ascii="Times New Roman"/>
          <w:sz w:val="24"/>
          <w:u w:val="single"/>
        </w:rPr>
        <w:t xml:space="preserve">          </w:t>
      </w:r>
      <w:r>
        <w:rPr>
          <w:rFonts w:hint="eastAsia" w:ascii="Times New Roman"/>
          <w:sz w:val="24"/>
        </w:rPr>
        <w:t>＞20000m</w:t>
      </w:r>
      <w:r>
        <w:rPr>
          <w:rFonts w:hint="eastAsia" w:ascii="Times New Roman"/>
          <w:sz w:val="24"/>
          <w:vertAlign w:val="superscript"/>
        </w:rPr>
        <w:t>2</w:t>
      </w:r>
      <w:r>
        <w:rPr>
          <w:rFonts w:hint="eastAsia" w:ascii="Times New Roman"/>
          <w:sz w:val="24"/>
        </w:rPr>
        <w:t>，应设置具有自动监控管理功能的建筑设备管理系统；</w:t>
      </w:r>
    </w:p>
    <w:p>
      <w:pPr>
        <w:spacing w:line="360" w:lineRule="auto"/>
        <w:ind w:left="142"/>
        <w:rPr>
          <w:rFonts w:ascii="Times New Roman"/>
          <w:sz w:val="24"/>
        </w:rPr>
      </w:pPr>
      <w:r>
        <w:rPr>
          <w:rFonts w:hint="eastAsia" w:ascii="Times New Roman"/>
          <w:b/>
          <w:sz w:val="24"/>
        </w:rPr>
        <w:t>□公共建筑</w:t>
      </w:r>
      <w:r>
        <w:rPr>
          <w:rFonts w:hint="eastAsia" w:ascii="Times New Roman"/>
          <w:sz w:val="24"/>
        </w:rPr>
        <w:t>：建筑面积</w:t>
      </w:r>
      <w:r>
        <w:rPr>
          <w:rFonts w:hint="eastAsia" w:ascii="Times New Roman"/>
          <w:sz w:val="24"/>
          <w:u w:val="single"/>
        </w:rPr>
        <w:t xml:space="preserve">          </w:t>
      </w:r>
      <w:r>
        <w:rPr>
          <w:rFonts w:hint="eastAsia" w:ascii="宋体" w:hAnsi="宋体" w:cs="宋体"/>
          <w:sz w:val="24"/>
        </w:rPr>
        <w:t>≤</w:t>
      </w:r>
      <w:r>
        <w:rPr>
          <w:rFonts w:hint="eastAsia" w:ascii="Times New Roman"/>
          <w:sz w:val="24"/>
        </w:rPr>
        <w:t>20000m</w:t>
      </w:r>
      <w:r>
        <w:rPr>
          <w:rFonts w:hint="eastAsia" w:ascii="Times New Roman"/>
          <w:sz w:val="24"/>
          <w:vertAlign w:val="superscript"/>
        </w:rPr>
        <w:t>2</w:t>
      </w:r>
      <w:r>
        <w:rPr>
          <w:rFonts w:hint="eastAsia" w:ascii="Times New Roman"/>
          <w:sz w:val="24"/>
        </w:rPr>
        <w:t>，公共设施的监控可以不设建筑设备自动监控系统，但设置简易的节能控制措施，如对风机水泵的变频控制、不联网的就地控制器、简单的单回路反馈控制等；</w:t>
      </w:r>
    </w:p>
    <w:p>
      <w:pPr>
        <w:spacing w:line="360" w:lineRule="auto"/>
        <w:ind w:left="142"/>
        <w:rPr>
          <w:rFonts w:ascii="Times New Roman"/>
          <w:sz w:val="24"/>
        </w:rPr>
      </w:pPr>
      <w:r>
        <w:rPr>
          <w:rFonts w:hint="eastAsia" w:ascii="Times New Roman"/>
          <w:b/>
          <w:sz w:val="24"/>
        </w:rPr>
        <w:t>□</w:t>
      </w:r>
      <w:r>
        <w:rPr>
          <w:rFonts w:hint="eastAsia" w:ascii="Times New Roman"/>
          <w:sz w:val="24"/>
        </w:rPr>
        <w:t>未设置建筑设备的建筑不做建筑设备管理系统。</w:t>
      </w:r>
    </w:p>
    <w:p>
      <w:pPr>
        <w:pStyle w:val="24"/>
        <w:numPr>
          <w:ilvl w:val="0"/>
          <w:numId w:val="13"/>
        </w:numPr>
        <w:spacing w:line="360" w:lineRule="auto"/>
        <w:ind w:firstLineChars="0"/>
        <w:rPr>
          <w:rFonts w:ascii="Times New Roman"/>
          <w:sz w:val="24"/>
        </w:rPr>
      </w:pPr>
      <w:r>
        <w:rPr>
          <w:rFonts w:hint="eastAsia" w:ascii="Times New Roman"/>
          <w:sz w:val="24"/>
        </w:rPr>
        <w:t>建筑设置信息网络系统。详见图纸：</w:t>
      </w:r>
      <w:r>
        <w:rPr>
          <w:rFonts w:hint="eastAsia" w:ascii="Times New Roman"/>
          <w:sz w:val="24"/>
          <w:u w:val="single"/>
        </w:rPr>
        <w:t xml:space="preserve">            </w:t>
      </w:r>
      <w:r>
        <w:rPr>
          <w:rFonts w:hint="eastAsia" w:ascii="Times New Roman"/>
          <w:sz w:val="24"/>
        </w:rPr>
        <w:t>。</w:t>
      </w:r>
    </w:p>
    <w:p>
      <w:pPr>
        <w:pStyle w:val="24"/>
        <w:numPr>
          <w:ilvl w:val="0"/>
          <w:numId w:val="13"/>
        </w:numPr>
        <w:spacing w:line="360" w:lineRule="auto"/>
        <w:ind w:firstLineChars="0"/>
        <w:rPr>
          <w:rFonts w:ascii="Times New Roman"/>
          <w:sz w:val="24"/>
        </w:rPr>
      </w:pPr>
      <w:r>
        <w:rPr>
          <w:rFonts w:hint="eastAsia" w:ascii="Times New Roman"/>
          <w:sz w:val="24"/>
        </w:rPr>
        <w:t>主要功能房间的照明功率密度值不高于现行国家标准《建筑照明设计标准》GB 50034规定的现行值。详见</w:t>
      </w:r>
      <w:r>
        <w:rPr>
          <w:rFonts w:hint="eastAsia" w:ascii="Times New Roman"/>
          <w:sz w:val="24"/>
          <w:u w:val="single"/>
        </w:rPr>
        <w:t>《照度计算书》</w:t>
      </w:r>
      <w:r>
        <w:rPr>
          <w:rFonts w:hint="eastAsia" w:ascii="Times New Roman"/>
          <w:sz w:val="24"/>
        </w:rPr>
        <w:t>：</w:t>
      </w:r>
    </w:p>
    <w:tbl>
      <w:tblPr>
        <w:tblStyle w:val="16"/>
        <w:tblW w:w="83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7"/>
        <w:gridCol w:w="1358"/>
        <w:gridCol w:w="1360"/>
        <w:gridCol w:w="1358"/>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jc w:val="center"/>
        </w:trPr>
        <w:tc>
          <w:tcPr>
            <w:tcW w:w="2867" w:type="dxa"/>
            <w:vMerge w:val="restart"/>
            <w:vAlign w:val="center"/>
          </w:tcPr>
          <w:p>
            <w:pPr>
              <w:jc w:val="center"/>
              <w:rPr>
                <w:rFonts w:ascii="Times New Roman" w:hAnsi="Times New Roman"/>
                <w:b/>
              </w:rPr>
            </w:pPr>
            <w:r>
              <w:rPr>
                <w:rFonts w:ascii="Times New Roman" w:hAnsi="宋体"/>
                <w:b/>
              </w:rPr>
              <w:t>房间类型</w:t>
            </w:r>
          </w:p>
        </w:tc>
        <w:tc>
          <w:tcPr>
            <w:tcW w:w="2718" w:type="dxa"/>
            <w:gridSpan w:val="2"/>
            <w:vAlign w:val="center"/>
          </w:tcPr>
          <w:p>
            <w:pPr>
              <w:jc w:val="center"/>
              <w:rPr>
                <w:rFonts w:ascii="Times New Roman" w:hAnsi="Times New Roman"/>
                <w:b/>
              </w:rPr>
            </w:pPr>
            <w:r>
              <w:rPr>
                <w:rFonts w:ascii="Times New Roman" w:hAnsi="宋体"/>
                <w:b/>
              </w:rPr>
              <w:t>照度值（</w:t>
            </w:r>
            <w:r>
              <w:rPr>
                <w:rFonts w:ascii="Times New Roman" w:hAnsi="Times New Roman"/>
                <w:b/>
              </w:rPr>
              <w:t>Lx</w:t>
            </w:r>
            <w:r>
              <w:rPr>
                <w:rFonts w:ascii="Times New Roman" w:hAnsi="宋体"/>
                <w:b/>
              </w:rPr>
              <w:t>）</w:t>
            </w:r>
          </w:p>
        </w:tc>
        <w:tc>
          <w:tcPr>
            <w:tcW w:w="2716" w:type="dxa"/>
            <w:gridSpan w:val="2"/>
            <w:vAlign w:val="center"/>
          </w:tcPr>
          <w:p>
            <w:pPr>
              <w:jc w:val="center"/>
              <w:rPr>
                <w:rFonts w:ascii="Times New Roman" w:hAnsi="Times New Roman"/>
                <w:b/>
              </w:rPr>
            </w:pPr>
            <w:r>
              <w:rPr>
                <w:rFonts w:ascii="Times New Roman" w:hAnsi="宋体"/>
                <w:b/>
              </w:rPr>
              <w:t>照明功率密度（</w:t>
            </w:r>
            <w:r>
              <w:rPr>
                <w:rFonts w:ascii="Times New Roman" w:hAnsi="Times New Roman"/>
                <w:b/>
              </w:rPr>
              <w:t>W/m</w:t>
            </w:r>
            <w:r>
              <w:rPr>
                <w:rFonts w:ascii="Times New Roman" w:hAnsi="Times New Roman"/>
                <w:b/>
                <w:vertAlign w:val="superscript"/>
              </w:rPr>
              <w:t>2</w:t>
            </w:r>
            <w:r>
              <w:rPr>
                <w:rFonts w:ascii="Times New Roman" w:hAnsi="Times New Roman"/>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867" w:type="dxa"/>
            <w:vMerge w:val="continue"/>
            <w:vAlign w:val="center"/>
          </w:tcPr>
          <w:p>
            <w:pPr>
              <w:jc w:val="center"/>
              <w:rPr>
                <w:rFonts w:ascii="Times New Roman" w:hAnsi="Times New Roman"/>
                <w:b/>
              </w:rPr>
            </w:pPr>
          </w:p>
        </w:tc>
        <w:tc>
          <w:tcPr>
            <w:tcW w:w="1358" w:type="dxa"/>
            <w:vAlign w:val="center"/>
          </w:tcPr>
          <w:p>
            <w:pPr>
              <w:jc w:val="center"/>
              <w:rPr>
                <w:rFonts w:ascii="Times New Roman" w:hAnsi="Times New Roman"/>
                <w:b/>
              </w:rPr>
            </w:pPr>
            <w:r>
              <w:rPr>
                <w:rFonts w:ascii="Times New Roman" w:hAnsi="宋体"/>
                <w:b/>
              </w:rPr>
              <w:t>设计值</w:t>
            </w:r>
          </w:p>
        </w:tc>
        <w:tc>
          <w:tcPr>
            <w:tcW w:w="1360" w:type="dxa"/>
            <w:vAlign w:val="center"/>
          </w:tcPr>
          <w:p>
            <w:pPr>
              <w:jc w:val="center"/>
              <w:rPr>
                <w:rFonts w:ascii="Times New Roman" w:hAnsi="Times New Roman"/>
                <w:b/>
              </w:rPr>
            </w:pPr>
            <w:r>
              <w:rPr>
                <w:rFonts w:ascii="Times New Roman" w:hAnsi="宋体"/>
                <w:b/>
              </w:rPr>
              <w:t>标准要求</w:t>
            </w:r>
          </w:p>
        </w:tc>
        <w:tc>
          <w:tcPr>
            <w:tcW w:w="1358" w:type="dxa"/>
            <w:vAlign w:val="center"/>
          </w:tcPr>
          <w:p>
            <w:pPr>
              <w:jc w:val="center"/>
              <w:rPr>
                <w:rFonts w:ascii="Times New Roman" w:hAnsi="Times New Roman"/>
                <w:b/>
              </w:rPr>
            </w:pPr>
            <w:r>
              <w:rPr>
                <w:rFonts w:ascii="Times New Roman" w:hAnsi="宋体"/>
                <w:b/>
              </w:rPr>
              <w:t>设计值</w:t>
            </w:r>
          </w:p>
        </w:tc>
        <w:tc>
          <w:tcPr>
            <w:tcW w:w="1358" w:type="dxa"/>
            <w:vAlign w:val="center"/>
          </w:tcPr>
          <w:p>
            <w:pPr>
              <w:jc w:val="center"/>
              <w:rPr>
                <w:rFonts w:ascii="Times New Roman" w:hAnsi="Times New Roman"/>
                <w:b/>
              </w:rPr>
            </w:pPr>
            <w:r>
              <w:rPr>
                <w:rFonts w:ascii="Times New Roman" w:hAnsi="宋体"/>
                <w:b/>
              </w:rPr>
              <w:t>现行值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867"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60"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867"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60"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867"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60"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867"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60"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2867"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60"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c>
          <w:tcPr>
            <w:tcW w:w="1358" w:type="dxa"/>
            <w:vAlign w:val="center"/>
          </w:tcPr>
          <w:p>
            <w:pPr>
              <w:jc w:val="center"/>
              <w:rPr>
                <w:rFonts w:ascii="Times New Roman" w:hAnsi="Times New Roman"/>
              </w:rPr>
            </w:pPr>
          </w:p>
        </w:tc>
      </w:tr>
    </w:tbl>
    <w:p>
      <w:pPr>
        <w:pStyle w:val="24"/>
        <w:numPr>
          <w:ilvl w:val="0"/>
          <w:numId w:val="13"/>
        </w:numPr>
        <w:spacing w:line="360" w:lineRule="auto"/>
        <w:ind w:firstLineChars="0"/>
        <w:rPr>
          <w:rFonts w:ascii="Times New Roman"/>
          <w:sz w:val="24"/>
        </w:rPr>
      </w:pPr>
      <w:r>
        <w:rPr>
          <w:rFonts w:hint="eastAsia" w:ascii="Times New Roman"/>
          <w:sz w:val="24"/>
        </w:rPr>
        <w:t>公共区域的照明系统采用节能控制措施。详见图纸：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采光区域的照明控制独立于其他区域的照明控制。详见图纸：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走廊照明系统采取的控制措施：□分区、□定时、□感应、□其他：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楼梯间照明系统采取的控制措施：□分区、□定时、□感应、□其他：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门厅照明系统采取的控制措施：□分区、□定时、□感应、□其他：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大堂照明系统采取的控制措施：□分区、□定时、□感应、□其他：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大空间照明系统采取的控制措施：□分区、□定时、□感应、□其他：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地下停车场的照明系统采取的控制措施：□分区、□定时、□感应、□其他：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室外夜景照明采取的控制措施：□定时、□感应、□其他：</w:t>
      </w:r>
      <w:r>
        <w:rPr>
          <w:rFonts w:hint="eastAsia" w:ascii="Times New Roman"/>
          <w:sz w:val="24"/>
          <w:u w:val="single"/>
        </w:rPr>
        <w:t xml:space="preserve">            </w:t>
      </w:r>
      <w:r>
        <w:rPr>
          <w:rFonts w:hint="eastAsia" w:ascii="Times New Roman"/>
          <w:sz w:val="24"/>
        </w:rPr>
        <w:t>。</w:t>
      </w:r>
    </w:p>
    <w:p>
      <w:pPr>
        <w:pStyle w:val="24"/>
        <w:numPr>
          <w:ilvl w:val="0"/>
          <w:numId w:val="13"/>
        </w:numPr>
        <w:spacing w:line="360" w:lineRule="auto"/>
        <w:ind w:firstLineChars="0"/>
        <w:rPr>
          <w:rFonts w:ascii="Times New Roman"/>
          <w:sz w:val="24"/>
        </w:rPr>
      </w:pPr>
      <w:r>
        <w:rPr>
          <w:rFonts w:hint="eastAsia" w:ascii="Times New Roman"/>
          <w:sz w:val="24"/>
        </w:rPr>
        <w:t>冷热源、输配系统和照明等各部分能耗进行独立分项计量。详见图纸：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b/>
          <w:sz w:val="24"/>
        </w:rPr>
        <w:t>□公共建筑</w:t>
      </w:r>
      <w:r>
        <w:rPr>
          <w:rFonts w:hint="eastAsia" w:ascii="Times New Roman"/>
          <w:sz w:val="24"/>
        </w:rPr>
        <w:t>：对以下回路设置分项计量表：</w:t>
      </w:r>
    </w:p>
    <w:p>
      <w:pPr>
        <w:spacing w:line="360" w:lineRule="auto"/>
        <w:ind w:left="142"/>
        <w:rPr>
          <w:rFonts w:ascii="Times New Roman"/>
          <w:szCs w:val="21"/>
        </w:rPr>
      </w:pPr>
      <w:r>
        <w:rPr>
          <w:rFonts w:hint="eastAsia" w:ascii="Times New Roman"/>
          <w:sz w:val="24"/>
        </w:rPr>
        <w:t>□变压器低压侧出线回路、□单独计量的外供电回路、□特殊区供电回路、□制冷机组主供电回路、□单独供电的冷热源系统附泵回路、□集中供电的分体空调回路、□照明插座回路、□电梯回路、□其他：</w:t>
      </w:r>
      <w:r>
        <w:rPr>
          <w:rFonts w:hint="eastAsia" w:ascii="Times New Roman"/>
          <w:szCs w:val="21"/>
          <w:u w:val="single"/>
        </w:rPr>
        <w:t xml:space="preserve">            </w:t>
      </w:r>
      <w:r>
        <w:rPr>
          <w:rFonts w:hint="eastAsia" w:ascii="Times New Roman"/>
          <w:szCs w:val="21"/>
        </w:rPr>
        <w:t>。</w:t>
      </w:r>
    </w:p>
    <w:p>
      <w:pPr>
        <w:spacing w:line="360" w:lineRule="auto"/>
        <w:ind w:left="142"/>
        <w:rPr>
          <w:rFonts w:ascii="Times New Roman"/>
          <w:sz w:val="24"/>
        </w:rPr>
      </w:pPr>
      <w:r>
        <w:rPr>
          <w:rFonts w:hint="eastAsia" w:ascii="Times New Roman"/>
          <w:b/>
          <w:sz w:val="24"/>
        </w:rPr>
        <w:t>□居住建筑</w:t>
      </w:r>
      <w:r>
        <w:rPr>
          <w:rFonts w:hint="eastAsia" w:ascii="Times New Roman"/>
          <w:sz w:val="24"/>
        </w:rPr>
        <w:t>：分户计量；住宅公共区域参考公共建筑执行。</w:t>
      </w:r>
    </w:p>
    <w:p>
      <w:pPr>
        <w:pStyle w:val="24"/>
        <w:numPr>
          <w:ilvl w:val="0"/>
          <w:numId w:val="13"/>
        </w:numPr>
        <w:spacing w:line="360" w:lineRule="auto"/>
        <w:ind w:firstLineChars="0"/>
        <w:rPr>
          <w:rFonts w:ascii="Times New Roman"/>
          <w:sz w:val="24"/>
        </w:rPr>
      </w:pPr>
      <w:r>
        <w:rPr>
          <w:rFonts w:hint="eastAsia" w:ascii="Times New Roman"/>
          <w:sz w:val="24"/>
        </w:rPr>
        <w:t>垂直电梯和自动扶梯采用节能控制措施。详见图纸：</w:t>
      </w:r>
      <w:r>
        <w:rPr>
          <w:rFonts w:hint="eastAsia" w:ascii="Times New Roman"/>
          <w:szCs w:val="21"/>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b/>
          <w:sz w:val="24"/>
        </w:rPr>
        <w:t>□垂直电梯</w:t>
      </w:r>
      <w:r>
        <w:rPr>
          <w:rFonts w:hint="eastAsia" w:ascii="Times New Roman"/>
          <w:sz w:val="24"/>
        </w:rPr>
        <w:t>：</w:t>
      </w:r>
    </w:p>
    <w:p>
      <w:pPr>
        <w:spacing w:line="360" w:lineRule="auto"/>
        <w:ind w:left="142"/>
        <w:rPr>
          <w:rFonts w:ascii="Times New Roman"/>
          <w:szCs w:val="21"/>
        </w:rPr>
      </w:pPr>
      <w:r>
        <w:rPr>
          <w:rFonts w:hint="eastAsia" w:ascii="Times New Roman"/>
          <w:sz w:val="24"/>
        </w:rPr>
        <w:t>节能措施：□群控、□变频调速、□能量反馈、□其他：</w:t>
      </w:r>
      <w:r>
        <w:rPr>
          <w:rFonts w:hint="eastAsia" w:ascii="Times New Roman"/>
          <w:szCs w:val="21"/>
          <w:u w:val="single"/>
        </w:rPr>
        <w:t xml:space="preserve">            </w:t>
      </w:r>
      <w:r>
        <w:rPr>
          <w:rFonts w:hint="eastAsia" w:ascii="Times New Roman"/>
          <w:szCs w:val="21"/>
        </w:rPr>
        <w:t>。</w:t>
      </w:r>
    </w:p>
    <w:tbl>
      <w:tblPr>
        <w:tblStyle w:val="16"/>
        <w:tblW w:w="915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851"/>
        <w:gridCol w:w="1134"/>
        <w:gridCol w:w="1276"/>
        <w:gridCol w:w="1417"/>
        <w:gridCol w:w="1134"/>
        <w:gridCol w:w="15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b/>
                <w:kern w:val="0"/>
                <w:szCs w:val="21"/>
              </w:rPr>
            </w:pPr>
            <w:r>
              <w:rPr>
                <w:rFonts w:hint="eastAsia" w:ascii="宋体" w:hAnsi="宋体"/>
                <w:b/>
                <w:kern w:val="0"/>
                <w:szCs w:val="21"/>
              </w:rPr>
              <w:t>设备类型及型号</w:t>
            </w:r>
          </w:p>
        </w:tc>
        <w:tc>
          <w:tcPr>
            <w:tcW w:w="851" w:type="dxa"/>
            <w:vAlign w:val="center"/>
          </w:tcPr>
          <w:p>
            <w:pPr>
              <w:spacing w:line="288" w:lineRule="auto"/>
              <w:jc w:val="center"/>
              <w:rPr>
                <w:rFonts w:ascii="宋体" w:hAnsi="宋体"/>
                <w:b/>
                <w:kern w:val="0"/>
                <w:szCs w:val="21"/>
              </w:rPr>
            </w:pPr>
            <w:r>
              <w:rPr>
                <w:rFonts w:hint="eastAsia" w:ascii="宋体" w:hAnsi="宋体"/>
                <w:b/>
                <w:kern w:val="0"/>
                <w:szCs w:val="21"/>
              </w:rPr>
              <w:t>台数</w:t>
            </w:r>
          </w:p>
        </w:tc>
        <w:tc>
          <w:tcPr>
            <w:tcW w:w="1134" w:type="dxa"/>
            <w:vAlign w:val="center"/>
          </w:tcPr>
          <w:p>
            <w:pPr>
              <w:spacing w:line="288" w:lineRule="auto"/>
              <w:jc w:val="center"/>
              <w:rPr>
                <w:rFonts w:ascii="宋体" w:hAnsi="宋体"/>
                <w:b/>
                <w:kern w:val="0"/>
                <w:szCs w:val="21"/>
              </w:rPr>
            </w:pPr>
            <w:r>
              <w:rPr>
                <w:rFonts w:hint="eastAsia" w:ascii="宋体" w:hAnsi="宋体"/>
                <w:b/>
                <w:kern w:val="0"/>
                <w:szCs w:val="21"/>
              </w:rPr>
              <w:t>载客量</w:t>
            </w:r>
          </w:p>
        </w:tc>
        <w:tc>
          <w:tcPr>
            <w:tcW w:w="1276" w:type="dxa"/>
            <w:vAlign w:val="center"/>
          </w:tcPr>
          <w:p>
            <w:pPr>
              <w:spacing w:line="288" w:lineRule="auto"/>
              <w:jc w:val="center"/>
              <w:rPr>
                <w:rFonts w:ascii="宋体" w:hAnsi="宋体"/>
                <w:b/>
                <w:kern w:val="0"/>
                <w:szCs w:val="21"/>
              </w:rPr>
            </w:pPr>
            <w:r>
              <w:rPr>
                <w:rFonts w:hint="eastAsia" w:ascii="宋体" w:hAnsi="宋体"/>
                <w:b/>
                <w:kern w:val="0"/>
                <w:szCs w:val="21"/>
              </w:rPr>
              <w:t>速度m/s</w:t>
            </w:r>
          </w:p>
        </w:tc>
        <w:tc>
          <w:tcPr>
            <w:tcW w:w="1417" w:type="dxa"/>
            <w:vAlign w:val="center"/>
          </w:tcPr>
          <w:p>
            <w:pPr>
              <w:spacing w:line="288" w:lineRule="auto"/>
              <w:jc w:val="center"/>
              <w:rPr>
                <w:rFonts w:ascii="宋体" w:hAnsi="宋体"/>
                <w:b/>
                <w:kern w:val="0"/>
                <w:szCs w:val="21"/>
              </w:rPr>
            </w:pPr>
            <w:r>
              <w:rPr>
                <w:rFonts w:hint="eastAsia" w:ascii="宋体" w:hAnsi="宋体"/>
                <w:b/>
                <w:kern w:val="0"/>
                <w:szCs w:val="21"/>
              </w:rPr>
              <w:t>节能特性</w:t>
            </w:r>
          </w:p>
        </w:tc>
        <w:tc>
          <w:tcPr>
            <w:tcW w:w="1134" w:type="dxa"/>
            <w:vAlign w:val="center"/>
          </w:tcPr>
          <w:p>
            <w:pPr>
              <w:spacing w:line="288" w:lineRule="auto"/>
              <w:jc w:val="center"/>
              <w:rPr>
                <w:rFonts w:ascii="宋体" w:hAnsi="宋体"/>
                <w:b/>
                <w:kern w:val="0"/>
                <w:szCs w:val="21"/>
              </w:rPr>
            </w:pPr>
            <w:r>
              <w:rPr>
                <w:rFonts w:hint="eastAsia" w:ascii="宋体" w:hAnsi="宋体"/>
                <w:b/>
                <w:kern w:val="0"/>
                <w:szCs w:val="21"/>
              </w:rPr>
              <w:t>控制方式</w:t>
            </w:r>
          </w:p>
        </w:tc>
        <w:tc>
          <w:tcPr>
            <w:tcW w:w="1537" w:type="dxa"/>
            <w:vAlign w:val="center"/>
          </w:tcPr>
          <w:p>
            <w:pPr>
              <w:spacing w:line="288" w:lineRule="auto"/>
              <w:jc w:val="center"/>
              <w:rPr>
                <w:rFonts w:ascii="宋体" w:hAnsi="宋体"/>
                <w:b/>
                <w:kern w:val="0"/>
                <w:szCs w:val="21"/>
              </w:rPr>
            </w:pPr>
            <w:r>
              <w:rPr>
                <w:rFonts w:hint="eastAsia" w:ascii="宋体" w:hAnsi="宋体"/>
                <w:b/>
                <w:kern w:val="0"/>
                <w:szCs w:val="21"/>
              </w:rPr>
              <w:t>是否符合要求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kern w:val="0"/>
                <w:szCs w:val="21"/>
              </w:rPr>
            </w:pPr>
          </w:p>
        </w:tc>
        <w:tc>
          <w:tcPr>
            <w:tcW w:w="1276" w:type="dxa"/>
            <w:vAlign w:val="center"/>
          </w:tcPr>
          <w:p>
            <w:pPr>
              <w:spacing w:line="288" w:lineRule="auto"/>
              <w:jc w:val="center"/>
              <w:rPr>
                <w:rFonts w:ascii="宋体" w:hAnsi="宋体"/>
                <w:kern w:val="0"/>
                <w:szCs w:val="21"/>
              </w:rPr>
            </w:pPr>
          </w:p>
        </w:tc>
        <w:tc>
          <w:tcPr>
            <w:tcW w:w="1417"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szCs w:val="21"/>
              </w:rPr>
            </w:pPr>
          </w:p>
        </w:tc>
        <w:tc>
          <w:tcPr>
            <w:tcW w:w="1276" w:type="dxa"/>
            <w:vAlign w:val="center"/>
          </w:tcPr>
          <w:p>
            <w:pPr>
              <w:spacing w:line="288" w:lineRule="auto"/>
              <w:jc w:val="center"/>
              <w:rPr>
                <w:rFonts w:ascii="宋体" w:hAnsi="宋体"/>
                <w:szCs w:val="21"/>
              </w:rPr>
            </w:pPr>
          </w:p>
        </w:tc>
        <w:tc>
          <w:tcPr>
            <w:tcW w:w="1417" w:type="dxa"/>
            <w:vAlign w:val="center"/>
          </w:tcPr>
          <w:p>
            <w:pPr>
              <w:spacing w:line="288" w:lineRule="auto"/>
              <w:jc w:val="center"/>
              <w:rPr>
                <w:rFonts w:ascii="宋体" w:hAnsi="宋体" w:cs="宋体"/>
                <w:bCs/>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szCs w:val="21"/>
              </w:rPr>
            </w:pPr>
          </w:p>
        </w:tc>
        <w:tc>
          <w:tcPr>
            <w:tcW w:w="1276" w:type="dxa"/>
            <w:vAlign w:val="center"/>
          </w:tcPr>
          <w:p>
            <w:pPr>
              <w:spacing w:line="288" w:lineRule="auto"/>
              <w:jc w:val="center"/>
              <w:rPr>
                <w:rFonts w:ascii="宋体" w:hAnsi="宋体"/>
                <w:szCs w:val="21"/>
              </w:rPr>
            </w:pPr>
          </w:p>
        </w:tc>
        <w:tc>
          <w:tcPr>
            <w:tcW w:w="1417" w:type="dxa"/>
            <w:vAlign w:val="center"/>
          </w:tcPr>
          <w:p>
            <w:pPr>
              <w:spacing w:line="288" w:lineRule="auto"/>
              <w:jc w:val="center"/>
              <w:rPr>
                <w:rFonts w:ascii="宋体" w:hAnsi="宋体" w:cs="宋体"/>
                <w:bCs/>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szCs w:val="21"/>
              </w:rPr>
            </w:pPr>
          </w:p>
        </w:tc>
        <w:tc>
          <w:tcPr>
            <w:tcW w:w="1276" w:type="dxa"/>
            <w:vAlign w:val="center"/>
          </w:tcPr>
          <w:p>
            <w:pPr>
              <w:spacing w:line="288" w:lineRule="auto"/>
              <w:jc w:val="center"/>
              <w:rPr>
                <w:rFonts w:ascii="宋体" w:hAnsi="宋体"/>
                <w:szCs w:val="21"/>
              </w:rPr>
            </w:pPr>
          </w:p>
        </w:tc>
        <w:tc>
          <w:tcPr>
            <w:tcW w:w="1417" w:type="dxa"/>
            <w:vAlign w:val="center"/>
          </w:tcPr>
          <w:p>
            <w:pPr>
              <w:spacing w:line="288" w:lineRule="auto"/>
              <w:jc w:val="center"/>
              <w:rPr>
                <w:rFonts w:ascii="宋体" w:hAnsi="宋体" w:cs="宋体"/>
                <w:bCs/>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szCs w:val="21"/>
              </w:rPr>
            </w:pPr>
          </w:p>
        </w:tc>
        <w:tc>
          <w:tcPr>
            <w:tcW w:w="1276" w:type="dxa"/>
            <w:vAlign w:val="center"/>
          </w:tcPr>
          <w:p>
            <w:pPr>
              <w:spacing w:line="288" w:lineRule="auto"/>
              <w:jc w:val="center"/>
              <w:rPr>
                <w:rFonts w:ascii="宋体" w:hAnsi="宋体"/>
                <w:szCs w:val="21"/>
              </w:rPr>
            </w:pPr>
          </w:p>
        </w:tc>
        <w:tc>
          <w:tcPr>
            <w:tcW w:w="1417" w:type="dxa"/>
            <w:vAlign w:val="center"/>
          </w:tcPr>
          <w:p>
            <w:pPr>
              <w:spacing w:line="288" w:lineRule="auto"/>
              <w:jc w:val="center"/>
              <w:rPr>
                <w:rFonts w:ascii="宋体" w:hAnsi="宋体" w:cs="宋体"/>
                <w:bCs/>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bl>
    <w:p>
      <w:pPr>
        <w:spacing w:line="360" w:lineRule="auto"/>
        <w:ind w:left="142"/>
        <w:rPr>
          <w:rFonts w:ascii="Times New Roman"/>
          <w:sz w:val="24"/>
        </w:rPr>
      </w:pPr>
      <w:r>
        <w:rPr>
          <w:rFonts w:hint="eastAsia" w:ascii="Times New Roman"/>
          <w:b/>
          <w:sz w:val="24"/>
        </w:rPr>
        <w:t>□自动扶梯</w:t>
      </w:r>
      <w:r>
        <w:rPr>
          <w:rFonts w:hint="eastAsia" w:ascii="Times New Roman"/>
          <w:sz w:val="24"/>
        </w:rPr>
        <w:t>：</w:t>
      </w:r>
    </w:p>
    <w:p>
      <w:pPr>
        <w:spacing w:line="360" w:lineRule="auto"/>
        <w:ind w:left="142"/>
        <w:rPr>
          <w:rFonts w:ascii="Times New Roman"/>
          <w:szCs w:val="21"/>
        </w:rPr>
      </w:pPr>
      <w:r>
        <w:rPr>
          <w:rFonts w:hint="eastAsia" w:ascii="Times New Roman"/>
          <w:sz w:val="24"/>
        </w:rPr>
        <w:t>节能措施：□变频感应启动、□其他：</w:t>
      </w:r>
      <w:r>
        <w:rPr>
          <w:rFonts w:hint="eastAsia" w:ascii="Times New Roman"/>
          <w:szCs w:val="21"/>
          <w:u w:val="single"/>
        </w:rPr>
        <w:t xml:space="preserve">            </w:t>
      </w:r>
      <w:r>
        <w:rPr>
          <w:rFonts w:hint="eastAsia" w:ascii="Times New Roman"/>
          <w:szCs w:val="21"/>
        </w:rPr>
        <w:t>。</w:t>
      </w:r>
    </w:p>
    <w:tbl>
      <w:tblPr>
        <w:tblStyle w:val="16"/>
        <w:tblW w:w="915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851"/>
        <w:gridCol w:w="1134"/>
        <w:gridCol w:w="1276"/>
        <w:gridCol w:w="1417"/>
        <w:gridCol w:w="1134"/>
        <w:gridCol w:w="15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b/>
                <w:kern w:val="0"/>
                <w:szCs w:val="21"/>
              </w:rPr>
            </w:pPr>
            <w:r>
              <w:rPr>
                <w:rFonts w:hint="eastAsia" w:ascii="宋体" w:hAnsi="宋体"/>
                <w:b/>
                <w:kern w:val="0"/>
                <w:szCs w:val="21"/>
              </w:rPr>
              <w:t>设备类型及型号</w:t>
            </w:r>
          </w:p>
        </w:tc>
        <w:tc>
          <w:tcPr>
            <w:tcW w:w="851" w:type="dxa"/>
            <w:vAlign w:val="center"/>
          </w:tcPr>
          <w:p>
            <w:pPr>
              <w:spacing w:line="288" w:lineRule="auto"/>
              <w:jc w:val="center"/>
              <w:rPr>
                <w:rFonts w:ascii="宋体" w:hAnsi="宋体"/>
                <w:b/>
                <w:kern w:val="0"/>
                <w:szCs w:val="21"/>
              </w:rPr>
            </w:pPr>
            <w:r>
              <w:rPr>
                <w:rFonts w:hint="eastAsia" w:ascii="宋体" w:hAnsi="宋体"/>
                <w:b/>
                <w:kern w:val="0"/>
                <w:szCs w:val="21"/>
              </w:rPr>
              <w:t>台数</w:t>
            </w:r>
          </w:p>
        </w:tc>
        <w:tc>
          <w:tcPr>
            <w:tcW w:w="1134" w:type="dxa"/>
            <w:vAlign w:val="center"/>
          </w:tcPr>
          <w:p>
            <w:pPr>
              <w:spacing w:line="288" w:lineRule="auto"/>
              <w:jc w:val="center"/>
              <w:rPr>
                <w:rFonts w:ascii="宋体" w:hAnsi="宋体"/>
                <w:b/>
                <w:kern w:val="0"/>
                <w:szCs w:val="21"/>
              </w:rPr>
            </w:pPr>
            <w:r>
              <w:rPr>
                <w:rFonts w:hint="eastAsia" w:ascii="宋体" w:hAnsi="宋体"/>
                <w:b/>
                <w:kern w:val="0"/>
                <w:szCs w:val="21"/>
              </w:rPr>
              <w:t>载客量</w:t>
            </w:r>
          </w:p>
        </w:tc>
        <w:tc>
          <w:tcPr>
            <w:tcW w:w="1276" w:type="dxa"/>
            <w:vAlign w:val="center"/>
          </w:tcPr>
          <w:p>
            <w:pPr>
              <w:spacing w:line="288" w:lineRule="auto"/>
              <w:jc w:val="center"/>
              <w:rPr>
                <w:rFonts w:ascii="宋体" w:hAnsi="宋体"/>
                <w:b/>
                <w:kern w:val="0"/>
                <w:szCs w:val="21"/>
              </w:rPr>
            </w:pPr>
            <w:r>
              <w:rPr>
                <w:rFonts w:hint="eastAsia" w:ascii="宋体" w:hAnsi="宋体"/>
                <w:b/>
                <w:kern w:val="0"/>
                <w:szCs w:val="21"/>
              </w:rPr>
              <w:t>速度m/s</w:t>
            </w:r>
          </w:p>
        </w:tc>
        <w:tc>
          <w:tcPr>
            <w:tcW w:w="1417" w:type="dxa"/>
            <w:vAlign w:val="center"/>
          </w:tcPr>
          <w:p>
            <w:pPr>
              <w:spacing w:line="288" w:lineRule="auto"/>
              <w:jc w:val="center"/>
              <w:rPr>
                <w:rFonts w:ascii="宋体" w:hAnsi="宋体"/>
                <w:b/>
                <w:kern w:val="0"/>
                <w:szCs w:val="21"/>
              </w:rPr>
            </w:pPr>
            <w:r>
              <w:rPr>
                <w:rFonts w:hint="eastAsia" w:ascii="宋体" w:hAnsi="宋体"/>
                <w:b/>
                <w:kern w:val="0"/>
                <w:szCs w:val="21"/>
              </w:rPr>
              <w:t>节能特性</w:t>
            </w:r>
          </w:p>
        </w:tc>
        <w:tc>
          <w:tcPr>
            <w:tcW w:w="1134" w:type="dxa"/>
            <w:vAlign w:val="center"/>
          </w:tcPr>
          <w:p>
            <w:pPr>
              <w:spacing w:line="288" w:lineRule="auto"/>
              <w:jc w:val="center"/>
              <w:rPr>
                <w:rFonts w:ascii="宋体" w:hAnsi="宋体"/>
                <w:b/>
                <w:kern w:val="0"/>
                <w:szCs w:val="21"/>
              </w:rPr>
            </w:pPr>
            <w:r>
              <w:rPr>
                <w:rFonts w:hint="eastAsia" w:ascii="宋体" w:hAnsi="宋体"/>
                <w:b/>
                <w:kern w:val="0"/>
                <w:szCs w:val="21"/>
              </w:rPr>
              <w:t>控制方式</w:t>
            </w:r>
          </w:p>
        </w:tc>
        <w:tc>
          <w:tcPr>
            <w:tcW w:w="1537" w:type="dxa"/>
            <w:vAlign w:val="center"/>
          </w:tcPr>
          <w:p>
            <w:pPr>
              <w:spacing w:line="288" w:lineRule="auto"/>
              <w:jc w:val="center"/>
              <w:rPr>
                <w:rFonts w:ascii="宋体" w:hAnsi="宋体"/>
                <w:b/>
                <w:kern w:val="0"/>
                <w:szCs w:val="21"/>
              </w:rPr>
            </w:pPr>
            <w:r>
              <w:rPr>
                <w:rFonts w:hint="eastAsia" w:ascii="宋体" w:hAnsi="宋体"/>
                <w:b/>
                <w:kern w:val="0"/>
                <w:szCs w:val="21"/>
              </w:rPr>
              <w:t>是否符合要求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kern w:val="0"/>
                <w:szCs w:val="21"/>
              </w:rPr>
            </w:pPr>
          </w:p>
        </w:tc>
        <w:tc>
          <w:tcPr>
            <w:tcW w:w="1276" w:type="dxa"/>
            <w:vAlign w:val="center"/>
          </w:tcPr>
          <w:p>
            <w:pPr>
              <w:spacing w:line="288" w:lineRule="auto"/>
              <w:jc w:val="center"/>
              <w:rPr>
                <w:rFonts w:ascii="宋体" w:hAnsi="宋体"/>
                <w:kern w:val="0"/>
                <w:szCs w:val="21"/>
              </w:rPr>
            </w:pPr>
          </w:p>
        </w:tc>
        <w:tc>
          <w:tcPr>
            <w:tcW w:w="1417"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szCs w:val="21"/>
              </w:rPr>
            </w:pPr>
          </w:p>
        </w:tc>
        <w:tc>
          <w:tcPr>
            <w:tcW w:w="1276" w:type="dxa"/>
            <w:vAlign w:val="center"/>
          </w:tcPr>
          <w:p>
            <w:pPr>
              <w:spacing w:line="288" w:lineRule="auto"/>
              <w:jc w:val="center"/>
              <w:rPr>
                <w:rFonts w:ascii="宋体" w:hAnsi="宋体"/>
                <w:szCs w:val="21"/>
              </w:rPr>
            </w:pPr>
          </w:p>
        </w:tc>
        <w:tc>
          <w:tcPr>
            <w:tcW w:w="1417" w:type="dxa"/>
            <w:vAlign w:val="center"/>
          </w:tcPr>
          <w:p>
            <w:pPr>
              <w:spacing w:line="288" w:lineRule="auto"/>
              <w:jc w:val="center"/>
              <w:rPr>
                <w:rFonts w:ascii="宋体" w:hAnsi="宋体" w:cs="宋体"/>
                <w:bCs/>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805" w:type="dxa"/>
            <w:vAlign w:val="center"/>
          </w:tcPr>
          <w:p>
            <w:pPr>
              <w:spacing w:line="288" w:lineRule="auto"/>
              <w:jc w:val="center"/>
              <w:rPr>
                <w:rFonts w:ascii="宋体" w:hAnsi="宋体"/>
                <w:kern w:val="0"/>
                <w:szCs w:val="21"/>
              </w:rPr>
            </w:pPr>
          </w:p>
        </w:tc>
        <w:tc>
          <w:tcPr>
            <w:tcW w:w="851" w:type="dxa"/>
            <w:vAlign w:val="center"/>
          </w:tcPr>
          <w:p>
            <w:pPr>
              <w:spacing w:line="288" w:lineRule="auto"/>
              <w:jc w:val="center"/>
              <w:rPr>
                <w:rFonts w:ascii="宋体" w:hAnsi="宋体"/>
                <w:kern w:val="0"/>
                <w:szCs w:val="21"/>
              </w:rPr>
            </w:pPr>
          </w:p>
        </w:tc>
        <w:tc>
          <w:tcPr>
            <w:tcW w:w="1134" w:type="dxa"/>
            <w:vAlign w:val="center"/>
          </w:tcPr>
          <w:p>
            <w:pPr>
              <w:spacing w:line="288" w:lineRule="auto"/>
              <w:jc w:val="center"/>
              <w:rPr>
                <w:rFonts w:ascii="宋体" w:hAnsi="宋体"/>
                <w:szCs w:val="21"/>
              </w:rPr>
            </w:pPr>
          </w:p>
        </w:tc>
        <w:tc>
          <w:tcPr>
            <w:tcW w:w="1276" w:type="dxa"/>
            <w:vAlign w:val="center"/>
          </w:tcPr>
          <w:p>
            <w:pPr>
              <w:spacing w:line="288" w:lineRule="auto"/>
              <w:jc w:val="center"/>
              <w:rPr>
                <w:rFonts w:ascii="宋体" w:hAnsi="宋体"/>
                <w:szCs w:val="21"/>
              </w:rPr>
            </w:pPr>
          </w:p>
        </w:tc>
        <w:tc>
          <w:tcPr>
            <w:tcW w:w="1417" w:type="dxa"/>
            <w:vAlign w:val="center"/>
          </w:tcPr>
          <w:p>
            <w:pPr>
              <w:spacing w:line="288" w:lineRule="auto"/>
              <w:jc w:val="center"/>
              <w:rPr>
                <w:rFonts w:ascii="宋体" w:hAnsi="宋体" w:cs="宋体"/>
                <w:bCs/>
                <w:szCs w:val="21"/>
              </w:rPr>
            </w:pPr>
          </w:p>
        </w:tc>
        <w:tc>
          <w:tcPr>
            <w:tcW w:w="1134" w:type="dxa"/>
            <w:vAlign w:val="center"/>
          </w:tcPr>
          <w:p>
            <w:pPr>
              <w:spacing w:line="288" w:lineRule="auto"/>
              <w:jc w:val="center"/>
              <w:rPr>
                <w:rFonts w:ascii="宋体" w:hAnsi="宋体" w:cs="宋体"/>
                <w:bCs/>
                <w:szCs w:val="21"/>
              </w:rPr>
            </w:pPr>
          </w:p>
        </w:tc>
        <w:tc>
          <w:tcPr>
            <w:tcW w:w="1537" w:type="dxa"/>
            <w:vAlign w:val="center"/>
          </w:tcPr>
          <w:p>
            <w:pPr>
              <w:spacing w:line="288" w:lineRule="auto"/>
              <w:jc w:val="center"/>
              <w:rPr>
                <w:rFonts w:ascii="宋体" w:hAnsi="宋体" w:cs="宋体"/>
                <w:bCs/>
                <w:szCs w:val="21"/>
              </w:rPr>
            </w:pPr>
          </w:p>
        </w:tc>
      </w:tr>
    </w:tbl>
    <w:p>
      <w:pPr>
        <w:spacing w:line="360" w:lineRule="auto"/>
        <w:rPr>
          <w:rFonts w:ascii="Times New Roman"/>
          <w:sz w:val="24"/>
        </w:rPr>
      </w:pPr>
      <w:r>
        <w:rPr>
          <w:rFonts w:hint="eastAsia" w:ascii="Times New Roman"/>
          <w:sz w:val="24"/>
        </w:rPr>
        <w:t>注：无电梯和扶梯的建筑，本条不做要求。</w:t>
      </w:r>
    </w:p>
    <w:p>
      <w:pPr>
        <w:spacing w:line="360" w:lineRule="auto"/>
        <w:rPr>
          <w:rFonts w:ascii="Times New Roman"/>
          <w:sz w:val="24"/>
        </w:rPr>
      </w:pPr>
    </w:p>
    <w:p>
      <w:pPr>
        <w:pStyle w:val="24"/>
        <w:numPr>
          <w:ilvl w:val="0"/>
          <w:numId w:val="11"/>
        </w:numPr>
        <w:spacing w:line="360" w:lineRule="auto"/>
        <w:ind w:left="-210" w:leftChars="-100" w:firstLineChars="0"/>
        <w:rPr>
          <w:rFonts w:ascii="Times New Roman"/>
          <w:szCs w:val="21"/>
        </w:rPr>
      </w:pPr>
      <w:r>
        <w:rPr>
          <w:rFonts w:hint="eastAsia"/>
          <w:b/>
          <w:sz w:val="28"/>
          <w:szCs w:val="28"/>
        </w:rPr>
        <w:t>绿色建筑</w:t>
      </w:r>
      <w:r>
        <w:rPr>
          <w:rFonts w:hint="eastAsia" w:ascii="Times New Roman"/>
          <w:sz w:val="28"/>
          <w:szCs w:val="28"/>
          <w:u w:val="single"/>
        </w:rPr>
        <w:t xml:space="preserve">     </w:t>
      </w:r>
      <w:r>
        <w:rPr>
          <w:rFonts w:hint="eastAsia"/>
          <w:b/>
          <w:sz w:val="28"/>
          <w:szCs w:val="28"/>
        </w:rPr>
        <w:t>星级</w:t>
      </w:r>
    </w:p>
    <w:p>
      <w:pPr>
        <w:spacing w:line="360" w:lineRule="auto"/>
        <w:rPr>
          <w:rFonts w:ascii="Times New Roman"/>
          <w:sz w:val="24"/>
        </w:rPr>
      </w:pPr>
      <w:r>
        <w:rPr>
          <w:rFonts w:ascii="Times New Roman"/>
          <w:sz w:val="24"/>
        </w:rPr>
        <w:t>根据项目特点合理选择</w:t>
      </w:r>
      <w:r>
        <w:rPr>
          <w:rFonts w:hint="eastAsia" w:ascii="Times New Roman"/>
          <w:sz w:val="24"/>
        </w:rPr>
        <w:t>绿色建筑的</w:t>
      </w:r>
      <w:r>
        <w:rPr>
          <w:rFonts w:ascii="Times New Roman"/>
          <w:sz w:val="24"/>
        </w:rPr>
        <w:t>技术路线</w:t>
      </w:r>
      <w:r>
        <w:rPr>
          <w:rFonts w:hint="eastAsia" w:ascii="Times New Roman"/>
          <w:sz w:val="24"/>
        </w:rPr>
        <w:t>，</w:t>
      </w:r>
      <w:r>
        <w:rPr>
          <w:rFonts w:ascii="Times New Roman"/>
          <w:sz w:val="24"/>
        </w:rPr>
        <w:t>增加相关</w:t>
      </w:r>
      <w:r>
        <w:rPr>
          <w:rFonts w:hint="eastAsia" w:ascii="Times New Roman"/>
          <w:sz w:val="24"/>
        </w:rPr>
        <w:t>条款、</w:t>
      </w:r>
      <w:r>
        <w:rPr>
          <w:rFonts w:ascii="Times New Roman"/>
          <w:sz w:val="24"/>
        </w:rPr>
        <w:t>说明、图纸和报告。</w:t>
      </w:r>
    </w:p>
    <w:p>
      <w:pPr>
        <w:spacing w:line="360" w:lineRule="auto"/>
        <w:rPr>
          <w:b/>
          <w:sz w:val="28"/>
          <w:szCs w:val="28"/>
        </w:rPr>
      </w:pPr>
      <w:r>
        <w:rPr>
          <w:b/>
          <w:sz w:val="28"/>
          <w:szCs w:val="28"/>
        </w:rPr>
        <w:br w:type="page"/>
      </w:r>
    </w:p>
    <w:p>
      <w:pPr>
        <w:spacing w:line="360" w:lineRule="auto"/>
        <w:ind w:left="-210" w:leftChars="-100"/>
        <w:jc w:val="center"/>
        <w:rPr>
          <w:rFonts w:ascii="Times New Roman" w:hAnsi="Times New Roman"/>
          <w:b/>
          <w:sz w:val="28"/>
          <w:szCs w:val="28"/>
        </w:rPr>
      </w:pPr>
      <w:r>
        <w:rPr>
          <w:rFonts w:hint="eastAsia" w:ascii="Times New Roman" w:hAnsi="Times New Roman"/>
          <w:b/>
          <w:sz w:val="28"/>
          <w:szCs w:val="28"/>
        </w:rPr>
        <w:t>江西省绿色建筑设计专篇</w:t>
      </w:r>
      <w:r>
        <w:rPr>
          <w:rFonts w:hint="eastAsia" w:ascii="Times New Roman" w:hAnsi="Times New Roman"/>
          <w:b/>
          <w:sz w:val="28"/>
          <w:szCs w:val="28"/>
          <w:lang w:val="en-US" w:eastAsia="zh-CN"/>
        </w:rPr>
        <w:t>参考模板</w:t>
      </w:r>
      <w:r>
        <w:rPr>
          <w:rFonts w:hint="eastAsia" w:ascii="Times New Roman" w:hAnsi="Times New Roman"/>
          <w:b/>
          <w:sz w:val="28"/>
          <w:szCs w:val="28"/>
        </w:rPr>
        <w:t>（暖通空调）</w:t>
      </w:r>
    </w:p>
    <w:p>
      <w:pPr>
        <w:pStyle w:val="24"/>
        <w:numPr>
          <w:ilvl w:val="0"/>
          <w:numId w:val="14"/>
        </w:numPr>
        <w:spacing w:line="360" w:lineRule="auto"/>
        <w:ind w:left="-210" w:leftChars="-100" w:firstLineChars="0"/>
        <w:rPr>
          <w:b/>
          <w:sz w:val="28"/>
          <w:szCs w:val="28"/>
        </w:rPr>
      </w:pPr>
      <w:r>
        <w:rPr>
          <w:rFonts w:hint="eastAsia"/>
          <w:b/>
          <w:sz w:val="28"/>
          <w:szCs w:val="28"/>
        </w:rPr>
        <w:t>设计依据</w:t>
      </w:r>
    </w:p>
    <w:p>
      <w:pPr>
        <w:pStyle w:val="24"/>
        <w:numPr>
          <w:ilvl w:val="0"/>
          <w:numId w:val="15"/>
        </w:numPr>
        <w:spacing w:line="360" w:lineRule="auto"/>
        <w:ind w:firstLineChars="0"/>
        <w:rPr>
          <w:rFonts w:ascii="Times New Roman"/>
          <w:sz w:val="24"/>
        </w:rPr>
      </w:pPr>
      <w:r>
        <w:rPr>
          <w:rFonts w:hint="eastAsia" w:ascii="Times New Roman"/>
          <w:sz w:val="24"/>
        </w:rPr>
        <w:t>《民用建筑热工设计规范》GB 50176-2016</w:t>
      </w:r>
    </w:p>
    <w:p>
      <w:pPr>
        <w:pStyle w:val="24"/>
        <w:numPr>
          <w:ilvl w:val="0"/>
          <w:numId w:val="15"/>
        </w:numPr>
        <w:spacing w:line="360" w:lineRule="auto"/>
        <w:ind w:firstLineChars="0"/>
        <w:rPr>
          <w:rFonts w:ascii="Times New Roman"/>
          <w:sz w:val="24"/>
        </w:rPr>
      </w:pPr>
      <w:r>
        <w:rPr>
          <w:rFonts w:hint="eastAsia" w:ascii="Times New Roman"/>
          <w:sz w:val="24"/>
        </w:rPr>
        <w:t>《公共建筑节能设计标准》GB 50189-2015</w:t>
      </w:r>
    </w:p>
    <w:p>
      <w:pPr>
        <w:pStyle w:val="24"/>
        <w:numPr>
          <w:ilvl w:val="0"/>
          <w:numId w:val="15"/>
        </w:numPr>
        <w:spacing w:line="360" w:lineRule="auto"/>
        <w:ind w:firstLineChars="0"/>
        <w:rPr>
          <w:rFonts w:ascii="Times New Roman"/>
          <w:sz w:val="24"/>
        </w:rPr>
      </w:pPr>
      <w:r>
        <w:rPr>
          <w:rFonts w:hint="eastAsia" w:ascii="Times New Roman"/>
          <w:sz w:val="24"/>
        </w:rPr>
        <w:t>《江西省居住建筑节能设计标准》DBJ/T 36-024-2014</w:t>
      </w:r>
    </w:p>
    <w:p>
      <w:pPr>
        <w:pStyle w:val="24"/>
        <w:numPr>
          <w:ilvl w:val="0"/>
          <w:numId w:val="15"/>
        </w:numPr>
        <w:spacing w:line="360" w:lineRule="auto"/>
        <w:ind w:firstLineChars="0"/>
        <w:rPr>
          <w:rFonts w:ascii="Times New Roman"/>
          <w:sz w:val="24"/>
        </w:rPr>
      </w:pPr>
      <w:r>
        <w:rPr>
          <w:rFonts w:hint="eastAsia" w:ascii="Times New Roman"/>
          <w:sz w:val="24"/>
        </w:rPr>
        <w:t>《民用建筑供暖通风与空气调节设计规范》GB 50736-2012</w:t>
      </w:r>
    </w:p>
    <w:p>
      <w:pPr>
        <w:pStyle w:val="24"/>
        <w:numPr>
          <w:ilvl w:val="0"/>
          <w:numId w:val="15"/>
        </w:numPr>
        <w:spacing w:line="360" w:lineRule="auto"/>
        <w:ind w:firstLineChars="0"/>
        <w:rPr>
          <w:rFonts w:ascii="Times New Roman"/>
          <w:sz w:val="24"/>
        </w:rPr>
      </w:pPr>
      <w:r>
        <w:rPr>
          <w:rFonts w:hint="eastAsia" w:ascii="Times New Roman"/>
          <w:sz w:val="24"/>
        </w:rPr>
        <w:t>《绿色建筑评价标准》GB/T50378-2019</w:t>
      </w:r>
    </w:p>
    <w:p>
      <w:pPr>
        <w:pStyle w:val="24"/>
        <w:numPr>
          <w:ilvl w:val="0"/>
          <w:numId w:val="15"/>
        </w:numPr>
        <w:spacing w:line="360" w:lineRule="auto"/>
        <w:ind w:firstLineChars="0"/>
        <w:rPr>
          <w:rFonts w:ascii="Times New Roman"/>
          <w:sz w:val="24"/>
        </w:rPr>
      </w:pPr>
      <w:r>
        <w:rPr>
          <w:rFonts w:hint="eastAsia" w:ascii="Times New Roman"/>
          <w:sz w:val="24"/>
        </w:rPr>
        <w:t>国家、省、市现行的法律、规范及其他相关规定</w:t>
      </w:r>
    </w:p>
    <w:p>
      <w:pPr>
        <w:pStyle w:val="24"/>
        <w:spacing w:line="360" w:lineRule="auto"/>
        <w:ind w:left="210" w:firstLine="0" w:firstLineChars="0"/>
        <w:rPr>
          <w:b/>
          <w:sz w:val="28"/>
          <w:szCs w:val="28"/>
        </w:rPr>
      </w:pPr>
    </w:p>
    <w:p>
      <w:pPr>
        <w:pStyle w:val="24"/>
        <w:numPr>
          <w:ilvl w:val="0"/>
          <w:numId w:val="14"/>
        </w:numPr>
        <w:spacing w:line="360" w:lineRule="auto"/>
        <w:ind w:left="-210" w:leftChars="-100" w:firstLineChars="0"/>
        <w:rPr>
          <w:b/>
          <w:sz w:val="28"/>
          <w:szCs w:val="28"/>
        </w:rPr>
      </w:pPr>
      <w:r>
        <w:rPr>
          <w:rFonts w:hint="eastAsia"/>
          <w:b/>
          <w:sz w:val="28"/>
          <w:szCs w:val="28"/>
        </w:rPr>
        <w:t>基本级设计内容</w:t>
      </w:r>
    </w:p>
    <w:p>
      <w:pPr>
        <w:pStyle w:val="24"/>
        <w:numPr>
          <w:ilvl w:val="0"/>
          <w:numId w:val="16"/>
        </w:numPr>
        <w:spacing w:line="360" w:lineRule="auto"/>
        <w:ind w:firstLineChars="0"/>
        <w:rPr>
          <w:rFonts w:ascii="Times New Roman"/>
          <w:sz w:val="24"/>
        </w:rPr>
      </w:pPr>
      <w:r>
        <w:rPr>
          <w:rFonts w:hint="eastAsia" w:ascii="Times New Roman"/>
          <w:sz w:val="24"/>
        </w:rPr>
        <w:t>项目内设置以下功能房间：</w:t>
      </w:r>
      <w:r>
        <w:rPr>
          <w:rFonts w:ascii="Times New Roman"/>
          <w:sz w:val="24"/>
        </w:rPr>
        <w:t xml:space="preserve"> </w:t>
      </w:r>
    </w:p>
    <w:p>
      <w:pPr>
        <w:spacing w:line="360" w:lineRule="auto"/>
        <w:ind w:left="142"/>
        <w:rPr>
          <w:rFonts w:ascii="Times New Roman"/>
          <w:sz w:val="24"/>
        </w:rPr>
      </w:pPr>
      <w:r>
        <w:rPr>
          <w:rFonts w:hint="eastAsia" w:ascii="Times New Roman"/>
          <w:sz w:val="24"/>
        </w:rPr>
        <w:t>□厨房、□餐厅、□打印复印室、□卫生间、□地下车库、□其他产生污染物的房间：</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简要说明防止以上区域的空气和污染物串通到其他空间，防止厨房、卫生间的排气倒灌的措施：</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□设置机械通风系统，详见图纸：</w:t>
      </w:r>
      <w:r>
        <w:rPr>
          <w:rFonts w:hint="eastAsia" w:ascii="Times New Roman"/>
          <w:sz w:val="24"/>
          <w:u w:val="single"/>
        </w:rPr>
        <w:t xml:space="preserve">                          </w:t>
      </w:r>
      <w:r>
        <w:rPr>
          <w:rFonts w:hint="eastAsia" w:ascii="Times New Roman"/>
          <w:sz w:val="24"/>
        </w:rPr>
        <w:t>。</w:t>
      </w:r>
    </w:p>
    <w:p>
      <w:pPr>
        <w:pStyle w:val="24"/>
        <w:numPr>
          <w:ilvl w:val="0"/>
          <w:numId w:val="16"/>
        </w:numPr>
        <w:spacing w:line="360" w:lineRule="auto"/>
        <w:ind w:firstLineChars="0"/>
        <w:rPr>
          <w:rFonts w:ascii="Times New Roman"/>
          <w:sz w:val="24"/>
        </w:rPr>
      </w:pPr>
      <w:r>
        <w:rPr>
          <w:rFonts w:hint="eastAsia" w:ascii="Times New Roman"/>
          <w:sz w:val="24"/>
        </w:rPr>
        <w:t>采取措施保障室内热环境。</w:t>
      </w:r>
    </w:p>
    <w:p>
      <w:pPr>
        <w:spacing w:line="360" w:lineRule="auto"/>
        <w:ind w:left="142"/>
        <w:rPr>
          <w:rFonts w:ascii="Times New Roman"/>
          <w:b/>
          <w:sz w:val="24"/>
        </w:rPr>
      </w:pPr>
      <w:r>
        <w:rPr>
          <w:rFonts w:hint="eastAsia" w:ascii="Times New Roman"/>
          <w:b/>
          <w:sz w:val="24"/>
        </w:rPr>
        <w:t>□集中供暖空调系统的建筑</w:t>
      </w:r>
    </w:p>
    <w:p>
      <w:pPr>
        <w:spacing w:line="360" w:lineRule="auto"/>
        <w:ind w:left="142"/>
        <w:rPr>
          <w:rFonts w:ascii="Times New Roman"/>
          <w:sz w:val="24"/>
        </w:rPr>
      </w:pPr>
      <w:r>
        <w:rPr>
          <w:rFonts w:hint="eastAsia" w:ascii="Times New Roman"/>
          <w:sz w:val="24"/>
        </w:rPr>
        <w:t>房间内的温度、湿度、新风量等设计参数符合现行国家标准《民用建筑供暖通风与空气调节设计规范》GB 50736的有关规定：</w:t>
      </w:r>
    </w:p>
    <w:tbl>
      <w:tblPr>
        <w:tblStyle w:val="16"/>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800"/>
        <w:gridCol w:w="851"/>
        <w:gridCol w:w="850"/>
        <w:gridCol w:w="851"/>
        <w:gridCol w:w="850"/>
        <w:gridCol w:w="851"/>
        <w:gridCol w:w="850"/>
        <w:gridCol w:w="851"/>
        <w:gridCol w:w="885"/>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trPr>
        <w:tc>
          <w:tcPr>
            <w:tcW w:w="1151" w:type="dxa"/>
            <w:vMerge w:val="restart"/>
            <w:tcBorders>
              <w:top w:val="single" w:color="auto" w:sz="4" w:space="0"/>
              <w:left w:val="single" w:color="auto" w:sz="4" w:space="0"/>
              <w:right w:val="single" w:color="auto" w:sz="4" w:space="0"/>
            </w:tcBorders>
            <w:vAlign w:val="center"/>
          </w:tcPr>
          <w:p>
            <w:pPr>
              <w:pStyle w:val="27"/>
              <w:spacing w:line="288" w:lineRule="auto"/>
              <w:jc w:val="center"/>
              <w:outlineLvl w:val="9"/>
              <w:rPr>
                <w:b/>
                <w:bCs/>
                <w:kern w:val="2"/>
                <w:szCs w:val="21"/>
              </w:rPr>
            </w:pPr>
            <w:r>
              <w:rPr>
                <w:b/>
                <w:bCs/>
                <w:kern w:val="2"/>
                <w:sz w:val="21"/>
                <w:szCs w:val="21"/>
              </w:rPr>
              <w:t>房间类型</w:t>
            </w:r>
          </w:p>
        </w:tc>
        <w:tc>
          <w:tcPr>
            <w:tcW w:w="3352" w:type="dxa"/>
            <w:gridSpan w:val="4"/>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
                <w:bCs/>
                <w:kern w:val="2"/>
                <w:szCs w:val="21"/>
              </w:rPr>
            </w:pPr>
            <w:r>
              <w:rPr>
                <w:b/>
                <w:bCs/>
                <w:kern w:val="2"/>
                <w:sz w:val="21"/>
                <w:szCs w:val="21"/>
              </w:rPr>
              <w:t>温度（℃）</w:t>
            </w:r>
          </w:p>
        </w:tc>
        <w:tc>
          <w:tcPr>
            <w:tcW w:w="3402" w:type="dxa"/>
            <w:gridSpan w:val="4"/>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
                <w:bCs/>
                <w:kern w:val="2"/>
                <w:szCs w:val="21"/>
              </w:rPr>
            </w:pPr>
            <w:r>
              <w:rPr>
                <w:b/>
                <w:bCs/>
                <w:kern w:val="2"/>
                <w:sz w:val="21"/>
                <w:szCs w:val="21"/>
              </w:rPr>
              <w:t>相对湿度（％）</w:t>
            </w:r>
          </w:p>
        </w:tc>
        <w:tc>
          <w:tcPr>
            <w:tcW w:w="1877" w:type="dxa"/>
            <w:gridSpan w:val="2"/>
            <w:vMerge w:val="restart"/>
            <w:tcBorders>
              <w:top w:val="single" w:color="auto" w:sz="4" w:space="0"/>
              <w:left w:val="single" w:color="auto" w:sz="4" w:space="0"/>
              <w:right w:val="single" w:color="auto" w:sz="4" w:space="0"/>
            </w:tcBorders>
            <w:vAlign w:val="center"/>
          </w:tcPr>
          <w:p>
            <w:pPr>
              <w:pStyle w:val="27"/>
              <w:spacing w:line="288" w:lineRule="auto"/>
              <w:jc w:val="center"/>
              <w:outlineLvl w:val="9"/>
              <w:rPr>
                <w:b/>
                <w:bCs/>
                <w:kern w:val="2"/>
                <w:sz w:val="21"/>
                <w:szCs w:val="21"/>
              </w:rPr>
            </w:pPr>
            <w:r>
              <w:rPr>
                <w:b/>
                <w:bCs/>
                <w:kern w:val="2"/>
                <w:sz w:val="21"/>
                <w:szCs w:val="21"/>
              </w:rPr>
              <w:t>新风量[m</w:t>
            </w:r>
            <w:r>
              <w:rPr>
                <w:b/>
                <w:bCs/>
                <w:kern w:val="2"/>
                <w:sz w:val="21"/>
                <w:szCs w:val="21"/>
                <w:vertAlign w:val="superscript"/>
              </w:rPr>
              <w:t>3</w:t>
            </w:r>
            <w:r>
              <w:rPr>
                <w:b/>
                <w:bCs/>
                <w:kern w:val="2"/>
                <w:sz w:val="21"/>
                <w:szCs w:val="21"/>
              </w:rPr>
              <w:t>/(h·人)]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trPr>
        <w:tc>
          <w:tcPr>
            <w:tcW w:w="1151" w:type="dxa"/>
            <w:vMerge w:val="continue"/>
            <w:tcBorders>
              <w:left w:val="single" w:color="auto" w:sz="4" w:space="0"/>
              <w:right w:val="single" w:color="auto" w:sz="4" w:space="0"/>
            </w:tcBorders>
            <w:vAlign w:val="center"/>
          </w:tcPr>
          <w:p>
            <w:pPr>
              <w:pStyle w:val="27"/>
              <w:spacing w:line="288" w:lineRule="auto"/>
              <w:jc w:val="center"/>
              <w:outlineLvl w:val="9"/>
              <w:rPr>
                <w:b/>
                <w:bCs/>
                <w:kern w:val="2"/>
                <w:szCs w:val="21"/>
              </w:rPr>
            </w:pPr>
          </w:p>
        </w:tc>
        <w:tc>
          <w:tcPr>
            <w:tcW w:w="1651" w:type="dxa"/>
            <w:gridSpan w:val="2"/>
            <w:tcBorders>
              <w:top w:val="single" w:color="auto" w:sz="4" w:space="0"/>
              <w:left w:val="single" w:color="auto" w:sz="4" w:space="0"/>
              <w:right w:val="single" w:color="auto" w:sz="4" w:space="0"/>
            </w:tcBorders>
            <w:vAlign w:val="center"/>
          </w:tcPr>
          <w:p>
            <w:pPr>
              <w:pStyle w:val="27"/>
              <w:spacing w:line="288" w:lineRule="auto"/>
              <w:jc w:val="center"/>
              <w:outlineLvl w:val="9"/>
              <w:rPr>
                <w:b/>
                <w:bCs/>
                <w:kern w:val="2"/>
                <w:szCs w:val="21"/>
              </w:rPr>
            </w:pPr>
            <w:r>
              <w:rPr>
                <w:b/>
                <w:bCs/>
                <w:kern w:val="2"/>
                <w:sz w:val="21"/>
                <w:szCs w:val="21"/>
              </w:rPr>
              <w:t>夏季空调</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
                <w:bCs/>
                <w:kern w:val="2"/>
                <w:szCs w:val="21"/>
              </w:rPr>
            </w:pPr>
            <w:r>
              <w:rPr>
                <w:b/>
                <w:bCs/>
                <w:kern w:val="2"/>
                <w:sz w:val="21"/>
                <w:szCs w:val="21"/>
              </w:rPr>
              <w:t>冬季</w:t>
            </w:r>
            <w:r>
              <w:rPr>
                <w:rFonts w:hint="eastAsia"/>
                <w:b/>
                <w:bCs/>
                <w:kern w:val="2"/>
                <w:sz w:val="21"/>
                <w:szCs w:val="21"/>
              </w:rPr>
              <w:t>空调（</w:t>
            </w:r>
            <w:r>
              <w:rPr>
                <w:b/>
                <w:bCs/>
                <w:kern w:val="2"/>
                <w:sz w:val="21"/>
                <w:szCs w:val="21"/>
              </w:rPr>
              <w:t>采暖</w:t>
            </w:r>
            <w:r>
              <w:rPr>
                <w:rFonts w:hint="eastAsia"/>
                <w:b/>
                <w:bCs/>
                <w:kern w:val="2"/>
                <w:sz w:val="21"/>
                <w:szCs w:val="21"/>
              </w:rPr>
              <w:t>）</w:t>
            </w:r>
          </w:p>
        </w:tc>
        <w:tc>
          <w:tcPr>
            <w:tcW w:w="1701" w:type="dxa"/>
            <w:gridSpan w:val="2"/>
            <w:tcBorders>
              <w:top w:val="single" w:color="auto" w:sz="4" w:space="0"/>
              <w:left w:val="single" w:color="auto" w:sz="4" w:space="0"/>
              <w:right w:val="single" w:color="auto" w:sz="4" w:space="0"/>
            </w:tcBorders>
            <w:vAlign w:val="center"/>
          </w:tcPr>
          <w:p>
            <w:pPr>
              <w:pStyle w:val="27"/>
              <w:spacing w:line="288" w:lineRule="auto"/>
              <w:jc w:val="center"/>
              <w:outlineLvl w:val="9"/>
              <w:rPr>
                <w:b/>
                <w:bCs/>
                <w:kern w:val="2"/>
                <w:szCs w:val="21"/>
              </w:rPr>
            </w:pPr>
            <w:r>
              <w:rPr>
                <w:b/>
                <w:bCs/>
                <w:kern w:val="2"/>
                <w:sz w:val="21"/>
                <w:szCs w:val="21"/>
              </w:rPr>
              <w:t>夏季空调</w:t>
            </w:r>
          </w:p>
        </w:tc>
        <w:tc>
          <w:tcPr>
            <w:tcW w:w="1701" w:type="dxa"/>
            <w:gridSpan w:val="2"/>
            <w:tcBorders>
              <w:top w:val="single" w:color="auto" w:sz="4" w:space="0"/>
              <w:left w:val="single" w:color="auto" w:sz="4" w:space="0"/>
              <w:right w:val="single" w:color="auto" w:sz="4" w:space="0"/>
            </w:tcBorders>
            <w:vAlign w:val="center"/>
          </w:tcPr>
          <w:p>
            <w:pPr>
              <w:pStyle w:val="27"/>
              <w:spacing w:line="288" w:lineRule="auto"/>
              <w:jc w:val="center"/>
              <w:outlineLvl w:val="9"/>
              <w:rPr>
                <w:b/>
                <w:bCs/>
                <w:kern w:val="2"/>
                <w:szCs w:val="21"/>
              </w:rPr>
            </w:pPr>
            <w:r>
              <w:rPr>
                <w:b/>
                <w:bCs/>
                <w:kern w:val="2"/>
                <w:sz w:val="21"/>
                <w:szCs w:val="21"/>
              </w:rPr>
              <w:t>冬季</w:t>
            </w:r>
            <w:r>
              <w:rPr>
                <w:rFonts w:hint="eastAsia"/>
                <w:b/>
                <w:bCs/>
                <w:kern w:val="2"/>
                <w:sz w:val="21"/>
                <w:szCs w:val="21"/>
              </w:rPr>
              <w:t>空调（</w:t>
            </w:r>
            <w:r>
              <w:rPr>
                <w:b/>
                <w:bCs/>
                <w:kern w:val="2"/>
                <w:sz w:val="21"/>
                <w:szCs w:val="21"/>
              </w:rPr>
              <w:t>采暖</w:t>
            </w:r>
            <w:r>
              <w:rPr>
                <w:rFonts w:hint="eastAsia"/>
                <w:b/>
                <w:bCs/>
                <w:kern w:val="2"/>
                <w:sz w:val="21"/>
                <w:szCs w:val="21"/>
              </w:rPr>
              <w:t>）</w:t>
            </w:r>
          </w:p>
        </w:tc>
        <w:tc>
          <w:tcPr>
            <w:tcW w:w="1877" w:type="dxa"/>
            <w:gridSpan w:val="2"/>
            <w:vMerge w:val="continue"/>
            <w:tcBorders>
              <w:left w:val="single" w:color="auto" w:sz="4" w:space="0"/>
              <w:right w:val="single" w:color="auto" w:sz="4" w:space="0"/>
            </w:tcBorders>
          </w:tcPr>
          <w:p>
            <w:pPr>
              <w:pStyle w:val="27"/>
              <w:spacing w:line="288" w:lineRule="auto"/>
              <w:jc w:val="center"/>
              <w:outlineLvl w:val="9"/>
              <w:rPr>
                <w:b/>
                <w:b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trPr>
        <w:tc>
          <w:tcPr>
            <w:tcW w:w="1151" w:type="dxa"/>
            <w:vMerge w:val="continue"/>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Cs w:val="21"/>
              </w:rPr>
            </w:pPr>
          </w:p>
        </w:tc>
        <w:tc>
          <w:tcPr>
            <w:tcW w:w="800" w:type="dxa"/>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设计值</w:t>
            </w:r>
          </w:p>
        </w:tc>
        <w:tc>
          <w:tcPr>
            <w:tcW w:w="851" w:type="dxa"/>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标准值</w:t>
            </w: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设计值</w:t>
            </w: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标准值</w:t>
            </w:r>
          </w:p>
        </w:tc>
        <w:tc>
          <w:tcPr>
            <w:tcW w:w="850" w:type="dxa"/>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设计值</w:t>
            </w:r>
          </w:p>
        </w:tc>
        <w:tc>
          <w:tcPr>
            <w:tcW w:w="851" w:type="dxa"/>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标准值</w:t>
            </w:r>
          </w:p>
        </w:tc>
        <w:tc>
          <w:tcPr>
            <w:tcW w:w="850" w:type="dxa"/>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设计值</w:t>
            </w:r>
          </w:p>
        </w:tc>
        <w:tc>
          <w:tcPr>
            <w:tcW w:w="851" w:type="dxa"/>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标准值</w:t>
            </w:r>
          </w:p>
        </w:tc>
        <w:tc>
          <w:tcPr>
            <w:tcW w:w="885" w:type="dxa"/>
            <w:tcBorders>
              <w:left w:val="single" w:color="auto" w:sz="4" w:space="0"/>
              <w:bottom w:val="single" w:color="auto" w:sz="4" w:space="0"/>
              <w:right w:val="single" w:color="auto" w:sz="4" w:space="0"/>
            </w:tcBorders>
            <w:vAlign w:val="center"/>
          </w:tcPr>
          <w:p>
            <w:pPr>
              <w:pStyle w:val="27"/>
              <w:spacing w:line="288" w:lineRule="auto"/>
              <w:jc w:val="center"/>
              <w:outlineLvl w:val="9"/>
              <w:rPr>
                <w:b/>
                <w:bCs/>
                <w:kern w:val="2"/>
                <w:sz w:val="18"/>
                <w:szCs w:val="18"/>
              </w:rPr>
            </w:pPr>
            <w:r>
              <w:rPr>
                <w:b/>
                <w:bCs/>
                <w:kern w:val="2"/>
                <w:sz w:val="18"/>
                <w:szCs w:val="18"/>
              </w:rPr>
              <w:t>设计值</w:t>
            </w:r>
          </w:p>
        </w:tc>
        <w:tc>
          <w:tcPr>
            <w:tcW w:w="992" w:type="dxa"/>
            <w:tcBorders>
              <w:left w:val="single" w:color="auto" w:sz="4" w:space="0"/>
              <w:bottom w:val="single" w:color="auto" w:sz="4" w:space="0"/>
              <w:right w:val="single" w:color="auto" w:sz="4" w:space="0"/>
            </w:tcBorders>
            <w:vAlign w:val="center"/>
          </w:tcPr>
          <w:p>
            <w:pPr>
              <w:pStyle w:val="27"/>
              <w:spacing w:line="240" w:lineRule="auto"/>
              <w:jc w:val="center"/>
              <w:outlineLvl w:val="9"/>
              <w:rPr>
                <w:b/>
                <w:bCs/>
                <w:kern w:val="2"/>
                <w:sz w:val="18"/>
                <w:szCs w:val="18"/>
              </w:rPr>
            </w:pPr>
            <w:r>
              <w:rPr>
                <w:rFonts w:hint="eastAsia"/>
                <w:b/>
                <w:bCs/>
                <w:kern w:val="2"/>
                <w:sz w:val="18"/>
                <w:szCs w:val="18"/>
              </w:rPr>
              <w:t>规范要求最小值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0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85"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c>
          <w:tcPr>
            <w:tcW w:w="992"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0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85"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c>
          <w:tcPr>
            <w:tcW w:w="992"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0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85"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c>
          <w:tcPr>
            <w:tcW w:w="992"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0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85"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c>
          <w:tcPr>
            <w:tcW w:w="992"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1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0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0"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51" w:type="dxa"/>
            <w:tcBorders>
              <w:top w:val="single" w:color="auto" w:sz="4" w:space="0"/>
              <w:left w:val="single" w:color="auto" w:sz="4" w:space="0"/>
              <w:bottom w:val="single" w:color="auto" w:sz="4" w:space="0"/>
              <w:right w:val="single" w:color="auto" w:sz="4" w:space="0"/>
            </w:tcBorders>
            <w:vAlign w:val="center"/>
          </w:tcPr>
          <w:p>
            <w:pPr>
              <w:pStyle w:val="27"/>
              <w:spacing w:line="288" w:lineRule="auto"/>
              <w:jc w:val="center"/>
              <w:outlineLvl w:val="9"/>
              <w:rPr>
                <w:bCs/>
                <w:iCs/>
                <w:kern w:val="2"/>
              </w:rPr>
            </w:pPr>
          </w:p>
        </w:tc>
        <w:tc>
          <w:tcPr>
            <w:tcW w:w="885"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c>
          <w:tcPr>
            <w:tcW w:w="992" w:type="dxa"/>
            <w:tcBorders>
              <w:top w:val="single" w:color="auto" w:sz="4" w:space="0"/>
              <w:left w:val="single" w:color="auto" w:sz="4" w:space="0"/>
              <w:bottom w:val="single" w:color="auto" w:sz="4" w:space="0"/>
              <w:right w:val="single" w:color="auto" w:sz="4" w:space="0"/>
            </w:tcBorders>
          </w:tcPr>
          <w:p>
            <w:pPr>
              <w:pStyle w:val="27"/>
              <w:spacing w:line="288" w:lineRule="auto"/>
              <w:jc w:val="center"/>
              <w:outlineLvl w:val="9"/>
              <w:rPr>
                <w:bCs/>
                <w:iCs/>
                <w:kern w:val="2"/>
              </w:rPr>
            </w:pPr>
          </w:p>
        </w:tc>
      </w:tr>
    </w:tbl>
    <w:p>
      <w:pPr>
        <w:spacing w:line="360" w:lineRule="auto"/>
        <w:ind w:left="142"/>
        <w:rPr>
          <w:rFonts w:ascii="Times New Roman"/>
          <w:b/>
          <w:sz w:val="24"/>
        </w:rPr>
      </w:pPr>
      <w:r>
        <w:rPr>
          <w:rFonts w:hint="eastAsia" w:ascii="Times New Roman"/>
          <w:b/>
          <w:sz w:val="24"/>
        </w:rPr>
        <w:t>□非集中供暖空调系统的建筑</w:t>
      </w:r>
    </w:p>
    <w:p>
      <w:pPr>
        <w:spacing w:line="360" w:lineRule="auto"/>
        <w:ind w:left="142"/>
        <w:rPr>
          <w:rFonts w:ascii="Times New Roman"/>
          <w:sz w:val="24"/>
        </w:rPr>
      </w:pPr>
      <w:r>
        <w:rPr>
          <w:rFonts w:hint="eastAsia" w:ascii="Times New Roman"/>
          <w:sz w:val="24"/>
        </w:rPr>
        <w:t>简要说明保障室内热环境的措施或预留条件：</w:t>
      </w:r>
      <w:r>
        <w:rPr>
          <w:rFonts w:hint="eastAsia" w:ascii="Times New Roman"/>
          <w:sz w:val="24"/>
          <w:u w:val="single"/>
        </w:rPr>
        <w:t xml:space="preserve">                          </w:t>
      </w:r>
      <w:r>
        <w:rPr>
          <w:rFonts w:hint="eastAsia" w:ascii="Times New Roman"/>
          <w:sz w:val="24"/>
        </w:rPr>
        <w:t>。</w:t>
      </w:r>
    </w:p>
    <w:p>
      <w:pPr>
        <w:pStyle w:val="24"/>
        <w:numPr>
          <w:ilvl w:val="0"/>
          <w:numId w:val="16"/>
        </w:numPr>
        <w:spacing w:line="360" w:lineRule="auto"/>
        <w:ind w:firstLineChars="0"/>
        <w:rPr>
          <w:rFonts w:ascii="Times New Roman"/>
          <w:sz w:val="24"/>
        </w:rPr>
      </w:pPr>
      <w:r>
        <w:rPr>
          <w:rFonts w:hint="eastAsia" w:ascii="Times New Roman"/>
          <w:sz w:val="24"/>
        </w:rPr>
        <w:t>主要功能房间具有现场独立控制的热环境调节装置。详见图纸：</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b/>
          <w:sz w:val="24"/>
        </w:rPr>
      </w:pPr>
      <w:r>
        <w:rPr>
          <w:rFonts w:hint="eastAsia" w:ascii="Times New Roman"/>
          <w:b/>
          <w:sz w:val="24"/>
        </w:rPr>
        <w:t>□集中供暖空调系统的建筑</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838"/>
        <w:gridCol w:w="2272"/>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trPr>
        <w:tc>
          <w:tcPr>
            <w:tcW w:w="1989" w:type="dxa"/>
            <w:vAlign w:val="center"/>
          </w:tcPr>
          <w:p>
            <w:pPr>
              <w:pStyle w:val="27"/>
              <w:spacing w:line="288" w:lineRule="auto"/>
              <w:jc w:val="center"/>
              <w:outlineLvl w:val="9"/>
              <w:rPr>
                <w:b/>
                <w:bCs/>
                <w:kern w:val="2"/>
                <w:sz w:val="21"/>
                <w:szCs w:val="21"/>
              </w:rPr>
            </w:pPr>
            <w:r>
              <w:rPr>
                <w:rFonts w:hint="eastAsia"/>
                <w:b/>
                <w:bCs/>
                <w:kern w:val="2"/>
                <w:sz w:val="21"/>
                <w:szCs w:val="21"/>
              </w:rPr>
              <w:t>主要功能房间</w:t>
            </w:r>
          </w:p>
        </w:tc>
        <w:tc>
          <w:tcPr>
            <w:tcW w:w="2838" w:type="dxa"/>
            <w:vAlign w:val="center"/>
          </w:tcPr>
          <w:p>
            <w:pPr>
              <w:pStyle w:val="27"/>
              <w:spacing w:line="288" w:lineRule="auto"/>
              <w:jc w:val="center"/>
              <w:outlineLvl w:val="9"/>
              <w:rPr>
                <w:b/>
                <w:bCs/>
                <w:kern w:val="2"/>
                <w:sz w:val="21"/>
                <w:szCs w:val="21"/>
              </w:rPr>
            </w:pPr>
            <w:r>
              <w:rPr>
                <w:rFonts w:hint="eastAsia"/>
                <w:b/>
                <w:bCs/>
                <w:kern w:val="2"/>
                <w:sz w:val="21"/>
                <w:szCs w:val="21"/>
              </w:rPr>
              <w:t>供暖、空调末端形式</w:t>
            </w:r>
          </w:p>
        </w:tc>
        <w:tc>
          <w:tcPr>
            <w:tcW w:w="2272" w:type="dxa"/>
            <w:vAlign w:val="center"/>
          </w:tcPr>
          <w:p>
            <w:pPr>
              <w:pStyle w:val="27"/>
              <w:spacing w:line="288" w:lineRule="auto"/>
              <w:jc w:val="center"/>
              <w:outlineLvl w:val="9"/>
              <w:rPr>
                <w:b/>
                <w:bCs/>
                <w:kern w:val="2"/>
                <w:sz w:val="21"/>
                <w:szCs w:val="21"/>
              </w:rPr>
            </w:pPr>
            <w:r>
              <w:rPr>
                <w:rFonts w:hint="eastAsia"/>
                <w:b/>
                <w:bCs/>
                <w:kern w:val="2"/>
                <w:sz w:val="21"/>
                <w:szCs w:val="21"/>
              </w:rPr>
              <w:t>是否可独立调节</w:t>
            </w:r>
          </w:p>
        </w:tc>
        <w:tc>
          <w:tcPr>
            <w:tcW w:w="1423" w:type="dxa"/>
            <w:vAlign w:val="center"/>
          </w:tcPr>
          <w:p>
            <w:pPr>
              <w:pStyle w:val="27"/>
              <w:spacing w:line="288" w:lineRule="auto"/>
              <w:jc w:val="center"/>
              <w:outlineLvl w:val="9"/>
              <w:rPr>
                <w:b/>
                <w:bCs/>
                <w:kern w:val="2"/>
                <w:sz w:val="21"/>
                <w:szCs w:val="21"/>
              </w:rPr>
            </w:pPr>
            <w:r>
              <w:rPr>
                <w:rFonts w:hint="eastAsia"/>
                <w:b/>
                <w:bCs/>
                <w:kern w:val="2"/>
                <w:sz w:val="21"/>
                <w:szCs w:val="21"/>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89" w:type="dxa"/>
            <w:vAlign w:val="center"/>
          </w:tcPr>
          <w:p>
            <w:pPr>
              <w:pStyle w:val="27"/>
              <w:spacing w:line="288" w:lineRule="auto"/>
              <w:jc w:val="center"/>
              <w:outlineLvl w:val="9"/>
              <w:rPr>
                <w:bCs/>
                <w:iCs/>
                <w:kern w:val="2"/>
                <w:sz w:val="21"/>
                <w:szCs w:val="21"/>
              </w:rPr>
            </w:pPr>
          </w:p>
        </w:tc>
        <w:tc>
          <w:tcPr>
            <w:tcW w:w="2838" w:type="dxa"/>
            <w:vAlign w:val="center"/>
          </w:tcPr>
          <w:p>
            <w:pPr>
              <w:pStyle w:val="27"/>
              <w:spacing w:line="288" w:lineRule="auto"/>
              <w:jc w:val="center"/>
              <w:outlineLvl w:val="9"/>
              <w:rPr>
                <w:bCs/>
                <w:iCs/>
                <w:kern w:val="2"/>
                <w:sz w:val="21"/>
                <w:szCs w:val="21"/>
              </w:rPr>
            </w:pPr>
          </w:p>
        </w:tc>
        <w:tc>
          <w:tcPr>
            <w:tcW w:w="2272" w:type="dxa"/>
            <w:vAlign w:val="center"/>
          </w:tcPr>
          <w:p>
            <w:pPr>
              <w:pStyle w:val="27"/>
              <w:spacing w:line="288" w:lineRule="auto"/>
              <w:jc w:val="center"/>
              <w:outlineLvl w:val="9"/>
              <w:rPr>
                <w:bCs/>
                <w:iCs/>
                <w:kern w:val="2"/>
                <w:sz w:val="21"/>
                <w:szCs w:val="21"/>
              </w:rPr>
            </w:pPr>
          </w:p>
        </w:tc>
        <w:tc>
          <w:tcPr>
            <w:tcW w:w="1423" w:type="dxa"/>
            <w:vAlign w:val="center"/>
          </w:tcPr>
          <w:p>
            <w:pPr>
              <w:pStyle w:val="27"/>
              <w:spacing w:line="288" w:lineRule="auto"/>
              <w:jc w:val="center"/>
              <w:outlineLvl w:val="9"/>
              <w:rPr>
                <w:bCs/>
                <w:i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89" w:type="dxa"/>
            <w:vAlign w:val="center"/>
          </w:tcPr>
          <w:p>
            <w:pPr>
              <w:pStyle w:val="27"/>
              <w:spacing w:line="288" w:lineRule="auto"/>
              <w:jc w:val="center"/>
              <w:outlineLvl w:val="9"/>
              <w:rPr>
                <w:bCs/>
                <w:iCs/>
                <w:kern w:val="2"/>
                <w:sz w:val="21"/>
                <w:szCs w:val="21"/>
              </w:rPr>
            </w:pPr>
          </w:p>
        </w:tc>
        <w:tc>
          <w:tcPr>
            <w:tcW w:w="2838" w:type="dxa"/>
            <w:vAlign w:val="center"/>
          </w:tcPr>
          <w:p>
            <w:pPr>
              <w:pStyle w:val="27"/>
              <w:spacing w:line="288" w:lineRule="auto"/>
              <w:jc w:val="center"/>
              <w:outlineLvl w:val="9"/>
              <w:rPr>
                <w:bCs/>
                <w:iCs/>
                <w:kern w:val="2"/>
                <w:sz w:val="21"/>
                <w:szCs w:val="21"/>
              </w:rPr>
            </w:pPr>
          </w:p>
        </w:tc>
        <w:tc>
          <w:tcPr>
            <w:tcW w:w="2272" w:type="dxa"/>
            <w:vAlign w:val="center"/>
          </w:tcPr>
          <w:p>
            <w:pPr>
              <w:pStyle w:val="27"/>
              <w:spacing w:line="288" w:lineRule="auto"/>
              <w:jc w:val="center"/>
              <w:outlineLvl w:val="9"/>
              <w:rPr>
                <w:bCs/>
                <w:iCs/>
                <w:kern w:val="2"/>
                <w:sz w:val="21"/>
                <w:szCs w:val="21"/>
              </w:rPr>
            </w:pPr>
          </w:p>
        </w:tc>
        <w:tc>
          <w:tcPr>
            <w:tcW w:w="1423" w:type="dxa"/>
            <w:vAlign w:val="center"/>
          </w:tcPr>
          <w:p>
            <w:pPr>
              <w:pStyle w:val="27"/>
              <w:spacing w:line="288" w:lineRule="auto"/>
              <w:jc w:val="center"/>
              <w:outlineLvl w:val="9"/>
              <w:rPr>
                <w:bCs/>
                <w:i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89" w:type="dxa"/>
            <w:vAlign w:val="center"/>
          </w:tcPr>
          <w:p>
            <w:pPr>
              <w:pStyle w:val="27"/>
              <w:spacing w:line="288" w:lineRule="auto"/>
              <w:jc w:val="center"/>
              <w:outlineLvl w:val="9"/>
              <w:rPr>
                <w:bCs/>
                <w:iCs/>
                <w:kern w:val="2"/>
                <w:sz w:val="21"/>
                <w:szCs w:val="21"/>
              </w:rPr>
            </w:pPr>
          </w:p>
        </w:tc>
        <w:tc>
          <w:tcPr>
            <w:tcW w:w="2838" w:type="dxa"/>
            <w:vAlign w:val="center"/>
          </w:tcPr>
          <w:p>
            <w:pPr>
              <w:pStyle w:val="27"/>
              <w:spacing w:line="288" w:lineRule="auto"/>
              <w:jc w:val="center"/>
              <w:outlineLvl w:val="9"/>
              <w:rPr>
                <w:bCs/>
                <w:iCs/>
                <w:kern w:val="2"/>
                <w:sz w:val="21"/>
                <w:szCs w:val="21"/>
              </w:rPr>
            </w:pPr>
          </w:p>
        </w:tc>
        <w:tc>
          <w:tcPr>
            <w:tcW w:w="2272" w:type="dxa"/>
            <w:vAlign w:val="center"/>
          </w:tcPr>
          <w:p>
            <w:pPr>
              <w:pStyle w:val="27"/>
              <w:spacing w:line="288" w:lineRule="auto"/>
              <w:jc w:val="center"/>
              <w:outlineLvl w:val="9"/>
              <w:rPr>
                <w:bCs/>
                <w:iCs/>
                <w:kern w:val="2"/>
                <w:sz w:val="21"/>
                <w:szCs w:val="21"/>
              </w:rPr>
            </w:pPr>
          </w:p>
        </w:tc>
        <w:tc>
          <w:tcPr>
            <w:tcW w:w="1423" w:type="dxa"/>
            <w:vAlign w:val="center"/>
          </w:tcPr>
          <w:p>
            <w:pPr>
              <w:pStyle w:val="27"/>
              <w:spacing w:line="288" w:lineRule="auto"/>
              <w:jc w:val="center"/>
              <w:outlineLvl w:val="9"/>
              <w:rPr>
                <w:bCs/>
                <w:i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89" w:type="dxa"/>
            <w:vAlign w:val="center"/>
          </w:tcPr>
          <w:p>
            <w:pPr>
              <w:pStyle w:val="27"/>
              <w:spacing w:line="288" w:lineRule="auto"/>
              <w:jc w:val="center"/>
              <w:outlineLvl w:val="9"/>
              <w:rPr>
                <w:bCs/>
                <w:iCs/>
                <w:kern w:val="2"/>
                <w:sz w:val="21"/>
                <w:szCs w:val="21"/>
              </w:rPr>
            </w:pPr>
          </w:p>
        </w:tc>
        <w:tc>
          <w:tcPr>
            <w:tcW w:w="2838" w:type="dxa"/>
            <w:vAlign w:val="center"/>
          </w:tcPr>
          <w:p>
            <w:pPr>
              <w:pStyle w:val="27"/>
              <w:spacing w:line="288" w:lineRule="auto"/>
              <w:jc w:val="center"/>
              <w:outlineLvl w:val="9"/>
              <w:rPr>
                <w:bCs/>
                <w:iCs/>
                <w:kern w:val="2"/>
                <w:sz w:val="21"/>
                <w:szCs w:val="21"/>
              </w:rPr>
            </w:pPr>
          </w:p>
        </w:tc>
        <w:tc>
          <w:tcPr>
            <w:tcW w:w="2272" w:type="dxa"/>
            <w:vAlign w:val="center"/>
          </w:tcPr>
          <w:p>
            <w:pPr>
              <w:pStyle w:val="27"/>
              <w:spacing w:line="288" w:lineRule="auto"/>
              <w:jc w:val="center"/>
              <w:outlineLvl w:val="9"/>
              <w:rPr>
                <w:bCs/>
                <w:iCs/>
                <w:kern w:val="2"/>
                <w:sz w:val="21"/>
                <w:szCs w:val="21"/>
              </w:rPr>
            </w:pPr>
          </w:p>
        </w:tc>
        <w:tc>
          <w:tcPr>
            <w:tcW w:w="1423" w:type="dxa"/>
            <w:vAlign w:val="center"/>
          </w:tcPr>
          <w:p>
            <w:pPr>
              <w:pStyle w:val="27"/>
              <w:spacing w:line="288" w:lineRule="auto"/>
              <w:jc w:val="center"/>
              <w:outlineLvl w:val="9"/>
              <w:rPr>
                <w:bCs/>
                <w:iCs/>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89" w:type="dxa"/>
            <w:vAlign w:val="center"/>
          </w:tcPr>
          <w:p>
            <w:pPr>
              <w:pStyle w:val="27"/>
              <w:spacing w:line="288" w:lineRule="auto"/>
              <w:jc w:val="center"/>
              <w:outlineLvl w:val="9"/>
              <w:rPr>
                <w:bCs/>
                <w:iCs/>
                <w:kern w:val="2"/>
                <w:sz w:val="21"/>
                <w:szCs w:val="21"/>
              </w:rPr>
            </w:pPr>
          </w:p>
        </w:tc>
        <w:tc>
          <w:tcPr>
            <w:tcW w:w="2838" w:type="dxa"/>
            <w:vAlign w:val="center"/>
          </w:tcPr>
          <w:p>
            <w:pPr>
              <w:pStyle w:val="27"/>
              <w:spacing w:line="288" w:lineRule="auto"/>
              <w:jc w:val="center"/>
              <w:outlineLvl w:val="9"/>
              <w:rPr>
                <w:bCs/>
                <w:iCs/>
                <w:kern w:val="2"/>
                <w:sz w:val="21"/>
                <w:szCs w:val="21"/>
              </w:rPr>
            </w:pPr>
          </w:p>
        </w:tc>
        <w:tc>
          <w:tcPr>
            <w:tcW w:w="2272" w:type="dxa"/>
            <w:vAlign w:val="center"/>
          </w:tcPr>
          <w:p>
            <w:pPr>
              <w:pStyle w:val="27"/>
              <w:spacing w:line="288" w:lineRule="auto"/>
              <w:jc w:val="center"/>
              <w:outlineLvl w:val="9"/>
              <w:rPr>
                <w:bCs/>
                <w:iCs/>
                <w:kern w:val="2"/>
                <w:sz w:val="21"/>
                <w:szCs w:val="21"/>
              </w:rPr>
            </w:pPr>
          </w:p>
        </w:tc>
        <w:tc>
          <w:tcPr>
            <w:tcW w:w="1423" w:type="dxa"/>
            <w:vAlign w:val="center"/>
          </w:tcPr>
          <w:p>
            <w:pPr>
              <w:pStyle w:val="27"/>
              <w:spacing w:line="288" w:lineRule="auto"/>
              <w:jc w:val="center"/>
              <w:outlineLvl w:val="9"/>
              <w:rPr>
                <w:bCs/>
                <w:iCs/>
                <w:kern w:val="2"/>
                <w:sz w:val="21"/>
                <w:szCs w:val="21"/>
              </w:rPr>
            </w:pPr>
          </w:p>
        </w:tc>
      </w:tr>
    </w:tbl>
    <w:p>
      <w:pPr>
        <w:spacing w:line="360" w:lineRule="auto"/>
        <w:ind w:left="142"/>
        <w:rPr>
          <w:rFonts w:ascii="Times New Roman"/>
          <w:b/>
          <w:sz w:val="24"/>
        </w:rPr>
      </w:pPr>
      <w:r>
        <w:rPr>
          <w:rFonts w:hint="eastAsia" w:ascii="Times New Roman"/>
          <w:b/>
          <w:sz w:val="24"/>
        </w:rPr>
        <w:t>□非集中供暖空调系统的建筑</w:t>
      </w:r>
    </w:p>
    <w:p>
      <w:pPr>
        <w:spacing w:line="360" w:lineRule="auto"/>
        <w:ind w:left="142"/>
        <w:rPr>
          <w:rFonts w:ascii="Times New Roman"/>
          <w:sz w:val="24"/>
        </w:rPr>
      </w:pPr>
      <w:r>
        <w:rPr>
          <w:rFonts w:hint="eastAsia" w:ascii="Times New Roman"/>
          <w:sz w:val="24"/>
        </w:rPr>
        <w:t>简要说明采用的可控的热环境调节装置：</w:t>
      </w:r>
      <w:r>
        <w:rPr>
          <w:rFonts w:hint="eastAsia" w:ascii="Times New Roman"/>
          <w:sz w:val="24"/>
          <w:u w:val="single"/>
        </w:rPr>
        <w:t xml:space="preserve">                          </w:t>
      </w:r>
      <w:r>
        <w:rPr>
          <w:rFonts w:hint="eastAsia" w:ascii="Times New Roman"/>
          <w:sz w:val="24"/>
        </w:rPr>
        <w:t>。</w:t>
      </w:r>
    </w:p>
    <w:p>
      <w:pPr>
        <w:pStyle w:val="24"/>
        <w:numPr>
          <w:ilvl w:val="0"/>
          <w:numId w:val="16"/>
        </w:numPr>
        <w:spacing w:line="360" w:lineRule="auto"/>
        <w:ind w:firstLineChars="0"/>
        <w:rPr>
          <w:rFonts w:ascii="Times New Roman"/>
          <w:sz w:val="24"/>
        </w:rPr>
      </w:pPr>
      <w:r>
        <w:rPr>
          <w:rFonts w:hint="eastAsia" w:ascii="Times New Roman"/>
          <w:sz w:val="24"/>
        </w:rPr>
        <w:t>地下车库设置与排风设备联动的一氧化碳浓度监测装置。</w:t>
      </w:r>
    </w:p>
    <w:p>
      <w:pPr>
        <w:spacing w:line="360" w:lineRule="auto"/>
        <w:ind w:left="142"/>
        <w:rPr>
          <w:rFonts w:ascii="Times New Roman"/>
          <w:sz w:val="24"/>
        </w:rPr>
      </w:pPr>
      <w:r>
        <w:rPr>
          <w:rFonts w:hint="eastAsia" w:ascii="Times New Roman"/>
          <w:sz w:val="24"/>
        </w:rPr>
        <w:t>简要说明地下车库一氧化碳浓度监测装置布点情况以及控制策略：</w:t>
      </w:r>
      <w:r>
        <w:rPr>
          <w:rFonts w:hint="eastAsia" w:ascii="Times New Roman"/>
          <w:sz w:val="24"/>
          <w:u w:val="single"/>
        </w:rPr>
        <w:t xml:space="preserve">                          </w:t>
      </w:r>
      <w:r>
        <w:rPr>
          <w:rFonts w:hint="eastAsia" w:ascii="Times New Roman"/>
          <w:sz w:val="24"/>
        </w:rPr>
        <w:t>；详见图纸：</w:t>
      </w:r>
      <w:r>
        <w:rPr>
          <w:rFonts w:hint="eastAsia" w:ascii="Times New Roman"/>
          <w:sz w:val="24"/>
          <w:u w:val="single"/>
        </w:rPr>
        <w:t xml:space="preserve">                          </w:t>
      </w:r>
      <w:r>
        <w:rPr>
          <w:rFonts w:hint="eastAsia" w:ascii="Times New Roman"/>
          <w:sz w:val="24"/>
        </w:rPr>
        <w:t>。</w:t>
      </w:r>
    </w:p>
    <w:p>
      <w:pPr>
        <w:pStyle w:val="24"/>
        <w:numPr>
          <w:ilvl w:val="0"/>
          <w:numId w:val="16"/>
        </w:numPr>
        <w:spacing w:line="360" w:lineRule="auto"/>
        <w:ind w:firstLineChars="0"/>
        <w:rPr>
          <w:rFonts w:ascii="Times New Roman"/>
          <w:sz w:val="24"/>
        </w:rPr>
      </w:pPr>
      <w:r>
        <w:rPr>
          <w:rFonts w:hint="eastAsia" w:ascii="Times New Roman"/>
          <w:sz w:val="24"/>
        </w:rPr>
        <w:t>采取措施降低部分负荷、部分空间使用下的供暖、空调系统能耗，并符合下列规定：</w:t>
      </w:r>
      <w:r>
        <w:rPr>
          <w:rFonts w:ascii="Times New Roman"/>
          <w:sz w:val="24"/>
        </w:rPr>
        <w:t xml:space="preserve"> </w:t>
      </w:r>
    </w:p>
    <w:p>
      <w:pPr>
        <w:spacing w:line="360" w:lineRule="auto"/>
        <w:ind w:left="142"/>
        <w:rPr>
          <w:rFonts w:ascii="Times New Roman"/>
          <w:sz w:val="24"/>
        </w:rPr>
      </w:pPr>
      <w:r>
        <w:rPr>
          <w:rFonts w:hint="eastAsia" w:ascii="Times New Roman"/>
          <w:sz w:val="24"/>
        </w:rPr>
        <w:t>（1）根据房间的平面位置、使用功能、使用时间和朝向，合理划分供暖、空调区域，并对系统进行分区控制：□是、□否；</w:t>
      </w:r>
    </w:p>
    <w:p>
      <w:pPr>
        <w:spacing w:line="360" w:lineRule="auto"/>
        <w:ind w:left="142"/>
        <w:rPr>
          <w:rFonts w:ascii="Times New Roman"/>
          <w:sz w:val="24"/>
        </w:rPr>
      </w:pPr>
      <w:r>
        <w:rPr>
          <w:rFonts w:hint="eastAsia" w:ascii="Times New Roman"/>
          <w:sz w:val="24"/>
        </w:rPr>
        <w:t>（2）空调冷源的部分负荷性能系数（IPLV）、电冷源综合制冷性能系数（SCOP）符合现行国家标准《公共建筑节能设计标准》GB 50189的规定。</w:t>
      </w:r>
    </w:p>
    <w:p>
      <w:pPr>
        <w:spacing w:line="360" w:lineRule="auto"/>
        <w:ind w:left="142"/>
        <w:rPr>
          <w:rFonts w:ascii="Times New Roman"/>
          <w:sz w:val="24"/>
        </w:rPr>
      </w:pPr>
      <w:r>
        <w:rPr>
          <w:rFonts w:hint="eastAsia" w:ascii="Times New Roman"/>
          <w:sz w:val="24"/>
        </w:rPr>
        <w:t>空调冷源的部分负荷性能系数（IPLV）：</w:t>
      </w:r>
      <w:r>
        <w:rPr>
          <w:rFonts w:ascii="Times New Roman"/>
          <w:sz w:val="24"/>
        </w:rPr>
        <w:t xml:space="preserve"> </w:t>
      </w:r>
    </w:p>
    <w:tbl>
      <w:tblPr>
        <w:tblStyle w:val="16"/>
        <w:tblW w:w="6966"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954"/>
        <w:gridCol w:w="1417"/>
        <w:gridCol w:w="1578"/>
        <w:gridCol w:w="15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438" w:type="dxa"/>
            <w:vMerge w:val="restart"/>
            <w:vAlign w:val="center"/>
          </w:tcPr>
          <w:p>
            <w:pPr>
              <w:widowControl/>
              <w:spacing w:line="288" w:lineRule="auto"/>
              <w:jc w:val="center"/>
              <w:rPr>
                <w:rFonts w:ascii="Times New Roman" w:hAnsi="Times New Roman"/>
                <w:kern w:val="0"/>
                <w:szCs w:val="21"/>
              </w:rPr>
            </w:pPr>
            <w:r>
              <w:rPr>
                <w:rFonts w:ascii="Times New Roman"/>
                <w:kern w:val="0"/>
                <w:szCs w:val="21"/>
              </w:rPr>
              <w:t>设备类型</w:t>
            </w:r>
          </w:p>
        </w:tc>
        <w:tc>
          <w:tcPr>
            <w:tcW w:w="954" w:type="dxa"/>
            <w:vMerge w:val="restart"/>
            <w:vAlign w:val="center"/>
          </w:tcPr>
          <w:p>
            <w:pPr>
              <w:widowControl/>
              <w:spacing w:line="288" w:lineRule="auto"/>
              <w:jc w:val="center"/>
              <w:rPr>
                <w:rFonts w:ascii="Times New Roman" w:hAnsi="Times New Roman"/>
                <w:kern w:val="0"/>
                <w:szCs w:val="21"/>
              </w:rPr>
            </w:pPr>
            <w:r>
              <w:rPr>
                <w:rFonts w:ascii="Times New Roman"/>
                <w:kern w:val="0"/>
                <w:szCs w:val="21"/>
              </w:rPr>
              <w:t>台数</w:t>
            </w:r>
          </w:p>
        </w:tc>
        <w:tc>
          <w:tcPr>
            <w:tcW w:w="1417" w:type="dxa"/>
            <w:vMerge w:val="restart"/>
            <w:vAlign w:val="center"/>
          </w:tcPr>
          <w:p>
            <w:pPr>
              <w:widowControl/>
              <w:spacing w:line="288" w:lineRule="auto"/>
              <w:jc w:val="center"/>
              <w:rPr>
                <w:rFonts w:ascii="Times New Roman"/>
                <w:kern w:val="0"/>
                <w:szCs w:val="21"/>
              </w:rPr>
            </w:pPr>
            <w:r>
              <w:rPr>
                <w:rFonts w:ascii="Times New Roman"/>
                <w:kern w:val="0"/>
                <w:szCs w:val="21"/>
              </w:rPr>
              <w:t>额定制冷量</w:t>
            </w:r>
          </w:p>
          <w:p>
            <w:pPr>
              <w:widowControl/>
              <w:spacing w:line="288" w:lineRule="auto"/>
              <w:jc w:val="center"/>
              <w:rPr>
                <w:rFonts w:ascii="Times New Roman" w:hAnsi="Times New Roman"/>
                <w:kern w:val="0"/>
                <w:szCs w:val="21"/>
              </w:rPr>
            </w:pPr>
            <w:r>
              <w:rPr>
                <w:rFonts w:ascii="Times New Roman"/>
                <w:kern w:val="0"/>
                <w:szCs w:val="21"/>
              </w:rPr>
              <w:t>（</w:t>
            </w:r>
            <w:r>
              <w:rPr>
                <w:rFonts w:ascii="Times New Roman" w:hAnsi="Times New Roman"/>
                <w:kern w:val="0"/>
                <w:szCs w:val="21"/>
              </w:rPr>
              <w:t>kW</w:t>
            </w:r>
            <w:r>
              <w:rPr>
                <w:rFonts w:ascii="Times New Roman"/>
                <w:kern w:val="0"/>
                <w:szCs w:val="21"/>
              </w:rPr>
              <w:t>）</w:t>
            </w:r>
          </w:p>
        </w:tc>
        <w:tc>
          <w:tcPr>
            <w:tcW w:w="3157" w:type="dxa"/>
            <w:gridSpan w:val="2"/>
            <w:vAlign w:val="center"/>
          </w:tcPr>
          <w:p>
            <w:pPr>
              <w:widowControl/>
              <w:spacing w:line="288" w:lineRule="auto"/>
              <w:jc w:val="center"/>
              <w:rPr>
                <w:rFonts w:ascii="Times New Roman" w:hAnsi="Times New Roman"/>
                <w:kern w:val="0"/>
                <w:szCs w:val="21"/>
              </w:rPr>
            </w:pPr>
            <w:r>
              <w:rPr>
                <w:rFonts w:ascii="Times New Roman"/>
                <w:kern w:val="0"/>
                <w:szCs w:val="21"/>
              </w:rPr>
              <w:t>部分负荷性能系数</w:t>
            </w:r>
            <w:r>
              <w:rPr>
                <w:rFonts w:hint="eastAsia" w:ascii="Times New Roman"/>
                <w:kern w:val="0"/>
                <w:szCs w:val="21"/>
              </w:rPr>
              <w:t>IPLV</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438" w:type="dxa"/>
            <w:vMerge w:val="continue"/>
            <w:vAlign w:val="center"/>
          </w:tcPr>
          <w:p>
            <w:pPr>
              <w:widowControl/>
              <w:spacing w:line="288" w:lineRule="auto"/>
              <w:jc w:val="center"/>
              <w:rPr>
                <w:rFonts w:ascii="Times New Roman" w:hAnsi="Times New Roman"/>
                <w:kern w:val="0"/>
                <w:szCs w:val="21"/>
              </w:rPr>
            </w:pPr>
          </w:p>
        </w:tc>
        <w:tc>
          <w:tcPr>
            <w:tcW w:w="954" w:type="dxa"/>
            <w:vMerge w:val="continue"/>
            <w:vAlign w:val="center"/>
          </w:tcPr>
          <w:p>
            <w:pPr>
              <w:widowControl/>
              <w:spacing w:line="288" w:lineRule="auto"/>
              <w:jc w:val="center"/>
              <w:rPr>
                <w:rFonts w:ascii="Times New Roman" w:hAnsi="Times New Roman"/>
                <w:kern w:val="0"/>
                <w:szCs w:val="21"/>
              </w:rPr>
            </w:pPr>
          </w:p>
        </w:tc>
        <w:tc>
          <w:tcPr>
            <w:tcW w:w="1417" w:type="dxa"/>
            <w:vMerge w:val="continue"/>
            <w:vAlign w:val="center"/>
          </w:tcPr>
          <w:p>
            <w:pPr>
              <w:widowControl/>
              <w:spacing w:line="288" w:lineRule="auto"/>
              <w:jc w:val="center"/>
              <w:rPr>
                <w:rFonts w:ascii="Times New Roman" w:hAnsi="Times New Roman"/>
                <w:kern w:val="0"/>
                <w:szCs w:val="21"/>
              </w:rPr>
            </w:pPr>
          </w:p>
        </w:tc>
        <w:tc>
          <w:tcPr>
            <w:tcW w:w="1578" w:type="dxa"/>
            <w:vAlign w:val="center"/>
          </w:tcPr>
          <w:p>
            <w:pPr>
              <w:spacing w:line="288" w:lineRule="auto"/>
              <w:jc w:val="center"/>
              <w:rPr>
                <w:rFonts w:ascii="Times New Roman" w:hAnsi="Times New Roman"/>
                <w:kern w:val="0"/>
                <w:szCs w:val="21"/>
              </w:rPr>
            </w:pPr>
            <w:r>
              <w:rPr>
                <w:rFonts w:ascii="Times New Roman"/>
                <w:kern w:val="0"/>
                <w:szCs w:val="21"/>
              </w:rPr>
              <w:t>设计值</w:t>
            </w:r>
          </w:p>
        </w:tc>
        <w:tc>
          <w:tcPr>
            <w:tcW w:w="1579" w:type="dxa"/>
            <w:vAlign w:val="center"/>
          </w:tcPr>
          <w:p>
            <w:pPr>
              <w:spacing w:line="288" w:lineRule="auto"/>
              <w:jc w:val="center"/>
              <w:rPr>
                <w:rFonts w:ascii="Times New Roman" w:hAnsi="Times New Roman"/>
                <w:kern w:val="0"/>
                <w:szCs w:val="21"/>
              </w:rPr>
            </w:pPr>
            <w:r>
              <w:rPr>
                <w:rFonts w:hint="eastAsia" w:ascii="Times New Roman"/>
                <w:kern w:val="0"/>
                <w:szCs w:val="21"/>
              </w:rPr>
              <w:t>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438" w:type="dxa"/>
            <w:vAlign w:val="center"/>
          </w:tcPr>
          <w:p>
            <w:pPr>
              <w:widowControl/>
              <w:spacing w:line="288" w:lineRule="auto"/>
              <w:jc w:val="center"/>
              <w:rPr>
                <w:rFonts w:ascii="Times New Roman" w:hAnsi="Times New Roman"/>
                <w:kern w:val="0"/>
                <w:szCs w:val="21"/>
              </w:rPr>
            </w:pPr>
          </w:p>
        </w:tc>
        <w:tc>
          <w:tcPr>
            <w:tcW w:w="954" w:type="dxa"/>
            <w:vAlign w:val="center"/>
          </w:tcPr>
          <w:p>
            <w:pPr>
              <w:widowControl/>
              <w:spacing w:line="288" w:lineRule="auto"/>
              <w:jc w:val="center"/>
              <w:rPr>
                <w:rFonts w:ascii="Times New Roman" w:hAnsi="Times New Roman"/>
                <w:kern w:val="0"/>
                <w:szCs w:val="21"/>
              </w:rPr>
            </w:pPr>
          </w:p>
        </w:tc>
        <w:tc>
          <w:tcPr>
            <w:tcW w:w="1417" w:type="dxa"/>
            <w:vAlign w:val="center"/>
          </w:tcPr>
          <w:p>
            <w:pPr>
              <w:widowControl/>
              <w:spacing w:line="288" w:lineRule="auto"/>
              <w:jc w:val="center"/>
              <w:rPr>
                <w:rFonts w:ascii="Times New Roman" w:hAnsi="Times New Roman"/>
                <w:kern w:val="0"/>
                <w:szCs w:val="21"/>
              </w:rPr>
            </w:pPr>
          </w:p>
        </w:tc>
        <w:tc>
          <w:tcPr>
            <w:tcW w:w="1578" w:type="dxa"/>
            <w:vAlign w:val="center"/>
          </w:tcPr>
          <w:p>
            <w:pPr>
              <w:widowControl/>
              <w:spacing w:line="288" w:lineRule="auto"/>
              <w:jc w:val="center"/>
              <w:rPr>
                <w:rFonts w:ascii="Times New Roman" w:hAnsi="Times New Roman"/>
                <w:kern w:val="0"/>
                <w:szCs w:val="21"/>
              </w:rPr>
            </w:pPr>
          </w:p>
        </w:tc>
        <w:tc>
          <w:tcPr>
            <w:tcW w:w="1579" w:type="dxa"/>
            <w:vAlign w:val="center"/>
          </w:tcPr>
          <w:p>
            <w:pPr>
              <w:widowControl/>
              <w:spacing w:line="288" w:lineRule="auto"/>
              <w:jc w:val="center"/>
              <w:rPr>
                <w:rFonts w:ascii="Times New Roman" w:hAnsi="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438" w:type="dxa"/>
            <w:vAlign w:val="center"/>
          </w:tcPr>
          <w:p>
            <w:pPr>
              <w:widowControl/>
              <w:spacing w:line="288" w:lineRule="auto"/>
              <w:jc w:val="center"/>
              <w:rPr>
                <w:rFonts w:ascii="Times New Roman" w:hAnsi="Times New Roman"/>
                <w:szCs w:val="21"/>
              </w:rPr>
            </w:pPr>
          </w:p>
        </w:tc>
        <w:tc>
          <w:tcPr>
            <w:tcW w:w="954" w:type="dxa"/>
            <w:vAlign w:val="center"/>
          </w:tcPr>
          <w:p>
            <w:pPr>
              <w:widowControl/>
              <w:spacing w:line="288" w:lineRule="auto"/>
              <w:jc w:val="center"/>
              <w:rPr>
                <w:rFonts w:ascii="Times New Roman" w:hAnsi="Times New Roman"/>
                <w:kern w:val="0"/>
                <w:szCs w:val="21"/>
              </w:rPr>
            </w:pPr>
          </w:p>
        </w:tc>
        <w:tc>
          <w:tcPr>
            <w:tcW w:w="1417" w:type="dxa"/>
            <w:vAlign w:val="center"/>
          </w:tcPr>
          <w:p>
            <w:pPr>
              <w:widowControl/>
              <w:spacing w:line="288" w:lineRule="auto"/>
              <w:jc w:val="center"/>
              <w:rPr>
                <w:rFonts w:ascii="Times New Roman" w:hAnsi="Times New Roman"/>
                <w:kern w:val="0"/>
                <w:szCs w:val="21"/>
              </w:rPr>
            </w:pPr>
          </w:p>
        </w:tc>
        <w:tc>
          <w:tcPr>
            <w:tcW w:w="1578" w:type="dxa"/>
            <w:vAlign w:val="center"/>
          </w:tcPr>
          <w:p>
            <w:pPr>
              <w:widowControl/>
              <w:spacing w:line="288" w:lineRule="auto"/>
              <w:jc w:val="center"/>
              <w:rPr>
                <w:rFonts w:ascii="Times New Roman" w:hAnsi="Times New Roman"/>
                <w:kern w:val="0"/>
                <w:szCs w:val="21"/>
              </w:rPr>
            </w:pPr>
          </w:p>
        </w:tc>
        <w:tc>
          <w:tcPr>
            <w:tcW w:w="1579" w:type="dxa"/>
            <w:vAlign w:val="center"/>
          </w:tcPr>
          <w:p>
            <w:pPr>
              <w:widowControl/>
              <w:spacing w:line="288" w:lineRule="auto"/>
              <w:jc w:val="center"/>
              <w:rPr>
                <w:rFonts w:ascii="Times New Roman" w:hAnsi="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438" w:type="dxa"/>
            <w:vAlign w:val="center"/>
          </w:tcPr>
          <w:p>
            <w:pPr>
              <w:widowControl/>
              <w:spacing w:line="288" w:lineRule="auto"/>
              <w:jc w:val="center"/>
              <w:rPr>
                <w:rFonts w:ascii="Times New Roman" w:hAnsi="Times New Roman"/>
                <w:szCs w:val="21"/>
              </w:rPr>
            </w:pPr>
          </w:p>
        </w:tc>
        <w:tc>
          <w:tcPr>
            <w:tcW w:w="954" w:type="dxa"/>
            <w:vAlign w:val="center"/>
          </w:tcPr>
          <w:p>
            <w:pPr>
              <w:widowControl/>
              <w:spacing w:line="288" w:lineRule="auto"/>
              <w:jc w:val="center"/>
              <w:rPr>
                <w:rFonts w:ascii="Times New Roman" w:hAnsi="Times New Roman"/>
                <w:kern w:val="0"/>
                <w:szCs w:val="21"/>
              </w:rPr>
            </w:pPr>
          </w:p>
        </w:tc>
        <w:tc>
          <w:tcPr>
            <w:tcW w:w="1417" w:type="dxa"/>
            <w:vAlign w:val="center"/>
          </w:tcPr>
          <w:p>
            <w:pPr>
              <w:widowControl/>
              <w:spacing w:line="288" w:lineRule="auto"/>
              <w:jc w:val="center"/>
              <w:rPr>
                <w:rFonts w:ascii="Times New Roman" w:hAnsi="Times New Roman"/>
                <w:kern w:val="0"/>
                <w:szCs w:val="21"/>
              </w:rPr>
            </w:pPr>
          </w:p>
        </w:tc>
        <w:tc>
          <w:tcPr>
            <w:tcW w:w="1578" w:type="dxa"/>
            <w:vAlign w:val="center"/>
          </w:tcPr>
          <w:p>
            <w:pPr>
              <w:widowControl/>
              <w:spacing w:line="288" w:lineRule="auto"/>
              <w:jc w:val="center"/>
              <w:rPr>
                <w:rFonts w:ascii="Times New Roman" w:hAnsi="Times New Roman"/>
                <w:kern w:val="0"/>
                <w:szCs w:val="21"/>
              </w:rPr>
            </w:pPr>
          </w:p>
        </w:tc>
        <w:tc>
          <w:tcPr>
            <w:tcW w:w="1579" w:type="dxa"/>
            <w:vAlign w:val="center"/>
          </w:tcPr>
          <w:p>
            <w:pPr>
              <w:widowControl/>
              <w:spacing w:line="288" w:lineRule="auto"/>
              <w:jc w:val="center"/>
              <w:rPr>
                <w:rFonts w:ascii="Times New Roman" w:hAnsi="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438" w:type="dxa"/>
            <w:vAlign w:val="center"/>
          </w:tcPr>
          <w:p>
            <w:pPr>
              <w:widowControl/>
              <w:spacing w:line="288" w:lineRule="auto"/>
              <w:jc w:val="center"/>
              <w:rPr>
                <w:rFonts w:ascii="Times New Roman" w:hAnsi="Times New Roman"/>
                <w:szCs w:val="21"/>
              </w:rPr>
            </w:pPr>
          </w:p>
        </w:tc>
        <w:tc>
          <w:tcPr>
            <w:tcW w:w="954" w:type="dxa"/>
            <w:vAlign w:val="center"/>
          </w:tcPr>
          <w:p>
            <w:pPr>
              <w:widowControl/>
              <w:spacing w:line="288" w:lineRule="auto"/>
              <w:jc w:val="center"/>
              <w:rPr>
                <w:rFonts w:ascii="Times New Roman" w:hAnsi="Times New Roman"/>
                <w:kern w:val="0"/>
                <w:szCs w:val="21"/>
              </w:rPr>
            </w:pPr>
          </w:p>
        </w:tc>
        <w:tc>
          <w:tcPr>
            <w:tcW w:w="1417" w:type="dxa"/>
            <w:vAlign w:val="center"/>
          </w:tcPr>
          <w:p>
            <w:pPr>
              <w:widowControl/>
              <w:spacing w:line="288" w:lineRule="auto"/>
              <w:jc w:val="center"/>
              <w:rPr>
                <w:rFonts w:ascii="Times New Roman" w:hAnsi="Times New Roman"/>
                <w:kern w:val="0"/>
                <w:szCs w:val="21"/>
              </w:rPr>
            </w:pPr>
          </w:p>
        </w:tc>
        <w:tc>
          <w:tcPr>
            <w:tcW w:w="1578" w:type="dxa"/>
            <w:vAlign w:val="center"/>
          </w:tcPr>
          <w:p>
            <w:pPr>
              <w:widowControl/>
              <w:spacing w:line="288" w:lineRule="auto"/>
              <w:jc w:val="center"/>
              <w:rPr>
                <w:rFonts w:ascii="Times New Roman" w:hAnsi="Times New Roman"/>
                <w:kern w:val="0"/>
                <w:szCs w:val="21"/>
              </w:rPr>
            </w:pPr>
          </w:p>
        </w:tc>
        <w:tc>
          <w:tcPr>
            <w:tcW w:w="1579" w:type="dxa"/>
            <w:vAlign w:val="center"/>
          </w:tcPr>
          <w:p>
            <w:pPr>
              <w:widowControl/>
              <w:spacing w:line="288" w:lineRule="auto"/>
              <w:jc w:val="center"/>
              <w:rPr>
                <w:rFonts w:ascii="Times New Roman" w:hAnsi="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438" w:type="dxa"/>
            <w:vAlign w:val="center"/>
          </w:tcPr>
          <w:p>
            <w:pPr>
              <w:widowControl/>
              <w:spacing w:line="288" w:lineRule="auto"/>
              <w:jc w:val="center"/>
              <w:rPr>
                <w:rFonts w:ascii="Times New Roman" w:hAnsi="Times New Roman"/>
                <w:szCs w:val="21"/>
              </w:rPr>
            </w:pPr>
          </w:p>
        </w:tc>
        <w:tc>
          <w:tcPr>
            <w:tcW w:w="954" w:type="dxa"/>
            <w:vAlign w:val="center"/>
          </w:tcPr>
          <w:p>
            <w:pPr>
              <w:widowControl/>
              <w:spacing w:line="288" w:lineRule="auto"/>
              <w:jc w:val="center"/>
              <w:rPr>
                <w:rFonts w:ascii="Times New Roman" w:hAnsi="Times New Roman"/>
                <w:kern w:val="0"/>
                <w:szCs w:val="21"/>
              </w:rPr>
            </w:pPr>
          </w:p>
        </w:tc>
        <w:tc>
          <w:tcPr>
            <w:tcW w:w="1417" w:type="dxa"/>
            <w:vAlign w:val="center"/>
          </w:tcPr>
          <w:p>
            <w:pPr>
              <w:widowControl/>
              <w:spacing w:line="288" w:lineRule="auto"/>
              <w:jc w:val="center"/>
              <w:rPr>
                <w:rFonts w:ascii="Times New Roman" w:hAnsi="Times New Roman"/>
                <w:kern w:val="0"/>
                <w:szCs w:val="21"/>
              </w:rPr>
            </w:pPr>
          </w:p>
        </w:tc>
        <w:tc>
          <w:tcPr>
            <w:tcW w:w="1578" w:type="dxa"/>
            <w:vAlign w:val="center"/>
          </w:tcPr>
          <w:p>
            <w:pPr>
              <w:widowControl/>
              <w:spacing w:line="288" w:lineRule="auto"/>
              <w:jc w:val="center"/>
              <w:rPr>
                <w:rFonts w:ascii="Times New Roman" w:hAnsi="Times New Roman"/>
                <w:kern w:val="0"/>
                <w:szCs w:val="21"/>
              </w:rPr>
            </w:pPr>
          </w:p>
        </w:tc>
        <w:tc>
          <w:tcPr>
            <w:tcW w:w="1579" w:type="dxa"/>
            <w:vAlign w:val="center"/>
          </w:tcPr>
          <w:p>
            <w:pPr>
              <w:widowControl/>
              <w:spacing w:line="288" w:lineRule="auto"/>
              <w:jc w:val="center"/>
              <w:rPr>
                <w:rFonts w:ascii="Times New Roman" w:hAnsi="Times New Roman"/>
                <w:kern w:val="0"/>
                <w:szCs w:val="21"/>
              </w:rPr>
            </w:pPr>
          </w:p>
        </w:tc>
      </w:tr>
    </w:tbl>
    <w:p>
      <w:pPr>
        <w:spacing w:line="360" w:lineRule="auto"/>
        <w:ind w:left="142"/>
        <w:rPr>
          <w:rFonts w:ascii="Times New Roman"/>
          <w:sz w:val="24"/>
        </w:rPr>
      </w:pPr>
      <w:r>
        <w:rPr>
          <w:rFonts w:hint="eastAsia" w:ascii="Times New Roman"/>
          <w:sz w:val="24"/>
        </w:rPr>
        <w:t>详见</w:t>
      </w:r>
      <w:r>
        <w:rPr>
          <w:rFonts w:hint="eastAsia" w:ascii="Times New Roman"/>
          <w:sz w:val="24"/>
          <w:u w:val="single"/>
        </w:rPr>
        <w:t>《部分负荷性能系数计算书》</w:t>
      </w:r>
      <w:r>
        <w:rPr>
          <w:rFonts w:hint="eastAsia" w:ascii="Times New Roman"/>
          <w:sz w:val="24"/>
        </w:rPr>
        <w:t>；</w:t>
      </w:r>
    </w:p>
    <w:p>
      <w:pPr>
        <w:spacing w:line="360" w:lineRule="auto"/>
        <w:ind w:left="142"/>
        <w:rPr>
          <w:rFonts w:ascii="Times New Roman"/>
          <w:sz w:val="24"/>
        </w:rPr>
      </w:pPr>
      <w:r>
        <w:rPr>
          <w:rFonts w:hint="eastAsia" w:ascii="Times New Roman"/>
          <w:sz w:val="24"/>
        </w:rPr>
        <w:t>IPLV计算表：</w:t>
      </w:r>
    </w:p>
    <w:tbl>
      <w:tblPr>
        <w:tblStyle w:val="17"/>
        <w:tblW w:w="8755"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276"/>
        <w:gridCol w:w="1276"/>
        <w:gridCol w:w="1134"/>
        <w:gridCol w:w="1134"/>
        <w:gridCol w:w="1134"/>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60" w:lineRule="auto"/>
              <w:jc w:val="center"/>
              <w:rPr>
                <w:rFonts w:ascii="Times New Roman"/>
                <w:sz w:val="24"/>
              </w:rPr>
            </w:pPr>
            <w:r>
              <w:rPr>
                <w:rFonts w:hint="eastAsia" w:ascii="Times New Roman"/>
                <w:sz w:val="24"/>
              </w:rPr>
              <w:t>设备类型/编号</w:t>
            </w:r>
          </w:p>
        </w:tc>
        <w:tc>
          <w:tcPr>
            <w:tcW w:w="1276" w:type="dxa"/>
            <w:vAlign w:val="center"/>
          </w:tcPr>
          <w:p>
            <w:pPr>
              <w:spacing w:line="360" w:lineRule="auto"/>
              <w:jc w:val="center"/>
              <w:rPr>
                <w:rFonts w:ascii="Times New Roman"/>
                <w:sz w:val="24"/>
              </w:rPr>
            </w:pPr>
            <w:r>
              <w:rPr>
                <w:rFonts w:hint="eastAsia" w:ascii="Times New Roman"/>
                <w:sz w:val="24"/>
              </w:rPr>
              <w:t>负荷比例</w:t>
            </w:r>
          </w:p>
        </w:tc>
        <w:tc>
          <w:tcPr>
            <w:tcW w:w="1276" w:type="dxa"/>
            <w:vAlign w:val="center"/>
          </w:tcPr>
          <w:p>
            <w:pPr>
              <w:jc w:val="center"/>
              <w:rPr>
                <w:rFonts w:ascii="Times New Roman"/>
                <w:sz w:val="24"/>
              </w:rPr>
            </w:pPr>
            <w:r>
              <w:rPr>
                <w:rFonts w:hint="eastAsia" w:ascii="Times New Roman"/>
                <w:sz w:val="24"/>
              </w:rPr>
              <w:t>100%（A）</w:t>
            </w:r>
          </w:p>
        </w:tc>
        <w:tc>
          <w:tcPr>
            <w:tcW w:w="1134" w:type="dxa"/>
            <w:vAlign w:val="center"/>
          </w:tcPr>
          <w:p>
            <w:pPr>
              <w:jc w:val="center"/>
              <w:rPr>
                <w:rFonts w:ascii="Times New Roman"/>
                <w:sz w:val="24"/>
              </w:rPr>
            </w:pPr>
            <w:r>
              <w:rPr>
                <w:rFonts w:hint="eastAsia" w:ascii="Times New Roman"/>
                <w:sz w:val="24"/>
              </w:rPr>
              <w:t>75%（B）</w:t>
            </w:r>
          </w:p>
        </w:tc>
        <w:tc>
          <w:tcPr>
            <w:tcW w:w="1134" w:type="dxa"/>
            <w:vAlign w:val="center"/>
          </w:tcPr>
          <w:p>
            <w:pPr>
              <w:jc w:val="center"/>
              <w:rPr>
                <w:rFonts w:ascii="Times New Roman"/>
                <w:sz w:val="24"/>
              </w:rPr>
            </w:pPr>
            <w:r>
              <w:rPr>
                <w:rFonts w:hint="eastAsia" w:ascii="Times New Roman"/>
                <w:sz w:val="24"/>
              </w:rPr>
              <w:t>50%（C）</w:t>
            </w:r>
          </w:p>
        </w:tc>
        <w:tc>
          <w:tcPr>
            <w:tcW w:w="1134" w:type="dxa"/>
            <w:vAlign w:val="center"/>
          </w:tcPr>
          <w:p>
            <w:pPr>
              <w:jc w:val="center"/>
              <w:rPr>
                <w:rFonts w:ascii="Times New Roman"/>
                <w:sz w:val="24"/>
              </w:rPr>
            </w:pPr>
            <w:r>
              <w:rPr>
                <w:rFonts w:hint="eastAsia" w:ascii="Times New Roman"/>
                <w:sz w:val="24"/>
              </w:rPr>
              <w:t>25%（D）</w:t>
            </w:r>
          </w:p>
        </w:tc>
        <w:tc>
          <w:tcPr>
            <w:tcW w:w="992" w:type="dxa"/>
            <w:vAlign w:val="center"/>
          </w:tcPr>
          <w:p>
            <w:pPr>
              <w:spacing w:line="360" w:lineRule="auto"/>
              <w:jc w:val="center"/>
              <w:rPr>
                <w:rFonts w:ascii="Times New Roman"/>
                <w:sz w:val="24"/>
              </w:rPr>
            </w:pPr>
            <w:r>
              <w:rPr>
                <w:rFonts w:hint="eastAsia" w:ascii="Times New Roman"/>
                <w:sz w:val="24"/>
              </w:rPr>
              <w:t>IPLV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60" w:lineRule="auto"/>
              <w:jc w:val="center"/>
              <w:rPr>
                <w:rFonts w:ascii="Times New Roman"/>
                <w:sz w:val="24"/>
              </w:rPr>
            </w:pPr>
          </w:p>
        </w:tc>
        <w:tc>
          <w:tcPr>
            <w:tcW w:w="1276" w:type="dxa"/>
            <w:vMerge w:val="restart"/>
            <w:vAlign w:val="center"/>
          </w:tcPr>
          <w:p>
            <w:pPr>
              <w:jc w:val="center"/>
              <w:rPr>
                <w:rFonts w:ascii="Times New Roman"/>
                <w:sz w:val="24"/>
              </w:rPr>
            </w:pPr>
            <w:r>
              <w:rPr>
                <w:rFonts w:hint="eastAsia" w:ascii="Times New Roman"/>
                <w:sz w:val="24"/>
              </w:rPr>
              <w:t>性能系数（W/W）</w:t>
            </w:r>
          </w:p>
        </w:tc>
        <w:tc>
          <w:tcPr>
            <w:tcW w:w="1276"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992" w:type="dxa"/>
            <w:vAlign w:val="center"/>
          </w:tcPr>
          <w:p>
            <w:pPr>
              <w:spacing w:line="360" w:lineRule="auto"/>
              <w:jc w:val="center"/>
              <w:rPr>
                <w:rFonts w:asci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60" w:lineRule="auto"/>
              <w:jc w:val="center"/>
              <w:rPr>
                <w:rFonts w:ascii="Times New Roman"/>
                <w:sz w:val="24"/>
              </w:rPr>
            </w:pPr>
          </w:p>
        </w:tc>
        <w:tc>
          <w:tcPr>
            <w:tcW w:w="1276" w:type="dxa"/>
            <w:vMerge w:val="continue"/>
            <w:vAlign w:val="center"/>
          </w:tcPr>
          <w:p>
            <w:pPr>
              <w:spacing w:line="360" w:lineRule="auto"/>
              <w:jc w:val="center"/>
              <w:rPr>
                <w:rFonts w:ascii="Times New Roman"/>
                <w:sz w:val="24"/>
              </w:rPr>
            </w:pPr>
          </w:p>
        </w:tc>
        <w:tc>
          <w:tcPr>
            <w:tcW w:w="1276"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992" w:type="dxa"/>
            <w:vAlign w:val="center"/>
          </w:tcPr>
          <w:p>
            <w:pPr>
              <w:spacing w:line="360" w:lineRule="auto"/>
              <w:jc w:val="center"/>
              <w:rPr>
                <w:rFonts w:asci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60" w:lineRule="auto"/>
              <w:jc w:val="center"/>
              <w:rPr>
                <w:rFonts w:ascii="Times New Roman"/>
                <w:sz w:val="24"/>
              </w:rPr>
            </w:pPr>
          </w:p>
        </w:tc>
        <w:tc>
          <w:tcPr>
            <w:tcW w:w="1276" w:type="dxa"/>
            <w:vMerge w:val="continue"/>
            <w:vAlign w:val="center"/>
          </w:tcPr>
          <w:p>
            <w:pPr>
              <w:spacing w:line="360" w:lineRule="auto"/>
              <w:jc w:val="center"/>
              <w:rPr>
                <w:rFonts w:ascii="Times New Roman"/>
                <w:sz w:val="24"/>
              </w:rPr>
            </w:pPr>
          </w:p>
        </w:tc>
        <w:tc>
          <w:tcPr>
            <w:tcW w:w="1276"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1134" w:type="dxa"/>
            <w:vAlign w:val="center"/>
          </w:tcPr>
          <w:p>
            <w:pPr>
              <w:spacing w:line="360" w:lineRule="auto"/>
              <w:jc w:val="center"/>
              <w:rPr>
                <w:rFonts w:ascii="Times New Roman"/>
                <w:sz w:val="24"/>
              </w:rPr>
            </w:pPr>
          </w:p>
        </w:tc>
        <w:tc>
          <w:tcPr>
            <w:tcW w:w="992" w:type="dxa"/>
            <w:vAlign w:val="center"/>
          </w:tcPr>
          <w:p>
            <w:pPr>
              <w:spacing w:line="360" w:lineRule="auto"/>
              <w:jc w:val="center"/>
              <w:rPr>
                <w:rFonts w:asci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5" w:type="dxa"/>
            <w:gridSpan w:val="7"/>
            <w:vAlign w:val="center"/>
          </w:tcPr>
          <w:p>
            <w:pPr>
              <w:spacing w:line="360" w:lineRule="auto"/>
              <w:jc w:val="center"/>
              <w:rPr>
                <w:rFonts w:ascii="Times New Roman"/>
                <w:sz w:val="24"/>
              </w:rPr>
            </w:pPr>
            <w:r>
              <w:rPr>
                <w:rFonts w:hint="eastAsia" w:ascii="Times New Roman"/>
                <w:sz w:val="24"/>
              </w:rPr>
              <w:t>计算公式：IPLV=1.2%×A+32.8%×B+39.7%×C+26.3%×D</w:t>
            </w:r>
          </w:p>
        </w:tc>
      </w:tr>
    </w:tbl>
    <w:p>
      <w:pPr>
        <w:spacing w:line="360" w:lineRule="auto"/>
        <w:ind w:left="142"/>
        <w:rPr>
          <w:rFonts w:ascii="Times New Roman"/>
          <w:sz w:val="24"/>
        </w:rPr>
      </w:pPr>
      <w:r>
        <w:rPr>
          <w:rFonts w:hint="eastAsia" w:ascii="Times New Roman"/>
          <w:sz w:val="24"/>
        </w:rPr>
        <w:t>空调冷源的电冷源综合制冷性能系数（SCOP）：</w:t>
      </w:r>
      <w:r>
        <w:rPr>
          <w:rFonts w:hint="eastAsia" w:ascii="Times New Roman"/>
          <w:sz w:val="24"/>
          <w:u w:val="single"/>
        </w:rPr>
        <w:t xml:space="preserve">          </w:t>
      </w:r>
      <w:r>
        <w:rPr>
          <w:rFonts w:hint="eastAsia" w:ascii="Times New Roman"/>
          <w:sz w:val="24"/>
        </w:rPr>
        <w:t>，详见</w:t>
      </w:r>
      <w:r>
        <w:rPr>
          <w:rFonts w:hint="eastAsia" w:ascii="Times New Roman"/>
          <w:sz w:val="24"/>
          <w:u w:val="single"/>
        </w:rPr>
        <w:t>《电冷源综合制冷性能系数计算书》</w:t>
      </w:r>
      <w:r>
        <w:rPr>
          <w:rFonts w:hint="eastAsia" w:ascii="Times New Roman"/>
          <w:sz w:val="24"/>
        </w:rPr>
        <w:t>。</w:t>
      </w:r>
    </w:p>
    <w:p>
      <w:pPr>
        <w:pStyle w:val="24"/>
        <w:numPr>
          <w:ilvl w:val="0"/>
          <w:numId w:val="16"/>
        </w:numPr>
        <w:spacing w:line="360" w:lineRule="auto"/>
        <w:ind w:firstLineChars="0"/>
        <w:rPr>
          <w:rFonts w:ascii="Times New Roman"/>
          <w:sz w:val="24"/>
        </w:rPr>
      </w:pPr>
      <w:r>
        <w:rPr>
          <w:rFonts w:hint="eastAsia" w:ascii="Times New Roman"/>
          <w:sz w:val="24"/>
        </w:rPr>
        <w:t>根据建筑空间功能设置分区温度，合理降低室内过渡区空间的温度设定标准。</w:t>
      </w:r>
    </w:p>
    <w:p>
      <w:pPr>
        <w:spacing w:line="360" w:lineRule="auto"/>
        <w:ind w:left="142"/>
        <w:rPr>
          <w:rFonts w:ascii="Times New Roman"/>
          <w:sz w:val="24"/>
        </w:rPr>
      </w:pPr>
      <w:r>
        <w:rPr>
          <w:rFonts w:hint="eastAsia" w:ascii="Times New Roman"/>
          <w:sz w:val="24"/>
        </w:rPr>
        <w:t>室内过渡空间：□门厅、□中庭、□走廊、□高大空间中超出人员活动范围的空间、□其他：</w:t>
      </w:r>
      <w:r>
        <w:rPr>
          <w:rFonts w:hint="eastAsia" w:ascii="Times New Roman"/>
          <w:sz w:val="24"/>
          <w:u w:val="single"/>
        </w:rPr>
        <w:t xml:space="preserve">          </w:t>
      </w:r>
      <w:r>
        <w:rPr>
          <w:rFonts w:hint="eastAsia" w:ascii="Times New Roman"/>
          <w:sz w:val="24"/>
        </w:rPr>
        <w:t>。</w:t>
      </w:r>
    </w:p>
    <w:p>
      <w:pPr>
        <w:spacing w:line="360" w:lineRule="auto"/>
        <w:ind w:left="142"/>
        <w:rPr>
          <w:rFonts w:ascii="Times New Roman"/>
          <w:sz w:val="24"/>
        </w:rPr>
      </w:pPr>
      <w:r>
        <w:rPr>
          <w:rFonts w:hint="eastAsia" w:ascii="Times New Roman"/>
          <w:sz w:val="24"/>
        </w:rPr>
        <w:t>简要说明建筑功能分区、空调系统分区情况和空调系统分区控制方式：</w:t>
      </w:r>
      <w:r>
        <w:rPr>
          <w:rFonts w:hint="eastAsia" w:ascii="Times New Roman"/>
          <w:sz w:val="24"/>
          <w:u w:val="single"/>
        </w:rPr>
        <w:t xml:space="preserve">                          </w:t>
      </w:r>
      <w:r>
        <w:rPr>
          <w:rFonts w:hint="eastAsia" w:ascii="Times New Roman"/>
          <w:sz w:val="24"/>
        </w:rPr>
        <w:t>；详见图纸：</w:t>
      </w:r>
      <w:r>
        <w:rPr>
          <w:rFonts w:hint="eastAsia" w:ascii="Times New Roman"/>
          <w:sz w:val="24"/>
          <w:u w:val="single"/>
        </w:rPr>
        <w:t xml:space="preserve">                          </w:t>
      </w:r>
      <w:r>
        <w:rPr>
          <w:rFonts w:hint="eastAsia" w:ascii="Times New Roman"/>
          <w:sz w:val="24"/>
        </w:rPr>
        <w:t>。</w:t>
      </w:r>
    </w:p>
    <w:p>
      <w:pPr>
        <w:pStyle w:val="24"/>
        <w:numPr>
          <w:ilvl w:val="0"/>
          <w:numId w:val="16"/>
        </w:numPr>
        <w:spacing w:line="360" w:lineRule="auto"/>
        <w:ind w:firstLineChars="0"/>
        <w:rPr>
          <w:rFonts w:ascii="Times New Roman"/>
          <w:sz w:val="24"/>
        </w:rPr>
      </w:pPr>
      <w:r>
        <w:rPr>
          <w:rFonts w:hint="eastAsia" w:ascii="Times New Roman"/>
          <w:sz w:val="24"/>
        </w:rPr>
        <w:t>场地内有以下建筑或设施：□地下车库、□餐饮厨房、□锅炉房、□直燃机房、□柴油发电机房、□垃圾运转站、□医疗废气、□工业废气、□其他易产生烟、气、尘、噪声的建筑或设施：</w:t>
      </w:r>
      <w:r>
        <w:rPr>
          <w:rFonts w:hint="eastAsia" w:ascii="Times New Roman"/>
          <w:sz w:val="24"/>
          <w:u w:val="single"/>
        </w:rPr>
        <w:t xml:space="preserve">          </w:t>
      </w:r>
      <w:r>
        <w:rPr>
          <w:rFonts w:hint="eastAsia" w:ascii="Times New Roman"/>
          <w:sz w:val="24"/>
        </w:rPr>
        <w:t>、□以上皆无。</w:t>
      </w:r>
    </w:p>
    <w:p>
      <w:pPr>
        <w:pStyle w:val="24"/>
        <w:spacing w:line="360" w:lineRule="auto"/>
        <w:ind w:left="150" w:firstLine="0" w:firstLineChars="0"/>
        <w:rPr>
          <w:rFonts w:ascii="Times New Roman"/>
          <w:sz w:val="24"/>
        </w:rPr>
      </w:pPr>
      <w:r>
        <w:rPr>
          <w:rFonts w:hint="eastAsia" w:ascii="Times New Roman"/>
          <w:sz w:val="24"/>
        </w:rPr>
        <w:t>如有，简要说明避免排放超标的控制措施：</w:t>
      </w:r>
      <w:r>
        <w:rPr>
          <w:rFonts w:hint="eastAsia" w:ascii="Times New Roman"/>
          <w:sz w:val="24"/>
          <w:u w:val="single"/>
        </w:rPr>
        <w:t xml:space="preserve">                          </w:t>
      </w:r>
      <w:r>
        <w:rPr>
          <w:rFonts w:hint="eastAsia" w:ascii="Times New Roman"/>
          <w:sz w:val="24"/>
        </w:rPr>
        <w:t>。</w:t>
      </w:r>
    </w:p>
    <w:p>
      <w:pPr>
        <w:spacing w:line="360" w:lineRule="auto"/>
        <w:rPr>
          <w:rFonts w:ascii="Times New Roman"/>
          <w:sz w:val="24"/>
        </w:rPr>
      </w:pPr>
    </w:p>
    <w:p>
      <w:pPr>
        <w:pStyle w:val="24"/>
        <w:numPr>
          <w:ilvl w:val="0"/>
          <w:numId w:val="14"/>
        </w:numPr>
        <w:spacing w:line="360" w:lineRule="auto"/>
        <w:ind w:left="-210" w:leftChars="-100" w:firstLineChars="0"/>
        <w:rPr>
          <w:rFonts w:ascii="Times New Roman"/>
          <w:szCs w:val="21"/>
        </w:rPr>
      </w:pPr>
      <w:r>
        <w:rPr>
          <w:rFonts w:hint="eastAsia"/>
          <w:b/>
          <w:sz w:val="28"/>
          <w:szCs w:val="28"/>
        </w:rPr>
        <w:t>绿色建筑</w:t>
      </w:r>
      <w:r>
        <w:rPr>
          <w:rFonts w:hint="eastAsia" w:ascii="Times New Roman"/>
          <w:sz w:val="28"/>
          <w:szCs w:val="28"/>
          <w:u w:val="single"/>
        </w:rPr>
        <w:t xml:space="preserve">     </w:t>
      </w:r>
      <w:r>
        <w:rPr>
          <w:rFonts w:hint="eastAsia"/>
          <w:b/>
          <w:sz w:val="28"/>
          <w:szCs w:val="28"/>
        </w:rPr>
        <w:t>星级</w:t>
      </w:r>
    </w:p>
    <w:p>
      <w:pPr>
        <w:spacing w:line="360" w:lineRule="auto"/>
        <w:rPr>
          <w:rFonts w:ascii="Times New Roman"/>
          <w:sz w:val="24"/>
        </w:rPr>
      </w:pPr>
      <w:r>
        <w:rPr>
          <w:rFonts w:ascii="Times New Roman"/>
          <w:sz w:val="24"/>
        </w:rPr>
        <w:t>根据项目特点合理选择</w:t>
      </w:r>
      <w:r>
        <w:rPr>
          <w:rFonts w:hint="eastAsia" w:ascii="Times New Roman"/>
          <w:sz w:val="24"/>
        </w:rPr>
        <w:t>绿色建筑的</w:t>
      </w:r>
      <w:r>
        <w:rPr>
          <w:rFonts w:ascii="Times New Roman"/>
          <w:sz w:val="24"/>
        </w:rPr>
        <w:t>技术路线</w:t>
      </w:r>
      <w:r>
        <w:rPr>
          <w:rFonts w:hint="eastAsia" w:ascii="Times New Roman"/>
          <w:sz w:val="24"/>
        </w:rPr>
        <w:t>，</w:t>
      </w:r>
      <w:r>
        <w:rPr>
          <w:rFonts w:ascii="Times New Roman"/>
          <w:sz w:val="24"/>
        </w:rPr>
        <w:t>增加相关</w:t>
      </w:r>
      <w:r>
        <w:rPr>
          <w:rFonts w:hint="eastAsia" w:ascii="Times New Roman"/>
          <w:sz w:val="24"/>
        </w:rPr>
        <w:t>条款、</w:t>
      </w:r>
      <w:r>
        <w:rPr>
          <w:rFonts w:ascii="Times New Roman"/>
          <w:sz w:val="24"/>
        </w:rPr>
        <w:t>说明、图纸和报告。</w:t>
      </w:r>
    </w:p>
    <w:p>
      <w:pPr>
        <w:spacing w:line="360" w:lineRule="auto"/>
        <w:rPr>
          <w:rFonts w:ascii="Times New Roman"/>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5546"/>
      <w:docPartObj>
        <w:docPartGallery w:val="autotext"/>
      </w:docPartObj>
    </w:sdtPr>
    <w:sdtEndPr>
      <w:rPr>
        <w:rFonts w:ascii="Times New Roman" w:hAnsi="Times New Roman"/>
      </w:rPr>
    </w:sdtEndPr>
    <w:sdtContent>
      <w:p>
        <w:pPr>
          <w:pStyle w:val="10"/>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val="zh-CN"/>
          </w:rPr>
          <w:t>5</w:t>
        </w:r>
        <w:r>
          <w:rPr>
            <w:rFonts w:ascii="Times New Roman" w:hAnsi="Times New Roman"/>
          </w:rPr>
          <w:fldChar w:fldCharType="end"/>
        </w:r>
      </w:p>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87CD270"/>
    <w:multiLevelType w:val="singleLevel"/>
    <w:tmpl w:val="A87CD270"/>
    <w:lvl w:ilvl="0" w:tentative="0">
      <w:start w:val="2"/>
      <w:numFmt w:val="decimal"/>
      <w:suff w:val="nothing"/>
      <w:lvlText w:val="（%1）"/>
      <w:lvlJc w:val="left"/>
    </w:lvl>
  </w:abstractNum>
  <w:abstractNum w:abstractNumId="1">
    <w:nsid w:val="06576A78"/>
    <w:multiLevelType w:val="multilevel"/>
    <w:tmpl w:val="06576A78"/>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2">
    <w:nsid w:val="07AD2CB0"/>
    <w:multiLevelType w:val="multilevel"/>
    <w:tmpl w:val="07AD2CB0"/>
    <w:lvl w:ilvl="0" w:tentative="0">
      <w:start w:val="1"/>
      <w:numFmt w:val="decimal"/>
      <w:suff w:val="nothing"/>
      <w:lvlText w:val="%1、"/>
      <w:lvlJc w:val="left"/>
      <w:pPr>
        <w:ind w:left="150" w:hanging="360"/>
      </w:pPr>
      <w:rPr>
        <w:rFonts w:hint="default" w:ascii="Times New Roman" w:hAnsi="Times New Roman" w:cs="Times New Roman"/>
        <w:b w:val="0"/>
        <w:color w:val="auto"/>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3">
    <w:nsid w:val="0E3715AF"/>
    <w:multiLevelType w:val="multilevel"/>
    <w:tmpl w:val="0E3715AF"/>
    <w:lvl w:ilvl="0" w:tentative="0">
      <w:start w:val="1"/>
      <w:numFmt w:val="chineseCountingThousand"/>
      <w:suff w:val="nothing"/>
      <w:lvlText w:val="%1、"/>
      <w:lvlJc w:val="left"/>
      <w:pPr>
        <w:ind w:left="420" w:hanging="420"/>
      </w:pPr>
      <w:rPr>
        <w:rFonts w:hint="default" w:asciiTheme="minorEastAsia" w:hAnsiTheme="minorEastAsia" w:eastAsiaTheme="minorEastAsia"/>
        <w:b/>
        <w:sz w:val="28"/>
        <w:szCs w:val="28"/>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7BE1145"/>
    <w:multiLevelType w:val="multilevel"/>
    <w:tmpl w:val="17BE1145"/>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5">
    <w:nsid w:val="1C4B1C96"/>
    <w:multiLevelType w:val="multilevel"/>
    <w:tmpl w:val="1C4B1C96"/>
    <w:lvl w:ilvl="0" w:tentative="0">
      <w:start w:val="1"/>
      <w:numFmt w:val="chineseCountingThousand"/>
      <w:suff w:val="nothing"/>
      <w:lvlText w:val="%1、"/>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596AFF"/>
    <w:multiLevelType w:val="multilevel"/>
    <w:tmpl w:val="1E596AFF"/>
    <w:lvl w:ilvl="0" w:tentative="0">
      <w:start w:val="1"/>
      <w:numFmt w:val="chineseCountingThousand"/>
      <w:suff w:val="nothing"/>
      <w:lvlText w:val="%1、"/>
      <w:lvlJc w:val="left"/>
      <w:pPr>
        <w:ind w:left="420" w:hanging="420"/>
      </w:pPr>
      <w:rPr>
        <w:rFonts w:hint="default"/>
        <w:b/>
        <w:sz w:val="28"/>
        <w:szCs w:val="28"/>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1CD78DA"/>
    <w:multiLevelType w:val="multilevel"/>
    <w:tmpl w:val="21CD78DA"/>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8">
    <w:nsid w:val="24BB41AA"/>
    <w:multiLevelType w:val="multilevel"/>
    <w:tmpl w:val="24BB41AA"/>
    <w:lvl w:ilvl="0" w:tentative="0">
      <w:start w:val="1"/>
      <w:numFmt w:val="chineseCountingThousand"/>
      <w:suff w:val="nothing"/>
      <w:lvlText w:val="%1、"/>
      <w:lvlJc w:val="left"/>
      <w:pPr>
        <w:ind w:left="420" w:hanging="420"/>
      </w:pPr>
      <w:rPr>
        <w:rFonts w:hint="default"/>
        <w:b/>
        <w:sz w:val="28"/>
        <w:szCs w:val="28"/>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65B2DBC"/>
    <w:multiLevelType w:val="multilevel"/>
    <w:tmpl w:val="265B2DBC"/>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10">
    <w:nsid w:val="26612087"/>
    <w:multiLevelType w:val="multilevel"/>
    <w:tmpl w:val="26612087"/>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11">
    <w:nsid w:val="3F985CF9"/>
    <w:multiLevelType w:val="multilevel"/>
    <w:tmpl w:val="3F985CF9"/>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12">
    <w:nsid w:val="42654F48"/>
    <w:multiLevelType w:val="multilevel"/>
    <w:tmpl w:val="42654F48"/>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13">
    <w:nsid w:val="426F59E7"/>
    <w:multiLevelType w:val="multilevel"/>
    <w:tmpl w:val="426F59E7"/>
    <w:lvl w:ilvl="0" w:tentative="0">
      <w:start w:val="1"/>
      <w:numFmt w:val="chineseCountingThousand"/>
      <w:suff w:val="nothing"/>
      <w:lvlText w:val="%1、"/>
      <w:lvlJc w:val="left"/>
      <w:pPr>
        <w:ind w:left="420" w:hanging="420"/>
      </w:pPr>
      <w:rPr>
        <w:rFonts w:hint="default"/>
        <w:b/>
        <w:sz w:val="28"/>
        <w:szCs w:val="28"/>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7FB3D9F"/>
    <w:multiLevelType w:val="multilevel"/>
    <w:tmpl w:val="47FB3D9F"/>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abstractNum w:abstractNumId="15">
    <w:nsid w:val="62C14EE9"/>
    <w:multiLevelType w:val="multilevel"/>
    <w:tmpl w:val="62C14EE9"/>
    <w:lvl w:ilvl="0" w:tentative="0">
      <w:start w:val="1"/>
      <w:numFmt w:val="decimal"/>
      <w:lvlText w:val="%1、"/>
      <w:lvlJc w:val="left"/>
      <w:pPr>
        <w:ind w:left="150" w:hanging="360"/>
      </w:pPr>
      <w:rPr>
        <w:rFonts w:hint="default" w:hAnsi="Times New Roman"/>
      </w:rPr>
    </w:lvl>
    <w:lvl w:ilvl="1" w:tentative="0">
      <w:start w:val="1"/>
      <w:numFmt w:val="lowerLetter"/>
      <w:lvlText w:val="%2)"/>
      <w:lvlJc w:val="left"/>
      <w:pPr>
        <w:ind w:left="630" w:hanging="420"/>
      </w:pPr>
    </w:lvl>
    <w:lvl w:ilvl="2" w:tentative="0">
      <w:start w:val="1"/>
      <w:numFmt w:val="lowerRoman"/>
      <w:lvlText w:val="%3."/>
      <w:lvlJc w:val="right"/>
      <w:pPr>
        <w:ind w:left="1050" w:hanging="420"/>
      </w:pPr>
    </w:lvl>
    <w:lvl w:ilvl="3" w:tentative="0">
      <w:start w:val="1"/>
      <w:numFmt w:val="decimal"/>
      <w:lvlText w:val="%4."/>
      <w:lvlJc w:val="left"/>
      <w:pPr>
        <w:ind w:left="1470" w:hanging="420"/>
      </w:pPr>
    </w:lvl>
    <w:lvl w:ilvl="4" w:tentative="0">
      <w:start w:val="1"/>
      <w:numFmt w:val="lowerLetter"/>
      <w:lvlText w:val="%5)"/>
      <w:lvlJc w:val="left"/>
      <w:pPr>
        <w:ind w:left="1890" w:hanging="420"/>
      </w:pPr>
    </w:lvl>
    <w:lvl w:ilvl="5" w:tentative="0">
      <w:start w:val="1"/>
      <w:numFmt w:val="lowerRoman"/>
      <w:lvlText w:val="%6."/>
      <w:lvlJc w:val="right"/>
      <w:pPr>
        <w:ind w:left="2310" w:hanging="420"/>
      </w:pPr>
    </w:lvl>
    <w:lvl w:ilvl="6" w:tentative="0">
      <w:start w:val="1"/>
      <w:numFmt w:val="decimal"/>
      <w:lvlText w:val="%7."/>
      <w:lvlJc w:val="left"/>
      <w:pPr>
        <w:ind w:left="2730" w:hanging="420"/>
      </w:pPr>
    </w:lvl>
    <w:lvl w:ilvl="7" w:tentative="0">
      <w:start w:val="1"/>
      <w:numFmt w:val="lowerLetter"/>
      <w:lvlText w:val="%8)"/>
      <w:lvlJc w:val="left"/>
      <w:pPr>
        <w:ind w:left="3150" w:hanging="420"/>
      </w:pPr>
    </w:lvl>
    <w:lvl w:ilvl="8" w:tentative="0">
      <w:start w:val="1"/>
      <w:numFmt w:val="lowerRoman"/>
      <w:lvlText w:val="%9."/>
      <w:lvlJc w:val="right"/>
      <w:pPr>
        <w:ind w:left="3570" w:hanging="420"/>
      </w:pPr>
    </w:lvl>
  </w:abstractNum>
  <w:num w:numId="1">
    <w:abstractNumId w:val="8"/>
  </w:num>
  <w:num w:numId="2">
    <w:abstractNumId w:val="1"/>
  </w:num>
  <w:num w:numId="3">
    <w:abstractNumId w:val="2"/>
  </w:num>
  <w:num w:numId="4">
    <w:abstractNumId w:val="0"/>
  </w:num>
  <w:num w:numId="5">
    <w:abstractNumId w:val="5"/>
  </w:num>
  <w:num w:numId="6">
    <w:abstractNumId w:val="10"/>
  </w:num>
  <w:num w:numId="7">
    <w:abstractNumId w:val="11"/>
  </w:num>
  <w:num w:numId="8">
    <w:abstractNumId w:val="3"/>
  </w:num>
  <w:num w:numId="9">
    <w:abstractNumId w:val="7"/>
  </w:num>
  <w:num w:numId="10">
    <w:abstractNumId w:val="12"/>
  </w:num>
  <w:num w:numId="11">
    <w:abstractNumId w:val="13"/>
  </w:num>
  <w:num w:numId="12">
    <w:abstractNumId w:val="15"/>
  </w:num>
  <w:num w:numId="13">
    <w:abstractNumId w:val="9"/>
  </w:num>
  <w:num w:numId="14">
    <w:abstractNumId w:val="6"/>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1CB6"/>
    <w:rsid w:val="00000F0D"/>
    <w:rsid w:val="00012E67"/>
    <w:rsid w:val="000235F6"/>
    <w:rsid w:val="00036024"/>
    <w:rsid w:val="0003782C"/>
    <w:rsid w:val="000469F8"/>
    <w:rsid w:val="00051CFF"/>
    <w:rsid w:val="000528C3"/>
    <w:rsid w:val="00052C2D"/>
    <w:rsid w:val="00055C23"/>
    <w:rsid w:val="00063D7C"/>
    <w:rsid w:val="00065116"/>
    <w:rsid w:val="00066E68"/>
    <w:rsid w:val="000717D6"/>
    <w:rsid w:val="00094BAD"/>
    <w:rsid w:val="000A4380"/>
    <w:rsid w:val="000A562C"/>
    <w:rsid w:val="000C2816"/>
    <w:rsid w:val="000C4D92"/>
    <w:rsid w:val="000C5367"/>
    <w:rsid w:val="000D07D4"/>
    <w:rsid w:val="000D192B"/>
    <w:rsid w:val="000E7B9A"/>
    <w:rsid w:val="001055D8"/>
    <w:rsid w:val="0011511E"/>
    <w:rsid w:val="0014474C"/>
    <w:rsid w:val="00156228"/>
    <w:rsid w:val="00157495"/>
    <w:rsid w:val="001577F6"/>
    <w:rsid w:val="0017217F"/>
    <w:rsid w:val="00173797"/>
    <w:rsid w:val="00177AF6"/>
    <w:rsid w:val="00180F7F"/>
    <w:rsid w:val="0018133A"/>
    <w:rsid w:val="00196598"/>
    <w:rsid w:val="001A5C32"/>
    <w:rsid w:val="001B1A9E"/>
    <w:rsid w:val="001B3A0A"/>
    <w:rsid w:val="001B6E5F"/>
    <w:rsid w:val="001C221E"/>
    <w:rsid w:val="001C44EF"/>
    <w:rsid w:val="001F0CAA"/>
    <w:rsid w:val="001F6DF4"/>
    <w:rsid w:val="001F7190"/>
    <w:rsid w:val="00200ED9"/>
    <w:rsid w:val="00202035"/>
    <w:rsid w:val="00217B74"/>
    <w:rsid w:val="002240FD"/>
    <w:rsid w:val="00231367"/>
    <w:rsid w:val="00235D5E"/>
    <w:rsid w:val="0023613B"/>
    <w:rsid w:val="002437A0"/>
    <w:rsid w:val="00264641"/>
    <w:rsid w:val="00276B11"/>
    <w:rsid w:val="00277471"/>
    <w:rsid w:val="002A10A7"/>
    <w:rsid w:val="002A5ADB"/>
    <w:rsid w:val="002D1C8B"/>
    <w:rsid w:val="002D4FE0"/>
    <w:rsid w:val="002E3D9C"/>
    <w:rsid w:val="002F7CC2"/>
    <w:rsid w:val="00301464"/>
    <w:rsid w:val="00305D61"/>
    <w:rsid w:val="00316076"/>
    <w:rsid w:val="003249AA"/>
    <w:rsid w:val="00334521"/>
    <w:rsid w:val="00360024"/>
    <w:rsid w:val="00360D93"/>
    <w:rsid w:val="0036389E"/>
    <w:rsid w:val="003645A3"/>
    <w:rsid w:val="00366F85"/>
    <w:rsid w:val="0037209A"/>
    <w:rsid w:val="00376698"/>
    <w:rsid w:val="00390E06"/>
    <w:rsid w:val="003957CB"/>
    <w:rsid w:val="0039768E"/>
    <w:rsid w:val="003A43A1"/>
    <w:rsid w:val="003B4506"/>
    <w:rsid w:val="003D1097"/>
    <w:rsid w:val="00412C6F"/>
    <w:rsid w:val="0041543C"/>
    <w:rsid w:val="0042324E"/>
    <w:rsid w:val="00423833"/>
    <w:rsid w:val="00447AC3"/>
    <w:rsid w:val="00456BF0"/>
    <w:rsid w:val="00457869"/>
    <w:rsid w:val="004652EA"/>
    <w:rsid w:val="0047179C"/>
    <w:rsid w:val="0047483C"/>
    <w:rsid w:val="00475D95"/>
    <w:rsid w:val="004A7B18"/>
    <w:rsid w:val="004B134D"/>
    <w:rsid w:val="004C306E"/>
    <w:rsid w:val="004D50FA"/>
    <w:rsid w:val="004D5471"/>
    <w:rsid w:val="004E625E"/>
    <w:rsid w:val="004E71BB"/>
    <w:rsid w:val="005449A0"/>
    <w:rsid w:val="00561AF0"/>
    <w:rsid w:val="005622B9"/>
    <w:rsid w:val="005721F8"/>
    <w:rsid w:val="00577FAF"/>
    <w:rsid w:val="00580470"/>
    <w:rsid w:val="00592789"/>
    <w:rsid w:val="00595385"/>
    <w:rsid w:val="005B1CB6"/>
    <w:rsid w:val="005B1E05"/>
    <w:rsid w:val="005B5AF3"/>
    <w:rsid w:val="005B6D70"/>
    <w:rsid w:val="005C6BD7"/>
    <w:rsid w:val="005C7FEB"/>
    <w:rsid w:val="005D317C"/>
    <w:rsid w:val="005E17DB"/>
    <w:rsid w:val="005E2973"/>
    <w:rsid w:val="005E4F4A"/>
    <w:rsid w:val="005F4996"/>
    <w:rsid w:val="00612470"/>
    <w:rsid w:val="00627C60"/>
    <w:rsid w:val="006566C7"/>
    <w:rsid w:val="00672352"/>
    <w:rsid w:val="0068122F"/>
    <w:rsid w:val="006830DD"/>
    <w:rsid w:val="00686FEE"/>
    <w:rsid w:val="00687454"/>
    <w:rsid w:val="006A0747"/>
    <w:rsid w:val="006A74CB"/>
    <w:rsid w:val="006B329C"/>
    <w:rsid w:val="006E0033"/>
    <w:rsid w:val="006E0339"/>
    <w:rsid w:val="006E60ED"/>
    <w:rsid w:val="006F3727"/>
    <w:rsid w:val="00705915"/>
    <w:rsid w:val="00710A30"/>
    <w:rsid w:val="007130F2"/>
    <w:rsid w:val="007221D1"/>
    <w:rsid w:val="00727F02"/>
    <w:rsid w:val="00732326"/>
    <w:rsid w:val="007451F9"/>
    <w:rsid w:val="00750453"/>
    <w:rsid w:val="00750C15"/>
    <w:rsid w:val="00764C63"/>
    <w:rsid w:val="0076526B"/>
    <w:rsid w:val="007724B8"/>
    <w:rsid w:val="00774ABA"/>
    <w:rsid w:val="00785E65"/>
    <w:rsid w:val="007912F2"/>
    <w:rsid w:val="00795F49"/>
    <w:rsid w:val="007A620B"/>
    <w:rsid w:val="007E4704"/>
    <w:rsid w:val="007E5BB2"/>
    <w:rsid w:val="007F5699"/>
    <w:rsid w:val="00815A7F"/>
    <w:rsid w:val="00821C5D"/>
    <w:rsid w:val="00830F3B"/>
    <w:rsid w:val="00834B1E"/>
    <w:rsid w:val="00856844"/>
    <w:rsid w:val="008607D3"/>
    <w:rsid w:val="008622A2"/>
    <w:rsid w:val="00866C62"/>
    <w:rsid w:val="00873AC3"/>
    <w:rsid w:val="008A0D8F"/>
    <w:rsid w:val="008A2A46"/>
    <w:rsid w:val="008A532E"/>
    <w:rsid w:val="008D3DDE"/>
    <w:rsid w:val="008E0003"/>
    <w:rsid w:val="008E28D8"/>
    <w:rsid w:val="0090011F"/>
    <w:rsid w:val="0090235D"/>
    <w:rsid w:val="00905E8E"/>
    <w:rsid w:val="00927BDB"/>
    <w:rsid w:val="00932BC5"/>
    <w:rsid w:val="009425A4"/>
    <w:rsid w:val="00956C1C"/>
    <w:rsid w:val="00985554"/>
    <w:rsid w:val="009A3C99"/>
    <w:rsid w:val="009C1C6F"/>
    <w:rsid w:val="009C4D0D"/>
    <w:rsid w:val="009D70FC"/>
    <w:rsid w:val="009D768D"/>
    <w:rsid w:val="009E631C"/>
    <w:rsid w:val="009F5540"/>
    <w:rsid w:val="00A05339"/>
    <w:rsid w:val="00A06EB0"/>
    <w:rsid w:val="00A214FE"/>
    <w:rsid w:val="00A218A3"/>
    <w:rsid w:val="00A264F6"/>
    <w:rsid w:val="00A317BC"/>
    <w:rsid w:val="00A53610"/>
    <w:rsid w:val="00A5473B"/>
    <w:rsid w:val="00A56CD1"/>
    <w:rsid w:val="00A71DDA"/>
    <w:rsid w:val="00A80FE0"/>
    <w:rsid w:val="00A919AE"/>
    <w:rsid w:val="00AA6B16"/>
    <w:rsid w:val="00AC2923"/>
    <w:rsid w:val="00AC6EA1"/>
    <w:rsid w:val="00AD5F5F"/>
    <w:rsid w:val="00AE5A04"/>
    <w:rsid w:val="00AF5A8C"/>
    <w:rsid w:val="00B12BBE"/>
    <w:rsid w:val="00B4100C"/>
    <w:rsid w:val="00B50840"/>
    <w:rsid w:val="00B51EE4"/>
    <w:rsid w:val="00B741FA"/>
    <w:rsid w:val="00B82148"/>
    <w:rsid w:val="00B86740"/>
    <w:rsid w:val="00B86B52"/>
    <w:rsid w:val="00BA0FF3"/>
    <w:rsid w:val="00BE38C2"/>
    <w:rsid w:val="00C40AAC"/>
    <w:rsid w:val="00C448F1"/>
    <w:rsid w:val="00C457FA"/>
    <w:rsid w:val="00C65C7B"/>
    <w:rsid w:val="00C65EF0"/>
    <w:rsid w:val="00C66E8C"/>
    <w:rsid w:val="00C7601B"/>
    <w:rsid w:val="00C9146B"/>
    <w:rsid w:val="00CA5564"/>
    <w:rsid w:val="00CB06C0"/>
    <w:rsid w:val="00CB0DA0"/>
    <w:rsid w:val="00CC3FAD"/>
    <w:rsid w:val="00CC50DD"/>
    <w:rsid w:val="00CD7F7F"/>
    <w:rsid w:val="00CE321B"/>
    <w:rsid w:val="00CF606C"/>
    <w:rsid w:val="00D0098E"/>
    <w:rsid w:val="00D122A3"/>
    <w:rsid w:val="00D12C41"/>
    <w:rsid w:val="00D20D53"/>
    <w:rsid w:val="00D312F9"/>
    <w:rsid w:val="00D56F39"/>
    <w:rsid w:val="00D623E0"/>
    <w:rsid w:val="00D82973"/>
    <w:rsid w:val="00D916BC"/>
    <w:rsid w:val="00D97470"/>
    <w:rsid w:val="00DA1B37"/>
    <w:rsid w:val="00DE6297"/>
    <w:rsid w:val="00DE7977"/>
    <w:rsid w:val="00DF67AF"/>
    <w:rsid w:val="00E01F74"/>
    <w:rsid w:val="00E07CFF"/>
    <w:rsid w:val="00E12DED"/>
    <w:rsid w:val="00E131BB"/>
    <w:rsid w:val="00E154C8"/>
    <w:rsid w:val="00E1706E"/>
    <w:rsid w:val="00E27278"/>
    <w:rsid w:val="00E56A05"/>
    <w:rsid w:val="00E6070E"/>
    <w:rsid w:val="00E73422"/>
    <w:rsid w:val="00E76E82"/>
    <w:rsid w:val="00EA0BCA"/>
    <w:rsid w:val="00EA3486"/>
    <w:rsid w:val="00EA45AE"/>
    <w:rsid w:val="00EA4AC9"/>
    <w:rsid w:val="00EC6FB1"/>
    <w:rsid w:val="00EE17BE"/>
    <w:rsid w:val="00F05AA7"/>
    <w:rsid w:val="00F14BA0"/>
    <w:rsid w:val="00F162B9"/>
    <w:rsid w:val="00F2112B"/>
    <w:rsid w:val="00F222AA"/>
    <w:rsid w:val="00F2466D"/>
    <w:rsid w:val="00F26037"/>
    <w:rsid w:val="00F62F14"/>
    <w:rsid w:val="00F760B9"/>
    <w:rsid w:val="00F9105B"/>
    <w:rsid w:val="00FA6E7E"/>
    <w:rsid w:val="00FB0E2B"/>
    <w:rsid w:val="00FB6C96"/>
    <w:rsid w:val="00FC6650"/>
    <w:rsid w:val="00FD42FA"/>
    <w:rsid w:val="00FD542E"/>
    <w:rsid w:val="00FE659E"/>
    <w:rsid w:val="00FF57F6"/>
    <w:rsid w:val="015B5324"/>
    <w:rsid w:val="02F87BC1"/>
    <w:rsid w:val="04C74C88"/>
    <w:rsid w:val="06213F6B"/>
    <w:rsid w:val="063B575A"/>
    <w:rsid w:val="0C1325BE"/>
    <w:rsid w:val="0F1E3774"/>
    <w:rsid w:val="0FDB6B98"/>
    <w:rsid w:val="14D0241E"/>
    <w:rsid w:val="161F52DB"/>
    <w:rsid w:val="19892EAC"/>
    <w:rsid w:val="21A3366F"/>
    <w:rsid w:val="222553FE"/>
    <w:rsid w:val="228D4F7E"/>
    <w:rsid w:val="286976C2"/>
    <w:rsid w:val="2ABE35A6"/>
    <w:rsid w:val="2CAC788E"/>
    <w:rsid w:val="2D2E023C"/>
    <w:rsid w:val="2D5E1BB6"/>
    <w:rsid w:val="2DCF32AB"/>
    <w:rsid w:val="2FA11854"/>
    <w:rsid w:val="300D2127"/>
    <w:rsid w:val="309C2677"/>
    <w:rsid w:val="30AF608E"/>
    <w:rsid w:val="31B82DE0"/>
    <w:rsid w:val="344554A0"/>
    <w:rsid w:val="350C4EA5"/>
    <w:rsid w:val="39516FB8"/>
    <w:rsid w:val="3E35063B"/>
    <w:rsid w:val="472462E6"/>
    <w:rsid w:val="492453E8"/>
    <w:rsid w:val="4A964656"/>
    <w:rsid w:val="4C084813"/>
    <w:rsid w:val="4CAD30CC"/>
    <w:rsid w:val="532F027F"/>
    <w:rsid w:val="534D138D"/>
    <w:rsid w:val="5380493B"/>
    <w:rsid w:val="5582747A"/>
    <w:rsid w:val="56BC2351"/>
    <w:rsid w:val="57F27905"/>
    <w:rsid w:val="583B7AE8"/>
    <w:rsid w:val="58503A2D"/>
    <w:rsid w:val="5EBC39AC"/>
    <w:rsid w:val="679C27F6"/>
    <w:rsid w:val="6C360538"/>
    <w:rsid w:val="6CC971A7"/>
    <w:rsid w:val="6DE479F6"/>
    <w:rsid w:val="7E8D0EA9"/>
    <w:rsid w:val="7F155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0"/>
    <w:unhideWhenUsed/>
    <w:qFormat/>
    <w:uiPriority w:val="9"/>
    <w:pPr>
      <w:keepNext/>
      <w:keepLines/>
      <w:spacing w:before="260" w:after="260" w:line="416" w:lineRule="auto"/>
      <w:outlineLvl w:val="2"/>
    </w:pPr>
    <w:rPr>
      <w:b/>
      <w:bCs/>
      <w:sz w:val="32"/>
      <w:szCs w:val="32"/>
    </w:rPr>
  </w:style>
  <w:style w:type="paragraph" w:styleId="5">
    <w:name w:val="heading 5"/>
    <w:basedOn w:val="1"/>
    <w:next w:val="1"/>
    <w:link w:val="21"/>
    <w:semiHidden/>
    <w:unhideWhenUsed/>
    <w:qFormat/>
    <w:uiPriority w:val="0"/>
    <w:pPr>
      <w:keepNext/>
      <w:keepLines/>
      <w:spacing w:before="280" w:after="290" w:line="376" w:lineRule="auto"/>
      <w:outlineLvl w:val="4"/>
    </w:pPr>
    <w:rPr>
      <w:b/>
      <w:bCs/>
      <w:sz w:val="28"/>
      <w:szCs w:val="28"/>
    </w:rPr>
  </w:style>
  <w:style w:type="character" w:default="1" w:styleId="12">
    <w:name w:val="Default Paragraph Font"/>
    <w:semiHidden/>
    <w:unhideWhenUsed/>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1"/>
    <w:semiHidden/>
    <w:unhideWhenUsed/>
    <w:qFormat/>
    <w:uiPriority w:val="99"/>
    <w:rPr>
      <w:b/>
      <w:bCs/>
    </w:rPr>
  </w:style>
  <w:style w:type="paragraph" w:styleId="7">
    <w:name w:val="annotation text"/>
    <w:basedOn w:val="1"/>
    <w:link w:val="30"/>
    <w:semiHidden/>
    <w:unhideWhenUsed/>
    <w:qFormat/>
    <w:uiPriority w:val="99"/>
    <w:pPr>
      <w:jc w:val="left"/>
    </w:pPr>
  </w:style>
  <w:style w:type="paragraph" w:styleId="8">
    <w:name w:val="Document Map"/>
    <w:basedOn w:val="1"/>
    <w:link w:val="28"/>
    <w:unhideWhenUsed/>
    <w:qFormat/>
    <w:uiPriority w:val="99"/>
    <w:rPr>
      <w:rFonts w:ascii="宋体" w:hAnsi="Times New Roman"/>
      <w:kern w:val="0"/>
      <w:sz w:val="18"/>
      <w:szCs w:val="18"/>
    </w:rPr>
  </w:style>
  <w:style w:type="paragraph" w:styleId="9">
    <w:name w:val="Balloon Text"/>
    <w:basedOn w:val="1"/>
    <w:link w:val="32"/>
    <w:semiHidden/>
    <w:unhideWhenUsed/>
    <w:qFormat/>
    <w:uiPriority w:val="99"/>
    <w:rPr>
      <w:sz w:val="18"/>
      <w:szCs w:val="18"/>
    </w:rPr>
  </w:style>
  <w:style w:type="paragraph" w:styleId="10">
    <w:name w:val="footer"/>
    <w:basedOn w:val="1"/>
    <w:link w:val="23"/>
    <w:unhideWhenUsed/>
    <w:qFormat/>
    <w:uiPriority w:val="99"/>
    <w:pPr>
      <w:tabs>
        <w:tab w:val="center" w:pos="4153"/>
        <w:tab w:val="right" w:pos="8306"/>
      </w:tabs>
      <w:snapToGrid w:val="0"/>
      <w:jc w:val="left"/>
    </w:pPr>
    <w:rPr>
      <w:sz w:val="18"/>
      <w:szCs w:val="18"/>
    </w:rPr>
  </w:style>
  <w:style w:type="paragraph" w:styleId="11">
    <w:name w:val="header"/>
    <w:basedOn w:val="1"/>
    <w:link w:val="22"/>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13">
    <w:name w:val="Strong"/>
    <w:basedOn w:val="12"/>
    <w:qFormat/>
    <w:uiPriority w:val="0"/>
    <w:rPr>
      <w:b/>
      <w:bCs/>
    </w:rPr>
  </w:style>
  <w:style w:type="character" w:styleId="14">
    <w:name w:val="Hyperlink"/>
    <w:basedOn w:val="12"/>
    <w:semiHidden/>
    <w:unhideWhenUsed/>
    <w:qFormat/>
    <w:uiPriority w:val="99"/>
    <w:rPr>
      <w:color w:val="0000FF"/>
      <w:u w:val="single"/>
    </w:rPr>
  </w:style>
  <w:style w:type="character" w:styleId="15">
    <w:name w:val="annotation reference"/>
    <w:basedOn w:val="12"/>
    <w:semiHidden/>
    <w:unhideWhenUsed/>
    <w:qFormat/>
    <w:uiPriority w:val="99"/>
    <w:rPr>
      <w:sz w:val="21"/>
      <w:szCs w:val="21"/>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8">
    <w:name w:val="标题 1 Char"/>
    <w:basedOn w:val="12"/>
    <w:link w:val="2"/>
    <w:qFormat/>
    <w:uiPriority w:val="0"/>
    <w:rPr>
      <w:b/>
      <w:bCs/>
      <w:kern w:val="44"/>
      <w:sz w:val="44"/>
      <w:szCs w:val="44"/>
    </w:rPr>
  </w:style>
  <w:style w:type="character" w:customStyle="1" w:styleId="19">
    <w:name w:val="标题 2 Char"/>
    <w:basedOn w:val="12"/>
    <w:link w:val="3"/>
    <w:semiHidden/>
    <w:qFormat/>
    <w:uiPriority w:val="0"/>
    <w:rPr>
      <w:rFonts w:asciiTheme="majorHAnsi" w:hAnsiTheme="majorHAnsi" w:eastAsiaTheme="majorEastAsia" w:cstheme="majorBidi"/>
      <w:b/>
      <w:bCs/>
      <w:kern w:val="2"/>
      <w:sz w:val="32"/>
      <w:szCs w:val="32"/>
    </w:rPr>
  </w:style>
  <w:style w:type="character" w:customStyle="1" w:styleId="20">
    <w:name w:val="标题 3 Char"/>
    <w:basedOn w:val="12"/>
    <w:link w:val="4"/>
    <w:qFormat/>
    <w:uiPriority w:val="9"/>
    <w:rPr>
      <w:b/>
      <w:bCs/>
      <w:kern w:val="2"/>
      <w:sz w:val="32"/>
      <w:szCs w:val="32"/>
    </w:rPr>
  </w:style>
  <w:style w:type="character" w:customStyle="1" w:styleId="21">
    <w:name w:val="标题 5 Char"/>
    <w:basedOn w:val="12"/>
    <w:link w:val="5"/>
    <w:semiHidden/>
    <w:qFormat/>
    <w:uiPriority w:val="0"/>
    <w:rPr>
      <w:b/>
      <w:bCs/>
      <w:kern w:val="2"/>
      <w:sz w:val="28"/>
      <w:szCs w:val="28"/>
    </w:rPr>
  </w:style>
  <w:style w:type="character" w:customStyle="1" w:styleId="22">
    <w:name w:val="页眉 Char"/>
    <w:basedOn w:val="12"/>
    <w:link w:val="11"/>
    <w:semiHidden/>
    <w:qFormat/>
    <w:uiPriority w:val="99"/>
    <w:rPr>
      <w:kern w:val="2"/>
      <w:sz w:val="18"/>
      <w:szCs w:val="18"/>
    </w:rPr>
  </w:style>
  <w:style w:type="character" w:customStyle="1" w:styleId="23">
    <w:name w:val="页脚 Char"/>
    <w:basedOn w:val="12"/>
    <w:link w:val="10"/>
    <w:qFormat/>
    <w:uiPriority w:val="99"/>
    <w:rPr>
      <w:kern w:val="2"/>
      <w:sz w:val="18"/>
      <w:szCs w:val="18"/>
    </w:rPr>
  </w:style>
  <w:style w:type="paragraph" w:styleId="24">
    <w:name w:val="List Paragraph"/>
    <w:basedOn w:val="1"/>
    <w:qFormat/>
    <w:uiPriority w:val="99"/>
    <w:pPr>
      <w:ind w:firstLine="420" w:firstLineChars="200"/>
    </w:pPr>
  </w:style>
  <w:style w:type="character" w:customStyle="1" w:styleId="25">
    <w:name w:val="文档结构图 Char"/>
    <w:link w:val="8"/>
    <w:qFormat/>
    <w:uiPriority w:val="99"/>
    <w:rPr>
      <w:rFonts w:ascii="宋体" w:hAnsi="Times New Roman"/>
      <w:sz w:val="18"/>
      <w:szCs w:val="18"/>
    </w:rPr>
  </w:style>
  <w:style w:type="character" w:customStyle="1" w:styleId="26">
    <w:name w:val="条文 Char"/>
    <w:link w:val="27"/>
    <w:qFormat/>
    <w:locked/>
    <w:uiPriority w:val="99"/>
    <w:rPr>
      <w:rFonts w:ascii="Times New Roman" w:hAnsi="Times New Roman"/>
      <w:sz w:val="24"/>
      <w:szCs w:val="24"/>
    </w:rPr>
  </w:style>
  <w:style w:type="paragraph" w:customStyle="1" w:styleId="27">
    <w:name w:val="条文"/>
    <w:basedOn w:val="1"/>
    <w:link w:val="26"/>
    <w:qFormat/>
    <w:uiPriority w:val="99"/>
    <w:pPr>
      <w:spacing w:line="300" w:lineRule="auto"/>
      <w:outlineLvl w:val="2"/>
    </w:pPr>
    <w:rPr>
      <w:rFonts w:ascii="Times New Roman" w:hAnsi="Times New Roman"/>
      <w:kern w:val="0"/>
      <w:sz w:val="24"/>
    </w:rPr>
  </w:style>
  <w:style w:type="character" w:customStyle="1" w:styleId="28">
    <w:name w:val="文档结构图 Char1"/>
    <w:basedOn w:val="12"/>
    <w:link w:val="8"/>
    <w:semiHidden/>
    <w:qFormat/>
    <w:uiPriority w:val="99"/>
    <w:rPr>
      <w:rFonts w:ascii="宋体"/>
      <w:kern w:val="2"/>
      <w:sz w:val="18"/>
      <w:szCs w:val="18"/>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批注文字 Char"/>
    <w:basedOn w:val="12"/>
    <w:link w:val="7"/>
    <w:semiHidden/>
    <w:qFormat/>
    <w:uiPriority w:val="99"/>
    <w:rPr>
      <w:kern w:val="2"/>
      <w:sz w:val="21"/>
      <w:szCs w:val="24"/>
    </w:rPr>
  </w:style>
  <w:style w:type="character" w:customStyle="1" w:styleId="31">
    <w:name w:val="批注主题 Char"/>
    <w:basedOn w:val="30"/>
    <w:link w:val="6"/>
    <w:semiHidden/>
    <w:qFormat/>
    <w:uiPriority w:val="99"/>
    <w:rPr>
      <w:b/>
      <w:bCs/>
    </w:rPr>
  </w:style>
  <w:style w:type="character" w:customStyle="1" w:styleId="32">
    <w:name w:val="批注框文本 Char"/>
    <w:basedOn w:val="12"/>
    <w:link w:val="9"/>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03AD24-D6A2-4E64-A136-806881725407}">
  <ds:schemaRefs/>
</ds:datastoreItem>
</file>

<file path=docProps/app.xml><?xml version="1.0" encoding="utf-8"?>
<Properties xmlns="http://schemas.openxmlformats.org/officeDocument/2006/extended-properties" xmlns:vt="http://schemas.openxmlformats.org/officeDocument/2006/docPropsVTypes">
  <Template>Normal.dotm</Template>
  <Company>中国微软</Company>
  <Pages>20</Pages>
  <Words>1952</Words>
  <Characters>11128</Characters>
  <Lines>92</Lines>
  <Paragraphs>26</Paragraphs>
  <TotalTime>1</TotalTime>
  <ScaleCrop>false</ScaleCrop>
  <LinksUpToDate>false</LinksUpToDate>
  <CharactersWithSpaces>13054</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2020-03-03T05:57:00Z</dcterms:created>
  <dc:creator>FAN</dc:creator>
  <cp:lastModifiedBy>余海浪</cp:lastModifiedBy>
  <cp:lastPrinted>2020-01-02T09:02:00Z</cp:lastPrinted>
  <dcterms:modified xsi:type="dcterms:W3CDTF">2020-08-27T03:37:15Z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