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spacing w:line="240" w:lineRule="auto"/>
        <w:ind w:firstLine="420"/>
        <w:rPr>
          <w:color w:val="000000" w:themeColor="text1"/>
          <w14:textFill>
            <w14:solidFill>
              <w14:schemeClr w14:val="tx1"/>
            </w14:solidFill>
          </w14:textFill>
        </w:rPr>
      </w:pPr>
      <w:r>
        <w:rPr>
          <w:color w:val="000000" w:themeColor="text1"/>
          <w14:textFill>
            <w14:solidFill>
              <w14:schemeClr w14:val="tx1"/>
            </w14:solidFill>
          </w14:textFill>
        </w:rPr>
        <w:t>UDC</w:t>
      </w:r>
      <w:r>
        <w:rPr>
          <w:rFonts w:eastAsia="黑体"/>
          <w:bCs/>
          <w:color w:val="000000" w:themeColor="text1"/>
          <w:sz w:val="32"/>
          <w:szCs w:val="32"/>
          <w14:textFill>
            <w14:solidFill>
              <w14:schemeClr w14:val="tx1"/>
            </w14:solidFill>
          </w14:textFill>
        </w:rPr>
        <w:t xml:space="preserve">          </w:t>
      </w:r>
      <w:r>
        <w:rPr>
          <w:rFonts w:eastAsia="黑体"/>
          <w:color w:val="000000" w:themeColor="text1"/>
          <w:spacing w:val="40"/>
          <w:sz w:val="32"/>
          <w:szCs w:val="30"/>
          <w14:textFill>
            <w14:solidFill>
              <w14:schemeClr w14:val="tx1"/>
            </w14:solidFill>
          </w14:textFill>
        </w:rPr>
        <w:t>中华人民共和国国家标准</w:t>
      </w:r>
      <w:r>
        <w:rPr>
          <w:bCs/>
          <w:color w:val="000000" w:themeColor="text1"/>
          <w:spacing w:val="40"/>
          <w:sz w:val="32"/>
          <w:szCs w:val="30"/>
          <w14:textFill>
            <w14:solidFill>
              <w14:schemeClr w14:val="tx1"/>
            </w14:solidFill>
          </w14:textFill>
        </w:rPr>
        <w:t xml:space="preserve"> </w:t>
      </w:r>
      <w:r>
        <w:rPr>
          <w:rFonts w:eastAsia="黑体"/>
          <w:color w:val="000000" w:themeColor="text1"/>
          <w:spacing w:val="20"/>
          <w:sz w:val="30"/>
          <w:szCs w:val="30"/>
          <w14:textFill>
            <w14:solidFill>
              <w14:schemeClr w14:val="tx1"/>
            </w14:solidFill>
          </w14:textFill>
        </w:rPr>
        <w:t xml:space="preserve"> </w:t>
      </w:r>
      <w:r>
        <w:rPr>
          <w:color w:val="000000" w:themeColor="text1"/>
          <w14:textFill>
            <w14:solidFill>
              <w14:schemeClr w14:val="tx1"/>
            </w14:solidFill>
          </w14:textFill>
        </w:rPr>
        <w:t xml:space="preserve">     </w:t>
      </w:r>
      <w:r>
        <w:rPr>
          <w:rFonts w:eastAsia="STCaiyun"/>
          <w:color w:val="000000" w:themeColor="text1"/>
          <w:sz w:val="84"/>
          <w:szCs w:val="44"/>
          <w14:shadow w14:blurRad="50800" w14:dist="38100" w14:dir="2700000" w14:sx="100000" w14:sy="100000" w14:kx="0" w14:ky="0" w14:algn="tl">
            <w14:srgbClr w14:val="000000">
              <w14:alpha w14:val="60000"/>
            </w14:srgbClr>
          </w14:shadow>
          <w14:textFill>
            <w14:solidFill>
              <w14:schemeClr w14:val="tx1"/>
            </w14:solidFill>
          </w14:textFill>
        </w:rPr>
        <w:t>GB</w:t>
      </w:r>
    </w:p>
    <w:p>
      <w:pPr>
        <w:tabs>
          <w:tab w:val="left" w:pos="180"/>
        </w:tabs>
        <w:spacing w:line="360" w:lineRule="exact"/>
        <w:ind w:firstLine="480"/>
        <w:jc w:val="center"/>
        <w:rPr>
          <w:color w:val="000000" w:themeColor="text1"/>
          <w:sz w:val="24"/>
          <w14:textFill>
            <w14:solidFill>
              <w14:schemeClr w14:val="tx1"/>
            </w14:solidFill>
          </w14:textFill>
        </w:rPr>
      </w:pPr>
    </w:p>
    <w:p>
      <w:pPr>
        <w:spacing w:line="360" w:lineRule="exact"/>
        <w:ind w:firstLine="440" w:firstLineChars="100"/>
        <w:jc w:val="left"/>
        <w:rPr>
          <w:rFonts w:eastAsia="黑体"/>
          <w:color w:val="000000" w:themeColor="text1"/>
          <w:spacing w:val="20"/>
          <w:sz w:val="30"/>
          <w:szCs w:val="30"/>
          <w14:textFill>
            <w14:solidFill>
              <w14:schemeClr w14:val="tx1"/>
            </w14:solidFill>
          </w14:textFill>
        </w:rPr>
      </w:pPr>
      <w:r>
        <w:rPr>
          <w:color w:val="000000" w:themeColor="text1"/>
          <w:sz w:val="44"/>
          <w:szCs w:val="44"/>
          <w14:textFill>
            <w14:solidFill>
              <w14:schemeClr w14:val="tx1"/>
            </w14:solidFill>
          </w14:textFill>
        </w:rPr>
        <w:t>P</w:t>
      </w:r>
      <w:r>
        <w:rPr>
          <w:color w:val="000000" w:themeColor="text1"/>
          <w:sz w:val="24"/>
          <w14:textFill>
            <w14:solidFill>
              <w14:schemeClr w14:val="tx1"/>
            </w14:solidFill>
          </w14:textFill>
        </w:rPr>
        <w:t xml:space="preserve">                                             </w:t>
      </w:r>
      <w:r>
        <w:rPr>
          <w:rFonts w:eastAsia="黑体"/>
          <w:bCs/>
          <w:color w:val="000000" w:themeColor="text1"/>
          <w:spacing w:val="20"/>
          <w:sz w:val="32"/>
          <w:szCs w:val="32"/>
          <w14:textFill>
            <w14:solidFill>
              <w14:schemeClr w14:val="tx1"/>
            </w14:solidFill>
          </w14:textFill>
        </w:rPr>
        <w:t xml:space="preserve"> GB</w:t>
      </w:r>
      <w:r>
        <w:rPr>
          <w:rFonts w:hint="eastAsia" w:eastAsia="黑体"/>
          <w:bCs/>
          <w:color w:val="000000" w:themeColor="text1"/>
          <w:spacing w:val="20"/>
          <w:sz w:val="32"/>
          <w:szCs w:val="32"/>
          <w14:textFill>
            <w14:solidFill>
              <w14:schemeClr w14:val="tx1"/>
            </w14:solidFill>
          </w14:textFill>
        </w:rPr>
        <w:t>xxxxx</w:t>
      </w:r>
      <w:r>
        <w:rPr>
          <w:rFonts w:eastAsia="黑体"/>
          <w:bCs/>
          <w:color w:val="000000" w:themeColor="text1"/>
          <w:spacing w:val="20"/>
          <w:sz w:val="32"/>
          <w:szCs w:val="32"/>
          <w14:textFill>
            <w14:solidFill>
              <w14:schemeClr w14:val="tx1"/>
            </w14:solidFill>
          </w14:textFill>
        </w:rPr>
        <w:t>—202X</w:t>
      </w:r>
    </w:p>
    <w:p>
      <w:pPr>
        <w:spacing w:line="360" w:lineRule="exact"/>
        <w:ind w:firstLine="480"/>
        <w:jc w:val="distribute"/>
        <w:rPr>
          <w:rFonts w:eastAsia="黑体"/>
          <w:bCs/>
          <w:color w:val="000000" w:themeColor="text1"/>
          <w:sz w:val="24"/>
          <w14:textFill>
            <w14:solidFill>
              <w14:schemeClr w14:val="tx1"/>
            </w14:solidFill>
          </w14:textFill>
        </w:rPr>
      </w:pPr>
    </w:p>
    <w:p>
      <w:pPr>
        <w:pStyle w:val="23"/>
        <w:ind w:firstLine="360"/>
        <w:rPr>
          <w:color w:val="000000" w:themeColor="text1"/>
          <w14:textFill>
            <w14:solidFill>
              <w14:schemeClr w14:val="tx1"/>
            </w14:solidFill>
          </w14:textFill>
        </w:rPr>
      </w:pPr>
    </w:p>
    <w:p>
      <w:pPr>
        <w:spacing w:line="360" w:lineRule="exact"/>
        <w:ind w:firstLine="480"/>
        <w:rPr>
          <w:color w:val="000000" w:themeColor="text1"/>
          <w:sz w:val="24"/>
          <w14:textFill>
            <w14:solidFill>
              <w14:schemeClr w14:val="tx1"/>
            </w14:solidFill>
          </w14:textFill>
        </w:rPr>
      </w:pPr>
    </w:p>
    <w:p>
      <w:pPr>
        <w:ind w:firstLine="0" w:firstLineChars="0"/>
        <w:jc w:val="center"/>
        <w:rPr>
          <w:rFonts w:eastAsia="STZhongsong"/>
          <w:bCs/>
          <w:color w:val="000000" w:themeColor="text1"/>
          <w:sz w:val="52"/>
          <w:szCs w:val="44"/>
          <w14:textFill>
            <w14:solidFill>
              <w14:schemeClr w14:val="tx1"/>
            </w14:solidFill>
          </w14:textFill>
        </w:rPr>
      </w:pPr>
      <w:r>
        <w:rPr>
          <w:rFonts w:hint="eastAsia" w:eastAsia="STZhongsong"/>
          <w:bCs/>
          <w:color w:val="000000" w:themeColor="text1"/>
          <w:spacing w:val="120"/>
          <w:position w:val="6"/>
          <w:sz w:val="52"/>
          <w:szCs w:val="44"/>
          <w14:textFill>
            <w14:solidFill>
              <w14:schemeClr w14:val="tx1"/>
            </w14:solidFill>
          </w14:textFill>
        </w:rPr>
        <w:t>工业建筑抗震设计标准</w:t>
      </w:r>
    </w:p>
    <w:p>
      <w:pPr>
        <w:pStyle w:val="2"/>
        <w:ind w:left="425"/>
        <w:rPr>
          <w:color w:val="000000" w:themeColor="text1"/>
          <w14:textFill>
            <w14:solidFill>
              <w14:schemeClr w14:val="tx1"/>
            </w14:solidFill>
          </w14:textFill>
        </w:rPr>
      </w:pPr>
    </w:p>
    <w:p>
      <w:pPr>
        <w:ind w:firstLine="640"/>
        <w:jc w:val="center"/>
        <w:rPr>
          <w:color w:val="000000" w:themeColor="text1"/>
          <w:sz w:val="32"/>
          <w14:textFill>
            <w14:solidFill>
              <w14:schemeClr w14:val="tx1"/>
            </w14:solidFill>
          </w14:textFill>
        </w:rPr>
      </w:pPr>
      <w:bookmarkStart w:id="0" w:name="_Toc196273920"/>
      <w:bookmarkStart w:id="1" w:name="_Toc202415359"/>
      <w:bookmarkStart w:id="2" w:name="_Toc189810735"/>
      <w:bookmarkStart w:id="3" w:name="_Toc226799354"/>
      <w:bookmarkStart w:id="4" w:name="_Toc202175171"/>
      <w:bookmarkStart w:id="5" w:name="_Toc196273828"/>
      <w:bookmarkStart w:id="6" w:name="_Toc217295599"/>
      <w:r>
        <w:rPr>
          <w:color w:val="000000" w:themeColor="text1"/>
          <w:sz w:val="32"/>
          <w14:textFill>
            <w14:solidFill>
              <w14:schemeClr w14:val="tx1"/>
            </w14:solidFill>
          </w14:textFill>
        </w:rPr>
        <w:t>S</w:t>
      </w:r>
      <w:r>
        <w:rPr>
          <w:rFonts w:hint="eastAsia"/>
          <w:color w:val="000000" w:themeColor="text1"/>
          <w:sz w:val="32"/>
          <w14:textFill>
            <w14:solidFill>
              <w14:schemeClr w14:val="tx1"/>
            </w14:solidFill>
          </w14:textFill>
        </w:rPr>
        <w:t>tan</w:t>
      </w:r>
      <w:r>
        <w:rPr>
          <w:color w:val="000000" w:themeColor="text1"/>
          <w:sz w:val="32"/>
          <w14:textFill>
            <w14:solidFill>
              <w14:schemeClr w14:val="tx1"/>
            </w14:solidFill>
          </w14:textFill>
        </w:rPr>
        <w:t xml:space="preserve">dard for design of </w:t>
      </w:r>
      <w:bookmarkEnd w:id="0"/>
      <w:bookmarkEnd w:id="1"/>
      <w:bookmarkEnd w:id="2"/>
      <w:bookmarkEnd w:id="3"/>
      <w:bookmarkEnd w:id="4"/>
      <w:bookmarkEnd w:id="5"/>
      <w:bookmarkEnd w:id="6"/>
      <w:r>
        <w:rPr>
          <w:color w:val="000000" w:themeColor="text1"/>
          <w:sz w:val="32"/>
          <w14:textFill>
            <w14:solidFill>
              <w14:schemeClr w14:val="tx1"/>
            </w14:solidFill>
          </w14:textFill>
        </w:rPr>
        <w:t>industrial building</w:t>
      </w:r>
    </w:p>
    <w:p>
      <w:pPr>
        <w:ind w:firstLine="720"/>
        <w:rPr>
          <w:color w:val="000000" w:themeColor="text1"/>
          <w:spacing w:val="20"/>
          <w:sz w:val="32"/>
          <w:szCs w:val="30"/>
          <w14:textFill>
            <w14:solidFill>
              <w14:schemeClr w14:val="tx1"/>
            </w14:solidFill>
          </w14:textFill>
        </w:rPr>
      </w:pPr>
    </w:p>
    <w:p>
      <w:pPr>
        <w:ind w:firstLine="680"/>
        <w:rPr>
          <w:color w:val="000000" w:themeColor="text1"/>
          <w:spacing w:val="20"/>
          <w:sz w:val="30"/>
          <w:szCs w:val="30"/>
          <w14:textFill>
            <w14:solidFill>
              <w14:schemeClr w14:val="tx1"/>
            </w14:solidFill>
          </w14:textFill>
        </w:rPr>
      </w:pPr>
    </w:p>
    <w:p>
      <w:pPr>
        <w:ind w:firstLine="800"/>
        <w:jc w:val="center"/>
        <w:rPr>
          <w:color w:val="000000" w:themeColor="text1"/>
          <w:spacing w:val="20"/>
          <w:sz w:val="36"/>
          <w:szCs w:val="32"/>
          <w14:textFill>
            <w14:solidFill>
              <w14:schemeClr w14:val="tx1"/>
            </w14:solidFill>
          </w14:textFill>
        </w:rPr>
      </w:pPr>
      <w:r>
        <w:rPr>
          <w:color w:val="000000" w:themeColor="text1"/>
          <w:spacing w:val="20"/>
          <w:sz w:val="36"/>
          <w:szCs w:val="32"/>
          <w14:textFill>
            <w14:solidFill>
              <w14:schemeClr w14:val="tx1"/>
            </w14:solidFill>
          </w14:textFill>
        </w:rPr>
        <w:t>（</w:t>
      </w:r>
      <w:r>
        <w:rPr>
          <w:rFonts w:hint="eastAsia"/>
          <w:color w:val="000000" w:themeColor="text1"/>
          <w:spacing w:val="20"/>
          <w:sz w:val="36"/>
          <w:szCs w:val="32"/>
          <w14:textFill>
            <w14:solidFill>
              <w14:schemeClr w14:val="tx1"/>
            </w14:solidFill>
          </w14:textFill>
        </w:rPr>
        <w:t>征求意见稿</w:t>
      </w:r>
      <w:r>
        <w:rPr>
          <w:color w:val="000000" w:themeColor="text1"/>
          <w:spacing w:val="20"/>
          <w:sz w:val="36"/>
          <w:szCs w:val="32"/>
          <w14:textFill>
            <w14:solidFill>
              <w14:schemeClr w14:val="tx1"/>
            </w14:solidFill>
          </w14:textFill>
        </w:rPr>
        <w:t>）</w:t>
      </w:r>
    </w:p>
    <w:p>
      <w:pPr>
        <w:ind w:firstLine="600"/>
        <w:jc w:val="center"/>
        <w:rPr>
          <w:color w:val="000000" w:themeColor="text1"/>
          <w:sz w:val="30"/>
          <w:szCs w:val="30"/>
          <w14:textFill>
            <w14:solidFill>
              <w14:schemeClr w14:val="tx1"/>
            </w14:solidFill>
          </w14:textFill>
        </w:rPr>
      </w:pPr>
    </w:p>
    <w:p>
      <w:pPr>
        <w:ind w:firstLine="600"/>
        <w:jc w:val="center"/>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 xml:space="preserve"> </w:t>
      </w:r>
    </w:p>
    <w:p>
      <w:pPr>
        <w:ind w:firstLine="600"/>
        <w:jc w:val="center"/>
        <w:rPr>
          <w:color w:val="000000" w:themeColor="text1"/>
          <w:sz w:val="30"/>
          <w:szCs w:val="30"/>
          <w14:textFill>
            <w14:solidFill>
              <w14:schemeClr w14:val="tx1"/>
            </w14:solidFill>
          </w14:textFill>
        </w:rPr>
      </w:pPr>
    </w:p>
    <w:p>
      <w:pPr>
        <w:ind w:firstLine="600"/>
        <w:jc w:val="center"/>
        <w:rPr>
          <w:color w:val="000000" w:themeColor="text1"/>
          <w:sz w:val="30"/>
          <w:szCs w:val="30"/>
          <w14:textFill>
            <w14:solidFill>
              <w14:schemeClr w14:val="tx1"/>
            </w14:solidFill>
          </w14:textFill>
        </w:rPr>
      </w:pPr>
    </w:p>
    <w:p>
      <w:pPr>
        <w:ind w:firstLine="600"/>
        <w:jc w:val="center"/>
        <w:rPr>
          <w:color w:val="000000" w:themeColor="text1"/>
          <w:sz w:val="30"/>
          <w:szCs w:val="30"/>
          <w14:textFill>
            <w14:solidFill>
              <w14:schemeClr w14:val="tx1"/>
            </w14:solidFill>
          </w14:textFill>
        </w:rPr>
      </w:pPr>
    </w:p>
    <w:p>
      <w:pPr>
        <w:ind w:firstLine="600"/>
        <w:jc w:val="center"/>
        <w:rPr>
          <w:color w:val="000000" w:themeColor="text1"/>
          <w:sz w:val="30"/>
          <w:szCs w:val="30"/>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ind w:firstLine="480"/>
        <w:jc w:val="center"/>
        <w:rPr>
          <w:color w:val="000000" w:themeColor="text1"/>
          <w:sz w:val="24"/>
          <w14:textFill>
            <w14:solidFill>
              <w14:schemeClr w14:val="tx1"/>
            </w14:solidFill>
          </w14:textFill>
        </w:rPr>
      </w:pPr>
    </w:p>
    <w:p>
      <w:pPr>
        <w:pBdr>
          <w:bottom w:val="single" w:color="auto" w:sz="4" w:space="1"/>
        </w:pBdr>
        <w:ind w:firstLine="560"/>
        <w:jc w:val="center"/>
        <w:rPr>
          <w:rFonts w:eastAsia="黑体"/>
          <w:bCs/>
          <w:color w:val="000000" w:themeColor="text1"/>
          <w:sz w:val="28"/>
          <w14:textFill>
            <w14:solidFill>
              <w14:schemeClr w14:val="tx1"/>
            </w14:solidFill>
          </w14:textFill>
        </w:rPr>
      </w:pPr>
      <w:r>
        <w:rPr>
          <w:rFonts w:hint="eastAsia" w:eastAsia="黑体"/>
          <w:bCs/>
          <w:color w:val="000000" w:themeColor="text1"/>
          <w:sz w:val="28"/>
          <w14:textFill>
            <w14:solidFill>
              <w14:schemeClr w14:val="tx1"/>
            </w14:solidFill>
          </w14:textFill>
        </w:rPr>
        <w:t xml:space="preserve"> </w:t>
      </w:r>
      <w:r>
        <w:rPr>
          <w:rFonts w:eastAsia="黑体"/>
          <w:bCs/>
          <w:color w:val="000000" w:themeColor="text1"/>
          <w:sz w:val="28"/>
          <w14:textFill>
            <w14:solidFill>
              <w14:schemeClr w14:val="tx1"/>
            </w14:solidFill>
          </w14:textFill>
        </w:rPr>
        <w:t xml:space="preserve">                           </w:t>
      </w:r>
      <w:r>
        <w:rPr>
          <w:rFonts w:hint="eastAsia" w:eastAsia="黑体"/>
          <w:bCs/>
          <w:color w:val="000000" w:themeColor="text1"/>
          <w:sz w:val="28"/>
          <w14:textFill>
            <w14:solidFill>
              <w14:schemeClr w14:val="tx1"/>
            </w14:solidFill>
          </w14:textFill>
        </w:rPr>
        <w:t xml:space="preserve"> </w:t>
      </w:r>
    </w:p>
    <w:p>
      <w:pPr>
        <w:ind w:firstLine="560"/>
        <w:jc w:val="center"/>
        <w:rPr>
          <w:bCs/>
          <w:color w:val="000000" w:themeColor="text1"/>
          <w:sz w:val="28"/>
          <w:szCs w:val="28"/>
          <w14:textFill>
            <w14:solidFill>
              <w14:schemeClr w14:val="tx1"/>
            </w14:solidFill>
          </w14:textFill>
        </w:rPr>
      </w:pPr>
    </w:p>
    <w:p>
      <w:pPr>
        <w:ind w:firstLine="560"/>
        <w:jc w:val="center"/>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《工业建筑抗震设计标准》编制组</w:t>
      </w:r>
    </w:p>
    <w:p>
      <w:pPr>
        <w:ind w:firstLine="560"/>
        <w:jc w:val="center"/>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2020年7月</w:t>
      </w:r>
    </w:p>
    <w:p>
      <w:pPr>
        <w:autoSpaceDE w:val="0"/>
        <w:autoSpaceDN w:val="0"/>
        <w:spacing w:line="360" w:lineRule="exact"/>
        <w:ind w:firstLine="400"/>
        <w:rPr>
          <w:color w:val="000000" w:themeColor="text1"/>
          <w:kern w:val="0"/>
          <w:sz w:val="20"/>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418" w:right="1418" w:bottom="1418" w:left="1474" w:header="720" w:footer="720" w:gutter="0"/>
          <w:pgNumType w:start="0"/>
          <w:cols w:space="720" w:num="1"/>
          <w:titlePg/>
          <w:docGrid w:linePitch="286" w:charSpace="0"/>
        </w:sectPr>
      </w:pPr>
    </w:p>
    <w:p>
      <w:pPr>
        <w:ind w:firstLine="643"/>
        <w:jc w:val="center"/>
        <w:rPr>
          <w:rFonts w:ascii="楷体_GB2312" w:eastAsia="楷体_GB2312"/>
          <w:b/>
          <w:color w:val="000000" w:themeColor="text1"/>
          <w:sz w:val="32"/>
          <w:szCs w:val="32"/>
          <w:highlight w:val="none"/>
          <w14:textFill>
            <w14:solidFill>
              <w14:schemeClr w14:val="tx1"/>
            </w14:solidFill>
          </w14:textFill>
        </w:rPr>
      </w:pPr>
      <w:r>
        <w:rPr>
          <w:rFonts w:hint="eastAsia" w:ascii="楷体_GB2312" w:eastAsia="楷体_GB2312"/>
          <w:b/>
          <w:color w:val="000000" w:themeColor="text1"/>
          <w:sz w:val="32"/>
          <w:szCs w:val="32"/>
          <w:highlight w:val="none"/>
          <w14:textFill>
            <w14:solidFill>
              <w14:schemeClr w14:val="tx1"/>
            </w14:solidFill>
          </w14:textFill>
        </w:rPr>
        <w:t>关于</w:t>
      </w:r>
      <w:bookmarkStart w:id="7" w:name="_Hlk45877118"/>
      <w:r>
        <w:rPr>
          <w:rFonts w:hint="eastAsia" w:ascii="楷体_GB2312" w:eastAsia="楷体_GB2312"/>
          <w:b/>
          <w:color w:val="000000" w:themeColor="text1"/>
          <w:sz w:val="32"/>
          <w:szCs w:val="32"/>
          <w:highlight w:val="none"/>
          <w14:textFill>
            <w14:solidFill>
              <w14:schemeClr w14:val="tx1"/>
            </w14:solidFill>
          </w14:textFill>
        </w:rPr>
        <w:t>《工业建筑抗震设计标准》GBx</w:t>
      </w:r>
      <w:r>
        <w:rPr>
          <w:rFonts w:ascii="楷体_GB2312" w:eastAsia="楷体_GB2312"/>
          <w:b/>
          <w:color w:val="000000" w:themeColor="text1"/>
          <w:sz w:val="32"/>
          <w:szCs w:val="32"/>
          <w:highlight w:val="none"/>
          <w14:textFill>
            <w14:solidFill>
              <w14:schemeClr w14:val="tx1"/>
            </w14:solidFill>
          </w14:textFill>
        </w:rPr>
        <w:t>xxxx</w:t>
      </w:r>
      <w:r>
        <w:rPr>
          <w:rFonts w:hint="eastAsia" w:ascii="楷体_GB2312" w:eastAsia="楷体_GB2312"/>
          <w:b/>
          <w:color w:val="000000" w:themeColor="text1"/>
          <w:sz w:val="32"/>
          <w:szCs w:val="32"/>
          <w:highlight w:val="none"/>
          <w14:textFill>
            <w14:solidFill>
              <w14:schemeClr w14:val="tx1"/>
            </w14:solidFill>
          </w14:textFill>
        </w:rPr>
        <w:t>-20</w:t>
      </w:r>
      <w:r>
        <w:rPr>
          <w:rFonts w:ascii="楷体_GB2312" w:eastAsia="楷体_GB2312"/>
          <w:b/>
          <w:color w:val="000000" w:themeColor="text1"/>
          <w:sz w:val="32"/>
          <w:szCs w:val="32"/>
          <w:highlight w:val="none"/>
          <w14:textFill>
            <w14:solidFill>
              <w14:schemeClr w14:val="tx1"/>
            </w14:solidFill>
          </w14:textFill>
        </w:rPr>
        <w:t>2</w:t>
      </w:r>
      <w:r>
        <w:rPr>
          <w:rFonts w:hint="eastAsia" w:ascii="楷体_GB2312" w:eastAsia="楷体_GB2312"/>
          <w:b/>
          <w:color w:val="000000" w:themeColor="text1"/>
          <w:sz w:val="32"/>
          <w:szCs w:val="32"/>
          <w:highlight w:val="none"/>
          <w14:textFill>
            <w14:solidFill>
              <w14:schemeClr w14:val="tx1"/>
            </w14:solidFill>
          </w14:textFill>
        </w:rPr>
        <w:t>X</w:t>
      </w:r>
      <w:bookmarkEnd w:id="7"/>
    </w:p>
    <w:p>
      <w:pPr>
        <w:ind w:firstLine="643"/>
        <w:jc w:val="center"/>
        <w:rPr>
          <w:rFonts w:ascii="楷体_GB2312" w:eastAsia="楷体_GB2312"/>
          <w:b/>
          <w:color w:val="000000" w:themeColor="text1"/>
          <w:sz w:val="32"/>
          <w:szCs w:val="32"/>
          <w:highlight w:val="none"/>
          <w14:textFill>
            <w14:solidFill>
              <w14:schemeClr w14:val="tx1"/>
            </w14:solidFill>
          </w14:textFill>
        </w:rPr>
      </w:pPr>
      <w:r>
        <w:rPr>
          <w:rFonts w:hint="eastAsia" w:ascii="楷体_GB2312" w:eastAsia="楷体_GB2312"/>
          <w:b/>
          <w:color w:val="000000" w:themeColor="text1"/>
          <w:sz w:val="32"/>
          <w:szCs w:val="32"/>
          <w:highlight w:val="none"/>
          <w14:textFill>
            <w14:solidFill>
              <w14:schemeClr w14:val="tx1"/>
            </w14:solidFill>
          </w14:textFill>
        </w:rPr>
        <w:t>征求意见稿的说明</w:t>
      </w:r>
    </w:p>
    <w:p>
      <w:pPr>
        <w:ind w:firstLine="420"/>
        <w:jc w:val="center"/>
        <w:rPr>
          <w:rFonts w:ascii="楷体_GB2312" w:eastAsia="楷体_GB2312"/>
          <w:color w:val="000000" w:themeColor="text1"/>
          <w:szCs w:val="21"/>
          <w:highlight w:val="none"/>
          <w14:textFill>
            <w14:solidFill>
              <w14:schemeClr w14:val="tx1"/>
            </w14:solidFill>
          </w14:textFill>
        </w:rPr>
      </w:pPr>
    </w:p>
    <w:p>
      <w:pPr>
        <w:autoSpaceDE w:val="0"/>
        <w:autoSpaceDN w:val="0"/>
        <w:spacing w:line="360" w:lineRule="auto"/>
        <w:ind w:firstLine="42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据中华人民共和国住房和城乡建设部2017年工程建设标准规范制修订计划，由中冶京诚工程技术有限公司会同有关设计、科研、高校和施工单位组成编制组，开展对国家标准</w:t>
      </w:r>
      <w:bookmarkStart w:id="8" w:name="_Hlk45877206"/>
      <w:bookmarkStart w:id="9" w:name="_Hlk45877469"/>
      <w:r>
        <w:rPr>
          <w:rFonts w:hint="eastAsia" w:cs="宋体" w:asciiTheme="minorEastAsia" w:hAnsiTheme="minorEastAsia"/>
          <w:color w:val="000000" w:themeColor="text1"/>
          <w:kern w:val="0"/>
          <w:szCs w:val="21"/>
          <w:highlight w:val="none"/>
          <w14:textFill>
            <w14:solidFill>
              <w14:schemeClr w14:val="tx1"/>
            </w14:solidFill>
          </w14:textFill>
        </w:rPr>
        <w:t>《工业建筑抗震设计标准》</w:t>
      </w:r>
      <w:bookmarkEnd w:id="8"/>
      <w:r>
        <w:rPr>
          <w:rFonts w:hint="eastAsia" w:cs="宋体" w:asciiTheme="minorEastAsia" w:hAnsiTheme="minorEastAsia"/>
          <w:color w:val="000000" w:themeColor="text1"/>
          <w:kern w:val="0"/>
          <w:szCs w:val="21"/>
          <w:highlight w:val="none"/>
          <w14:textFill>
            <w14:solidFill>
              <w14:schemeClr w14:val="tx1"/>
            </w14:solidFill>
          </w14:textFill>
        </w:rPr>
        <w:t>GBx</w:t>
      </w:r>
      <w:r>
        <w:rPr>
          <w:rFonts w:cs="宋体" w:asciiTheme="minorEastAsia" w:hAnsiTheme="minorEastAsia"/>
          <w:color w:val="000000" w:themeColor="text1"/>
          <w:kern w:val="0"/>
          <w:szCs w:val="21"/>
          <w:highlight w:val="none"/>
          <w14:textFill>
            <w14:solidFill>
              <w14:schemeClr w14:val="tx1"/>
            </w14:solidFill>
          </w14:textFill>
        </w:rPr>
        <w:t>xxxx</w:t>
      </w:r>
      <w:r>
        <w:rPr>
          <w:rFonts w:hint="eastAsia" w:cs="宋体" w:asciiTheme="minorEastAsia" w:hAnsiTheme="minorEastAsia"/>
          <w:color w:val="000000" w:themeColor="text1"/>
          <w:kern w:val="0"/>
          <w:szCs w:val="21"/>
          <w:highlight w:val="none"/>
          <w14:textFill>
            <w14:solidFill>
              <w14:schemeClr w14:val="tx1"/>
            </w14:solidFill>
          </w14:textFill>
        </w:rPr>
        <w:t>-20</w:t>
      </w:r>
      <w:r>
        <w:rPr>
          <w:rFonts w:cs="宋体" w:asciiTheme="minorEastAsia" w:hAnsiTheme="minorEastAsia"/>
          <w:color w:val="000000" w:themeColor="text1"/>
          <w:kern w:val="0"/>
          <w:szCs w:val="21"/>
          <w:highlight w:val="none"/>
          <w14:textFill>
            <w14:solidFill>
              <w14:schemeClr w14:val="tx1"/>
            </w14:solidFill>
          </w14:textFill>
        </w:rPr>
        <w:t>2</w:t>
      </w:r>
      <w:r>
        <w:rPr>
          <w:rFonts w:hint="eastAsia" w:cs="宋体" w:asciiTheme="minorEastAsia" w:hAnsiTheme="minorEastAsia"/>
          <w:color w:val="000000" w:themeColor="text1"/>
          <w:kern w:val="0"/>
          <w:szCs w:val="21"/>
          <w:highlight w:val="none"/>
          <w14:textFill>
            <w14:solidFill>
              <w14:schemeClr w14:val="tx1"/>
            </w14:solidFill>
          </w14:textFill>
        </w:rPr>
        <w:t>X</w:t>
      </w:r>
      <w:bookmarkEnd w:id="9"/>
      <w:r>
        <w:rPr>
          <w:rFonts w:hint="eastAsia" w:cs="宋体" w:asciiTheme="minorEastAsia" w:hAnsiTheme="minorEastAsia"/>
          <w:color w:val="000000" w:themeColor="text1"/>
          <w:kern w:val="0"/>
          <w:szCs w:val="21"/>
          <w:highlight w:val="none"/>
          <w14:textFill>
            <w14:solidFill>
              <w14:schemeClr w14:val="tx1"/>
            </w14:solidFill>
          </w14:textFill>
        </w:rPr>
        <w:t>的编制工作。期间，得到了各参编单位和个人的大力支持，在此表示衷心地感谢。</w:t>
      </w:r>
    </w:p>
    <w:p>
      <w:pPr>
        <w:autoSpaceDE w:val="0"/>
        <w:autoSpaceDN w:val="0"/>
        <w:spacing w:line="360" w:lineRule="auto"/>
        <w:ind w:firstLine="420"/>
        <w:rPr>
          <w:rFonts w:cs="HiddenHorzOCR" w:asciiTheme="minorEastAsia" w:hAnsiTheme="minorEastAsia"/>
          <w:bCs/>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《工业建筑抗震设计标准》含11章正文和10个附录。正文为通常厂房抗震设计内容，厂房类型包括</w:t>
      </w:r>
      <w:r>
        <w:rPr>
          <w:rFonts w:hint="eastAsia" w:cs="Arial" w:asciiTheme="minorEastAsia" w:hAnsiTheme="minorEastAsia"/>
          <w:bCs/>
          <w:color w:val="000000" w:themeColor="text1"/>
          <w:kern w:val="0"/>
          <w:szCs w:val="21"/>
          <w:highlight w:val="none"/>
          <w14:textFill>
            <w14:solidFill>
              <w14:schemeClr w14:val="tx1"/>
            </w14:solidFill>
          </w14:textFill>
        </w:rPr>
        <w:t>单</w:t>
      </w:r>
      <w:r>
        <w:rPr>
          <w:rFonts w:hint="eastAsia" w:cs="宋体" w:asciiTheme="minorEastAsia" w:hAnsiTheme="minorEastAsia"/>
          <w:bCs/>
          <w:color w:val="000000" w:themeColor="text1"/>
          <w:kern w:val="0"/>
          <w:szCs w:val="21"/>
          <w:highlight w:val="none"/>
          <w14:textFill>
            <w14:solidFill>
              <w14:schemeClr w14:val="tx1"/>
            </w14:solidFill>
          </w14:textFill>
        </w:rPr>
        <w:t>层</w:t>
      </w:r>
      <w:r>
        <w:rPr>
          <w:rFonts w:hint="eastAsia" w:cs="MS Mincho" w:asciiTheme="minorEastAsia" w:hAnsiTheme="minorEastAsia"/>
          <w:bCs/>
          <w:color w:val="000000" w:themeColor="text1"/>
          <w:kern w:val="0"/>
          <w:szCs w:val="21"/>
          <w:highlight w:val="none"/>
          <w14:textFill>
            <w14:solidFill>
              <w14:schemeClr w14:val="tx1"/>
            </w14:solidFill>
          </w14:textFill>
        </w:rPr>
        <w:t>混凝土柱</w:t>
      </w:r>
      <w:r>
        <w:rPr>
          <w:rFonts w:hint="eastAsia" w:cs="宋体" w:asciiTheme="minorEastAsia" w:hAnsiTheme="minorEastAsia"/>
          <w:bCs/>
          <w:color w:val="000000" w:themeColor="text1"/>
          <w:kern w:val="0"/>
          <w:szCs w:val="21"/>
          <w:highlight w:val="none"/>
          <w14:textFill>
            <w14:solidFill>
              <w14:schemeClr w14:val="tx1"/>
            </w14:solidFill>
          </w14:textFill>
        </w:rPr>
        <w:t>结构、多层</w:t>
      </w:r>
      <w:r>
        <w:rPr>
          <w:rFonts w:hint="eastAsia" w:cs="MS Mincho" w:asciiTheme="minorEastAsia" w:hAnsiTheme="minorEastAsia"/>
          <w:bCs/>
          <w:color w:val="000000" w:themeColor="text1"/>
          <w:kern w:val="0"/>
          <w:szCs w:val="21"/>
          <w:highlight w:val="none"/>
          <w14:textFill>
            <w14:solidFill>
              <w14:schemeClr w14:val="tx1"/>
            </w14:solidFill>
          </w14:textFill>
        </w:rPr>
        <w:t>混凝土</w:t>
      </w:r>
      <w:r>
        <w:rPr>
          <w:rFonts w:hint="eastAsia" w:cs="宋体" w:asciiTheme="minorEastAsia" w:hAnsiTheme="minorEastAsia"/>
          <w:bCs/>
          <w:color w:val="000000" w:themeColor="text1"/>
          <w:kern w:val="0"/>
          <w:szCs w:val="21"/>
          <w:highlight w:val="none"/>
          <w14:textFill>
            <w14:solidFill>
              <w14:schemeClr w14:val="tx1"/>
            </w14:solidFill>
          </w14:textFill>
        </w:rPr>
        <w:t>结</w:t>
      </w:r>
      <w:r>
        <w:rPr>
          <w:rFonts w:hint="eastAsia" w:cs="MS Mincho" w:asciiTheme="minorEastAsia" w:hAnsiTheme="minorEastAsia"/>
          <w:bCs/>
          <w:color w:val="000000" w:themeColor="text1"/>
          <w:kern w:val="0"/>
          <w:szCs w:val="21"/>
          <w:highlight w:val="none"/>
          <w14:textFill>
            <w14:solidFill>
              <w14:schemeClr w14:val="tx1"/>
            </w14:solidFill>
          </w14:textFill>
        </w:rPr>
        <w:t>构、</w:t>
      </w:r>
      <w:r>
        <w:rPr>
          <w:rFonts w:hint="eastAsia" w:cs="Arial" w:asciiTheme="minorEastAsia" w:hAnsiTheme="minorEastAsia"/>
          <w:bCs/>
          <w:color w:val="000000" w:themeColor="text1"/>
          <w:kern w:val="0"/>
          <w:szCs w:val="21"/>
          <w:highlight w:val="none"/>
          <w14:textFill>
            <w14:solidFill>
              <w14:schemeClr w14:val="tx1"/>
            </w14:solidFill>
          </w14:textFill>
        </w:rPr>
        <w:t>单</w:t>
      </w:r>
      <w:r>
        <w:rPr>
          <w:rFonts w:hint="eastAsia" w:cs="宋体" w:asciiTheme="minorEastAsia" w:hAnsiTheme="minorEastAsia"/>
          <w:bCs/>
          <w:color w:val="000000" w:themeColor="text1"/>
          <w:kern w:val="0"/>
          <w:szCs w:val="21"/>
          <w:highlight w:val="none"/>
          <w14:textFill>
            <w14:solidFill>
              <w14:schemeClr w14:val="tx1"/>
            </w14:solidFill>
          </w14:textFill>
        </w:rPr>
        <w:t>层</w:t>
      </w:r>
      <w:r>
        <w:rPr>
          <w:rFonts w:hint="eastAsia" w:cs="MS Mincho" w:asciiTheme="minorEastAsia" w:hAnsiTheme="minorEastAsia"/>
          <w:bCs/>
          <w:color w:val="000000" w:themeColor="text1"/>
          <w:kern w:val="0"/>
          <w:szCs w:val="21"/>
          <w:highlight w:val="none"/>
          <w14:textFill>
            <w14:solidFill>
              <w14:schemeClr w14:val="tx1"/>
            </w14:solidFill>
          </w14:textFill>
        </w:rPr>
        <w:t>钢</w:t>
      </w:r>
      <w:r>
        <w:rPr>
          <w:rFonts w:hint="eastAsia" w:cs="宋体" w:asciiTheme="minorEastAsia" w:hAnsiTheme="minorEastAsia"/>
          <w:bCs/>
          <w:color w:val="000000" w:themeColor="text1"/>
          <w:kern w:val="0"/>
          <w:szCs w:val="21"/>
          <w:highlight w:val="none"/>
          <w14:textFill>
            <w14:solidFill>
              <w14:schemeClr w14:val="tx1"/>
            </w14:solidFill>
          </w14:textFill>
        </w:rPr>
        <w:t>结构（含圆钢管混凝土柱结构）和多层</w:t>
      </w:r>
      <w:r>
        <w:rPr>
          <w:rFonts w:hint="eastAsia" w:cs="MS Mincho" w:asciiTheme="minorEastAsia" w:hAnsiTheme="minorEastAsia"/>
          <w:bCs/>
          <w:color w:val="000000" w:themeColor="text1"/>
          <w:kern w:val="0"/>
          <w:szCs w:val="21"/>
          <w:highlight w:val="none"/>
          <w14:textFill>
            <w14:solidFill>
              <w14:schemeClr w14:val="tx1"/>
            </w14:solidFill>
          </w14:textFill>
        </w:rPr>
        <w:t>钢</w:t>
      </w:r>
      <w:r>
        <w:rPr>
          <w:rFonts w:hint="eastAsia" w:cs="宋体" w:asciiTheme="minorEastAsia" w:hAnsiTheme="minorEastAsia"/>
          <w:bCs/>
          <w:color w:val="000000" w:themeColor="text1"/>
          <w:kern w:val="0"/>
          <w:szCs w:val="21"/>
          <w:highlight w:val="none"/>
          <w14:textFill>
            <w14:solidFill>
              <w14:schemeClr w14:val="tx1"/>
            </w14:solidFill>
          </w14:textFill>
        </w:rPr>
        <w:t>结</w:t>
      </w:r>
      <w:r>
        <w:rPr>
          <w:rFonts w:hint="eastAsia" w:cs="MS Mincho" w:asciiTheme="minorEastAsia" w:hAnsiTheme="minorEastAsia"/>
          <w:bCs/>
          <w:color w:val="000000" w:themeColor="text1"/>
          <w:kern w:val="0"/>
          <w:szCs w:val="21"/>
          <w:highlight w:val="none"/>
          <w14:textFill>
            <w14:solidFill>
              <w14:schemeClr w14:val="tx1"/>
            </w14:solidFill>
          </w14:textFill>
        </w:rPr>
        <w:t>构；附录为本标准的扩展部分，吸收了近年来结构抗震的研究成果及其在工业建筑中的应用，包括</w:t>
      </w:r>
      <w:r>
        <w:rPr>
          <w:rFonts w:hint="eastAsia" w:cs="HiddenHorzOCR" w:asciiTheme="minorEastAsia" w:hAnsiTheme="minorEastAsia"/>
          <w:color w:val="000000" w:themeColor="text1"/>
          <w:kern w:val="0"/>
          <w:szCs w:val="21"/>
          <w:highlight w:val="none"/>
          <w14:textFill>
            <w14:solidFill>
              <w14:schemeClr w14:val="tx1"/>
            </w14:solidFill>
          </w14:textFill>
        </w:rPr>
        <w:t>大跨度料场封闭结构、巷道式货架、盒式结构、不锈钢结构、铝合金结构，部分填充钢-混凝土组合构件、隔震和消能减震结构、钢结构节点低周疲劳损伤断裂评判、工业建筑抗震性能化评价、</w:t>
      </w:r>
      <w:r>
        <w:rPr>
          <w:rFonts w:hint="eastAsia" w:cs="HiddenHorzOCR" w:asciiTheme="minorEastAsia" w:hAnsiTheme="minorEastAsia"/>
          <w:bCs/>
          <w:color w:val="000000" w:themeColor="text1"/>
          <w:kern w:val="0"/>
          <w:szCs w:val="21"/>
          <w:highlight w:val="none"/>
          <w14:textFill>
            <w14:solidFill>
              <w14:schemeClr w14:val="tx1"/>
            </w14:solidFill>
          </w14:textFill>
        </w:rPr>
        <w:t>防屈曲支撑。</w:t>
      </w:r>
    </w:p>
    <w:p>
      <w:pPr>
        <w:autoSpaceDE w:val="0"/>
        <w:autoSpaceDN w:val="0"/>
        <w:spacing w:line="360" w:lineRule="auto"/>
        <w:ind w:firstLine="42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请各设计单位注意，本</w:t>
      </w:r>
      <w:bookmarkStart w:id="10" w:name="_Hlk45877346"/>
      <w:r>
        <w:rPr>
          <w:rFonts w:hint="eastAsia" w:cs="宋体" w:asciiTheme="minorEastAsia" w:hAnsiTheme="minorEastAsia"/>
          <w:color w:val="000000" w:themeColor="text1"/>
          <w:kern w:val="0"/>
          <w:szCs w:val="21"/>
          <w:highlight w:val="none"/>
          <w14:textFill>
            <w14:solidFill>
              <w14:schemeClr w14:val="tx1"/>
            </w14:solidFill>
          </w14:textFill>
        </w:rPr>
        <w:t>“征求意见稿”</w:t>
      </w:r>
      <w:bookmarkEnd w:id="10"/>
      <w:r>
        <w:rPr>
          <w:rFonts w:hint="eastAsia" w:cs="宋体" w:asciiTheme="minorEastAsia" w:hAnsiTheme="minorEastAsia"/>
          <w:color w:val="000000" w:themeColor="text1"/>
          <w:kern w:val="0"/>
          <w:szCs w:val="21"/>
          <w:highlight w:val="none"/>
          <w14:textFill>
            <w14:solidFill>
              <w14:schemeClr w14:val="tx1"/>
            </w14:solidFill>
          </w14:textFill>
        </w:rPr>
        <w:t>仅供提出问题和意见之用，不得在设计中直接引用有关的内容。</w:t>
      </w:r>
    </w:p>
    <w:p>
      <w:pPr>
        <w:widowControl/>
        <w:adjustRightInd/>
        <w:snapToGrid/>
        <w:spacing w:line="360" w:lineRule="auto"/>
        <w:ind w:firstLine="0" w:firstLineChars="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 xml:space="preserve">本标准主编单位：中冶京诚工程技术有限公司 </w:t>
      </w:r>
    </w:p>
    <w:p>
      <w:pPr>
        <w:widowControl/>
        <w:adjustRightInd/>
        <w:snapToGrid/>
        <w:spacing w:line="360" w:lineRule="auto"/>
        <w:ind w:firstLine="0" w:firstLineChars="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本标准参编单位：</w:t>
      </w:r>
      <w:r>
        <w:rPr>
          <w:rFonts w:cs="宋体" w:asciiTheme="minorEastAsia" w:hAnsiTheme="minorEastAsia"/>
          <w:color w:val="000000" w:themeColor="text1"/>
          <w:kern w:val="0"/>
          <w:szCs w:val="21"/>
          <w:highlight w:val="none"/>
          <w14:textFill>
            <w14:solidFill>
              <w14:schemeClr w14:val="tx1"/>
            </w14:solidFill>
          </w14:textFill>
        </w:rPr>
        <w:t xml:space="preserve"> </w:t>
      </w:r>
    </w:p>
    <w:p>
      <w:pPr>
        <w:widowControl/>
        <w:adjustRightInd/>
        <w:snapToGrid/>
        <w:spacing w:line="360" w:lineRule="auto"/>
        <w:ind w:firstLine="0" w:firstLineChars="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顾问：</w:t>
      </w:r>
    </w:p>
    <w:p>
      <w:pPr>
        <w:widowControl/>
        <w:adjustRightInd/>
        <w:snapToGrid/>
        <w:spacing w:line="360" w:lineRule="auto"/>
        <w:ind w:firstLine="0" w:firstLineChars="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主要起草人：王立军 陈炯 余海群</w:t>
      </w:r>
    </w:p>
    <w:p>
      <w:pPr>
        <w:widowControl/>
        <w:adjustRightInd/>
        <w:snapToGrid/>
        <w:spacing w:line="360" w:lineRule="auto"/>
        <w:ind w:firstLine="0" w:firstLineChars="0"/>
        <w:jc w:val="left"/>
        <w:rPr>
          <w:rFonts w:cs="宋体" w:asciiTheme="minorEastAsia" w:hAnsiTheme="minorEastAsia"/>
          <w:color w:val="000000" w:themeColor="text1"/>
          <w:kern w:val="0"/>
          <w:szCs w:val="21"/>
          <w:highlight w:val="none"/>
          <w14:textFill>
            <w14:solidFill>
              <w14:schemeClr w14:val="tx1"/>
            </w14:solidFill>
          </w14:textFill>
        </w:rPr>
      </w:pPr>
      <w:r>
        <w:rPr>
          <w:rFonts w:hint="eastAsia" w:cs="宋体" w:asciiTheme="minorEastAsia" w:hAnsiTheme="minorEastAsia"/>
          <w:color w:val="000000" w:themeColor="text1"/>
          <w:kern w:val="0"/>
          <w:szCs w:val="21"/>
          <w:highlight w:val="none"/>
          <w14:textFill>
            <w14:solidFill>
              <w14:schemeClr w14:val="tx1"/>
            </w14:solidFill>
          </w14:textFill>
        </w:rPr>
        <w:t>主要审查人：</w:t>
      </w:r>
    </w:p>
    <w:p>
      <w:pPr>
        <w:widowControl/>
        <w:adjustRightInd/>
        <w:snapToGrid/>
        <w:spacing w:line="360" w:lineRule="auto"/>
        <w:ind w:firstLine="0" w:firstLineChars="0"/>
        <w:jc w:val="left"/>
        <w:rPr>
          <w:rFonts w:cs="宋体" w:asciiTheme="minorEastAsia" w:hAnsiTheme="minorEastAsia"/>
          <w:color w:val="000000" w:themeColor="text1"/>
          <w:kern w:val="0"/>
          <w:szCs w:val="21"/>
          <w:highlight w:val="yellow"/>
          <w14:textFill>
            <w14:solidFill>
              <w14:schemeClr w14:val="tx1"/>
            </w14:solidFill>
          </w14:textFill>
        </w:rPr>
      </w:pPr>
    </w:p>
    <w:p>
      <w:pPr>
        <w:spacing w:line="360" w:lineRule="auto"/>
        <w:ind w:firstLine="422"/>
        <w:jc w:val="center"/>
        <w:rPr>
          <w:b/>
          <w:color w:val="000000" w:themeColor="text1"/>
          <w:szCs w:val="21"/>
          <w:highlight w:val="yellow"/>
          <w14:textFill>
            <w14:solidFill>
              <w14:schemeClr w14:val="tx1"/>
            </w14:solidFill>
          </w14:textFill>
        </w:rPr>
      </w:pPr>
    </w:p>
    <w:p>
      <w:pPr>
        <w:widowControl/>
        <w:adjustRightInd/>
        <w:snapToGrid/>
        <w:ind w:firstLine="0" w:firstLineChars="0"/>
        <w:jc w:val="left"/>
        <w:rPr>
          <w:b/>
          <w:color w:val="000000" w:themeColor="text1"/>
          <w:szCs w:val="21"/>
          <w14:textFill>
            <w14:solidFill>
              <w14:schemeClr w14:val="tx1"/>
            </w14:solidFill>
          </w14:textFill>
        </w:rPr>
      </w:pPr>
      <w:r>
        <w:rPr>
          <w:b/>
          <w:color w:val="000000" w:themeColor="text1"/>
          <w:szCs w:val="21"/>
          <w14:textFill>
            <w14:solidFill>
              <w14:schemeClr w14:val="tx1"/>
            </w14:solidFill>
          </w14:textFill>
        </w:rPr>
        <w:br w:type="page"/>
      </w:r>
    </w:p>
    <w:sdt>
      <w:sdtPr>
        <w:rPr>
          <w:rFonts w:cstheme="minorBidi"/>
          <w:b w:val="0"/>
          <w:color w:val="000000" w:themeColor="text1"/>
          <w:kern w:val="2"/>
          <w:sz w:val="21"/>
          <w:szCs w:val="22"/>
          <w:lang w:val="en-US"/>
          <w14:textFill>
            <w14:solidFill>
              <w14:schemeClr w14:val="tx1"/>
            </w14:solidFill>
          </w14:textFill>
        </w:rPr>
        <w:id w:val="1316228711"/>
        <w:docPartObj>
          <w:docPartGallery w:val="Table of Contents"/>
          <w:docPartUnique/>
        </w:docPartObj>
      </w:sdtPr>
      <w:sdtEndPr>
        <w:rPr>
          <w:rFonts w:cstheme="minorBidi"/>
          <w:b w:val="0"/>
          <w:bCs/>
          <w:color w:val="000000" w:themeColor="text1"/>
          <w:kern w:val="2"/>
          <w:sz w:val="21"/>
          <w:szCs w:val="22"/>
          <w:lang w:val="en-US"/>
          <w14:textFill>
            <w14:solidFill>
              <w14:schemeClr w14:val="tx1"/>
            </w14:solidFill>
          </w14:textFill>
        </w:rPr>
      </w:sdtEndPr>
      <w:sdtContent>
        <w:p>
          <w:pPr>
            <w:pStyle w:val="2"/>
            <w:spacing w:line="240" w:lineRule="auto"/>
            <w:rPr>
              <w:color w:val="000000" w:themeColor="text1"/>
              <w14:textFill>
                <w14:solidFill>
                  <w14:schemeClr w14:val="tx1"/>
                </w14:solidFill>
              </w14:textFill>
            </w:rPr>
          </w:pPr>
          <w:bookmarkStart w:id="11" w:name="_Toc48037376"/>
          <w:bookmarkStart w:id="12" w:name="_Toc48038555"/>
          <w:bookmarkStart w:id="13" w:name="_Toc48039947"/>
          <w:bookmarkStart w:id="14" w:name="_Toc48841012"/>
          <w:r>
            <w:rPr>
              <w:color w:val="000000" w:themeColor="text1"/>
              <w14:textFill>
                <w14:solidFill>
                  <w14:schemeClr w14:val="tx1"/>
                </w14:solidFill>
              </w14:textFill>
            </w:rPr>
            <w:t>目</w:t>
          </w:r>
          <w:r>
            <w:rPr>
              <w:rFonts w:hint="eastAsia"/>
              <w:color w:val="000000" w:themeColor="text1"/>
              <w14:textFill>
                <w14:solidFill>
                  <w14:schemeClr w14:val="tx1"/>
                </w14:solidFill>
              </w14:textFill>
            </w:rPr>
            <w:t xml:space="preserve"> </w:t>
          </w:r>
          <w:bookmarkEnd w:id="11"/>
          <w:bookmarkEnd w:id="12"/>
          <w:bookmarkEnd w:id="13"/>
          <w:r>
            <w:rPr>
              <w:rFonts w:hint="eastAsia"/>
              <w:color w:val="000000" w:themeColor="text1"/>
              <w14:textFill>
                <w14:solidFill>
                  <w14:schemeClr w14:val="tx1"/>
                </w14:solidFill>
              </w14:textFill>
            </w:rPr>
            <w:t>次</w:t>
          </w:r>
          <w:bookmarkEnd w:id="14"/>
          <w:r>
            <w:rPr>
              <w:rFonts w:asciiTheme="minorHAnsi" w:hAnsiTheme="minorHAnsi" w:eastAsiaTheme="minorEastAsia"/>
              <w:b w:val="0"/>
              <w:color w:val="000000" w:themeColor="text1"/>
              <w:kern w:val="0"/>
              <w:sz w:val="22"/>
              <w:lang w:val="en-US"/>
              <w14:textFill>
                <w14:solidFill>
                  <w14:schemeClr w14:val="tx1"/>
                </w14:solidFill>
              </w14:textFill>
            </w:rPr>
            <w:fldChar w:fldCharType="begin"/>
          </w:r>
          <w:r>
            <w:rPr>
              <w:color w:val="000000" w:themeColor="text1"/>
              <w14:textFill>
                <w14:solidFill>
                  <w14:schemeClr w14:val="tx1"/>
                </w14:solidFill>
              </w14:textFill>
            </w:rPr>
            <w:instrText xml:space="preserve"> TOC \o "1-3" \h \z \u </w:instrText>
          </w:r>
          <w:r>
            <w:rPr>
              <w:rFonts w:asciiTheme="minorHAnsi" w:hAnsiTheme="minorHAnsi" w:eastAsiaTheme="minorEastAsia"/>
              <w:b w:val="0"/>
              <w:color w:val="000000" w:themeColor="text1"/>
              <w:kern w:val="0"/>
              <w:sz w:val="22"/>
              <w:lang w:val="en-US"/>
              <w14:textFill>
                <w14:solidFill>
                  <w14:schemeClr w14:val="tx1"/>
                </w14:solidFill>
              </w14:textFill>
            </w:rPr>
            <w:fldChar w:fldCharType="separate"/>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"_Toc48841013" </w:instrText>
          </w:r>
          <w:r>
            <w:fldChar w:fldCharType="separate"/>
          </w:r>
          <w:r>
            <w:rPr>
              <w:rStyle w:val="39"/>
            </w:rPr>
            <w:t>1</w:t>
          </w:r>
          <w:r>
            <w:rPr>
              <w:rFonts w:cstheme="minorBidi"/>
              <w:kern w:val="2"/>
              <w:sz w:val="21"/>
            </w:rPr>
            <w:tab/>
          </w:r>
          <w:r>
            <w:rPr>
              <w:rStyle w:val="39"/>
            </w:rPr>
            <w:t>总则</w:t>
          </w:r>
          <w:r>
            <w:tab/>
          </w:r>
          <w:r>
            <w:fldChar w:fldCharType="begin"/>
          </w:r>
          <w:r>
            <w:instrText xml:space="preserve"> PAGEREF _Toc48841013 \h </w:instrText>
          </w:r>
          <w:r>
            <w:fldChar w:fldCharType="separate"/>
          </w:r>
          <w:r>
            <w:t>1</w:t>
          </w:r>
          <w:r>
            <w:fldChar w:fldCharType="end"/>
          </w:r>
          <w:r>
            <w:fldChar w:fldCharType="end"/>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"_Toc48841014" </w:instrText>
          </w:r>
          <w:r>
            <w:fldChar w:fldCharType="separate"/>
          </w:r>
          <w:r>
            <w:rPr>
              <w:rStyle w:val="39"/>
            </w:rPr>
            <w:t>2</w:t>
          </w:r>
          <w:r>
            <w:rPr>
              <w:rFonts w:cstheme="minorBidi"/>
              <w:kern w:val="2"/>
              <w:sz w:val="21"/>
            </w:rPr>
            <w:tab/>
          </w:r>
          <w:r>
            <w:rPr>
              <w:rStyle w:val="39"/>
            </w:rPr>
            <w:t>术语、符号</w:t>
          </w:r>
          <w:r>
            <w:tab/>
          </w:r>
          <w:r>
            <w:fldChar w:fldCharType="begin"/>
          </w:r>
          <w:r>
            <w:instrText xml:space="preserve"> PAGEREF _Toc48841014 \h </w:instrText>
          </w:r>
          <w:r>
            <w:fldChar w:fldCharType="separate"/>
          </w:r>
          <w:r>
            <w:t>3</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"_Toc48841015" </w:instrText>
          </w:r>
          <w:r>
            <w:fldChar w:fldCharType="separate"/>
          </w:r>
          <w:r>
            <w:rPr>
              <w:rStyle w:val="39"/>
              <w14:scene3d>
                <w14:lightRig w14:rig="threePt" w14:dir="t">
                  <w14:rot w14:lat="0" w14:lon="0" w14:rev="0"/>
                </w14:lightRig>
              </w14:scene3d>
            </w:rPr>
            <w:t>2.1</w:t>
          </w:r>
          <w:r>
            <w:rPr>
              <w:rFonts w:cstheme="minorBidi"/>
              <w:kern w:val="2"/>
              <w:sz w:val="21"/>
            </w:rPr>
            <w:tab/>
          </w:r>
          <w:r>
            <w:rPr>
              <w:rStyle w:val="39"/>
            </w:rPr>
            <w:t>术语</w:t>
          </w:r>
          <w:r>
            <w:tab/>
          </w:r>
          <w:r>
            <w:fldChar w:fldCharType="begin"/>
          </w:r>
          <w:r>
            <w:instrText xml:space="preserve"> PAGEREF _Toc48841015 \h </w:instrText>
          </w:r>
          <w:r>
            <w:fldChar w:fldCharType="separate"/>
          </w:r>
          <w:r>
            <w:t>3</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"_Toc48841016" </w:instrText>
          </w:r>
          <w:r>
            <w:fldChar w:fldCharType="separate"/>
          </w:r>
          <w:r>
            <w:rPr>
              <w:rStyle w:val="39"/>
              <w14:scene3d>
                <w14:lightRig w14:rig="threePt" w14:dir="t">
                  <w14:rot w14:lat="0" w14:lon="0" w14:rev="0"/>
                </w14:lightRig>
              </w14:scene3d>
            </w:rPr>
            <w:t>2.2</w:t>
          </w:r>
          <w:r>
            <w:rPr>
              <w:rFonts w:cstheme="minorBidi"/>
              <w:kern w:val="2"/>
              <w:sz w:val="21"/>
            </w:rPr>
            <w:tab/>
          </w:r>
          <w:r>
            <w:rPr>
              <w:rStyle w:val="39"/>
            </w:rPr>
            <w:t>符号</w:t>
          </w:r>
          <w:r>
            <w:tab/>
          </w:r>
          <w:r>
            <w:fldChar w:fldCharType="begin"/>
          </w:r>
          <w:r>
            <w:instrText xml:space="preserve"> PAGEREF _Toc48841016 \h </w:instrText>
          </w:r>
          <w:r>
            <w:fldChar w:fldCharType="separate"/>
          </w:r>
          <w:r>
            <w:t>3</w:t>
          </w:r>
          <w:r>
            <w:fldChar w:fldCharType="end"/>
          </w:r>
          <w:r>
            <w:fldChar w:fldCharType="end"/>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"_Toc48841017" </w:instrText>
          </w:r>
          <w:r>
            <w:fldChar w:fldCharType="separate"/>
          </w:r>
          <w:r>
            <w:rPr>
              <w:rStyle w:val="39"/>
            </w:rPr>
            <w:t>3</w:t>
          </w:r>
          <w:r>
            <w:rPr>
              <w:rFonts w:cstheme="minorBidi"/>
              <w:kern w:val="2"/>
              <w:sz w:val="21"/>
            </w:rPr>
            <w:tab/>
          </w:r>
          <w:r>
            <w:rPr>
              <w:rStyle w:val="39"/>
            </w:rPr>
            <w:t>抗震设计基本规定</w:t>
          </w:r>
          <w:r>
            <w:tab/>
          </w:r>
          <w:r>
            <w:fldChar w:fldCharType="begin"/>
          </w:r>
          <w:r>
            <w:instrText xml:space="preserve"> PAGEREF _Toc48841017 \h </w:instrText>
          </w:r>
          <w:r>
            <w:fldChar w:fldCharType="separate"/>
          </w:r>
          <w:r>
            <w:t>5</w:t>
          </w:r>
          <w:r>
            <w:fldChar w:fldCharType="end"/>
          </w:r>
          <w:r>
            <w:fldChar w:fldCharType="end"/>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"_Toc48841018" </w:instrText>
          </w:r>
          <w:r>
            <w:fldChar w:fldCharType="separate"/>
          </w:r>
          <w:r>
            <w:rPr>
              <w:rStyle w:val="39"/>
            </w:rPr>
            <w:t>4</w:t>
          </w:r>
          <w:r>
            <w:rPr>
              <w:rFonts w:cstheme="minorBidi"/>
              <w:kern w:val="2"/>
              <w:sz w:val="21"/>
            </w:rPr>
            <w:tab/>
          </w:r>
          <w:r>
            <w:rPr>
              <w:rStyle w:val="39"/>
            </w:rPr>
            <w:t>地震作用和结构抗震验算</w:t>
          </w:r>
          <w:r>
            <w:tab/>
          </w:r>
          <w:r>
            <w:fldChar w:fldCharType="begin"/>
          </w:r>
          <w:r>
            <w:instrText xml:space="preserve"> PAGEREF _Toc48841018 \h </w:instrText>
          </w:r>
          <w:r>
            <w:fldChar w:fldCharType="separate"/>
          </w:r>
          <w:r>
            <w:t>8</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"_Toc48841019" </w:instrText>
          </w:r>
          <w:r>
            <w:fldChar w:fldCharType="separate"/>
          </w:r>
          <w:r>
            <w:rPr>
              <w:rStyle w:val="39"/>
              <w14:scene3d>
                <w14:lightRig w14:rig="threePt" w14:dir="t">
                  <w14:rot w14:lat="0" w14:lon="0" w14:rev="0"/>
                </w14:lightRig>
              </w14:scene3d>
            </w:rPr>
            <w:t>4.1</w:t>
          </w:r>
          <w:r>
            <w:rPr>
              <w:rFonts w:cstheme="minorBidi"/>
              <w:kern w:val="2"/>
              <w:sz w:val="21"/>
            </w:rPr>
            <w:tab/>
          </w:r>
          <w:r>
            <w:rPr>
              <w:rStyle w:val="39"/>
            </w:rPr>
            <w:t>场地类别</w:t>
          </w:r>
          <w:r>
            <w:tab/>
          </w:r>
          <w:r>
            <w:fldChar w:fldCharType="begin"/>
          </w:r>
          <w:r>
            <w:instrText xml:space="preserve"> PAGEREF _Toc48841019 \h </w:instrText>
          </w:r>
          <w:r>
            <w:fldChar w:fldCharType="separate"/>
          </w:r>
          <w:r>
            <w:t>8</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"_Toc48841020" </w:instrText>
          </w:r>
          <w:r>
            <w:fldChar w:fldCharType="separate"/>
          </w:r>
          <w:r>
            <w:rPr>
              <w:rStyle w:val="39"/>
              <w14:scene3d>
                <w14:lightRig w14:rig="threePt" w14:dir="t">
                  <w14:rot w14:lat="0" w14:lon="0" w14:rev="0"/>
                </w14:lightRig>
              </w14:scene3d>
            </w:rPr>
            <w:t>4.2</w:t>
          </w:r>
          <w:r>
            <w:rPr>
              <w:rFonts w:cstheme="minorBidi"/>
              <w:kern w:val="2"/>
              <w:sz w:val="21"/>
            </w:rPr>
            <w:tab/>
          </w:r>
          <w:r>
            <w:rPr>
              <w:rStyle w:val="39"/>
            </w:rPr>
            <w:t>重力荷载代表值、地震有效质量</w:t>
          </w:r>
          <w:r>
            <w:tab/>
          </w:r>
          <w:r>
            <w:fldChar w:fldCharType="begin"/>
          </w:r>
          <w:r>
            <w:instrText xml:space="preserve"> PAGEREF _Toc48841020 \h </w:instrText>
          </w:r>
          <w:r>
            <w:fldChar w:fldCharType="separate"/>
          </w:r>
          <w:r>
            <w:t>8</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"_Toc48841021" </w:instrText>
          </w:r>
          <w:r>
            <w:fldChar w:fldCharType="separate"/>
          </w:r>
          <w:r>
            <w:rPr>
              <w:rStyle w:val="39"/>
              <w14:scene3d>
                <w14:lightRig w14:rig="threePt" w14:dir="t">
                  <w14:rot w14:lat="0" w14:lon="0" w14:rev="0"/>
                </w14:lightRig>
              </w14:scene3d>
            </w:rPr>
            <w:t>4.3</w:t>
          </w:r>
          <w:r>
            <w:rPr>
              <w:rFonts w:cstheme="minorBidi"/>
              <w:kern w:val="2"/>
              <w:sz w:val="21"/>
            </w:rPr>
            <w:tab/>
          </w:r>
          <w:r>
            <w:rPr>
              <w:rStyle w:val="39"/>
            </w:rPr>
            <w:t>水平地震作用计算</w:t>
          </w:r>
          <w:r>
            <w:tab/>
          </w:r>
          <w:r>
            <w:fldChar w:fldCharType="begin"/>
          </w:r>
          <w:r>
            <w:instrText xml:space="preserve"> PAGEREF _Toc48841021 \h </w:instrText>
          </w:r>
          <w:r>
            <w:fldChar w:fldCharType="separate"/>
          </w:r>
          <w:r>
            <w:t>9</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"_Toc48841022" </w:instrText>
          </w:r>
          <w:r>
            <w:fldChar w:fldCharType="separate"/>
          </w:r>
          <w:r>
            <w:rPr>
              <w:rStyle w:val="39"/>
              <w14:scene3d>
                <w14:lightRig w14:rig="threePt" w14:dir="t">
                  <w14:rot w14:lat="0" w14:lon="0" w14:rev="0"/>
                </w14:lightRig>
              </w14:scene3d>
            </w:rPr>
            <w:t>4.4</w:t>
          </w:r>
          <w:r>
            <w:rPr>
              <w:rFonts w:cstheme="minorBidi"/>
              <w:kern w:val="2"/>
              <w:sz w:val="21"/>
            </w:rPr>
            <w:tab/>
          </w:r>
          <w:r>
            <w:rPr>
              <w:rStyle w:val="39"/>
            </w:rPr>
            <w:t>竖向地震作用计算</w:t>
          </w:r>
          <w:r>
            <w:tab/>
          </w:r>
          <w:r>
            <w:fldChar w:fldCharType="begin"/>
          </w:r>
          <w:r>
            <w:instrText xml:space="preserve"> PAGEREF _Toc48841022 \h </w:instrText>
          </w:r>
          <w:r>
            <w:fldChar w:fldCharType="separate"/>
          </w:r>
          <w:r>
            <w:t>12</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"_Toc48841023" </w:instrText>
          </w:r>
          <w:r>
            <w:fldChar w:fldCharType="separate"/>
          </w:r>
          <w:r>
            <w:rPr>
              <w:rStyle w:val="39"/>
              <w14:scene3d>
                <w14:lightRig w14:rig="threePt" w14:dir="t">
                  <w14:rot w14:lat="0" w14:lon="0" w14:rev="0"/>
                </w14:lightRig>
              </w14:scene3d>
            </w:rPr>
            <w:t>4.5</w:t>
          </w:r>
          <w:r>
            <w:rPr>
              <w:rFonts w:cstheme="minorBidi"/>
              <w:kern w:val="2"/>
              <w:sz w:val="21"/>
            </w:rPr>
            <w:tab/>
          </w:r>
          <w:r>
            <w:rPr>
              <w:rStyle w:val="39"/>
            </w:rPr>
            <w:t>多维地震作用计算</w:t>
          </w:r>
          <w:r>
            <w:tab/>
          </w:r>
          <w:r>
            <w:fldChar w:fldCharType="begin"/>
          </w:r>
          <w:r>
            <w:instrText xml:space="preserve"> PAGEREF _Toc48841023 \h </w:instrText>
          </w:r>
          <w:r>
            <w:fldChar w:fldCharType="separate"/>
          </w:r>
          <w:r>
            <w:t>13</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"_Toc48841024" </w:instrText>
          </w:r>
          <w:r>
            <w:fldChar w:fldCharType="separate"/>
          </w:r>
          <w:r>
            <w:rPr>
              <w:rStyle w:val="39"/>
              <w14:scene3d>
                <w14:lightRig w14:rig="threePt" w14:dir="t">
                  <w14:rot w14:lat="0" w14:lon="0" w14:rev="0"/>
                </w14:lightRig>
              </w14:scene3d>
            </w:rPr>
            <w:t>4.6</w:t>
          </w:r>
          <w:r>
            <w:rPr>
              <w:rFonts w:cstheme="minorBidi"/>
              <w:kern w:val="2"/>
              <w:sz w:val="21"/>
            </w:rPr>
            <w:tab/>
          </w:r>
          <w:r>
            <w:rPr>
              <w:rStyle w:val="39"/>
            </w:rPr>
            <w:t>截面抗震验算</w:t>
          </w:r>
          <w:r>
            <w:tab/>
          </w:r>
          <w:r>
            <w:fldChar w:fldCharType="begin"/>
          </w:r>
          <w:r>
            <w:instrText xml:space="preserve"> PAGEREF _Toc48841024 \h </w:instrText>
          </w:r>
          <w:r>
            <w:fldChar w:fldCharType="separate"/>
          </w:r>
          <w:r>
            <w:t>13</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"_Toc48841025" </w:instrText>
          </w:r>
          <w:r>
            <w:fldChar w:fldCharType="separate"/>
          </w:r>
          <w:r>
            <w:rPr>
              <w:rStyle w:val="39"/>
              <w14:scene3d>
                <w14:lightRig w14:rig="threePt" w14:dir="t">
                  <w14:rot w14:lat="0" w14:lon="0" w14:rev="0"/>
                </w14:lightRig>
              </w14:scene3d>
            </w:rPr>
            <w:t>4.7</w:t>
          </w:r>
          <w:r>
            <w:rPr>
              <w:rFonts w:cstheme="minorBidi"/>
              <w:kern w:val="2"/>
              <w:sz w:val="21"/>
            </w:rPr>
            <w:tab/>
          </w:r>
          <w:r>
            <w:rPr>
              <w:rStyle w:val="39"/>
            </w:rPr>
            <w:t>弹塑性抗震验算</w:t>
          </w:r>
          <w:r>
            <w:tab/>
          </w:r>
          <w:r>
            <w:fldChar w:fldCharType="begin"/>
          </w:r>
          <w:r>
            <w:instrText xml:space="preserve"> PAGEREF _Toc48841025 \h </w:instrText>
          </w:r>
          <w:r>
            <w:fldChar w:fldCharType="separate"/>
          </w:r>
          <w:r>
            <w:t>14</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"_Toc48841026" </w:instrText>
          </w:r>
          <w:r>
            <w:fldChar w:fldCharType="separate"/>
          </w:r>
          <w:r>
            <w:rPr>
              <w:rStyle w:val="39"/>
              <w14:scene3d>
                <w14:lightRig w14:rig="threePt" w14:dir="t">
                  <w14:rot w14:lat="0" w14:lon="0" w14:rev="0"/>
                </w14:lightRig>
              </w14:scene3d>
            </w:rPr>
            <w:t>4.8</w:t>
          </w:r>
          <w:r>
            <w:rPr>
              <w:rFonts w:cstheme="minorBidi"/>
              <w:kern w:val="2"/>
              <w:sz w:val="21"/>
            </w:rPr>
            <w:tab/>
          </w:r>
          <w:r>
            <w:rPr>
              <w:rStyle w:val="39"/>
            </w:rPr>
            <w:t>结构抗震变形验算</w:t>
          </w:r>
          <w:r>
            <w:tab/>
          </w:r>
          <w:r>
            <w:fldChar w:fldCharType="begin"/>
          </w:r>
          <w:r>
            <w:instrText xml:space="preserve"> PAGEREF _Toc48841026 \h </w:instrText>
          </w:r>
          <w:r>
            <w:fldChar w:fldCharType="separate"/>
          </w:r>
          <w:r>
            <w:t>14</w:t>
          </w:r>
          <w:r>
            <w:fldChar w:fldCharType="end"/>
          </w:r>
          <w:r>
            <w:fldChar w:fldCharType="end"/>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"_Toc48841027" </w:instrText>
          </w:r>
          <w:r>
            <w:fldChar w:fldCharType="separate"/>
          </w:r>
          <w:r>
            <w:rPr>
              <w:rStyle w:val="39"/>
            </w:rPr>
            <w:t>5</w:t>
          </w:r>
          <w:r>
            <w:rPr>
              <w:rFonts w:cstheme="minorBidi"/>
              <w:kern w:val="2"/>
              <w:sz w:val="21"/>
            </w:rPr>
            <w:tab/>
          </w:r>
          <w:r>
            <w:rPr>
              <w:rStyle w:val="39"/>
            </w:rPr>
            <w:t>场地、地基和基础</w:t>
          </w:r>
          <w:r>
            <w:tab/>
          </w:r>
          <w:r>
            <w:fldChar w:fldCharType="begin"/>
          </w:r>
          <w:r>
            <w:instrText xml:space="preserve"> PAGEREF _Toc48841027 \h </w:instrText>
          </w:r>
          <w:r>
            <w:fldChar w:fldCharType="separate"/>
          </w:r>
          <w:r>
            <w:t>16</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"_Toc48841028" </w:instrText>
          </w:r>
          <w:r>
            <w:fldChar w:fldCharType="separate"/>
          </w:r>
          <w:r>
            <w:rPr>
              <w:rStyle w:val="39"/>
              <w14:scene3d>
                <w14:lightRig w14:rig="threePt" w14:dir="t">
                  <w14:rot w14:lat="0" w14:lon="0" w14:rev="0"/>
                </w14:lightRig>
              </w14:scene3d>
            </w:rPr>
            <w:t>5.1</w:t>
          </w:r>
          <w:r>
            <w:rPr>
              <w:rFonts w:cstheme="minorBidi"/>
              <w:kern w:val="2"/>
              <w:sz w:val="21"/>
            </w:rPr>
            <w:tab/>
          </w:r>
          <w:r>
            <w:rPr>
              <w:rStyle w:val="39"/>
            </w:rPr>
            <w:t>一般规定</w:t>
          </w:r>
          <w:r>
            <w:tab/>
          </w:r>
          <w:r>
            <w:fldChar w:fldCharType="begin"/>
          </w:r>
          <w:r>
            <w:instrText xml:space="preserve"> PAGEREF _Toc48841028 \h </w:instrText>
          </w:r>
          <w:r>
            <w:fldChar w:fldCharType="separate"/>
          </w:r>
          <w:r>
            <w:t>16</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"_Toc48841029" </w:instrText>
          </w:r>
          <w:r>
            <w:fldChar w:fldCharType="separate"/>
          </w:r>
          <w:r>
            <w:rPr>
              <w:rStyle w:val="39"/>
              <w14:scene3d>
                <w14:lightRig w14:rig="threePt" w14:dir="t">
                  <w14:rot w14:lat="0" w14:lon="0" w14:rev="0"/>
                </w14:lightRig>
              </w14:scene3d>
            </w:rPr>
            <w:t>5.2</w:t>
          </w:r>
          <w:r>
            <w:rPr>
              <w:rFonts w:cstheme="minorBidi"/>
              <w:kern w:val="2"/>
              <w:sz w:val="21"/>
            </w:rPr>
            <w:tab/>
          </w:r>
          <w:r>
            <w:rPr>
              <w:rStyle w:val="39"/>
            </w:rPr>
            <w:t>场地</w:t>
          </w:r>
          <w:r>
            <w:tab/>
          </w:r>
          <w:r>
            <w:fldChar w:fldCharType="begin"/>
          </w:r>
          <w:r>
            <w:instrText xml:space="preserve"> PAGEREF _Toc48841029 \h </w:instrText>
          </w:r>
          <w:r>
            <w:fldChar w:fldCharType="separate"/>
          </w:r>
          <w:r>
            <w:t>16</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"_Toc48841030" </w:instrText>
          </w:r>
          <w:r>
            <w:fldChar w:fldCharType="separate"/>
          </w:r>
          <w:r>
            <w:rPr>
              <w:rStyle w:val="39"/>
              <w14:scene3d>
                <w14:lightRig w14:rig="threePt" w14:dir="t">
                  <w14:rot w14:lat="0" w14:lon="0" w14:rev="0"/>
                </w14:lightRig>
              </w14:scene3d>
            </w:rPr>
            <w:t>5.3</w:t>
          </w:r>
          <w:r>
            <w:rPr>
              <w:rFonts w:cstheme="minorBidi"/>
              <w:kern w:val="2"/>
              <w:sz w:val="21"/>
            </w:rPr>
            <w:tab/>
          </w:r>
          <w:r>
            <w:rPr>
              <w:rStyle w:val="39"/>
            </w:rPr>
            <w:t>天然地基、处理地基和基础</w:t>
          </w:r>
          <w:r>
            <w:tab/>
          </w:r>
          <w:r>
            <w:fldChar w:fldCharType="begin"/>
          </w:r>
          <w:r>
            <w:instrText xml:space="preserve"> PAGEREF _Toc48841030 \h </w:instrText>
          </w:r>
          <w:r>
            <w:fldChar w:fldCharType="separate"/>
          </w:r>
          <w:r>
            <w:t>16</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"_Toc48841031" </w:instrText>
          </w:r>
          <w:r>
            <w:fldChar w:fldCharType="separate"/>
          </w:r>
          <w:r>
            <w:rPr>
              <w:rStyle w:val="39"/>
              <w14:scene3d>
                <w14:lightRig w14:rig="threePt" w14:dir="t">
                  <w14:rot w14:lat="0" w14:lon="0" w14:rev="0"/>
                </w14:lightRig>
              </w14:scene3d>
            </w:rPr>
            <w:t>5.4</w:t>
          </w:r>
          <w:r>
            <w:rPr>
              <w:rFonts w:cstheme="minorBidi"/>
              <w:kern w:val="2"/>
              <w:sz w:val="21"/>
            </w:rPr>
            <w:tab/>
          </w:r>
          <w:r>
            <w:rPr>
              <w:rStyle w:val="39"/>
            </w:rPr>
            <w:t>液化土和抗液化措施</w:t>
          </w:r>
          <w:r>
            <w:tab/>
          </w:r>
          <w:r>
            <w:fldChar w:fldCharType="begin"/>
          </w:r>
          <w:r>
            <w:instrText xml:space="preserve"> PAGEREF _Toc48841031 \h </w:instrText>
          </w:r>
          <w:r>
            <w:fldChar w:fldCharType="separate"/>
          </w:r>
          <w:r>
            <w:t>18</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"_Toc48841032" </w:instrText>
          </w:r>
          <w:r>
            <w:fldChar w:fldCharType="separate"/>
          </w:r>
          <w:r>
            <w:rPr>
              <w:rStyle w:val="39"/>
              <w14:scene3d>
                <w14:lightRig w14:rig="threePt" w14:dir="t">
                  <w14:rot w14:lat="0" w14:lon="0" w14:rev="0"/>
                </w14:lightRig>
              </w14:scene3d>
            </w:rPr>
            <w:t>5.5</w:t>
          </w:r>
          <w:r>
            <w:rPr>
              <w:rFonts w:cstheme="minorBidi"/>
              <w:kern w:val="2"/>
              <w:sz w:val="21"/>
            </w:rPr>
            <w:tab/>
          </w:r>
          <w:r>
            <w:rPr>
              <w:rStyle w:val="39"/>
            </w:rPr>
            <w:t>桩基</w:t>
          </w:r>
          <w:r>
            <w:tab/>
          </w:r>
          <w:r>
            <w:fldChar w:fldCharType="begin"/>
          </w:r>
          <w:r>
            <w:instrText xml:space="preserve"> PAGEREF _Toc48841032 \h </w:instrText>
          </w:r>
          <w:r>
            <w:fldChar w:fldCharType="separate"/>
          </w:r>
          <w:r>
            <w:t>18</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"_Toc48841033" </w:instrText>
          </w:r>
          <w:r>
            <w:fldChar w:fldCharType="separate"/>
          </w:r>
          <w:r>
            <w:rPr>
              <w:rStyle w:val="39"/>
              <w14:scene3d>
                <w14:lightRig w14:rig="threePt" w14:dir="t">
                  <w14:rot w14:lat="0" w14:lon="0" w14:rev="0"/>
                </w14:lightRig>
              </w14:scene3d>
            </w:rPr>
            <w:t>5.6</w:t>
          </w:r>
          <w:r>
            <w:rPr>
              <w:rFonts w:cstheme="minorBidi"/>
              <w:kern w:val="2"/>
              <w:sz w:val="21"/>
            </w:rPr>
            <w:tab/>
          </w:r>
          <w:r>
            <w:rPr>
              <w:rStyle w:val="39"/>
            </w:rPr>
            <w:t>基础短柱、杯口和锚栓抗震措施</w:t>
          </w:r>
          <w:r>
            <w:tab/>
          </w:r>
          <w:r>
            <w:fldChar w:fldCharType="begin"/>
          </w:r>
          <w:r>
            <w:instrText xml:space="preserve"> PAGEREF _Toc48841033 \h </w:instrText>
          </w:r>
          <w:r>
            <w:fldChar w:fldCharType="separate"/>
          </w:r>
          <w:r>
            <w:t>20</w:t>
          </w:r>
          <w:r>
            <w:fldChar w:fldCharType="end"/>
          </w:r>
          <w:r>
            <w:fldChar w:fldCharType="end"/>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"_Toc48841034" </w:instrText>
          </w:r>
          <w:r>
            <w:fldChar w:fldCharType="separate"/>
          </w:r>
          <w:r>
            <w:rPr>
              <w:rStyle w:val="39"/>
            </w:rPr>
            <w:t>6</w:t>
          </w:r>
          <w:r>
            <w:rPr>
              <w:rFonts w:cstheme="minorBidi"/>
              <w:kern w:val="2"/>
              <w:sz w:val="21"/>
            </w:rPr>
            <w:tab/>
          </w:r>
          <w:r>
            <w:rPr>
              <w:rStyle w:val="39"/>
            </w:rPr>
            <w:t>混凝土结构基本要求</w:t>
          </w:r>
          <w:r>
            <w:tab/>
          </w:r>
          <w:r>
            <w:fldChar w:fldCharType="begin"/>
          </w:r>
          <w:r>
            <w:instrText xml:space="preserve"> PAGEREF _Toc48841034 \h </w:instrText>
          </w:r>
          <w:r>
            <w:fldChar w:fldCharType="separate"/>
          </w:r>
          <w:r>
            <w:t>21</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"_Toc48841035" </w:instrText>
          </w:r>
          <w:r>
            <w:fldChar w:fldCharType="separate"/>
          </w:r>
          <w:r>
            <w:rPr>
              <w:rStyle w:val="39"/>
              <w14:scene3d>
                <w14:lightRig w14:rig="threePt" w14:dir="t">
                  <w14:rot w14:lat="0" w14:lon="0" w14:rev="0"/>
                </w14:lightRig>
              </w14:scene3d>
            </w:rPr>
            <w:t>6.1</w:t>
          </w:r>
          <w:r>
            <w:rPr>
              <w:rFonts w:cstheme="minorBidi"/>
              <w:kern w:val="2"/>
              <w:sz w:val="21"/>
            </w:rPr>
            <w:tab/>
          </w:r>
          <w:r>
            <w:rPr>
              <w:rStyle w:val="39"/>
            </w:rPr>
            <w:t>一般规定</w:t>
          </w:r>
          <w:r>
            <w:tab/>
          </w:r>
          <w:r>
            <w:fldChar w:fldCharType="begin"/>
          </w:r>
          <w:r>
            <w:instrText xml:space="preserve"> PAGEREF _Toc48841035 \h </w:instrText>
          </w:r>
          <w:r>
            <w:fldChar w:fldCharType="separate"/>
          </w:r>
          <w:r>
            <w:t>21</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"_Toc48841036" </w:instrText>
          </w:r>
          <w:r>
            <w:fldChar w:fldCharType="separate"/>
          </w:r>
          <w:r>
            <w:rPr>
              <w:rStyle w:val="39"/>
              <w14:scene3d>
                <w14:lightRig w14:rig="threePt" w14:dir="t">
                  <w14:rot w14:lat="0" w14:lon="0" w14:rev="0"/>
                </w14:lightRig>
              </w14:scene3d>
            </w:rPr>
            <w:t>6.2</w:t>
          </w:r>
          <w:r>
            <w:rPr>
              <w:rFonts w:cstheme="minorBidi"/>
              <w:kern w:val="2"/>
              <w:sz w:val="21"/>
            </w:rPr>
            <w:tab/>
          </w:r>
          <w:r>
            <w:rPr>
              <w:rStyle w:val="39"/>
            </w:rPr>
            <w:t>结构性能系数</w:t>
          </w:r>
          <w:r>
            <w:tab/>
          </w:r>
          <w:r>
            <w:fldChar w:fldCharType="begin"/>
          </w:r>
          <w:r>
            <w:instrText xml:space="preserve"> PAGEREF _Toc48841036 \h </w:instrText>
          </w:r>
          <w:r>
            <w:fldChar w:fldCharType="separate"/>
          </w:r>
          <w:r>
            <w:t>21</w:t>
          </w:r>
          <w:r>
            <w:fldChar w:fldCharType="end"/>
          </w:r>
          <w:r>
            <w:fldChar w:fldCharType="end"/>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"_Toc48841037" </w:instrText>
          </w:r>
          <w:r>
            <w:fldChar w:fldCharType="separate"/>
          </w:r>
          <w:r>
            <w:rPr>
              <w:rStyle w:val="39"/>
            </w:rPr>
            <w:t>7</w:t>
          </w:r>
          <w:r>
            <w:rPr>
              <w:rFonts w:cstheme="minorBidi"/>
              <w:kern w:val="2"/>
              <w:sz w:val="21"/>
            </w:rPr>
            <w:tab/>
          </w:r>
          <w:r>
            <w:rPr>
              <w:rStyle w:val="39"/>
            </w:rPr>
            <w:t>单层混凝土柱结构</w:t>
          </w:r>
          <w:r>
            <w:tab/>
          </w:r>
          <w:r>
            <w:fldChar w:fldCharType="begin"/>
          </w:r>
          <w:r>
            <w:instrText xml:space="preserve"> PAGEREF _Toc48841037 \h </w:instrText>
          </w:r>
          <w:r>
            <w:fldChar w:fldCharType="separate"/>
          </w:r>
          <w:r>
            <w:t>23</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"_Toc48841038" </w:instrText>
          </w:r>
          <w:r>
            <w:fldChar w:fldCharType="separate"/>
          </w:r>
          <w:r>
            <w:rPr>
              <w:rStyle w:val="39"/>
              <w14:scene3d>
                <w14:lightRig w14:rig="threePt" w14:dir="t">
                  <w14:rot w14:lat="0" w14:lon="0" w14:rev="0"/>
                </w14:lightRig>
              </w14:scene3d>
            </w:rPr>
            <w:t>7.1</w:t>
          </w:r>
          <w:r>
            <w:rPr>
              <w:rFonts w:cstheme="minorBidi"/>
              <w:kern w:val="2"/>
              <w:sz w:val="21"/>
            </w:rPr>
            <w:tab/>
          </w:r>
          <w:r>
            <w:rPr>
              <w:rStyle w:val="39"/>
            </w:rPr>
            <w:t>一般规定</w:t>
          </w:r>
          <w:r>
            <w:tab/>
          </w:r>
          <w:r>
            <w:fldChar w:fldCharType="begin"/>
          </w:r>
          <w:r>
            <w:instrText xml:space="preserve"> PAGEREF _Toc48841038 \h </w:instrText>
          </w:r>
          <w:r>
            <w:fldChar w:fldCharType="separate"/>
          </w:r>
          <w:r>
            <w:t>23</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"_Toc48841039" </w:instrText>
          </w:r>
          <w:r>
            <w:fldChar w:fldCharType="separate"/>
          </w:r>
          <w:r>
            <w:rPr>
              <w:rStyle w:val="39"/>
              <w14:scene3d>
                <w14:lightRig w14:rig="threePt" w14:dir="t">
                  <w14:rot w14:lat="0" w14:lon="0" w14:rev="0"/>
                </w14:lightRig>
              </w14:scene3d>
            </w:rPr>
            <w:t>7.2</w:t>
          </w:r>
          <w:r>
            <w:rPr>
              <w:rFonts w:cstheme="minorBidi"/>
              <w:kern w:val="2"/>
              <w:sz w:val="21"/>
            </w:rPr>
            <w:tab/>
          </w:r>
          <w:r>
            <w:rPr>
              <w:rStyle w:val="39"/>
            </w:rPr>
            <w:t>抗震验算（1）——结构地震作用计算</w:t>
          </w:r>
          <w:r>
            <w:tab/>
          </w:r>
          <w:r>
            <w:fldChar w:fldCharType="begin"/>
          </w:r>
          <w:r>
            <w:instrText xml:space="preserve"> PAGEREF _Toc48841039 \h </w:instrText>
          </w:r>
          <w:r>
            <w:fldChar w:fldCharType="separate"/>
          </w:r>
          <w:r>
            <w:t>23</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"_Toc48841040" </w:instrText>
          </w:r>
          <w:r>
            <w:fldChar w:fldCharType="separate"/>
          </w:r>
          <w:r>
            <w:rPr>
              <w:rStyle w:val="39"/>
              <w14:scene3d>
                <w14:lightRig w14:rig="threePt" w14:dir="t">
                  <w14:rot w14:lat="0" w14:lon="0" w14:rev="0"/>
                </w14:lightRig>
              </w14:scene3d>
            </w:rPr>
            <w:t>7.3</w:t>
          </w:r>
          <w:r>
            <w:rPr>
              <w:rFonts w:cstheme="minorBidi"/>
              <w:kern w:val="2"/>
              <w:sz w:val="21"/>
            </w:rPr>
            <w:tab/>
          </w:r>
          <w:r>
            <w:rPr>
              <w:rStyle w:val="39"/>
            </w:rPr>
            <w:t>抗震验算（2）——结构构件、节点和连接件抗震承载力验算</w:t>
          </w:r>
          <w:r>
            <w:tab/>
          </w:r>
          <w:r>
            <w:fldChar w:fldCharType="begin"/>
          </w:r>
          <w:r>
            <w:instrText xml:space="preserve"> PAGEREF _Toc48841040 \h </w:instrText>
          </w:r>
          <w:r>
            <w:fldChar w:fldCharType="separate"/>
          </w:r>
          <w:r>
            <w:t>25</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"_Toc48841041" </w:instrText>
          </w:r>
          <w:r>
            <w:fldChar w:fldCharType="separate"/>
          </w:r>
          <w:r>
            <w:rPr>
              <w:rStyle w:val="39"/>
              <w14:scene3d>
                <w14:lightRig w14:rig="threePt" w14:dir="t">
                  <w14:rot w14:lat="0" w14:lon="0" w14:rev="0"/>
                </w14:lightRig>
              </w14:scene3d>
            </w:rPr>
            <w:t>7.4</w:t>
          </w:r>
          <w:r>
            <w:rPr>
              <w:rFonts w:cstheme="minorBidi"/>
              <w:kern w:val="2"/>
              <w:sz w:val="21"/>
            </w:rPr>
            <w:tab/>
          </w:r>
          <w:r>
            <w:rPr>
              <w:rStyle w:val="39"/>
            </w:rPr>
            <w:t>构造措施（1）——支撑和构件</w:t>
          </w:r>
          <w:r>
            <w:tab/>
          </w:r>
          <w:r>
            <w:fldChar w:fldCharType="begin"/>
          </w:r>
          <w:r>
            <w:instrText xml:space="preserve"> PAGEREF _Toc48841041 \h </w:instrText>
          </w:r>
          <w:r>
            <w:fldChar w:fldCharType="separate"/>
          </w:r>
          <w:r>
            <w:t>33</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"_Toc48841042" </w:instrText>
          </w:r>
          <w:r>
            <w:fldChar w:fldCharType="separate"/>
          </w:r>
          <w:r>
            <w:rPr>
              <w:rStyle w:val="39"/>
              <w14:scene3d>
                <w14:lightRig w14:rig="threePt" w14:dir="t">
                  <w14:rot w14:lat="0" w14:lon="0" w14:rev="0"/>
                </w14:lightRig>
              </w14:scene3d>
            </w:rPr>
            <w:t>7.5</w:t>
          </w:r>
          <w:r>
            <w:rPr>
              <w:rFonts w:cstheme="minorBidi"/>
              <w:kern w:val="2"/>
              <w:sz w:val="21"/>
            </w:rPr>
            <w:tab/>
          </w:r>
          <w:r>
            <w:rPr>
              <w:rStyle w:val="39"/>
            </w:rPr>
            <w:t>构造措施（2）——预埋件</w:t>
          </w:r>
          <w:r>
            <w:tab/>
          </w:r>
          <w:r>
            <w:fldChar w:fldCharType="begin"/>
          </w:r>
          <w:r>
            <w:instrText xml:space="preserve"> PAGEREF _Toc48841042 \h </w:instrText>
          </w:r>
          <w:r>
            <w:fldChar w:fldCharType="separate"/>
          </w:r>
          <w:r>
            <w:t>40</w:t>
          </w:r>
          <w:r>
            <w:fldChar w:fldCharType="end"/>
          </w:r>
          <w:r>
            <w:fldChar w:fldCharType="end"/>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"_Toc48841043" </w:instrText>
          </w:r>
          <w:r>
            <w:fldChar w:fldCharType="separate"/>
          </w:r>
          <w:r>
            <w:rPr>
              <w:rStyle w:val="39"/>
            </w:rPr>
            <w:t>8</w:t>
          </w:r>
          <w:r>
            <w:rPr>
              <w:rFonts w:cstheme="minorBidi"/>
              <w:kern w:val="2"/>
              <w:sz w:val="21"/>
            </w:rPr>
            <w:tab/>
          </w:r>
          <w:r>
            <w:rPr>
              <w:rStyle w:val="39"/>
            </w:rPr>
            <w:t>多层混凝土结构</w:t>
          </w:r>
          <w:r>
            <w:tab/>
          </w:r>
          <w:r>
            <w:fldChar w:fldCharType="begin"/>
          </w:r>
          <w:r>
            <w:instrText xml:space="preserve"> PAGEREF _Toc48841043 \h </w:instrText>
          </w:r>
          <w:r>
            <w:fldChar w:fldCharType="separate"/>
          </w:r>
          <w:r>
            <w:t>44</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"_Toc48841044" </w:instrText>
          </w:r>
          <w:r>
            <w:fldChar w:fldCharType="separate"/>
          </w:r>
          <w:r>
            <w:rPr>
              <w:rStyle w:val="39"/>
              <w14:scene3d>
                <w14:lightRig w14:rig="threePt" w14:dir="t">
                  <w14:rot w14:lat="0" w14:lon="0" w14:rev="0"/>
                </w14:lightRig>
              </w14:scene3d>
            </w:rPr>
            <w:t>8.1</w:t>
          </w:r>
          <w:r>
            <w:rPr>
              <w:rFonts w:cstheme="minorBidi"/>
              <w:kern w:val="2"/>
              <w:sz w:val="21"/>
            </w:rPr>
            <w:tab/>
          </w:r>
          <w:r>
            <w:rPr>
              <w:rStyle w:val="39"/>
            </w:rPr>
            <w:t>一般规定</w:t>
          </w:r>
          <w:r>
            <w:tab/>
          </w:r>
          <w:r>
            <w:fldChar w:fldCharType="begin"/>
          </w:r>
          <w:r>
            <w:instrText xml:space="preserve"> PAGEREF _Toc48841044 \h </w:instrText>
          </w:r>
          <w:r>
            <w:fldChar w:fldCharType="separate"/>
          </w:r>
          <w:r>
            <w:t>44</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"_Toc48841045" </w:instrText>
          </w:r>
          <w:r>
            <w:fldChar w:fldCharType="separate"/>
          </w:r>
          <w:r>
            <w:rPr>
              <w:rStyle w:val="39"/>
              <w14:scene3d>
                <w14:lightRig w14:rig="threePt" w14:dir="t">
                  <w14:rot w14:lat="0" w14:lon="0" w14:rev="0"/>
                </w14:lightRig>
              </w14:scene3d>
            </w:rPr>
            <w:t>8.2</w:t>
          </w:r>
          <w:r>
            <w:rPr>
              <w:rFonts w:cstheme="minorBidi"/>
              <w:kern w:val="2"/>
              <w:sz w:val="21"/>
            </w:rPr>
            <w:tab/>
          </w:r>
          <w:r>
            <w:rPr>
              <w:rStyle w:val="39"/>
            </w:rPr>
            <w:t>抗震验算（1）——结构地震作用计算</w:t>
          </w:r>
          <w:r>
            <w:tab/>
          </w:r>
          <w:r>
            <w:fldChar w:fldCharType="begin"/>
          </w:r>
          <w:r>
            <w:instrText xml:space="preserve"> PAGEREF _Toc48841045 \h </w:instrText>
          </w:r>
          <w:r>
            <w:fldChar w:fldCharType="separate"/>
          </w:r>
          <w:r>
            <w:t>46</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"_Toc48841046" </w:instrText>
          </w:r>
          <w:r>
            <w:fldChar w:fldCharType="separate"/>
          </w:r>
          <w:r>
            <w:rPr>
              <w:rStyle w:val="39"/>
              <w:rFonts w:cs="MS Mincho"/>
              <w14:scene3d>
                <w14:lightRig w14:rig="threePt" w14:dir="t">
                  <w14:rot w14:lat="0" w14:lon="0" w14:rev="0"/>
                </w14:lightRig>
              </w14:scene3d>
            </w:rPr>
            <w:t>8.3</w:t>
          </w:r>
          <w:r>
            <w:rPr>
              <w:rFonts w:cstheme="minorBidi"/>
              <w:kern w:val="2"/>
              <w:sz w:val="21"/>
            </w:rPr>
            <w:tab/>
          </w:r>
          <w:r>
            <w:rPr>
              <w:rStyle w:val="39"/>
            </w:rPr>
            <w:t>抗震验</w:t>
          </w:r>
          <w:r>
            <w:rPr>
              <w:rStyle w:val="39"/>
              <w:rFonts w:cs="MS Mincho"/>
            </w:rPr>
            <w:t>算</w:t>
          </w:r>
          <w:r>
            <w:rPr>
              <w:rStyle w:val="39"/>
            </w:rPr>
            <w:t>（2）——设备</w:t>
          </w:r>
          <w:r>
            <w:rPr>
              <w:rStyle w:val="39"/>
              <w:rFonts w:cs="MS Mincho"/>
            </w:rPr>
            <w:t>地震作用</w:t>
          </w:r>
          <w:r>
            <w:rPr>
              <w:rStyle w:val="39"/>
            </w:rPr>
            <w:t>计</w:t>
          </w:r>
          <w:r>
            <w:rPr>
              <w:rStyle w:val="39"/>
              <w:rFonts w:cs="MS Mincho"/>
            </w:rPr>
            <w:t>算</w:t>
          </w:r>
          <w:r>
            <w:tab/>
          </w:r>
          <w:r>
            <w:fldChar w:fldCharType="begin"/>
          </w:r>
          <w:r>
            <w:instrText xml:space="preserve"> PAGEREF _Toc48841046 \h </w:instrText>
          </w:r>
          <w:r>
            <w:fldChar w:fldCharType="separate"/>
          </w:r>
          <w:r>
            <w:t>46</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"_Toc48841047" </w:instrText>
          </w:r>
          <w:r>
            <w:fldChar w:fldCharType="separate"/>
          </w:r>
          <w:r>
            <w:rPr>
              <w:rStyle w:val="39"/>
              <w14:scene3d>
                <w14:lightRig w14:rig="threePt" w14:dir="t">
                  <w14:rot w14:lat="0" w14:lon="0" w14:rev="0"/>
                </w14:lightRig>
              </w14:scene3d>
            </w:rPr>
            <w:t>8.4</w:t>
          </w:r>
          <w:r>
            <w:rPr>
              <w:rFonts w:cstheme="minorBidi"/>
              <w:kern w:val="2"/>
              <w:sz w:val="21"/>
            </w:rPr>
            <w:tab/>
          </w:r>
          <w:r>
            <w:rPr>
              <w:rStyle w:val="39"/>
              <w:rFonts w:cs="HiddenHorzOCR"/>
            </w:rPr>
            <w:t>抗震</w:t>
          </w:r>
          <w:r>
            <w:rPr>
              <w:rStyle w:val="39"/>
            </w:rPr>
            <w:t>验算</w:t>
          </w:r>
          <w:r>
            <w:rPr>
              <w:rStyle w:val="39"/>
              <w:rFonts w:cs="HiddenHorzOCR"/>
            </w:rPr>
            <w:t>（3）——</w:t>
          </w:r>
          <w:r>
            <w:rPr>
              <w:rStyle w:val="39"/>
            </w:rPr>
            <w:t>结构构件地震作用及效应的调整</w:t>
          </w:r>
          <w:r>
            <w:tab/>
          </w:r>
          <w:r>
            <w:fldChar w:fldCharType="begin"/>
          </w:r>
          <w:r>
            <w:instrText xml:space="preserve"> PAGEREF _Toc48841047 \h </w:instrText>
          </w:r>
          <w:r>
            <w:fldChar w:fldCharType="separate"/>
          </w:r>
          <w:r>
            <w:t>47</w:t>
          </w:r>
          <w:r>
            <w:fldChar w:fldCharType="end"/>
          </w:r>
          <w:r>
            <w:fldChar w:fldCharType="end"/>
          </w:r>
        </w:p>
        <w:p>
          <w:pPr>
            <w:pStyle w:val="24"/>
            <w:tabs>
              <w:tab w:val="left" w:pos="440"/>
              <w:tab w:val="right" w:leader="dot" w:pos="8296"/>
            </w:tabs>
            <w:spacing w:line="240" w:lineRule="auto"/>
            <w:rPr>
              <w:rFonts w:cstheme="minorBidi"/>
              <w:kern w:val="2"/>
              <w:sz w:val="21"/>
            </w:rPr>
          </w:pPr>
          <w:r>
            <w:fldChar w:fldCharType="begin"/>
          </w:r>
          <w:r>
            <w:instrText xml:space="preserve"> HYPERLINK \l "_Toc48841048" </w:instrText>
          </w:r>
          <w:r>
            <w:fldChar w:fldCharType="separate"/>
          </w:r>
          <w:r>
            <w:rPr>
              <w:rStyle w:val="39"/>
            </w:rPr>
            <w:t>9</w:t>
          </w:r>
          <w:r>
            <w:rPr>
              <w:rFonts w:cstheme="minorBidi"/>
              <w:kern w:val="2"/>
              <w:sz w:val="21"/>
            </w:rPr>
            <w:tab/>
          </w:r>
          <w:r>
            <w:rPr>
              <w:rStyle w:val="39"/>
            </w:rPr>
            <w:t>钢结构基本要求</w:t>
          </w:r>
          <w:r>
            <w:tab/>
          </w:r>
          <w:r>
            <w:fldChar w:fldCharType="begin"/>
          </w:r>
          <w:r>
            <w:instrText xml:space="preserve"> PAGEREF _Toc48841048 \h </w:instrText>
          </w:r>
          <w:r>
            <w:fldChar w:fldCharType="separate"/>
          </w:r>
          <w:r>
            <w:t>49</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"_Toc48841049" </w:instrText>
          </w:r>
          <w:r>
            <w:fldChar w:fldCharType="separate"/>
          </w:r>
          <w:r>
            <w:rPr>
              <w:rStyle w:val="39"/>
              <w14:scene3d>
                <w14:lightRig w14:rig="threePt" w14:dir="t">
                  <w14:rot w14:lat="0" w14:lon="0" w14:rev="0"/>
                </w14:lightRig>
              </w14:scene3d>
            </w:rPr>
            <w:t>9.1</w:t>
          </w:r>
          <w:r>
            <w:rPr>
              <w:rFonts w:cstheme="minorBidi"/>
              <w:kern w:val="2"/>
              <w:sz w:val="21"/>
            </w:rPr>
            <w:tab/>
          </w:r>
          <w:r>
            <w:rPr>
              <w:rStyle w:val="39"/>
            </w:rPr>
            <w:t>一般规定</w:t>
          </w:r>
          <w:r>
            <w:tab/>
          </w:r>
          <w:r>
            <w:fldChar w:fldCharType="begin"/>
          </w:r>
          <w:r>
            <w:instrText xml:space="preserve"> PAGEREF _Toc48841049 \h </w:instrText>
          </w:r>
          <w:r>
            <w:fldChar w:fldCharType="separate"/>
          </w:r>
          <w:r>
            <w:t>49</w:t>
          </w:r>
          <w:r>
            <w:fldChar w:fldCharType="end"/>
          </w:r>
          <w:r>
            <w:fldChar w:fldCharType="end"/>
          </w:r>
        </w:p>
        <w:p>
          <w:pPr>
            <w:pStyle w:val="27"/>
            <w:tabs>
              <w:tab w:val="left" w:pos="840"/>
              <w:tab w:val="right" w:leader="dot" w:pos="8296"/>
            </w:tabs>
            <w:spacing w:line="240" w:lineRule="auto"/>
            <w:rPr>
              <w:rFonts w:cstheme="minorBidi"/>
              <w:kern w:val="2"/>
              <w:sz w:val="21"/>
            </w:rPr>
          </w:pPr>
          <w:r>
            <w:fldChar w:fldCharType="begin"/>
          </w:r>
          <w:r>
            <w:instrText xml:space="preserve"> HYPERLINK \l "_Toc48841050" </w:instrText>
          </w:r>
          <w:r>
            <w:fldChar w:fldCharType="separate"/>
          </w:r>
          <w:r>
            <w:rPr>
              <w:rStyle w:val="39"/>
              <w14:scene3d>
                <w14:lightRig w14:rig="threePt" w14:dir="t">
                  <w14:rot w14:lat="0" w14:lon="0" w14:rev="0"/>
                </w14:lightRig>
              </w14:scene3d>
            </w:rPr>
            <w:t>9.2</w:t>
          </w:r>
          <w:r>
            <w:rPr>
              <w:rFonts w:cstheme="minorBidi"/>
              <w:kern w:val="2"/>
              <w:sz w:val="21"/>
            </w:rPr>
            <w:tab/>
          </w:r>
          <w:r>
            <w:rPr>
              <w:rStyle w:val="39"/>
            </w:rPr>
            <w:t>结构性能系数和设计基本要求</w:t>
          </w:r>
          <w:r>
            <w:tab/>
          </w:r>
          <w:r>
            <w:fldChar w:fldCharType="begin"/>
          </w:r>
          <w:r>
            <w:instrText xml:space="preserve"> PAGEREF _Toc48841050 \h </w:instrText>
          </w:r>
          <w:r>
            <w:fldChar w:fldCharType="separate"/>
          </w:r>
          <w:r>
            <w:t>50</w:t>
          </w:r>
          <w:r>
            <w:fldChar w:fldCharType="end"/>
          </w:r>
          <w:r>
            <w:fldChar w:fldCharType="end"/>
          </w:r>
        </w:p>
        <w:p>
          <w:pPr>
            <w:pStyle w:val="24"/>
            <w:tabs>
              <w:tab w:val="left" w:pos="630"/>
              <w:tab w:val="right" w:leader="dot" w:pos="8296"/>
            </w:tabs>
            <w:spacing w:line="240" w:lineRule="auto"/>
            <w:rPr>
              <w:rFonts w:cstheme="minorBidi"/>
              <w:kern w:val="2"/>
              <w:sz w:val="21"/>
            </w:rPr>
          </w:pPr>
          <w:r>
            <w:fldChar w:fldCharType="begin"/>
          </w:r>
          <w:r>
            <w:instrText xml:space="preserve"> HYPERLINK \l "_Toc48841051" </w:instrText>
          </w:r>
          <w:r>
            <w:fldChar w:fldCharType="separate"/>
          </w:r>
          <w:r>
            <w:rPr>
              <w:rStyle w:val="39"/>
            </w:rPr>
            <w:t>10</w:t>
          </w:r>
          <w:r>
            <w:rPr>
              <w:rFonts w:cstheme="minorBidi"/>
              <w:kern w:val="2"/>
              <w:sz w:val="21"/>
            </w:rPr>
            <w:tab/>
          </w:r>
          <w:r>
            <w:rPr>
              <w:rStyle w:val="39"/>
            </w:rPr>
            <w:t>单层钢结构</w:t>
          </w:r>
          <w:r>
            <w:tab/>
          </w:r>
          <w:r>
            <w:fldChar w:fldCharType="begin"/>
          </w:r>
          <w:r>
            <w:instrText xml:space="preserve"> PAGEREF _Toc48841051 \h </w:instrText>
          </w:r>
          <w:r>
            <w:fldChar w:fldCharType="separate"/>
          </w:r>
          <w:r>
            <w:t>71</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"_Toc48841052" </w:instrText>
          </w:r>
          <w:r>
            <w:fldChar w:fldCharType="separate"/>
          </w:r>
          <w:r>
            <w:rPr>
              <w:rStyle w:val="39"/>
              <w14:scene3d>
                <w14:lightRig w14:rig="threePt" w14:dir="t">
                  <w14:rot w14:lat="0" w14:lon="0" w14:rev="0"/>
                </w14:lightRig>
              </w14:scene3d>
            </w:rPr>
            <w:t>10.1</w:t>
          </w:r>
          <w:r>
            <w:rPr>
              <w:rFonts w:cstheme="minorBidi"/>
              <w:kern w:val="2"/>
              <w:sz w:val="21"/>
            </w:rPr>
            <w:tab/>
          </w:r>
          <w:r>
            <w:rPr>
              <w:rStyle w:val="39"/>
            </w:rPr>
            <w:t>一般规定</w:t>
          </w:r>
          <w:r>
            <w:tab/>
          </w:r>
          <w:r>
            <w:fldChar w:fldCharType="begin"/>
          </w:r>
          <w:r>
            <w:instrText xml:space="preserve"> PAGEREF _Toc48841052 \h </w:instrText>
          </w:r>
          <w:r>
            <w:fldChar w:fldCharType="separate"/>
          </w:r>
          <w:r>
            <w:t>71</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"_Toc48841053" </w:instrText>
          </w:r>
          <w:r>
            <w:fldChar w:fldCharType="separate"/>
          </w:r>
          <w:r>
            <w:rPr>
              <w:rStyle w:val="39"/>
              <w14:scene3d>
                <w14:lightRig w14:rig="threePt" w14:dir="t">
                  <w14:rot w14:lat="0" w14:lon="0" w14:rev="0"/>
                </w14:lightRig>
              </w14:scene3d>
            </w:rPr>
            <w:t>10.2</w:t>
          </w:r>
          <w:r>
            <w:rPr>
              <w:rFonts w:cstheme="minorBidi"/>
              <w:kern w:val="2"/>
              <w:sz w:val="21"/>
            </w:rPr>
            <w:tab/>
          </w:r>
          <w:r>
            <w:rPr>
              <w:rStyle w:val="39"/>
            </w:rPr>
            <w:t>抗震验算（1）——结构地震作用计算</w:t>
          </w:r>
          <w:r>
            <w:tab/>
          </w:r>
          <w:r>
            <w:fldChar w:fldCharType="begin"/>
          </w:r>
          <w:r>
            <w:instrText xml:space="preserve"> PAGEREF _Toc48841053 \h </w:instrText>
          </w:r>
          <w:r>
            <w:fldChar w:fldCharType="separate"/>
          </w:r>
          <w:r>
            <w:t>72</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"_Toc48841054" </w:instrText>
          </w:r>
          <w:r>
            <w:fldChar w:fldCharType="separate"/>
          </w:r>
          <w:r>
            <w:rPr>
              <w:rStyle w:val="39"/>
              <w14:scene3d>
                <w14:lightRig w14:rig="threePt" w14:dir="t">
                  <w14:rot w14:lat="0" w14:lon="0" w14:rev="0"/>
                </w14:lightRig>
              </w14:scene3d>
            </w:rPr>
            <w:t>10.3</w:t>
          </w:r>
          <w:r>
            <w:rPr>
              <w:rFonts w:cstheme="minorBidi"/>
              <w:kern w:val="2"/>
              <w:sz w:val="21"/>
            </w:rPr>
            <w:tab/>
          </w:r>
          <w:r>
            <w:rPr>
              <w:rStyle w:val="39"/>
            </w:rPr>
            <w:t>抗震验算（2）——结构构件地震作用及效应的调整</w:t>
          </w:r>
          <w:r>
            <w:tab/>
          </w:r>
          <w:r>
            <w:fldChar w:fldCharType="begin"/>
          </w:r>
          <w:r>
            <w:instrText xml:space="preserve"> PAGEREF _Toc48841054 \h </w:instrText>
          </w:r>
          <w:r>
            <w:fldChar w:fldCharType="separate"/>
          </w:r>
          <w:r>
            <w:t>73</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"_Toc48841055" </w:instrText>
          </w:r>
          <w:r>
            <w:fldChar w:fldCharType="separate"/>
          </w:r>
          <w:r>
            <w:rPr>
              <w:rStyle w:val="39"/>
              <w14:scene3d>
                <w14:lightRig w14:rig="threePt" w14:dir="t">
                  <w14:rot w14:lat="0" w14:lon="0" w14:rev="0"/>
                </w14:lightRig>
              </w14:scene3d>
            </w:rPr>
            <w:t>10.4</w:t>
          </w:r>
          <w:r>
            <w:rPr>
              <w:rFonts w:cstheme="minorBidi"/>
              <w:kern w:val="2"/>
              <w:sz w:val="21"/>
            </w:rPr>
            <w:tab/>
          </w:r>
          <w:r>
            <w:rPr>
              <w:rStyle w:val="39"/>
            </w:rPr>
            <w:t>抗震验算（3）——框架梁、柱及其连接节点</w:t>
          </w:r>
          <w:r>
            <w:tab/>
          </w:r>
          <w:r>
            <w:fldChar w:fldCharType="begin"/>
          </w:r>
          <w:r>
            <w:instrText xml:space="preserve"> PAGEREF _Toc48841055 \h </w:instrText>
          </w:r>
          <w:r>
            <w:fldChar w:fldCharType="separate"/>
          </w:r>
          <w:r>
            <w:t>74</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"_Toc48841056" </w:instrText>
          </w:r>
          <w:r>
            <w:fldChar w:fldCharType="separate"/>
          </w:r>
          <w:r>
            <w:rPr>
              <w:rStyle w:val="39"/>
              <w14:scene3d>
                <w14:lightRig w14:rig="threePt" w14:dir="t">
                  <w14:rot w14:lat="0" w14:lon="0" w14:rev="0"/>
                </w14:lightRig>
              </w14:scene3d>
            </w:rPr>
            <w:t>10.5</w:t>
          </w:r>
          <w:r>
            <w:rPr>
              <w:rFonts w:cstheme="minorBidi"/>
              <w:kern w:val="2"/>
              <w:sz w:val="21"/>
            </w:rPr>
            <w:tab/>
          </w:r>
          <w:r>
            <w:rPr>
              <w:rStyle w:val="39"/>
            </w:rPr>
            <w:t>抗震验算（4）——柱间支撑的抗震设计</w:t>
          </w:r>
          <w:r>
            <w:tab/>
          </w:r>
          <w:r>
            <w:fldChar w:fldCharType="begin"/>
          </w:r>
          <w:r>
            <w:instrText xml:space="preserve"> PAGEREF _Toc48841056 \h </w:instrText>
          </w:r>
          <w:r>
            <w:fldChar w:fldCharType="separate"/>
          </w:r>
          <w:r>
            <w:t>75</w:t>
          </w:r>
          <w:r>
            <w:fldChar w:fldCharType="end"/>
          </w:r>
          <w:r>
            <w:fldChar w:fldCharType="end"/>
          </w:r>
        </w:p>
        <w:p>
          <w:pPr>
            <w:pStyle w:val="24"/>
            <w:tabs>
              <w:tab w:val="left" w:pos="630"/>
              <w:tab w:val="right" w:leader="dot" w:pos="8296"/>
            </w:tabs>
            <w:spacing w:line="240" w:lineRule="auto"/>
            <w:rPr>
              <w:rFonts w:cstheme="minorBidi"/>
              <w:kern w:val="2"/>
              <w:sz w:val="21"/>
            </w:rPr>
          </w:pPr>
          <w:r>
            <w:fldChar w:fldCharType="begin"/>
          </w:r>
          <w:r>
            <w:instrText xml:space="preserve"> HYPERLINK \l "_Toc48841057" </w:instrText>
          </w:r>
          <w:r>
            <w:fldChar w:fldCharType="separate"/>
          </w:r>
          <w:r>
            <w:rPr>
              <w:rStyle w:val="39"/>
            </w:rPr>
            <w:t>11</w:t>
          </w:r>
          <w:r>
            <w:rPr>
              <w:rFonts w:cstheme="minorBidi"/>
              <w:kern w:val="2"/>
              <w:sz w:val="21"/>
            </w:rPr>
            <w:tab/>
          </w:r>
          <w:r>
            <w:rPr>
              <w:rStyle w:val="39"/>
            </w:rPr>
            <w:t>多层钢结构</w:t>
          </w:r>
          <w:r>
            <w:tab/>
          </w:r>
          <w:r>
            <w:fldChar w:fldCharType="begin"/>
          </w:r>
          <w:r>
            <w:instrText xml:space="preserve"> PAGEREF _Toc48841057 \h </w:instrText>
          </w:r>
          <w:r>
            <w:fldChar w:fldCharType="separate"/>
          </w:r>
          <w:r>
            <w:t>81</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"_Toc48841058" </w:instrText>
          </w:r>
          <w:r>
            <w:fldChar w:fldCharType="separate"/>
          </w:r>
          <w:r>
            <w:rPr>
              <w:rStyle w:val="39"/>
              <w14:scene3d>
                <w14:lightRig w14:rig="threePt" w14:dir="t">
                  <w14:rot w14:lat="0" w14:lon="0" w14:rev="0"/>
                </w14:lightRig>
              </w14:scene3d>
            </w:rPr>
            <w:t>11.1</w:t>
          </w:r>
          <w:r>
            <w:rPr>
              <w:rFonts w:cstheme="minorBidi"/>
              <w:kern w:val="2"/>
              <w:sz w:val="21"/>
            </w:rPr>
            <w:tab/>
          </w:r>
          <w:r>
            <w:rPr>
              <w:rStyle w:val="39"/>
            </w:rPr>
            <w:t>一般规定</w:t>
          </w:r>
          <w:r>
            <w:tab/>
          </w:r>
          <w:r>
            <w:fldChar w:fldCharType="begin"/>
          </w:r>
          <w:r>
            <w:instrText xml:space="preserve"> PAGEREF _Toc48841058 \h </w:instrText>
          </w:r>
          <w:r>
            <w:fldChar w:fldCharType="separate"/>
          </w:r>
          <w:r>
            <w:t>81</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"_Toc48841059" </w:instrText>
          </w:r>
          <w:r>
            <w:fldChar w:fldCharType="separate"/>
          </w:r>
          <w:r>
            <w:rPr>
              <w:rStyle w:val="39"/>
              <w14:scene3d>
                <w14:lightRig w14:rig="threePt" w14:dir="t">
                  <w14:rot w14:lat="0" w14:lon="0" w14:rev="0"/>
                </w14:lightRig>
              </w14:scene3d>
            </w:rPr>
            <w:t>11.2</w:t>
          </w:r>
          <w:r>
            <w:rPr>
              <w:rFonts w:cstheme="minorBidi"/>
              <w:kern w:val="2"/>
              <w:sz w:val="21"/>
            </w:rPr>
            <w:tab/>
          </w:r>
          <w:r>
            <w:rPr>
              <w:rStyle w:val="39"/>
            </w:rPr>
            <w:t>抗震验算（1）——结构地震作用计算</w:t>
          </w:r>
          <w:r>
            <w:tab/>
          </w:r>
          <w:r>
            <w:fldChar w:fldCharType="begin"/>
          </w:r>
          <w:r>
            <w:instrText xml:space="preserve"> PAGEREF _Toc48841059 \h </w:instrText>
          </w:r>
          <w:r>
            <w:fldChar w:fldCharType="separate"/>
          </w:r>
          <w:r>
            <w:t>82</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"_Toc48841060" </w:instrText>
          </w:r>
          <w:r>
            <w:fldChar w:fldCharType="separate"/>
          </w:r>
          <w:r>
            <w:rPr>
              <w:rStyle w:val="39"/>
              <w14:scene3d>
                <w14:lightRig w14:rig="threePt" w14:dir="t">
                  <w14:rot w14:lat="0" w14:lon="0" w14:rev="0"/>
                </w14:lightRig>
              </w14:scene3d>
            </w:rPr>
            <w:t>11.3</w:t>
          </w:r>
          <w:r>
            <w:rPr>
              <w:rFonts w:cstheme="minorBidi"/>
              <w:kern w:val="2"/>
              <w:sz w:val="21"/>
            </w:rPr>
            <w:tab/>
          </w:r>
          <w:r>
            <w:rPr>
              <w:rStyle w:val="39"/>
            </w:rPr>
            <w:t>抗震验算（2）——结构地震作用及效应的调整</w:t>
          </w:r>
          <w:r>
            <w:tab/>
          </w:r>
          <w:r>
            <w:fldChar w:fldCharType="begin"/>
          </w:r>
          <w:r>
            <w:instrText xml:space="preserve"> PAGEREF _Toc48841060 \h </w:instrText>
          </w:r>
          <w:r>
            <w:fldChar w:fldCharType="separate"/>
          </w:r>
          <w:r>
            <w:t>82</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"_Toc48841061" </w:instrText>
          </w:r>
          <w:r>
            <w:fldChar w:fldCharType="separate"/>
          </w:r>
          <w:r>
            <w:rPr>
              <w:rStyle w:val="39"/>
              <w14:scene3d>
                <w14:lightRig w14:rig="threePt" w14:dir="t">
                  <w14:rot w14:lat="0" w14:lon="0" w14:rev="0"/>
                </w14:lightRig>
              </w14:scene3d>
            </w:rPr>
            <w:t>11.4</w:t>
          </w:r>
          <w:r>
            <w:rPr>
              <w:rFonts w:cstheme="minorBidi"/>
              <w:kern w:val="2"/>
              <w:sz w:val="21"/>
            </w:rPr>
            <w:tab/>
          </w:r>
          <w:r>
            <w:rPr>
              <w:rStyle w:val="39"/>
            </w:rPr>
            <w:t>抗震验算（3）——结构杆件和节点抗震承载力验算</w:t>
          </w:r>
          <w:r>
            <w:tab/>
          </w:r>
          <w:r>
            <w:fldChar w:fldCharType="begin"/>
          </w:r>
          <w:r>
            <w:instrText xml:space="preserve"> PAGEREF _Toc48841061 \h </w:instrText>
          </w:r>
          <w:r>
            <w:fldChar w:fldCharType="separate"/>
          </w:r>
          <w:r>
            <w:t>82</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"_Toc48841062" </w:instrText>
          </w:r>
          <w:r>
            <w:fldChar w:fldCharType="separate"/>
          </w:r>
          <w:r>
            <w:rPr>
              <w:rStyle w:val="39"/>
              <w14:scene3d>
                <w14:lightRig w14:rig="threePt" w14:dir="t">
                  <w14:rot w14:lat="0" w14:lon="0" w14:rev="0"/>
                </w14:lightRig>
              </w14:scene3d>
            </w:rPr>
            <w:t>11.5</w:t>
          </w:r>
          <w:r>
            <w:rPr>
              <w:rFonts w:cstheme="minorBidi"/>
              <w:kern w:val="2"/>
              <w:sz w:val="21"/>
            </w:rPr>
            <w:tab/>
          </w:r>
          <w:r>
            <w:rPr>
              <w:rStyle w:val="39"/>
            </w:rPr>
            <w:t>抗震验算（4）——连接抗震承载力验算</w:t>
          </w:r>
          <w:r>
            <w:tab/>
          </w:r>
          <w:r>
            <w:fldChar w:fldCharType="begin"/>
          </w:r>
          <w:r>
            <w:instrText xml:space="preserve"> PAGEREF _Toc48841062 \h </w:instrText>
          </w:r>
          <w:r>
            <w:fldChar w:fldCharType="separate"/>
          </w:r>
          <w:r>
            <w:t>83</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"_Toc48841063" </w:instrText>
          </w:r>
          <w:r>
            <w:fldChar w:fldCharType="separate"/>
          </w:r>
          <w:r>
            <w:rPr>
              <w:rStyle w:val="39"/>
              <w14:scene3d>
                <w14:lightRig w14:rig="threePt" w14:dir="t">
                  <w14:rot w14:lat="0" w14:lon="0" w14:rev="0"/>
                </w14:lightRig>
              </w14:scene3d>
            </w:rPr>
            <w:t>11.6</w:t>
          </w:r>
          <w:r>
            <w:rPr>
              <w:rFonts w:cstheme="minorBidi"/>
              <w:kern w:val="2"/>
              <w:sz w:val="21"/>
            </w:rPr>
            <w:tab/>
          </w:r>
          <w:r>
            <w:rPr>
              <w:rStyle w:val="39"/>
            </w:rPr>
            <w:t>抗震验算（5）——支撑抗震设计</w:t>
          </w:r>
          <w:r>
            <w:tab/>
          </w:r>
          <w:r>
            <w:fldChar w:fldCharType="begin"/>
          </w:r>
          <w:r>
            <w:instrText xml:space="preserve"> PAGEREF _Toc48841063 \h </w:instrText>
          </w:r>
          <w:r>
            <w:fldChar w:fldCharType="separate"/>
          </w:r>
          <w:r>
            <w:t>83</w:t>
          </w:r>
          <w:r>
            <w:fldChar w:fldCharType="end"/>
          </w:r>
          <w:r>
            <w:fldChar w:fldCharType="end"/>
          </w:r>
        </w:p>
        <w:p>
          <w:pPr>
            <w:pStyle w:val="27"/>
            <w:tabs>
              <w:tab w:val="left" w:pos="1050"/>
              <w:tab w:val="right" w:leader="dot" w:pos="8296"/>
            </w:tabs>
            <w:spacing w:line="240" w:lineRule="auto"/>
            <w:rPr>
              <w:rFonts w:cstheme="minorBidi"/>
              <w:kern w:val="2"/>
              <w:sz w:val="21"/>
            </w:rPr>
          </w:pPr>
          <w:r>
            <w:fldChar w:fldCharType="begin"/>
          </w:r>
          <w:r>
            <w:instrText xml:space="preserve"> HYPERLINK \l "_Toc48841064" </w:instrText>
          </w:r>
          <w:r>
            <w:fldChar w:fldCharType="separate"/>
          </w:r>
          <w:r>
            <w:rPr>
              <w:rStyle w:val="39"/>
              <w14:scene3d>
                <w14:lightRig w14:rig="threePt" w14:dir="t">
                  <w14:rot w14:lat="0" w14:lon="0" w14:rev="0"/>
                </w14:lightRig>
              </w14:scene3d>
            </w:rPr>
            <w:t>11.7</w:t>
          </w:r>
          <w:r>
            <w:rPr>
              <w:rFonts w:cstheme="minorBidi"/>
              <w:kern w:val="2"/>
              <w:sz w:val="21"/>
            </w:rPr>
            <w:tab/>
          </w:r>
          <w:r>
            <w:rPr>
              <w:rStyle w:val="39"/>
            </w:rPr>
            <w:t>构造措施（1）</w:t>
          </w:r>
          <w:r>
            <w:tab/>
          </w:r>
          <w:r>
            <w:fldChar w:fldCharType="begin"/>
          </w:r>
          <w:r>
            <w:instrText xml:space="preserve"> PAGEREF _Toc48841064 \h </w:instrText>
          </w:r>
          <w:r>
            <w:fldChar w:fldCharType="separate"/>
          </w:r>
          <w:r>
            <w:t>84</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"_Toc48841065" </w:instrText>
          </w:r>
          <w:r>
            <w:fldChar w:fldCharType="separate"/>
          </w:r>
          <w:r>
            <w:rPr>
              <w:rStyle w:val="39"/>
            </w:rPr>
            <w:t>附录A 大跨度料场封闭结构</w:t>
          </w:r>
          <w:r>
            <w:tab/>
          </w:r>
          <w:r>
            <w:fldChar w:fldCharType="begin"/>
          </w:r>
          <w:r>
            <w:instrText xml:space="preserve"> PAGEREF _Toc48841065 \h </w:instrText>
          </w:r>
          <w:r>
            <w:fldChar w:fldCharType="separate"/>
          </w:r>
          <w:r>
            <w:t>86</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"_Toc48841066" </w:instrText>
          </w:r>
          <w:r>
            <w:fldChar w:fldCharType="separate"/>
          </w:r>
          <w:r>
            <w:rPr>
              <w:rStyle w:val="39"/>
            </w:rPr>
            <w:t>附录B 巷道式货架</w:t>
          </w:r>
          <w:r>
            <w:tab/>
          </w:r>
          <w:r>
            <w:fldChar w:fldCharType="begin"/>
          </w:r>
          <w:r>
            <w:instrText xml:space="preserve"> PAGEREF _Toc48841066 \h </w:instrText>
          </w:r>
          <w:r>
            <w:fldChar w:fldCharType="separate"/>
          </w:r>
          <w:r>
            <w:t>89</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"_Toc48841067" </w:instrText>
          </w:r>
          <w:r>
            <w:fldChar w:fldCharType="separate"/>
          </w:r>
          <w:r>
            <w:rPr>
              <w:rStyle w:val="39"/>
            </w:rPr>
            <w:t>附录C 盒式结构</w:t>
          </w:r>
          <w:r>
            <w:tab/>
          </w:r>
          <w:r>
            <w:fldChar w:fldCharType="begin"/>
          </w:r>
          <w:r>
            <w:instrText xml:space="preserve"> PAGEREF _Toc48841067 \h </w:instrText>
          </w:r>
          <w:r>
            <w:fldChar w:fldCharType="separate"/>
          </w:r>
          <w:r>
            <w:t>95</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"_Toc48841068" </w:instrText>
          </w:r>
          <w:r>
            <w:fldChar w:fldCharType="separate"/>
          </w:r>
          <w:r>
            <w:rPr>
              <w:rStyle w:val="39"/>
            </w:rPr>
            <w:t>附录D 不锈钢结构</w:t>
          </w:r>
          <w:r>
            <w:tab/>
          </w:r>
          <w:r>
            <w:fldChar w:fldCharType="begin"/>
          </w:r>
          <w:r>
            <w:instrText xml:space="preserve"> PAGEREF _Toc48841068 \h </w:instrText>
          </w:r>
          <w:r>
            <w:fldChar w:fldCharType="separate"/>
          </w:r>
          <w:r>
            <w:t>103</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"_Toc48841069" </w:instrText>
          </w:r>
          <w:r>
            <w:fldChar w:fldCharType="separate"/>
          </w:r>
          <w:r>
            <w:rPr>
              <w:rStyle w:val="39"/>
            </w:rPr>
            <w:t>附录E 铝合金结构</w:t>
          </w:r>
          <w:r>
            <w:tab/>
          </w:r>
          <w:r>
            <w:fldChar w:fldCharType="begin"/>
          </w:r>
          <w:r>
            <w:instrText xml:space="preserve"> PAGEREF _Toc48841069 \h </w:instrText>
          </w:r>
          <w:r>
            <w:fldChar w:fldCharType="separate"/>
          </w:r>
          <w:r>
            <w:t>104</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"_Toc48841070" </w:instrText>
          </w:r>
          <w:r>
            <w:fldChar w:fldCharType="separate"/>
          </w:r>
          <w:r>
            <w:rPr>
              <w:rStyle w:val="39"/>
            </w:rPr>
            <w:t>附录F 部分包覆钢-混凝土组合构件</w:t>
          </w:r>
          <w:r>
            <w:tab/>
          </w:r>
          <w:r>
            <w:fldChar w:fldCharType="begin"/>
          </w:r>
          <w:r>
            <w:instrText xml:space="preserve"> PAGEREF _Toc48841070 \h </w:instrText>
          </w:r>
          <w:r>
            <w:fldChar w:fldCharType="separate"/>
          </w:r>
          <w:r>
            <w:t>106</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"_Toc48841071" </w:instrText>
          </w:r>
          <w:r>
            <w:fldChar w:fldCharType="separate"/>
          </w:r>
          <w:r>
            <w:rPr>
              <w:rStyle w:val="39"/>
            </w:rPr>
            <w:t>附录G 隔震和消能减震结构</w:t>
          </w:r>
          <w:r>
            <w:tab/>
          </w:r>
          <w:r>
            <w:fldChar w:fldCharType="begin"/>
          </w:r>
          <w:r>
            <w:instrText xml:space="preserve"> PAGEREF _Toc48841071 \h </w:instrText>
          </w:r>
          <w:r>
            <w:fldChar w:fldCharType="separate"/>
          </w:r>
          <w:r>
            <w:t>113</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"_Toc48841072" </w:instrText>
          </w:r>
          <w:r>
            <w:fldChar w:fldCharType="separate"/>
          </w:r>
          <w:r>
            <w:rPr>
              <w:rStyle w:val="39"/>
            </w:rPr>
            <w:t>附录H 钢结构节点低周疲劳损伤断裂评判</w:t>
          </w:r>
          <w:r>
            <w:tab/>
          </w:r>
          <w:r>
            <w:fldChar w:fldCharType="begin"/>
          </w:r>
          <w:r>
            <w:instrText xml:space="preserve"> PAGEREF _Toc48841072 \h </w:instrText>
          </w:r>
          <w:r>
            <w:fldChar w:fldCharType="separate"/>
          </w:r>
          <w:r>
            <w:t>130</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"_Toc48841073" </w:instrText>
          </w:r>
          <w:r>
            <w:fldChar w:fldCharType="separate"/>
          </w:r>
          <w:r>
            <w:rPr>
              <w:rStyle w:val="39"/>
            </w:rPr>
            <w:t>附录I 工业建筑抗震性能化评价</w:t>
          </w:r>
          <w:r>
            <w:tab/>
          </w:r>
          <w:r>
            <w:fldChar w:fldCharType="begin"/>
          </w:r>
          <w:r>
            <w:instrText xml:space="preserve"> PAGEREF _Toc48841073 \h </w:instrText>
          </w:r>
          <w:r>
            <w:fldChar w:fldCharType="separate"/>
          </w:r>
          <w:r>
            <w:t>133</w:t>
          </w:r>
          <w:r>
            <w:fldChar w:fldCharType="end"/>
          </w:r>
          <w:r>
            <w:fldChar w:fldCharType="end"/>
          </w:r>
        </w:p>
        <w:p>
          <w:pPr>
            <w:pStyle w:val="24"/>
            <w:tabs>
              <w:tab w:val="right" w:leader="dot" w:pos="8296"/>
            </w:tabs>
            <w:spacing w:line="240" w:lineRule="auto"/>
            <w:rPr>
              <w:rFonts w:cstheme="minorBidi"/>
              <w:kern w:val="2"/>
              <w:sz w:val="21"/>
            </w:rPr>
          </w:pPr>
          <w:r>
            <w:fldChar w:fldCharType="begin"/>
          </w:r>
          <w:r>
            <w:instrText xml:space="preserve"> HYPERLINK \l "_Toc48841074" </w:instrText>
          </w:r>
          <w:r>
            <w:fldChar w:fldCharType="separate"/>
          </w:r>
          <w:r>
            <w:rPr>
              <w:rStyle w:val="39"/>
            </w:rPr>
            <w:t>附录J 屈曲约束支撑</w:t>
          </w:r>
          <w:r>
            <w:tab/>
          </w:r>
          <w:r>
            <w:fldChar w:fldCharType="begin"/>
          </w:r>
          <w:r>
            <w:instrText xml:space="preserve"> PAGEREF _Toc48841074 \h </w:instrText>
          </w:r>
          <w:r>
            <w:fldChar w:fldCharType="separate"/>
          </w:r>
          <w:r>
            <w:t>147</w:t>
          </w:r>
          <w:r>
            <w:fldChar w:fldCharType="end"/>
          </w:r>
          <w:r>
            <w:fldChar w:fldCharType="end"/>
          </w:r>
        </w:p>
        <w:p>
          <w:pPr>
            <w:ind w:firstLine="0" w:firstLineChars="0"/>
            <w:rPr>
              <w:color w:val="000000" w:themeColor="text1"/>
              <w14:textFill>
                <w14:solidFill>
                  <w14:schemeClr w14:val="tx1"/>
                </w14:solidFill>
              </w14:textFill>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cols w:space="425" w:num="1"/>
              <w:docGrid w:type="lines" w:linePitch="312" w:charSpace="0"/>
            </w:sectPr>
          </w:pPr>
          <w:r>
            <w:rPr>
              <w:b/>
              <w:bCs/>
              <w:color w:val="000000" w:themeColor="text1"/>
              <w:lang w:val="zh-CN"/>
              <w14:textFill>
                <w14:solidFill>
                  <w14:schemeClr w14:val="tx1"/>
                </w14:solidFill>
              </w14:textFill>
            </w:rPr>
            <w:fldChar w:fldCharType="end"/>
          </w:r>
          <w:r>
            <w:rPr>
              <w:b/>
              <w:bCs/>
              <w:color w:val="000000" w:themeColor="text1"/>
              <w:lang w:val="zh-CN"/>
              <w14:textFill>
                <w14:solidFill>
                  <w14:schemeClr w14:val="tx1"/>
                </w14:solidFill>
              </w14:textFill>
            </w:rPr>
            <w:br w:type="page"/>
          </w:r>
        </w:p>
      </w:sdtContent>
    </w:sdt>
    <w:p>
      <w:pPr>
        <w:pStyle w:val="2"/>
        <w:numPr>
          <w:ilvl w:val="0"/>
          <w:numId w:val="1"/>
        </w:numPr>
        <w:ind w:left="0" w:firstLine="0"/>
        <w:rPr>
          <w:color w:val="000000" w:themeColor="text1"/>
          <w14:textFill>
            <w14:solidFill>
              <w14:schemeClr w14:val="tx1"/>
            </w14:solidFill>
          </w14:textFill>
        </w:rPr>
      </w:pPr>
      <w:bookmarkStart w:id="15" w:name="_Toc48841013"/>
      <w:r>
        <w:rPr>
          <w:rFonts w:hint="eastAsia"/>
          <w:color w:val="000000" w:themeColor="text1"/>
          <w14:textFill>
            <w14:solidFill>
              <w14:schemeClr w14:val="tx1"/>
            </w14:solidFill>
          </w14:textFill>
        </w:rPr>
        <w:t>总则</w:t>
      </w:r>
      <w:bookmarkEnd w:id="15"/>
    </w:p>
    <w:p>
      <w:pPr>
        <w:pStyle w:val="53"/>
        <w:spacing w:line="360" w:lineRule="auto"/>
        <w:ind w:left="630" w:firstLine="0" w:firstLineChars="0"/>
        <w:rPr>
          <w:rFonts w:cs="宋体" w:asciiTheme="minorEastAsia" w:hAnsiTheme="minorEastAsia"/>
          <w:b/>
          <w:color w:val="000000" w:themeColor="text1"/>
          <w:kern w:val="0"/>
          <w:szCs w:val="21"/>
          <w14:textFill>
            <w14:solidFill>
              <w14:schemeClr w14:val="tx1"/>
            </w14:solidFill>
          </w14:textFill>
        </w:rPr>
      </w:pPr>
    </w:p>
    <w:p>
      <w:pPr>
        <w:autoSpaceDE w:val="0"/>
        <w:autoSpaceDN w:val="0"/>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1.0.1 为贯彻执</w:t>
      </w:r>
      <w:r>
        <w:rPr>
          <w:rFonts w:hint="eastAsia" w:cs="MS Mincho" w:asciiTheme="minorEastAsia" w:hAnsiTheme="minorEastAsia"/>
          <w:color w:val="000000" w:themeColor="text1"/>
          <w:kern w:val="0"/>
          <w:szCs w:val="21"/>
          <w14:textFill>
            <w14:solidFill>
              <w14:schemeClr w14:val="tx1"/>
            </w14:solidFill>
          </w14:textFill>
        </w:rPr>
        <w:t>行地震工作以</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防</w:t>
      </w:r>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主的方</w:t>
      </w:r>
      <w:r>
        <w:rPr>
          <w:rFonts w:hint="eastAsia" w:cs="宋体" w:asciiTheme="minorEastAsia" w:hAnsiTheme="minorEastAsia"/>
          <w:color w:val="000000" w:themeColor="text1"/>
          <w:kern w:val="0"/>
          <w:szCs w:val="21"/>
          <w14:textFill>
            <w14:solidFill>
              <w14:schemeClr w14:val="tx1"/>
            </w14:solidFill>
          </w14:textFill>
        </w:rPr>
        <w:t>针</w:t>
      </w:r>
      <w:r>
        <w:rPr>
          <w:rFonts w:hint="eastAsia" w:cs="MS Mincho" w:asciiTheme="minorEastAsia" w:hAnsiTheme="minorEastAsia"/>
          <w:color w:val="000000" w:themeColor="text1"/>
          <w:kern w:val="0"/>
          <w:szCs w:val="21"/>
          <w14:textFill>
            <w14:solidFill>
              <w14:schemeClr w14:val="tx1"/>
            </w14:solidFill>
          </w14:textFill>
        </w:rPr>
        <w:t>，减</w:t>
      </w:r>
      <w:r>
        <w:rPr>
          <w:rFonts w:hint="eastAsia" w:cs="宋体" w:asciiTheme="minorEastAsia" w:hAnsiTheme="minorEastAsia"/>
          <w:color w:val="000000" w:themeColor="text1"/>
          <w:kern w:val="0"/>
          <w:szCs w:val="21"/>
          <w14:textFill>
            <w14:solidFill>
              <w14:schemeClr w14:val="tx1"/>
            </w14:solidFill>
          </w14:textFill>
        </w:rPr>
        <w:t>轻</w:t>
      </w:r>
      <w:r>
        <w:rPr>
          <w:rFonts w:hint="eastAsia" w:cs="MS Mincho" w:asciiTheme="minorEastAsia" w:hAnsiTheme="minorEastAsia"/>
          <w:color w:val="000000" w:themeColor="text1"/>
          <w:kern w:val="0"/>
          <w:szCs w:val="21"/>
          <w14:textFill>
            <w14:solidFill>
              <w14:schemeClr w14:val="tx1"/>
            </w14:solidFill>
          </w14:textFill>
        </w:rPr>
        <w:t>工</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建</w:t>
      </w:r>
      <w:r>
        <w:rPr>
          <w:rFonts w:hint="eastAsia" w:cs="HiddenHorzOCR" w:asciiTheme="minorEastAsia" w:hAnsiTheme="minorEastAsia"/>
          <w:color w:val="000000" w:themeColor="text1"/>
          <w:kern w:val="0"/>
          <w:szCs w:val="21"/>
          <w14:textFill>
            <w14:solidFill>
              <w14:schemeClr w14:val="tx1"/>
            </w14:solidFill>
          </w14:textFill>
        </w:rPr>
        <w:t>筑的震害</w:t>
      </w:r>
      <w:r>
        <w:rPr>
          <w:rFonts w:hint="eastAsia" w:cs="MS Mincho" w:asciiTheme="minorEastAsia" w:hAnsiTheme="minorEastAsia"/>
          <w:color w:val="000000" w:themeColor="text1"/>
          <w:kern w:val="0"/>
          <w:szCs w:val="21"/>
          <w14:textFill>
            <w14:solidFill>
              <w14:schemeClr w14:val="tx1"/>
            </w14:solidFill>
          </w14:textFill>
        </w:rPr>
        <w:t>，制定本</w:t>
      </w:r>
      <w:r>
        <w:rPr>
          <w:rFonts w:hint="eastAsia" w:cs="宋体" w:asciiTheme="minorEastAsia" w:hAnsiTheme="minorEastAsia"/>
          <w:color w:val="000000" w:themeColor="text1"/>
          <w:kern w:val="0"/>
          <w:szCs w:val="21"/>
          <w14:textFill>
            <w14:solidFill>
              <w14:schemeClr w14:val="tx1"/>
            </w14:solidFill>
          </w14:textFill>
        </w:rPr>
        <w:t>标准</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1.0.2 </w:t>
      </w:r>
      <w:r>
        <w:rPr>
          <w:rFonts w:hint="eastAsia" w:cs="HiddenHorzOCR" w:asciiTheme="minorEastAsia" w:hAnsiTheme="minorEastAsia"/>
          <w:color w:val="000000" w:themeColor="text1"/>
          <w:kern w:val="0"/>
          <w:szCs w:val="21"/>
          <w14:textFill>
            <w14:solidFill>
              <w14:schemeClr w14:val="tx1"/>
            </w14:solidFill>
          </w14:textFill>
        </w:rPr>
        <w:t>本</w:t>
      </w:r>
      <w:r>
        <w:rPr>
          <w:rFonts w:hint="eastAsia" w:cs="宋体" w:asciiTheme="minorEastAsia" w:hAnsiTheme="minorEastAsia"/>
          <w:color w:val="000000" w:themeColor="text1"/>
          <w:kern w:val="0"/>
          <w:szCs w:val="21"/>
          <w14:textFill>
            <w14:solidFill>
              <w14:schemeClr w14:val="tx1"/>
            </w14:solidFill>
          </w14:textFill>
        </w:rPr>
        <w:t>标准</w:t>
      </w:r>
      <w:r>
        <w:rPr>
          <w:rFonts w:hint="eastAsia" w:cs="MS Mincho" w:asciiTheme="minorEastAsia" w:hAnsiTheme="minorEastAsia"/>
          <w:color w:val="000000" w:themeColor="text1"/>
          <w:kern w:val="0"/>
          <w:szCs w:val="21"/>
          <w14:textFill>
            <w14:solidFill>
              <w14:schemeClr w14:val="tx1"/>
            </w14:solidFill>
          </w14:textFill>
        </w:rPr>
        <w:t>适用于抗震</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防烈度</w:t>
      </w:r>
      <w:r>
        <w:rPr>
          <w:rFonts w:cs="HiddenHorzOCR" w:asciiTheme="minorEastAsia" w:hAnsiTheme="minorEastAsia"/>
          <w:color w:val="000000" w:themeColor="text1"/>
          <w:kern w:val="0"/>
          <w:szCs w:val="21"/>
          <w14:textFill>
            <w14:solidFill>
              <w14:schemeClr w14:val="tx1"/>
            </w14:solidFill>
          </w14:textFill>
        </w:rPr>
        <w:t>6</w:t>
      </w:r>
      <w:r>
        <w:rPr>
          <w:rFonts w:hint="eastAsia" w:cs="HiddenHorzOCR" w:asciiTheme="minorEastAsia" w:hAnsiTheme="minorEastAsia"/>
          <w:color w:val="000000" w:themeColor="text1"/>
          <w:kern w:val="0"/>
          <w:szCs w:val="21"/>
          <w14:textFill>
            <w14:solidFill>
              <w14:schemeClr w14:val="tx1"/>
            </w14:solidFill>
          </w14:textFill>
        </w:rPr>
        <w:t>度至</w:t>
      </w:r>
      <w:r>
        <w:rPr>
          <w:rFonts w:cs="HiddenHorzOCR" w:asciiTheme="minorEastAsia" w:hAnsiTheme="minorEastAsia"/>
          <w:color w:val="000000" w:themeColor="text1"/>
          <w:kern w:val="0"/>
          <w:szCs w:val="21"/>
          <w14:textFill>
            <w14:solidFill>
              <w14:schemeClr w14:val="tx1"/>
            </w14:solidFill>
          </w14:textFill>
        </w:rPr>
        <w:t>9</w:t>
      </w:r>
      <w:r>
        <w:rPr>
          <w:rFonts w:hint="eastAsia" w:cs="HiddenHorzOCR" w:asciiTheme="minorEastAsia" w:hAnsiTheme="minorEastAsia"/>
          <w:color w:val="000000" w:themeColor="text1"/>
          <w:kern w:val="0"/>
          <w:szCs w:val="21"/>
          <w14:textFill>
            <w14:solidFill>
              <w14:schemeClr w14:val="tx1"/>
            </w14:solidFill>
          </w14:textFill>
        </w:rPr>
        <w:t>度地区的工</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建筑的抗震</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1.0.3 </w:t>
      </w:r>
      <w:r>
        <w:rPr>
          <w:rFonts w:hint="eastAsia" w:cs="HiddenHorzOCR" w:asciiTheme="minorEastAsia" w:hAnsiTheme="minorEastAsia"/>
          <w:color w:val="000000" w:themeColor="text1"/>
          <w:kern w:val="0"/>
          <w:szCs w:val="21"/>
          <w14:textFill>
            <w14:solidFill>
              <w14:schemeClr w14:val="tx1"/>
            </w14:solidFill>
          </w14:textFill>
        </w:rPr>
        <w:t>按本</w:t>
      </w:r>
      <w:r>
        <w:rPr>
          <w:rFonts w:hint="eastAsia" w:cs="宋体" w:asciiTheme="minorEastAsia" w:hAnsiTheme="minorEastAsia"/>
          <w:color w:val="000000" w:themeColor="text1"/>
          <w:kern w:val="0"/>
          <w:szCs w:val="21"/>
          <w14:textFill>
            <w14:solidFill>
              <w14:schemeClr w14:val="tx1"/>
            </w14:solidFill>
          </w14:textFill>
        </w:rPr>
        <w:t>标准设计</w:t>
      </w:r>
      <w:r>
        <w:rPr>
          <w:rFonts w:hint="eastAsia" w:cs="MS Mincho" w:asciiTheme="minorEastAsia" w:hAnsiTheme="minorEastAsia"/>
          <w:color w:val="000000" w:themeColor="text1"/>
          <w:kern w:val="0"/>
          <w:szCs w:val="21"/>
          <w14:textFill>
            <w14:solidFill>
              <w14:schemeClr w14:val="tx1"/>
            </w14:solidFill>
          </w14:textFill>
        </w:rPr>
        <w:t>的工</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建筑，当遭受低于</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防烈度的多</w:t>
      </w:r>
      <w:r>
        <w:rPr>
          <w:rFonts w:hint="eastAsia" w:cs="HiddenHorzOCR" w:asciiTheme="minorEastAsia" w:hAnsiTheme="minorEastAsia"/>
          <w:color w:val="000000" w:themeColor="text1"/>
          <w:kern w:val="0"/>
          <w:szCs w:val="21"/>
          <w14:textFill>
            <w14:solidFill>
              <w14:schemeClr w14:val="tx1"/>
            </w14:solidFill>
          </w14:textFill>
        </w:rPr>
        <w:t>遇地震影响</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，一般不受</w:t>
      </w:r>
      <w:r>
        <w:rPr>
          <w:rFonts w:hint="eastAsia" w:cs="宋体" w:asciiTheme="minorEastAsia" w:hAnsiTheme="minorEastAsia"/>
          <w:color w:val="000000" w:themeColor="text1"/>
          <w:kern w:val="0"/>
          <w:szCs w:val="21"/>
          <w14:textFill>
            <w14:solidFill>
              <w14:schemeClr w14:val="tx1"/>
            </w14:solidFill>
          </w14:textFill>
        </w:rPr>
        <w:t>损</w:t>
      </w:r>
      <w:r>
        <w:rPr>
          <w:rFonts w:hint="eastAsia" w:cs="MS Mincho" w:asciiTheme="minorEastAsia" w:hAnsiTheme="minorEastAsia"/>
          <w:color w:val="000000" w:themeColor="text1"/>
          <w:kern w:val="0"/>
          <w:szCs w:val="21"/>
          <w14:textFill>
            <w14:solidFill>
              <w14:schemeClr w14:val="tx1"/>
            </w14:solidFill>
          </w14:textFill>
        </w:rPr>
        <w:t>坏或不需修理仍可</w:t>
      </w:r>
      <w:r>
        <w:rPr>
          <w:rFonts w:hint="eastAsia" w:cs="宋体" w:asciiTheme="minorEastAsia" w:hAnsiTheme="minorEastAsia"/>
          <w:color w:val="000000" w:themeColor="text1"/>
          <w:kern w:val="0"/>
          <w:szCs w:val="21"/>
          <w14:textFill>
            <w14:solidFill>
              <w14:schemeClr w14:val="tx1"/>
            </w14:solidFill>
          </w14:textFill>
        </w:rPr>
        <w:t>继续</w:t>
      </w:r>
      <w:r>
        <w:rPr>
          <w:rFonts w:hint="eastAsia" w:cs="MS Mincho" w:asciiTheme="minorEastAsia" w:hAnsiTheme="minorEastAsia"/>
          <w:color w:val="000000" w:themeColor="text1"/>
          <w:kern w:val="0"/>
          <w:szCs w:val="21"/>
          <w14:textFill>
            <w14:solidFill>
              <w14:schemeClr w14:val="tx1"/>
            </w14:solidFill>
          </w14:textFill>
        </w:rPr>
        <w:t>使用</w:t>
      </w:r>
      <w:r>
        <w:rPr>
          <w:rFonts w:hint="eastAsia" w:cs="HiddenHorzOCR" w:asciiTheme="minorEastAsia" w:hAnsiTheme="minorEastAsia"/>
          <w:color w:val="000000" w:themeColor="text1"/>
          <w:kern w:val="0"/>
          <w:szCs w:val="21"/>
          <w14:textFill>
            <w14:solidFill>
              <w14:schemeClr w14:val="tx1"/>
            </w14:solidFill>
          </w14:textFill>
        </w:rPr>
        <w:t>；当遭受</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防烈度的地震影响</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，可能</w:t>
      </w:r>
      <w:r>
        <w:rPr>
          <w:rFonts w:hint="eastAsia" w:cs="宋体" w:asciiTheme="minorEastAsia" w:hAnsiTheme="minorEastAsia"/>
          <w:color w:val="000000" w:themeColor="text1"/>
          <w:kern w:val="0"/>
          <w:szCs w:val="21"/>
          <w14:textFill>
            <w14:solidFill>
              <w14:schemeClr w14:val="tx1"/>
            </w14:solidFill>
          </w14:textFill>
        </w:rPr>
        <w:t>损</w:t>
      </w:r>
      <w:r>
        <w:rPr>
          <w:rFonts w:hint="eastAsia" w:cs="MS Mincho" w:asciiTheme="minorEastAsia" w:hAnsiTheme="minorEastAsia"/>
          <w:color w:val="000000" w:themeColor="text1"/>
          <w:kern w:val="0"/>
          <w:szCs w:val="21"/>
          <w14:textFill>
            <w14:solidFill>
              <w14:schemeClr w14:val="tx1"/>
            </w14:solidFill>
          </w14:textFill>
        </w:rPr>
        <w:t>坏，</w:t>
      </w:r>
      <w:r>
        <w:rPr>
          <w:rFonts w:hint="eastAsia" w:cs="宋体" w:asciiTheme="minorEastAsia" w:hAnsiTheme="minorEastAsia"/>
          <w:color w:val="000000" w:themeColor="text1"/>
          <w:kern w:val="0"/>
          <w:szCs w:val="21"/>
          <w14:textFill>
            <w14:solidFill>
              <w14:schemeClr w14:val="tx1"/>
            </w14:solidFill>
          </w14:textFill>
        </w:rPr>
        <w:t>经</w:t>
      </w:r>
      <w:r>
        <w:rPr>
          <w:rFonts w:hint="eastAsia" w:cs="MS Mincho" w:asciiTheme="minorEastAsia" w:hAnsiTheme="minorEastAsia"/>
          <w:color w:val="000000" w:themeColor="text1"/>
          <w:kern w:val="0"/>
          <w:szCs w:val="21"/>
          <w14:textFill>
            <w14:solidFill>
              <w14:schemeClr w14:val="tx1"/>
            </w14:solidFill>
          </w14:textFill>
        </w:rPr>
        <w:t>一般修理或不修理仍可</w:t>
      </w:r>
      <w:r>
        <w:rPr>
          <w:rFonts w:hint="eastAsia" w:cs="宋体" w:asciiTheme="minorEastAsia" w:hAnsiTheme="minorEastAsia"/>
          <w:color w:val="000000" w:themeColor="text1"/>
          <w:kern w:val="0"/>
          <w:szCs w:val="21"/>
          <w14:textFill>
            <w14:solidFill>
              <w14:schemeClr w14:val="tx1"/>
            </w14:solidFill>
          </w14:textFill>
        </w:rPr>
        <w:t>继续</w:t>
      </w:r>
      <w:r>
        <w:rPr>
          <w:rFonts w:hint="eastAsia" w:cs="MS Mincho" w:asciiTheme="minorEastAsia" w:hAnsiTheme="minorEastAsia"/>
          <w:color w:val="000000" w:themeColor="text1"/>
          <w:kern w:val="0"/>
          <w:szCs w:val="21"/>
          <w14:textFill>
            <w14:solidFill>
              <w14:schemeClr w14:val="tx1"/>
            </w14:solidFill>
          </w14:textFill>
        </w:rPr>
        <w:t>使用</w:t>
      </w:r>
      <w:r>
        <w:rPr>
          <w:rFonts w:hint="eastAsia" w:cs="HiddenHorzOCR" w:asciiTheme="minorEastAsia" w:hAnsiTheme="minorEastAsia"/>
          <w:color w:val="000000" w:themeColor="text1"/>
          <w:kern w:val="0"/>
          <w:szCs w:val="21"/>
          <w14:textFill>
            <w14:solidFill>
              <w14:schemeClr w14:val="tx1"/>
            </w14:solidFill>
          </w14:textFill>
        </w:rPr>
        <w:t>；当遭受高于</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防烈度的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估</w:t>
      </w:r>
      <w:r>
        <w:rPr>
          <w:rFonts w:hint="eastAsia" w:cs="HiddenHorzOCR" w:asciiTheme="minorEastAsia" w:hAnsiTheme="minorEastAsia"/>
          <w:color w:val="000000" w:themeColor="text1"/>
          <w:kern w:val="0"/>
          <w:szCs w:val="21"/>
          <w14:textFill>
            <w14:solidFill>
              <w14:schemeClr w14:val="tx1"/>
            </w14:solidFill>
          </w14:textFill>
        </w:rPr>
        <w:t>的罕遇地震影响</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，不致倒</w:t>
      </w:r>
      <w:r>
        <w:rPr>
          <w:rFonts w:hint="eastAsia" w:cs="HiddenHorzOCR" w:asciiTheme="minorEastAsia" w:hAnsiTheme="minorEastAsia"/>
          <w:color w:val="000000" w:themeColor="text1"/>
          <w:kern w:val="0"/>
          <w:szCs w:val="21"/>
          <w14:textFill>
            <w14:solidFill>
              <w14:schemeClr w14:val="tx1"/>
            </w14:solidFill>
          </w14:textFill>
        </w:rPr>
        <w:t>塌或</w:t>
      </w:r>
      <w:r>
        <w:rPr>
          <w:rFonts w:hint="eastAsia" w:cs="宋体" w:asciiTheme="minorEastAsia" w:hAnsiTheme="minorEastAsia"/>
          <w:color w:val="000000" w:themeColor="text1"/>
          <w:kern w:val="0"/>
          <w:szCs w:val="21"/>
          <w14:textFill>
            <w14:solidFill>
              <w14:schemeClr w14:val="tx1"/>
            </w14:solidFill>
          </w14:textFill>
        </w:rPr>
        <w:t>产</w:t>
      </w:r>
      <w:r>
        <w:rPr>
          <w:rFonts w:hint="eastAsia" w:cs="MS Mincho" w:asciiTheme="minorEastAsia" w:hAnsiTheme="minorEastAsia"/>
          <w:color w:val="000000" w:themeColor="text1"/>
          <w:kern w:val="0"/>
          <w:szCs w:val="21"/>
          <w14:textFill>
            <w14:solidFill>
              <w14:schemeClr w14:val="tx1"/>
            </w14:solidFill>
          </w14:textFill>
        </w:rPr>
        <w:t>生危及生命的</w:t>
      </w:r>
      <w:r>
        <w:rPr>
          <w:rFonts w:hint="eastAsia" w:cs="宋体" w:asciiTheme="minorEastAsia" w:hAnsiTheme="minorEastAsia"/>
          <w:color w:val="000000" w:themeColor="text1"/>
          <w:kern w:val="0"/>
          <w:szCs w:val="21"/>
          <w14:textFill>
            <w14:solidFill>
              <w14:schemeClr w14:val="tx1"/>
            </w14:solidFill>
          </w14:textFill>
        </w:rPr>
        <w:t>严</w:t>
      </w:r>
      <w:r>
        <w:rPr>
          <w:rFonts w:hint="eastAsia" w:cs="MS Mincho" w:asciiTheme="minorEastAsia" w:hAnsiTheme="minorEastAsia"/>
          <w:color w:val="000000" w:themeColor="text1"/>
          <w:kern w:val="0"/>
          <w:szCs w:val="21"/>
          <w14:textFill>
            <w14:solidFill>
              <w14:schemeClr w14:val="tx1"/>
            </w14:solidFill>
          </w14:textFill>
        </w:rPr>
        <w:t>重破坏。</w:t>
      </w:r>
    </w:p>
    <w:p>
      <w:pPr>
        <w:autoSpaceDE w:val="0"/>
        <w:autoSpaceDN w:val="0"/>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1.0.4 </w:t>
      </w:r>
      <w:r>
        <w:rPr>
          <w:rFonts w:hint="eastAsia" w:cs="HiddenHorzOCR" w:asciiTheme="minorEastAsia" w:hAnsiTheme="minorEastAsia"/>
          <w:color w:val="000000" w:themeColor="text1"/>
          <w:kern w:val="0"/>
          <w:szCs w:val="21"/>
          <w14:textFill>
            <w14:solidFill>
              <w14:schemeClr w14:val="tx1"/>
            </w14:solidFill>
          </w14:textFill>
        </w:rPr>
        <w:t>抗震</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防烈度、设计基本地震加速度和设计地震分组采用《建筑抗震设计规范》GB50011中</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定的参数。</w:t>
      </w:r>
    </w:p>
    <w:p>
      <w:pPr>
        <w:autoSpaceDE w:val="0"/>
        <w:autoSpaceDN w:val="0"/>
        <w:spacing w:line="360" w:lineRule="auto"/>
        <w:ind w:firstLine="0" w:firstLineChars="0"/>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1.O.5 </w:t>
      </w:r>
      <w:r>
        <w:rPr>
          <w:rFonts w:hint="eastAsia" w:cs="HiddenHorzOCR" w:asciiTheme="minorEastAsia" w:hAnsiTheme="minorEastAsia"/>
          <w:color w:val="000000" w:themeColor="text1"/>
          <w:kern w:val="0"/>
          <w:szCs w:val="21"/>
          <w14:textFill>
            <w14:solidFill>
              <w14:schemeClr w14:val="tx1"/>
            </w14:solidFill>
          </w14:textFill>
        </w:rPr>
        <w:t>工</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建筑</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根据其功能、用途和地震破坏可能</w:t>
      </w:r>
      <w:r>
        <w:rPr>
          <w:rFonts w:hint="eastAsia" w:cs="宋体" w:asciiTheme="minorEastAsia" w:hAnsiTheme="minorEastAsia"/>
          <w:color w:val="000000" w:themeColor="text1"/>
          <w:kern w:val="0"/>
          <w:szCs w:val="21"/>
          <w14:textFill>
            <w14:solidFill>
              <w14:schemeClr w14:val="tx1"/>
            </w14:solidFill>
          </w14:textFill>
        </w:rPr>
        <w:t>产</w:t>
      </w:r>
      <w:r>
        <w:rPr>
          <w:rFonts w:hint="eastAsia" w:cs="MS Mincho" w:asciiTheme="minorEastAsia" w:hAnsiTheme="minorEastAsia"/>
          <w:color w:val="000000" w:themeColor="text1"/>
          <w:kern w:val="0"/>
          <w:szCs w:val="21"/>
          <w14:textFill>
            <w14:solidFill>
              <w14:schemeClr w14:val="tx1"/>
            </w14:solidFill>
          </w14:textFill>
        </w:rPr>
        <w:t>生的</w:t>
      </w:r>
      <w:r>
        <w:rPr>
          <w:rFonts w:hint="eastAsia" w:cs="HiddenHorzOCR" w:asciiTheme="minorEastAsia" w:hAnsiTheme="minorEastAsia"/>
          <w:color w:val="000000" w:themeColor="text1"/>
          <w:kern w:val="0"/>
          <w:szCs w:val="21"/>
          <w14:textFill>
            <w14:solidFill>
              <w14:schemeClr w14:val="tx1"/>
            </w14:solidFill>
          </w14:textFill>
        </w:rPr>
        <w:t>灾害和影响，分</w:t>
      </w:r>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下列四</w:t>
      </w:r>
      <w:r>
        <w:rPr>
          <w:rFonts w:hint="eastAsia" w:cs="宋体" w:asciiTheme="minorEastAsia" w:hAnsiTheme="minorEastAsia"/>
          <w:color w:val="000000" w:themeColor="text1"/>
          <w:kern w:val="0"/>
          <w:szCs w:val="21"/>
          <w14:textFill>
            <w14:solidFill>
              <w14:schemeClr w14:val="tx1"/>
            </w14:solidFill>
          </w14:textFill>
        </w:rPr>
        <w:t>类：</w:t>
      </w: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甲</w:t>
      </w:r>
      <w:r>
        <w:rPr>
          <w:rFonts w:hint="eastAsia" w:cs="宋体" w:asciiTheme="minorEastAsia" w:hAnsiTheme="minorEastAsia"/>
          <w:color w:val="000000" w:themeColor="text1"/>
          <w:kern w:val="0"/>
          <w:szCs w:val="21"/>
          <w14:textFill>
            <w14:solidFill>
              <w14:schemeClr w14:val="tx1"/>
            </w14:solidFill>
          </w14:textFill>
        </w:rPr>
        <w:t>类</w:t>
      </w:r>
      <w:r>
        <w:rPr>
          <w:rFonts w:hint="eastAsia" w:cs="MS Mincho" w:asciiTheme="minorEastAsia" w:hAnsiTheme="minorEastAsia"/>
          <w:color w:val="000000" w:themeColor="text1"/>
          <w:kern w:val="0"/>
          <w:szCs w:val="21"/>
          <w14:textFill>
            <w14:solidFill>
              <w14:schemeClr w14:val="tx1"/>
            </w14:solidFill>
          </w14:textFill>
        </w:rPr>
        <w:t>——特殊要求的建筑，如遇地震破</w:t>
      </w:r>
      <w:r>
        <w:rPr>
          <w:rFonts w:hint="eastAsia" w:cs="HiddenHorzOCR" w:asciiTheme="minorEastAsia" w:hAnsiTheme="minorEastAsia"/>
          <w:color w:val="000000" w:themeColor="text1"/>
          <w:kern w:val="0"/>
          <w:szCs w:val="21"/>
          <w14:textFill>
            <w14:solidFill>
              <w14:schemeClr w14:val="tx1"/>
            </w14:solidFill>
          </w14:textFill>
        </w:rPr>
        <w:t>坏会</w:t>
      </w:r>
      <w:r>
        <w:rPr>
          <w:rFonts w:hint="eastAsia" w:cs="宋体" w:asciiTheme="minorEastAsia" w:hAnsiTheme="minorEastAsia"/>
          <w:color w:val="000000" w:themeColor="text1"/>
          <w:kern w:val="0"/>
          <w:szCs w:val="21"/>
          <w14:textFill>
            <w14:solidFill>
              <w14:schemeClr w14:val="tx1"/>
            </w14:solidFill>
          </w14:textFill>
        </w:rPr>
        <w:t>导</w:t>
      </w:r>
      <w:r>
        <w:rPr>
          <w:rFonts w:hint="eastAsia" w:cs="MS Mincho" w:asciiTheme="minorEastAsia" w:hAnsiTheme="minorEastAsia"/>
          <w:color w:val="000000" w:themeColor="text1"/>
          <w:kern w:val="0"/>
          <w:szCs w:val="21"/>
          <w14:textFill>
            <w14:solidFill>
              <w14:schemeClr w14:val="tx1"/>
            </w14:solidFill>
          </w14:textFill>
        </w:rPr>
        <w:t>致</w:t>
      </w:r>
      <w:r>
        <w:rPr>
          <w:rFonts w:hint="eastAsia" w:cs="宋体" w:asciiTheme="minorEastAsia" w:hAnsiTheme="minorEastAsia"/>
          <w:color w:val="000000" w:themeColor="text1"/>
          <w:kern w:val="0"/>
          <w:szCs w:val="21"/>
          <w14:textFill>
            <w14:solidFill>
              <w14:schemeClr w14:val="tx1"/>
            </w14:solidFill>
          </w14:textFill>
        </w:rPr>
        <w:t>严</w:t>
      </w:r>
      <w:r>
        <w:rPr>
          <w:rFonts w:hint="eastAsia" w:cs="MS Mincho" w:asciiTheme="minorEastAsia" w:hAnsiTheme="minorEastAsia"/>
          <w:color w:val="000000" w:themeColor="text1"/>
          <w:kern w:val="0"/>
          <w:szCs w:val="21"/>
          <w14:textFill>
            <w14:solidFill>
              <w14:schemeClr w14:val="tx1"/>
            </w14:solidFill>
          </w14:textFill>
        </w:rPr>
        <w:t>重后果的</w:t>
      </w:r>
      <w:r>
        <w:rPr>
          <w:rFonts w:hint="eastAsia" w:cs="HiddenHorzOCR" w:asciiTheme="minorEastAsia" w:hAnsiTheme="minorEastAsia"/>
          <w:color w:val="000000" w:themeColor="text1"/>
          <w:kern w:val="0"/>
          <w:szCs w:val="21"/>
          <w14:textFill>
            <w14:solidFill>
              <w14:schemeClr w14:val="tx1"/>
            </w14:solidFill>
          </w14:textFill>
        </w:rPr>
        <w:t>建筑；</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乙</w:t>
      </w:r>
      <w:r>
        <w:rPr>
          <w:rFonts w:hint="eastAsia" w:cs="宋体" w:asciiTheme="minorEastAsia" w:hAnsiTheme="minorEastAsia"/>
          <w:color w:val="000000" w:themeColor="text1"/>
          <w:kern w:val="0"/>
          <w:szCs w:val="21"/>
          <w14:textFill>
            <w14:solidFill>
              <w14:schemeClr w14:val="tx1"/>
            </w14:solidFill>
          </w14:textFill>
        </w:rPr>
        <w:t>类</w:t>
      </w:r>
      <w:r>
        <w:rPr>
          <w:rFonts w:hint="eastAsia" w:cs="MS Mincho" w:asciiTheme="minorEastAsia" w:hAnsiTheme="minorEastAsia"/>
          <w:color w:val="000000" w:themeColor="text1"/>
          <w:kern w:val="0"/>
          <w:szCs w:val="21"/>
          <w14:textFill>
            <w14:solidFill>
              <w14:schemeClr w14:val="tx1"/>
            </w14:solidFill>
          </w14:textFill>
        </w:rPr>
        <w:t>——全国重点抗震城市、大型企</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和地</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条件</w:t>
      </w:r>
      <w:r>
        <w:rPr>
          <w:rFonts w:hint="eastAsia" w:cs="宋体" w:asciiTheme="minorEastAsia" w:hAnsiTheme="minorEastAsia"/>
          <w:color w:val="000000" w:themeColor="text1"/>
          <w:kern w:val="0"/>
          <w:szCs w:val="21"/>
          <w14:textFill>
            <w14:solidFill>
              <w14:schemeClr w14:val="tx1"/>
            </w14:solidFill>
          </w14:textFill>
        </w:rPr>
        <w:t>较</w:t>
      </w:r>
      <w:r>
        <w:rPr>
          <w:rFonts w:hint="eastAsia" w:cs="MS Mincho" w:asciiTheme="minorEastAsia" w:hAnsiTheme="minorEastAsia"/>
          <w:color w:val="000000" w:themeColor="text1"/>
          <w:kern w:val="0"/>
          <w:szCs w:val="21"/>
          <w14:textFill>
            <w14:solidFill>
              <w14:schemeClr w14:val="tx1"/>
            </w14:solidFill>
          </w14:textFill>
        </w:rPr>
        <w:t>复</w:t>
      </w:r>
      <w:r>
        <w:rPr>
          <w:rFonts w:hint="eastAsia" w:cs="宋体" w:asciiTheme="minorEastAsia" w:hAnsiTheme="minorEastAsia"/>
          <w:color w:val="000000" w:themeColor="text1"/>
          <w:kern w:val="0"/>
          <w:szCs w:val="21"/>
          <w14:textFill>
            <w14:solidFill>
              <w14:schemeClr w14:val="tx1"/>
            </w14:solidFill>
          </w14:textFill>
        </w:rPr>
        <w:t>杂</w:t>
      </w:r>
      <w:r>
        <w:rPr>
          <w:rFonts w:hint="eastAsia" w:cs="MS Mincho" w:asciiTheme="minorEastAsia" w:hAnsiTheme="minorEastAsia"/>
          <w:color w:val="000000" w:themeColor="text1"/>
          <w:kern w:val="0"/>
          <w:szCs w:val="21"/>
          <w14:textFill>
            <w14:solidFill>
              <w14:schemeClr w14:val="tx1"/>
            </w14:solidFill>
          </w14:textFill>
        </w:rPr>
        <w:t>的中、小型企</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的生命</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工程、地震</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的救灾</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施及震后</w:t>
      </w:r>
      <w:r>
        <w:rPr>
          <w:rFonts w:hint="eastAsia" w:cs="HiddenHorzOCR" w:asciiTheme="minorEastAsia" w:hAnsiTheme="minorEastAsia"/>
          <w:color w:val="000000" w:themeColor="text1"/>
          <w:kern w:val="0"/>
          <w:szCs w:val="21"/>
          <w14:textFill>
            <w14:solidFill>
              <w14:schemeClr w14:val="tx1"/>
            </w14:solidFill>
          </w14:textFill>
        </w:rPr>
        <w:t>可能</w:t>
      </w:r>
      <w:r>
        <w:rPr>
          <w:rFonts w:hint="eastAsia" w:cs="宋体" w:asciiTheme="minorEastAsia" w:hAnsiTheme="minorEastAsia"/>
          <w:color w:val="000000" w:themeColor="text1"/>
          <w:kern w:val="0"/>
          <w:szCs w:val="21"/>
          <w14:textFill>
            <w14:solidFill>
              <w14:schemeClr w14:val="tx1"/>
            </w14:solidFill>
          </w14:textFill>
        </w:rPr>
        <w:t>产</w:t>
      </w:r>
      <w:r>
        <w:rPr>
          <w:rFonts w:hint="eastAsia" w:cs="MS Mincho" w:asciiTheme="minorEastAsia" w:hAnsiTheme="minorEastAsia"/>
          <w:color w:val="000000" w:themeColor="text1"/>
          <w:kern w:val="0"/>
          <w:szCs w:val="21"/>
          <w14:textFill>
            <w14:solidFill>
              <w14:schemeClr w14:val="tx1"/>
            </w14:solidFill>
          </w14:textFill>
        </w:rPr>
        <w:t>生</w:t>
      </w:r>
      <w:r>
        <w:rPr>
          <w:rFonts w:hint="eastAsia" w:cs="宋体" w:asciiTheme="minorEastAsia" w:hAnsiTheme="minorEastAsia"/>
          <w:color w:val="000000" w:themeColor="text1"/>
          <w:kern w:val="0"/>
          <w:szCs w:val="21"/>
          <w14:textFill>
            <w14:solidFill>
              <w14:schemeClr w14:val="tx1"/>
            </w14:solidFill>
          </w14:textFill>
        </w:rPr>
        <w:t>严</w:t>
      </w:r>
      <w:r>
        <w:rPr>
          <w:rFonts w:hint="eastAsia" w:cs="MS Mincho" w:asciiTheme="minorEastAsia" w:hAnsiTheme="minorEastAsia"/>
          <w:color w:val="000000" w:themeColor="text1"/>
          <w:kern w:val="0"/>
          <w:szCs w:val="21"/>
          <w14:textFill>
            <w14:solidFill>
              <w14:schemeClr w14:val="tx1"/>
            </w14:solidFill>
          </w14:textFill>
        </w:rPr>
        <w:t>重次生灾害的建筑</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丙</w:t>
      </w:r>
      <w:r>
        <w:rPr>
          <w:rFonts w:hint="eastAsia" w:cs="宋体" w:asciiTheme="minorEastAsia" w:hAnsiTheme="minorEastAsia"/>
          <w:color w:val="000000" w:themeColor="text1"/>
          <w:kern w:val="0"/>
          <w:szCs w:val="21"/>
          <w14:textFill>
            <w14:solidFill>
              <w14:schemeClr w14:val="tx1"/>
            </w14:solidFill>
          </w14:textFill>
        </w:rPr>
        <w:t>类</w:t>
      </w:r>
      <w:r>
        <w:rPr>
          <w:rFonts w:hint="eastAsia" w:cs="MS Mincho"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甲、乙、丁</w:t>
      </w:r>
      <w:r>
        <w:rPr>
          <w:rFonts w:hint="eastAsia" w:cs="宋体" w:asciiTheme="minorEastAsia" w:hAnsiTheme="minorEastAsia"/>
          <w:color w:val="000000" w:themeColor="text1"/>
          <w:kern w:val="0"/>
          <w:szCs w:val="21"/>
          <w14:textFill>
            <w14:solidFill>
              <w14:schemeClr w14:val="tx1"/>
            </w14:solidFill>
          </w14:textFill>
        </w:rPr>
        <w:t>类</w:t>
      </w:r>
      <w:r>
        <w:rPr>
          <w:rFonts w:hint="eastAsia" w:cs="MS Mincho" w:asciiTheme="minorEastAsia" w:hAnsiTheme="minorEastAsia"/>
          <w:color w:val="000000" w:themeColor="text1"/>
          <w:kern w:val="0"/>
          <w:szCs w:val="21"/>
          <w14:textFill>
            <w14:solidFill>
              <w14:schemeClr w14:val="tx1"/>
            </w14:solidFill>
          </w14:textFill>
        </w:rPr>
        <w:t>以外的一般建筑</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丁</w:t>
      </w:r>
      <w:r>
        <w:rPr>
          <w:rFonts w:hint="eastAsia" w:cs="宋体" w:asciiTheme="minorEastAsia" w:hAnsiTheme="minorEastAsia"/>
          <w:color w:val="000000" w:themeColor="text1"/>
          <w:kern w:val="0"/>
          <w:szCs w:val="21"/>
          <w14:textFill>
            <w14:solidFill>
              <w14:schemeClr w14:val="tx1"/>
            </w14:solidFill>
          </w14:textFill>
        </w:rPr>
        <w:t>类</w:t>
      </w:r>
      <w:r>
        <w:rPr>
          <w:rFonts w:hint="eastAsia" w:cs="MS Mincho" w:asciiTheme="minorEastAsia" w:hAnsiTheme="minorEastAsia"/>
          <w:color w:val="000000" w:themeColor="text1"/>
          <w:kern w:val="0"/>
          <w:szCs w:val="21"/>
          <w14:textFill>
            <w14:solidFill>
              <w14:schemeClr w14:val="tx1"/>
            </w14:solidFill>
          </w14:textFill>
        </w:rPr>
        <w:t>——次要的建筑，如遇地震破坏不易造成人</w:t>
      </w:r>
      <w:r>
        <w:rPr>
          <w:rFonts w:hint="eastAsia" w:cs="宋体" w:asciiTheme="minorEastAsia" w:hAnsiTheme="minorEastAsia"/>
          <w:color w:val="000000" w:themeColor="text1"/>
          <w:kern w:val="0"/>
          <w:szCs w:val="21"/>
          <w14:textFill>
            <w14:solidFill>
              <w14:schemeClr w14:val="tx1"/>
            </w14:solidFill>
          </w14:textFill>
        </w:rPr>
        <w:t>员伤</w:t>
      </w:r>
      <w:r>
        <w:rPr>
          <w:rFonts w:hint="eastAsia" w:cs="MS Mincho" w:asciiTheme="minorEastAsia" w:hAnsiTheme="minorEastAsia"/>
          <w:color w:val="000000" w:themeColor="text1"/>
          <w:kern w:val="0"/>
          <w:szCs w:val="21"/>
          <w14:textFill>
            <w14:solidFill>
              <w14:schemeClr w14:val="tx1"/>
            </w14:solidFill>
          </w14:textFill>
        </w:rPr>
        <w:t>亡和</w:t>
      </w:r>
      <w:r>
        <w:rPr>
          <w:rFonts w:hint="eastAsia" w:cs="宋体" w:asciiTheme="minorEastAsia" w:hAnsiTheme="minorEastAsia"/>
          <w:color w:val="000000" w:themeColor="text1"/>
          <w:kern w:val="0"/>
          <w:szCs w:val="21"/>
          <w14:textFill>
            <w14:solidFill>
              <w14:schemeClr w14:val="tx1"/>
            </w14:solidFill>
          </w14:textFill>
        </w:rPr>
        <w:t>较</w:t>
      </w:r>
      <w:r>
        <w:rPr>
          <w:rFonts w:hint="eastAsia" w:cs="HiddenHorzOCR" w:asciiTheme="minorEastAsia" w:hAnsiTheme="minorEastAsia"/>
          <w:color w:val="000000" w:themeColor="text1"/>
          <w:kern w:val="0"/>
          <w:szCs w:val="21"/>
          <w14:textFill>
            <w14:solidFill>
              <w14:schemeClr w14:val="tx1"/>
            </w14:solidFill>
          </w14:textFill>
        </w:rPr>
        <w:t>大</w:t>
      </w:r>
      <w:r>
        <w:rPr>
          <w:rFonts w:hint="eastAsia" w:cs="宋体" w:asciiTheme="minorEastAsia" w:hAnsiTheme="minorEastAsia"/>
          <w:color w:val="000000" w:themeColor="text1"/>
          <w:kern w:val="0"/>
          <w:szCs w:val="21"/>
          <w14:textFill>
            <w14:solidFill>
              <w14:schemeClr w14:val="tx1"/>
            </w14:solidFill>
          </w14:textFill>
        </w:rPr>
        <w:t>经济损</w:t>
      </w:r>
      <w:r>
        <w:rPr>
          <w:rFonts w:hint="eastAsia" w:cs="MS Mincho" w:asciiTheme="minorEastAsia" w:hAnsiTheme="minorEastAsia"/>
          <w:color w:val="000000" w:themeColor="text1"/>
          <w:kern w:val="0"/>
          <w:szCs w:val="21"/>
          <w14:textFill>
            <w14:solidFill>
              <w14:schemeClr w14:val="tx1"/>
            </w14:solidFill>
          </w14:textFill>
        </w:rPr>
        <w:t>失的建筑。</w:t>
      </w:r>
    </w:p>
    <w:p>
      <w:pPr>
        <w:autoSpaceDE w:val="0"/>
        <w:autoSpaceDN w:val="0"/>
        <w:spacing w:line="360" w:lineRule="auto"/>
        <w:ind w:left="210" w:leftChars="100" w:firstLine="210" w:firstLineChars="100"/>
        <w:jc w:val="left"/>
        <w:rPr>
          <w:rFonts w:cs="MS Mincho"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工</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建筑的抗震</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防</w:t>
      </w:r>
      <w:r>
        <w:rPr>
          <w:rFonts w:hint="eastAsia" w:cs="宋体" w:asciiTheme="minorEastAsia" w:hAnsiTheme="minorEastAsia"/>
          <w:color w:val="000000" w:themeColor="text1"/>
          <w:kern w:val="0"/>
          <w:szCs w:val="21"/>
          <w14:textFill>
            <w14:solidFill>
              <w14:schemeClr w14:val="tx1"/>
            </w14:solidFill>
          </w14:textFill>
        </w:rPr>
        <w:t>类别和抗震设防标准</w:t>
      </w:r>
      <w:r>
        <w:rPr>
          <w:rFonts w:hint="eastAsia" w:cs="MS Mincho" w:asciiTheme="minorEastAsia" w:hAnsiTheme="minorEastAsia"/>
          <w:color w:val="000000" w:themeColor="text1"/>
          <w:kern w:val="0"/>
          <w:szCs w:val="21"/>
          <w14:textFill>
            <w14:solidFill>
              <w14:schemeClr w14:val="tx1"/>
            </w14:solidFill>
          </w14:textFill>
        </w:rPr>
        <w:t>应按现行国家标准《建筑工程抗震设防分类标</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准》GB50223</w:t>
      </w:r>
      <w:r>
        <w:rPr>
          <w:rFonts w:hint="eastAsia" w:cs="宋体" w:asciiTheme="minorEastAsia" w:hAnsiTheme="minorEastAsia"/>
          <w:color w:val="000000" w:themeColor="text1"/>
          <w:kern w:val="0"/>
          <w:szCs w:val="21"/>
          <w14:textFill>
            <w14:solidFill>
              <w14:schemeClr w14:val="tx1"/>
            </w14:solidFill>
          </w14:textFill>
        </w:rPr>
        <w:t>确定</w:t>
      </w:r>
      <w:r>
        <w:rPr>
          <w:rFonts w:hint="eastAsia" w:cs="MS Mincho"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甲</w:t>
      </w:r>
      <w:r>
        <w:rPr>
          <w:rFonts w:hint="eastAsia" w:cs="宋体" w:asciiTheme="minorEastAsia" w:hAnsiTheme="minorEastAsia"/>
          <w:color w:val="000000" w:themeColor="text1"/>
          <w:kern w:val="0"/>
          <w:szCs w:val="21"/>
          <w14:textFill>
            <w14:solidFill>
              <w14:schemeClr w14:val="tx1"/>
            </w14:solidFill>
          </w14:textFill>
        </w:rPr>
        <w:t>类</w:t>
      </w:r>
      <w:r>
        <w:rPr>
          <w:rFonts w:hint="eastAsia" w:cs="MS Mincho" w:asciiTheme="minorEastAsia" w:hAnsiTheme="minorEastAsia"/>
          <w:color w:val="000000" w:themeColor="text1"/>
          <w:kern w:val="0"/>
          <w:szCs w:val="21"/>
          <w14:textFill>
            <w14:solidFill>
              <w14:schemeClr w14:val="tx1"/>
            </w14:solidFill>
          </w14:textFill>
        </w:rPr>
        <w:t>建筑的确定，必</w:t>
      </w:r>
      <w:r>
        <w:rPr>
          <w:rFonts w:hint="eastAsia" w:cs="宋体" w:asciiTheme="minorEastAsia" w:hAnsiTheme="minorEastAsia"/>
          <w:color w:val="000000" w:themeColor="text1"/>
          <w:kern w:val="0"/>
          <w:szCs w:val="21"/>
          <w14:textFill>
            <w14:solidFill>
              <w14:schemeClr w14:val="tx1"/>
            </w14:solidFill>
          </w14:textFill>
        </w:rPr>
        <w:t>须经</w:t>
      </w:r>
      <w:r>
        <w:rPr>
          <w:rFonts w:hint="eastAsia" w:cs="MS Mincho" w:asciiTheme="minorEastAsia" w:hAnsiTheme="minorEastAsia"/>
          <w:color w:val="000000" w:themeColor="text1"/>
          <w:kern w:val="0"/>
          <w:szCs w:val="21"/>
          <w14:textFill>
            <w14:solidFill>
              <w14:schemeClr w14:val="tx1"/>
            </w14:solidFill>
          </w14:textFill>
        </w:rPr>
        <w:t>国家</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定的批准</w:t>
      </w:r>
      <w:r>
        <w:rPr>
          <w:rFonts w:hint="eastAsia" w:cs="宋体" w:asciiTheme="minorEastAsia" w:hAnsiTheme="minorEastAsia"/>
          <w:color w:val="000000" w:themeColor="text1"/>
          <w:kern w:val="0"/>
          <w:szCs w:val="21"/>
          <w14:textFill>
            <w14:solidFill>
              <w14:schemeClr w14:val="tx1"/>
            </w14:solidFill>
          </w14:textFill>
        </w:rPr>
        <w:t>权</w:t>
      </w:r>
      <w:r>
        <w:rPr>
          <w:rFonts w:hint="eastAsia" w:cs="MS Mincho" w:asciiTheme="minorEastAsia" w:hAnsiTheme="minorEastAsia"/>
          <w:color w:val="000000" w:themeColor="text1"/>
          <w:kern w:val="0"/>
          <w:szCs w:val="21"/>
          <w14:textFill>
            <w14:solidFill>
              <w14:schemeClr w14:val="tx1"/>
            </w14:solidFill>
          </w14:textFill>
        </w:rPr>
        <w:t>限</w:t>
      </w:r>
      <w:r>
        <w:rPr>
          <w:rFonts w:hint="eastAsia" w:cs="宋体" w:asciiTheme="minorEastAsia" w:hAnsiTheme="minorEastAsia"/>
          <w:color w:val="000000" w:themeColor="text1"/>
          <w:kern w:val="0"/>
          <w:szCs w:val="21"/>
          <w14:textFill>
            <w14:solidFill>
              <w14:schemeClr w14:val="tx1"/>
            </w14:solidFill>
          </w14:textFill>
        </w:rPr>
        <w:t>审</w:t>
      </w:r>
      <w:r>
        <w:rPr>
          <w:rFonts w:hint="eastAsia" w:cs="MS Mincho" w:asciiTheme="minorEastAsia" w:hAnsiTheme="minorEastAsia"/>
          <w:color w:val="000000" w:themeColor="text1"/>
          <w:kern w:val="0"/>
          <w:szCs w:val="21"/>
          <w14:textFill>
            <w14:solidFill>
              <w14:schemeClr w14:val="tx1"/>
            </w14:solidFill>
          </w14:textFill>
        </w:rPr>
        <w:t>批。</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1.O.6 </w:t>
      </w:r>
      <w:r>
        <w:rPr>
          <w:rFonts w:hint="eastAsia" w:cs="HiddenHorzOCR" w:asciiTheme="minorEastAsia" w:hAnsiTheme="minorEastAsia"/>
          <w:color w:val="000000" w:themeColor="text1"/>
          <w:kern w:val="0"/>
          <w:szCs w:val="21"/>
          <w14:textFill>
            <w14:solidFill>
              <w14:schemeClr w14:val="tx1"/>
            </w14:solidFill>
          </w14:textFill>
        </w:rPr>
        <w:t>工</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建筑的抗震</w:t>
      </w:r>
      <w:r>
        <w:rPr>
          <w:rFonts w:hint="eastAsia" w:cs="宋体" w:asciiTheme="minorEastAsia" w:hAnsiTheme="minorEastAsia"/>
          <w:color w:val="000000" w:themeColor="text1"/>
          <w:kern w:val="0"/>
          <w:szCs w:val="21"/>
          <w14:textFill>
            <w14:solidFill>
              <w14:schemeClr w14:val="tx1"/>
            </w14:solidFill>
          </w14:textFill>
        </w:rPr>
        <w:t>设计应</w:t>
      </w:r>
      <w:r>
        <w:rPr>
          <w:rFonts w:hint="eastAsia" w:cs="MS Mincho" w:asciiTheme="minorEastAsia" w:hAnsiTheme="minorEastAsia"/>
          <w:color w:val="000000" w:themeColor="text1"/>
          <w:kern w:val="0"/>
          <w:szCs w:val="21"/>
          <w14:textFill>
            <w14:solidFill>
              <w14:schemeClr w14:val="tx1"/>
            </w14:solidFill>
          </w14:textFill>
        </w:rPr>
        <w:t>符合表</w:t>
      </w:r>
      <w:r>
        <w:rPr>
          <w:rFonts w:cs="HiddenHorzOCR" w:asciiTheme="minorEastAsia" w:hAnsiTheme="minorEastAsia"/>
          <w:color w:val="000000" w:themeColor="text1"/>
          <w:kern w:val="0"/>
          <w:szCs w:val="21"/>
          <w14:textFill>
            <w14:solidFill>
              <w14:schemeClr w14:val="tx1"/>
            </w14:solidFill>
          </w14:textFill>
        </w:rPr>
        <w:t>1.</w:t>
      </w:r>
      <w:r>
        <w:rPr>
          <w:rFonts w:hint="eastAsia" w:cs="Times New Roman" w:asciiTheme="minorEastAsia" w:hAnsiTheme="minorEastAsia"/>
          <w:color w:val="000000" w:themeColor="text1"/>
          <w:kern w:val="0"/>
          <w:szCs w:val="21"/>
          <w14:textFill>
            <w14:solidFill>
              <w14:schemeClr w14:val="tx1"/>
            </w14:solidFill>
          </w14:textFill>
        </w:rPr>
        <w:t>0</w:t>
      </w:r>
      <w:r>
        <w:rPr>
          <w:rFonts w:cs="Times New Roman" w:asciiTheme="minorEastAsia" w:hAnsiTheme="minorEastAsia"/>
          <w:color w:val="000000" w:themeColor="text1"/>
          <w:kern w:val="0"/>
          <w:szCs w:val="21"/>
          <w14:textFill>
            <w14:solidFill>
              <w14:schemeClr w14:val="tx1"/>
            </w14:solidFill>
          </w14:textFill>
        </w:rPr>
        <w:t>.</w:t>
      </w:r>
      <w:r>
        <w:rPr>
          <w:rFonts w:cs="HiddenHorzOCR" w:asciiTheme="minorEastAsia" w:hAnsiTheme="minorEastAsia"/>
          <w:color w:val="000000" w:themeColor="text1"/>
          <w:kern w:val="0"/>
          <w:szCs w:val="21"/>
          <w14:textFill>
            <w14:solidFill>
              <w14:schemeClr w14:val="tx1"/>
            </w14:solidFill>
          </w14:textFill>
        </w:rPr>
        <w:t>6</w:t>
      </w:r>
      <w:r>
        <w:rPr>
          <w:rFonts w:hint="eastAsia" w:cs="HiddenHorzOCR" w:asciiTheme="minorEastAsia" w:hAnsiTheme="minorEastAsia"/>
          <w:color w:val="000000" w:themeColor="text1"/>
          <w:kern w:val="0"/>
          <w:szCs w:val="21"/>
          <w14:textFill>
            <w14:solidFill>
              <w14:schemeClr w14:val="tx1"/>
            </w14:solidFill>
          </w14:textFill>
        </w:rPr>
        <w:t>-1的要求。</w:t>
      </w:r>
    </w:p>
    <w:p>
      <w:pPr>
        <w:autoSpaceDE w:val="0"/>
        <w:autoSpaceDN w:val="0"/>
        <w:spacing w:line="360" w:lineRule="auto"/>
        <w:ind w:left="210" w:leftChars="100" w:firstLine="210" w:firstLineChars="100"/>
        <w:jc w:val="center"/>
        <w:rPr>
          <w:rFonts w:cs="HiddenHorzOCR" w:asciiTheme="minorEastAsia" w:hAnsiTheme="minorEastAsia"/>
          <w:color w:val="000000" w:themeColor="text1"/>
          <w:kern w:val="0"/>
          <w:sz w:val="18"/>
          <w:szCs w:val="18"/>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      </w:t>
      </w:r>
      <w:r>
        <w:rPr>
          <w:rFonts w:hint="eastAsia" w:ascii="黑体" w:hAnsi="黑体" w:eastAsia="黑体" w:cs="HiddenHorzOCR"/>
          <w:color w:val="000000" w:themeColor="text1"/>
          <w:kern w:val="0"/>
          <w:sz w:val="18"/>
          <w:szCs w:val="18"/>
          <w14:textFill>
            <w14:solidFill>
              <w14:schemeClr w14:val="tx1"/>
            </w14:solidFill>
          </w14:textFill>
        </w:rPr>
        <w:t>工业建筑的抗震设计要求</w:t>
      </w:r>
      <w:r>
        <w:rPr>
          <w:rFonts w:hint="eastAsia" w:cs="HiddenHorzOCR" w:asciiTheme="minorEastAsia" w:hAnsiTheme="minorEastAsia"/>
          <w:color w:val="000000" w:themeColor="text1"/>
          <w:kern w:val="0"/>
          <w:sz w:val="18"/>
          <w:szCs w:val="18"/>
          <w14:textFill>
            <w14:solidFill>
              <w14:schemeClr w14:val="tx1"/>
            </w14:solidFill>
          </w14:textFill>
        </w:rPr>
        <w:t xml:space="preserve">      </w:t>
      </w:r>
      <w:r>
        <w:rPr>
          <w:rFonts w:eastAsia="黑体" w:cs="Times New Roman"/>
          <w:color w:val="000000" w:themeColor="text1"/>
          <w:kern w:val="0"/>
          <w:sz w:val="18"/>
          <w:szCs w:val="18"/>
          <w14:textFill>
            <w14:solidFill>
              <w14:schemeClr w14:val="tx1"/>
            </w14:solidFill>
          </w14:textFill>
        </w:rPr>
        <w:t>表</w:t>
      </w:r>
      <w:r>
        <w:rPr>
          <w:rFonts w:hint="eastAsia" w:eastAsia="黑体" w:cs="Times New Roman"/>
          <w:color w:val="000000" w:themeColor="text1"/>
          <w:kern w:val="0"/>
          <w:sz w:val="18"/>
          <w:szCs w:val="18"/>
          <w14:textFill>
            <w14:solidFill>
              <w14:schemeClr w14:val="tx1"/>
            </w14:solidFill>
          </w14:textFill>
        </w:rPr>
        <w:t xml:space="preserve"> </w:t>
      </w:r>
      <w:r>
        <w:rPr>
          <w:rFonts w:eastAsia="黑体" w:cs="Times New Roman"/>
          <w:b/>
          <w:color w:val="000000" w:themeColor="text1"/>
          <w:kern w:val="0"/>
          <w:sz w:val="18"/>
          <w:szCs w:val="18"/>
          <w14:textFill>
            <w14:solidFill>
              <w14:schemeClr w14:val="tx1"/>
            </w14:solidFill>
          </w14:textFill>
        </w:rPr>
        <w:t>1.0.6</w:t>
      </w:r>
      <w:r>
        <w:rPr>
          <w:rFonts w:hint="eastAsia" w:eastAsia="黑体" w:cs="Times New Roman"/>
          <w:b/>
          <w:color w:val="000000" w:themeColor="text1"/>
          <w:kern w:val="0"/>
          <w:sz w:val="18"/>
          <w:szCs w:val="18"/>
          <w14:textFill>
            <w14:solidFill>
              <w14:schemeClr w14:val="tx1"/>
            </w14:solidFill>
          </w14:textFill>
        </w:rPr>
        <w:t>-1</w:t>
      </w:r>
    </w:p>
    <w:tbl>
      <w:tblPr>
        <w:tblStyle w:val="33"/>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92"/>
        <w:gridCol w:w="1559"/>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blHeader/>
        </w:trPr>
        <w:tc>
          <w:tcPr>
            <w:tcW w:w="709"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序号</w:t>
            </w:r>
          </w:p>
        </w:tc>
        <w:tc>
          <w:tcPr>
            <w:tcW w:w="992"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建筑抗震设防类别</w:t>
            </w:r>
          </w:p>
        </w:tc>
        <w:tc>
          <w:tcPr>
            <w:tcW w:w="1559"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地震作用计算</w:t>
            </w:r>
          </w:p>
        </w:tc>
        <w:tc>
          <w:tcPr>
            <w:tcW w:w="3544"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抗震措施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1</w:t>
            </w:r>
          </w:p>
        </w:tc>
        <w:tc>
          <w:tcPr>
            <w:tcW w:w="992"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甲类</w:t>
            </w:r>
          </w:p>
        </w:tc>
        <w:tc>
          <w:tcPr>
            <w:tcW w:w="1559" w:type="dxa"/>
            <w:vAlign w:val="center"/>
          </w:tcPr>
          <w:p>
            <w:pPr>
              <w:autoSpaceDE w:val="0"/>
              <w:autoSpaceDN w:val="0"/>
              <w:spacing w:before="156" w:beforeLines="50" w:line="360" w:lineRule="auto"/>
              <w:ind w:firstLine="0" w:firstLineChars="0"/>
              <w:jc w:val="left"/>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按专门研究的地震动参数计算</w:t>
            </w:r>
          </w:p>
        </w:tc>
        <w:tc>
          <w:tcPr>
            <w:tcW w:w="3544" w:type="dxa"/>
            <w:vAlign w:val="center"/>
          </w:tcPr>
          <w:p>
            <w:pPr>
              <w:autoSpaceDE w:val="0"/>
              <w:autoSpaceDN w:val="0"/>
              <w:spacing w:before="156" w:beforeLines="50" w:line="360" w:lineRule="auto"/>
              <w:ind w:firstLine="0" w:firstLineChars="0"/>
              <w:jc w:val="left"/>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应采取特殊抗震措施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709"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2</w:t>
            </w:r>
          </w:p>
        </w:tc>
        <w:tc>
          <w:tcPr>
            <w:tcW w:w="992"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乙类</w:t>
            </w:r>
          </w:p>
        </w:tc>
        <w:tc>
          <w:tcPr>
            <w:tcW w:w="1559" w:type="dxa"/>
            <w:vAlign w:val="center"/>
          </w:tcPr>
          <w:p>
            <w:pPr>
              <w:autoSpaceDE w:val="0"/>
              <w:autoSpaceDN w:val="0"/>
              <w:spacing w:before="156" w:beforeLines="50" w:line="360" w:lineRule="auto"/>
              <w:ind w:firstLine="0" w:firstLineChars="0"/>
              <w:jc w:val="left"/>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按设防烈度计算</w:t>
            </w:r>
          </w:p>
        </w:tc>
        <w:tc>
          <w:tcPr>
            <w:tcW w:w="3544" w:type="dxa"/>
            <w:vAlign w:val="center"/>
          </w:tcPr>
          <w:p>
            <w:pPr>
              <w:autoSpaceDE w:val="0"/>
              <w:autoSpaceDN w:val="0"/>
              <w:spacing w:before="156" w:beforeLines="50" w:line="360" w:lineRule="auto"/>
              <w:ind w:firstLine="0" w:firstLineChars="0"/>
              <w:jc w:val="left"/>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可按设防烈度提高一度（设防烈度为9度时适当加强）采取抗震措施；I类场地时可不提高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709"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3</w:t>
            </w:r>
          </w:p>
        </w:tc>
        <w:tc>
          <w:tcPr>
            <w:tcW w:w="992"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丙类</w:t>
            </w:r>
          </w:p>
        </w:tc>
        <w:tc>
          <w:tcPr>
            <w:tcW w:w="1559" w:type="dxa"/>
            <w:vAlign w:val="center"/>
          </w:tcPr>
          <w:p>
            <w:pPr>
              <w:autoSpaceDE w:val="0"/>
              <w:autoSpaceDN w:val="0"/>
              <w:spacing w:before="156" w:beforeLines="50" w:line="360" w:lineRule="auto"/>
              <w:ind w:firstLine="0" w:firstLineChars="0"/>
              <w:jc w:val="left"/>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按设防烈度计算</w:t>
            </w:r>
          </w:p>
        </w:tc>
        <w:tc>
          <w:tcPr>
            <w:tcW w:w="3544" w:type="dxa"/>
            <w:vAlign w:val="center"/>
          </w:tcPr>
          <w:p>
            <w:pPr>
              <w:autoSpaceDE w:val="0"/>
              <w:autoSpaceDN w:val="0"/>
              <w:spacing w:before="156" w:beforeLines="50" w:line="360" w:lineRule="auto"/>
              <w:ind w:firstLine="0" w:firstLineChars="0"/>
              <w:jc w:val="left"/>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应按设防烈度采取抗震措施；I类场地可降低一度采取抗震措施；但设防烈度为6度时可不降低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709"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4</w:t>
            </w:r>
          </w:p>
        </w:tc>
        <w:tc>
          <w:tcPr>
            <w:tcW w:w="992" w:type="dxa"/>
            <w:vAlign w:val="center"/>
          </w:tcPr>
          <w:p>
            <w:pPr>
              <w:autoSpaceDE w:val="0"/>
              <w:autoSpaceDN w:val="0"/>
              <w:spacing w:before="156" w:beforeLines="50" w:line="360" w:lineRule="auto"/>
              <w:ind w:firstLine="0" w:firstLineChars="0"/>
              <w:jc w:val="center"/>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丁类</w:t>
            </w:r>
          </w:p>
        </w:tc>
        <w:tc>
          <w:tcPr>
            <w:tcW w:w="1559" w:type="dxa"/>
            <w:vAlign w:val="center"/>
          </w:tcPr>
          <w:p>
            <w:pPr>
              <w:autoSpaceDE w:val="0"/>
              <w:autoSpaceDN w:val="0"/>
              <w:spacing w:before="156" w:beforeLines="50" w:line="360" w:lineRule="auto"/>
              <w:ind w:firstLine="0" w:firstLineChars="0"/>
              <w:jc w:val="left"/>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按设防烈度计算</w:t>
            </w:r>
          </w:p>
        </w:tc>
        <w:tc>
          <w:tcPr>
            <w:tcW w:w="3544" w:type="dxa"/>
            <w:vAlign w:val="center"/>
          </w:tcPr>
          <w:p>
            <w:pPr>
              <w:autoSpaceDE w:val="0"/>
              <w:autoSpaceDN w:val="0"/>
              <w:spacing w:before="156" w:beforeLines="50" w:line="360" w:lineRule="auto"/>
              <w:ind w:firstLine="0" w:firstLineChars="0"/>
              <w:jc w:val="left"/>
              <w:rPr>
                <w:rFonts w:cs="MS Mincho" w:asciiTheme="minorEastAsia" w:hAnsiTheme="minorEastAsia"/>
                <w:color w:val="000000" w:themeColor="text1"/>
                <w:kern w:val="0"/>
                <w:sz w:val="18"/>
                <w:szCs w:val="18"/>
                <w14:textFill>
                  <w14:solidFill>
                    <w14:schemeClr w14:val="tx1"/>
                  </w14:solidFill>
                </w14:textFill>
              </w:rPr>
            </w:pPr>
            <w:r>
              <w:rPr>
                <w:rFonts w:hint="eastAsia" w:cs="MS Mincho" w:asciiTheme="minorEastAsia" w:hAnsiTheme="minorEastAsia"/>
                <w:color w:val="000000" w:themeColor="text1"/>
                <w:kern w:val="0"/>
                <w:sz w:val="18"/>
                <w:szCs w:val="18"/>
                <w14:textFill>
                  <w14:solidFill>
                    <w14:schemeClr w14:val="tx1"/>
                  </w14:solidFill>
                </w14:textFill>
              </w:rPr>
              <w:t>对各类场地，可按设防烈度降低一度采取抗震措施；但设防烈度为6度时可不降低</w:t>
            </w:r>
          </w:p>
        </w:tc>
      </w:tr>
    </w:tbl>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bookmarkStart w:id="285" w:name="_GoBack"/>
      <w:bookmarkEnd w:id="285"/>
      <w:r>
        <w:rPr>
          <w:rFonts w:cs="Times New Roman" w:asciiTheme="minorEastAsia" w:hAnsiTheme="minorEastAsia"/>
          <w:color w:val="000000" w:themeColor="text1"/>
          <w:kern w:val="0"/>
          <w:szCs w:val="21"/>
          <w14:textFill>
            <w14:solidFill>
              <w14:schemeClr w14:val="tx1"/>
            </w14:solidFill>
          </w14:textFill>
        </w:rPr>
        <w:t>1.0.</w:t>
      </w:r>
      <w:r>
        <w:rPr>
          <w:rFonts w:hint="eastAsia" w:cs="Times New Roman" w:asciiTheme="minorEastAsia" w:hAnsiTheme="minorEastAsia"/>
          <w:color w:val="000000" w:themeColor="text1"/>
          <w:kern w:val="0"/>
          <w:szCs w:val="21"/>
          <w14:textFill>
            <w14:solidFill>
              <w14:schemeClr w14:val="tx1"/>
            </w14:solidFill>
          </w14:textFill>
        </w:rPr>
        <w:t>7</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cs="HiddenHorzOCR" w:asciiTheme="minorEastAsia" w:hAnsiTheme="minorEastAsia"/>
          <w:color w:val="000000" w:themeColor="text1"/>
          <w:kern w:val="0"/>
          <w:szCs w:val="21"/>
          <w14:textFill>
            <w14:solidFill>
              <w14:schemeClr w14:val="tx1"/>
            </w14:solidFill>
          </w14:textFill>
        </w:rPr>
        <w:t>8</w:t>
      </w:r>
      <w:r>
        <w:rPr>
          <w:rFonts w:hint="eastAsia" w:cs="HiddenHorzOCR" w:asciiTheme="minorEastAsia" w:hAnsiTheme="minorEastAsia"/>
          <w:color w:val="000000" w:themeColor="text1"/>
          <w:kern w:val="0"/>
          <w:szCs w:val="21"/>
          <w14:textFill>
            <w14:solidFill>
              <w14:schemeClr w14:val="tx1"/>
            </w14:solidFill>
          </w14:textFill>
        </w:rPr>
        <w:t>度和</w:t>
      </w:r>
      <w:r>
        <w:rPr>
          <w:rFonts w:cs="HiddenHorzOCR" w:asciiTheme="minorEastAsia" w:hAnsiTheme="minorEastAsia"/>
          <w:color w:val="000000" w:themeColor="text1"/>
          <w:kern w:val="0"/>
          <w:szCs w:val="21"/>
          <w14:textFill>
            <w14:solidFill>
              <w14:schemeClr w14:val="tx1"/>
            </w14:solidFill>
          </w14:textFill>
        </w:rPr>
        <w:t>9</w:t>
      </w:r>
      <w:r>
        <w:rPr>
          <w:rFonts w:hint="eastAsia" w:cs="HiddenHorzOCR"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，大、中型</w:t>
      </w:r>
      <w:r>
        <w:rPr>
          <w:rFonts w:hint="eastAsia" w:cs="HiddenHorzOCR" w:asciiTheme="minorEastAsia" w:hAnsiTheme="minorEastAsia"/>
          <w:color w:val="000000" w:themeColor="text1"/>
          <w:kern w:val="0"/>
          <w:szCs w:val="21"/>
          <w14:textFill>
            <w14:solidFill>
              <w14:schemeClr w14:val="tx1"/>
            </w14:solidFill>
          </w14:textFill>
        </w:rPr>
        <w:t>的通</w:t>
      </w:r>
      <w:r>
        <w:rPr>
          <w:rFonts w:hint="eastAsia" w:cs="宋体" w:asciiTheme="minorEastAsia" w:hAnsiTheme="minorEastAsia"/>
          <w:color w:val="000000" w:themeColor="text1"/>
          <w:kern w:val="0"/>
          <w:szCs w:val="21"/>
          <w14:textFill>
            <w14:solidFill>
              <w14:schemeClr w14:val="tx1"/>
            </w14:solidFill>
          </w14:textFill>
        </w:rPr>
        <w:t>讯</w:t>
      </w:r>
      <w:r>
        <w:rPr>
          <w:rFonts w:hint="eastAsia" w:cs="MS Mincho" w:asciiTheme="minorEastAsia" w:hAnsiTheme="minorEastAsia"/>
          <w:color w:val="000000" w:themeColor="text1"/>
          <w:kern w:val="0"/>
          <w:szCs w:val="21"/>
          <w14:textFill>
            <w14:solidFill>
              <w14:schemeClr w14:val="tx1"/>
            </w14:solidFill>
          </w14:textFill>
        </w:rPr>
        <w:t>、交通、供水、供</w:t>
      </w:r>
      <w:r>
        <w:rPr>
          <w:rFonts w:hint="eastAsia" w:cs="宋体" w:asciiTheme="minorEastAsia" w:hAnsiTheme="minorEastAsia"/>
          <w:color w:val="000000" w:themeColor="text1"/>
          <w:kern w:val="0"/>
          <w:szCs w:val="21"/>
          <w14:textFill>
            <w14:solidFill>
              <w14:schemeClr w14:val="tx1"/>
            </w14:solidFill>
          </w14:textFill>
        </w:rPr>
        <w:t>电</w:t>
      </w:r>
      <w:r>
        <w:rPr>
          <w:rFonts w:hint="eastAsia" w:cs="MS Mincho" w:asciiTheme="minorEastAsia" w:hAnsiTheme="minorEastAsia"/>
          <w:color w:val="000000" w:themeColor="text1"/>
          <w:kern w:val="0"/>
          <w:szCs w:val="21"/>
          <w14:textFill>
            <w14:solidFill>
              <w14:schemeClr w14:val="tx1"/>
            </w14:solidFill>
          </w14:textFill>
        </w:rPr>
        <w:t>、供气、消防等生命</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工程的建筑，不应采用砌体承重</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1.O.</w:t>
      </w:r>
      <w:r>
        <w:rPr>
          <w:rFonts w:hint="eastAsia" w:cs="Times New Roman" w:asciiTheme="minorEastAsia" w:hAnsiTheme="minorEastAsia"/>
          <w:color w:val="000000" w:themeColor="text1"/>
          <w:kern w:val="0"/>
          <w:szCs w:val="21"/>
          <w14:textFill>
            <w14:solidFill>
              <w14:schemeClr w14:val="tx1"/>
            </w14:solidFill>
          </w14:textFill>
        </w:rPr>
        <w:t>8</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工</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建筑抗震</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，除</w:t>
      </w:r>
      <w:r>
        <w:rPr>
          <w:rFonts w:hint="eastAsia" w:cs="宋体" w:asciiTheme="minorEastAsia" w:hAnsiTheme="minorEastAsia"/>
          <w:color w:val="000000" w:themeColor="text1"/>
          <w:kern w:val="0"/>
          <w:szCs w:val="21"/>
          <w14:textFill>
            <w14:solidFill>
              <w14:schemeClr w14:val="tx1"/>
            </w14:solidFill>
          </w14:textFill>
        </w:rPr>
        <w:t>执</w:t>
      </w:r>
      <w:r>
        <w:rPr>
          <w:rFonts w:hint="eastAsia" w:cs="MS Mincho" w:asciiTheme="minorEastAsia" w:hAnsiTheme="minorEastAsia"/>
          <w:color w:val="000000" w:themeColor="text1"/>
          <w:kern w:val="0"/>
          <w:szCs w:val="21"/>
          <w14:textFill>
            <w14:solidFill>
              <w14:schemeClr w14:val="tx1"/>
            </w14:solidFill>
          </w14:textFill>
        </w:rPr>
        <w:t>行本</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范外，尚</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符合国家</w:t>
      </w:r>
      <w:r>
        <w:rPr>
          <w:rFonts w:hint="eastAsia" w:cs="宋体" w:asciiTheme="minorEastAsia" w:hAnsiTheme="minorEastAsia"/>
          <w:color w:val="000000" w:themeColor="text1"/>
          <w:kern w:val="0"/>
          <w:szCs w:val="21"/>
          <w14:textFill>
            <w14:solidFill>
              <w14:schemeClr w14:val="tx1"/>
            </w14:solidFill>
          </w14:textFill>
        </w:rPr>
        <w:t>现</w:t>
      </w:r>
      <w:r>
        <w:rPr>
          <w:rFonts w:hint="eastAsia" w:cs="MS Mincho" w:asciiTheme="minorEastAsia" w:hAnsiTheme="minorEastAsia"/>
          <w:color w:val="000000" w:themeColor="text1"/>
          <w:kern w:val="0"/>
          <w:szCs w:val="21"/>
          <w14:textFill>
            <w14:solidFill>
              <w14:schemeClr w14:val="tx1"/>
            </w14:solidFill>
          </w14:textFill>
        </w:rPr>
        <w:t>行的有关</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制性</w:t>
      </w:r>
      <w:r>
        <w:rPr>
          <w:rFonts w:hint="eastAsia" w:cs="宋体" w:asciiTheme="minorEastAsia" w:hAnsiTheme="minorEastAsia"/>
          <w:color w:val="000000" w:themeColor="text1"/>
          <w:kern w:val="0"/>
          <w:szCs w:val="21"/>
          <w14:textFill>
            <w14:solidFill>
              <w14:schemeClr w14:val="tx1"/>
            </w14:solidFill>
          </w14:textFill>
        </w:rPr>
        <w:t>规范</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widowControl/>
        <w:adjustRightInd/>
        <w:snapToGrid/>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16" w:name="_Toc48841014"/>
      <w:r>
        <w:rPr>
          <w:rFonts w:hint="eastAsia"/>
          <w:color w:val="000000" w:themeColor="text1"/>
          <w14:textFill>
            <w14:solidFill>
              <w14:schemeClr w14:val="tx1"/>
            </w14:solidFill>
          </w14:textFill>
        </w:rPr>
        <w:t>术语、符号</w:t>
      </w:r>
      <w:bookmarkEnd w:id="16"/>
    </w:p>
    <w:p>
      <w:pPr>
        <w:pStyle w:val="3"/>
      </w:pPr>
      <w:bookmarkStart w:id="17" w:name="_Toc48841015"/>
      <w:r>
        <w:rPr>
          <w:rFonts w:hint="eastAsia"/>
        </w:rPr>
        <w:t>术语</w:t>
      </w:r>
      <w:bookmarkEnd w:id="17"/>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2.1.1 性能系数</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 xml:space="preserve">    地震下结构的耗能能力以性能系数来度量，具体操作上以构件的性能系数来表示。本标准的性能系数1.0等同于“抗规”小震下的抗震性能。</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2.1.</w:t>
      </w:r>
      <w:r>
        <w:rPr>
          <w:rFonts w:hint="eastAsia" w:cs="HiddenHorzOCR" w:asciiTheme="minorEastAsia" w:hAnsiTheme="minorEastAsia"/>
          <w:color w:val="000000" w:themeColor="text1"/>
          <w:kern w:val="0"/>
          <w:szCs w:val="21"/>
          <w14:textFill>
            <w14:solidFill>
              <w14:schemeClr w14:val="tx1"/>
            </w14:solidFill>
          </w14:textFill>
        </w:rPr>
        <w:t>2</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重力荷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代表</w:t>
      </w:r>
      <w:r>
        <w:rPr>
          <w:rFonts w:hint="eastAsia" w:cs="宋体" w:asciiTheme="minorEastAsia" w:hAnsiTheme="minorEastAsia"/>
          <w:color w:val="000000" w:themeColor="text1"/>
          <w:kern w:val="0"/>
          <w:szCs w:val="21"/>
          <w14:textFill>
            <w14:solidFill>
              <w14:schemeClr w14:val="tx1"/>
            </w14:solidFill>
          </w14:textFill>
        </w:rPr>
        <w:t>值</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抗震</w:t>
      </w:r>
      <w:r>
        <w:rPr>
          <w:rFonts w:hint="eastAsia" w:cs="宋体" w:asciiTheme="minorEastAsia" w:hAnsiTheme="minorEastAsia"/>
          <w:color w:val="000000" w:themeColor="text1"/>
          <w:kern w:val="0"/>
          <w:szCs w:val="21"/>
          <w14:textFill>
            <w14:solidFill>
              <w14:schemeClr w14:val="tx1"/>
            </w14:solidFill>
          </w14:textFill>
        </w:rPr>
        <w:t>设计时</w:t>
      </w:r>
      <w:r>
        <w:rPr>
          <w:rFonts w:hint="eastAsia" w:cs="MS Mincho" w:asciiTheme="minorEastAsia" w:hAnsiTheme="minorEastAsia"/>
          <w:color w:val="000000" w:themeColor="text1"/>
          <w:kern w:val="0"/>
          <w:szCs w:val="21"/>
          <w14:textFill>
            <w14:solidFill>
              <w14:schemeClr w14:val="tx1"/>
            </w14:solidFill>
          </w14:textFill>
        </w:rPr>
        <w:t>，在地震作用</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准</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和</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构构件作用效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的基本</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合中，重力荷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代表</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用以表达</w:t>
      </w:r>
      <w:r>
        <w:rPr>
          <w:rFonts w:hint="eastAsia" w:cs="宋体" w:asciiTheme="minorEastAsia" w:hAnsiTheme="minorEastAsia"/>
          <w:color w:val="000000" w:themeColor="text1"/>
          <w:kern w:val="0"/>
          <w:szCs w:val="21"/>
          <w14:textFill>
            <w14:solidFill>
              <w14:schemeClr w14:val="tx1"/>
            </w14:solidFill>
          </w14:textFill>
        </w:rPr>
        <w:t>结</w:t>
      </w:r>
      <w:r>
        <w:rPr>
          <w:rFonts w:hint="eastAsia" w:cs="HiddenHorzOCR" w:asciiTheme="minorEastAsia" w:hAnsiTheme="minorEastAsia"/>
          <w:color w:val="000000" w:themeColor="text1"/>
          <w:kern w:val="0"/>
          <w:szCs w:val="21"/>
          <w14:textFill>
            <w14:solidFill>
              <w14:schemeClr w14:val="tx1"/>
            </w14:solidFill>
          </w14:textFill>
        </w:rPr>
        <w:t>构或构件永久荷</w:t>
      </w:r>
      <w:r>
        <w:rPr>
          <w:rFonts w:hint="eastAsia" w:cs="宋体" w:asciiTheme="minorEastAsia" w:hAnsiTheme="minorEastAsia"/>
          <w:color w:val="000000" w:themeColor="text1"/>
          <w:kern w:val="0"/>
          <w:szCs w:val="21"/>
          <w14:textFill>
            <w14:solidFill>
              <w14:schemeClr w14:val="tx1"/>
            </w14:solidFill>
          </w14:textFill>
        </w:rPr>
        <w:t>载标</w:t>
      </w:r>
      <w:r>
        <w:rPr>
          <w:rFonts w:hint="eastAsia" w:cs="MS Mincho" w:asciiTheme="minorEastAsia" w:hAnsiTheme="minorEastAsia"/>
          <w:color w:val="000000" w:themeColor="text1"/>
          <w:kern w:val="0"/>
          <w:szCs w:val="21"/>
          <w14:textFill>
            <w14:solidFill>
              <w14:schemeClr w14:val="tx1"/>
            </w14:solidFill>
          </w14:textFill>
        </w:rPr>
        <w:t>准</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与有关可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合</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之和，其</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合</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系数根据地震</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的遇合概率确定。</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2.1.3 有效地震质量</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地震作用计算时，在地震作用方向产生惯性力的质量，一般为结构或构件的永久荷载标准值所对应的质量与有关可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合</w:t>
      </w:r>
      <w:r>
        <w:rPr>
          <w:rFonts w:hint="eastAsia" w:cs="宋体" w:asciiTheme="minorEastAsia" w:hAnsiTheme="minorEastAsia"/>
          <w:color w:val="000000" w:themeColor="text1"/>
          <w:kern w:val="0"/>
          <w:szCs w:val="21"/>
          <w14:textFill>
            <w14:solidFill>
              <w14:schemeClr w14:val="tx1"/>
            </w14:solidFill>
          </w14:textFill>
        </w:rPr>
        <w:t>值质量（可变荷载地震质量）</w:t>
      </w:r>
      <w:r>
        <w:rPr>
          <w:rFonts w:hint="eastAsia" w:cs="MS Mincho" w:asciiTheme="minorEastAsia" w:hAnsiTheme="minorEastAsia"/>
          <w:color w:val="000000" w:themeColor="text1"/>
          <w:kern w:val="0"/>
          <w:szCs w:val="21"/>
          <w14:textFill>
            <w14:solidFill>
              <w14:schemeClr w14:val="tx1"/>
            </w14:solidFill>
          </w14:textFill>
        </w:rPr>
        <w:t>之和，其</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合</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系数根据地震</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的遇合概率确定。</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2.1.4 插入式钢柱脚</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 xml:space="preserve">    钢柱依柱脚类型按规定深度插入混凝土杯口的一种刚接柱脚，分实腹式和格构式两种。</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p>
    <w:p>
      <w:pPr>
        <w:pStyle w:val="3"/>
      </w:pPr>
      <w:r>
        <w:t xml:space="preserve"> </w:t>
      </w:r>
      <w:bookmarkStart w:id="18" w:name="_Toc48841016"/>
      <w:r>
        <w:rPr>
          <w:rFonts w:hint="eastAsia"/>
        </w:rPr>
        <w:t>符号</w:t>
      </w:r>
      <w:bookmarkEnd w:id="18"/>
    </w:p>
    <w:p>
      <w:pPr>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2.2.1 作用和作用效应</w:t>
      </w:r>
    </w:p>
    <w:p>
      <w:pPr>
        <w:spacing w:line="360" w:lineRule="auto"/>
        <w:ind w:firstLine="420"/>
        <w:rPr>
          <w:rFonts w:ascii="Cambria Math" w:hAnsi="Cambria Math" w:cs="HiddenHorzOCR"/>
          <w:color w:val="000000" w:themeColor="text1"/>
          <w:kern w:val="0"/>
          <w:szCs w:val="21"/>
          <w14:textFill>
            <w14:solidFill>
              <w14:schemeClr w14:val="tx1"/>
            </w14:solidFill>
          </w14:textFill>
        </w:rPr>
      </w:pPr>
      <m:oMath>
        <m:sSub>
          <m:sSubPr>
            <m:ctrlPr>
              <w:rPr>
                <w:rFonts w:ascii="Cambria Math" w:hAnsi="Cambria Math" w:cs="HiddenHorzOCR"/>
                <w:i/>
                <w:iCs/>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iCs/>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iCs/>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——重力荷载代表</w:t>
      </w:r>
      <w:r>
        <w:rPr>
          <w:rFonts w:hint="eastAsia" w:ascii="Cambria Math" w:hAnsi="Cambria Math" w:cs="HiddenHorzOCR"/>
          <w:color w:val="000000" w:themeColor="text1"/>
          <w:kern w:val="0"/>
          <w:szCs w:val="21"/>
          <w14:textFill>
            <w14:solidFill>
              <w14:schemeClr w14:val="tx1"/>
            </w14:solidFill>
          </w14:textFill>
        </w:rPr>
        <w:t>值下的可变荷载的组合值系数；</w:t>
      </w:r>
    </w:p>
    <w:p>
      <w:pPr>
        <w:spacing w:line="360" w:lineRule="auto"/>
        <w:ind w:firstLine="420"/>
        <w:rPr>
          <w:rFonts w:ascii="Cambria Math" w:hAnsi="Cambria Math" w:cs="HiddenHorzOCR"/>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b</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oMath>
      <w:r>
        <w:rPr>
          <w:rFonts w:hint="eastAsia" w:ascii="Cambria Math" w:hAnsi="Cambria Math" w:cs="HiddenHorzOCR"/>
          <w:color w:val="000000" w:themeColor="text1"/>
          <w:kern w:val="0"/>
          <w:szCs w:val="21"/>
          <w14:textFill>
            <w14:solidFill>
              <w14:schemeClr w14:val="tx1"/>
            </w14:solidFill>
          </w14:textFill>
        </w:rPr>
        <w:t>、</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oMath>
      <w:r>
        <w:rPr>
          <w:rFonts w:hint="eastAsia" w:ascii="Cambria Math" w:hAnsi="Cambria Math" w:cs="HiddenHorzOCR"/>
          <w:color w:val="000000" w:themeColor="text1"/>
          <w:kern w:val="0"/>
          <w:szCs w:val="21"/>
          <w14:textFill>
            <w14:solidFill>
              <w14:schemeClr w14:val="tx1"/>
            </w14:solidFill>
          </w14:textFill>
        </w:rPr>
        <w:t>——可变荷载对应的水平和竖向地震质量系数；</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水平地震有效质量</w:t>
      </w:r>
      <w:r>
        <w:rPr>
          <w:rFonts w:hint="eastAsia" w:cs="HiddenHorzOCR" w:asciiTheme="minorEastAsia" w:hAnsiTheme="minorEastAsia"/>
          <w:color w:val="000000" w:themeColor="text1"/>
          <w:kern w:val="0"/>
          <w:szCs w:val="21"/>
          <w14:textFill>
            <w14:solidFill>
              <w14:schemeClr w14:val="tx1"/>
            </w14:solidFill>
          </w14:textFill>
        </w:rPr>
        <w:t>；</w:t>
      </w:r>
    </w:p>
    <w:p>
      <w:pPr>
        <w:spacing w:line="360" w:lineRule="auto"/>
        <w:ind w:firstLine="420"/>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Ev</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竖向地震有效质量</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GE</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——重力荷载代表值的效应；</w:t>
      </w:r>
    </w:p>
    <w:p>
      <w:pPr>
        <w:spacing w:line="360" w:lineRule="auto"/>
        <w:ind w:firstLine="420"/>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hint="eastAsia" w:ascii="Cambria Math" w:hAnsi="Cambria Math" w:eastAsia="MS Mincho" w:cs="MS Mincho"/>
                <w:color w:val="000000" w:themeColor="text1"/>
                <w:kern w:val="0"/>
                <w:szCs w:val="21"/>
                <w14:textFill>
                  <w14:solidFill>
                    <w14:schemeClr w14:val="tx1"/>
                  </w14:solidFill>
                </w14:textFill>
              </w:rPr>
              <m:t>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——水平地震标准值的效应；</w:t>
      </w:r>
    </w:p>
    <w:p>
      <w:pPr>
        <w:spacing w:line="360" w:lineRule="auto"/>
        <w:ind w:firstLine="420"/>
        <w:rPr>
          <w:color w:val="000000" w:themeColor="text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ascii="Cambria Math" w:hAnsi="MS Mincho" w:eastAsia="MS Mincho" w:cs="MS Mincho"/>
                <w:color w:val="000000" w:themeColor="text1"/>
                <w:kern w:val="0"/>
                <w:szCs w:val="21"/>
                <w14:textFill>
                  <w14:solidFill>
                    <w14:schemeClr w14:val="tx1"/>
                  </w14:solidFill>
                </w14:textFill>
              </w:rPr>
              <m:t>v</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——竖向地震标准值的效应；</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GE</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——重力荷载代表值的效应。</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2.2.2</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材料性能和抗力</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S</w:t>
      </w:r>
      <w:r>
        <w:rPr>
          <w:rFonts w:hint="eastAsia" w:cs="Times New Roman" w:asciiTheme="minorEastAsia" w:hAnsiTheme="minorEastAsia"/>
          <w:color w:val="000000" w:themeColor="text1"/>
          <w:kern w:val="0"/>
          <w:szCs w:val="21"/>
          <w14:textFill>
            <w14:solidFill>
              <w14:schemeClr w14:val="tx1"/>
            </w14:solidFill>
          </w14:textFill>
        </w:rPr>
        <w:t>——结构构件内力组合的设计值；</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R</w:t>
      </w:r>
      <w:r>
        <w:rPr>
          <w:rFonts w:hint="eastAsia" w:cs="Times New Roman" w:asciiTheme="minorEastAsia" w:hAnsiTheme="minorEastAsia"/>
          <w:color w:val="000000" w:themeColor="text1"/>
          <w:kern w:val="0"/>
          <w:szCs w:val="21"/>
          <w14:textFill>
            <w14:solidFill>
              <w14:schemeClr w14:val="tx1"/>
            </w14:solidFill>
          </w14:textFill>
        </w:rPr>
        <w:t>——结构构件承载力设计值；</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d>
          <m:dPr>
            <m:begChr m:val="["/>
            <m:endChr m:val="]"/>
            <m:ctrlPr>
              <w:rPr>
                <w:rFonts w:ascii="Cambria Math" w:hAnsi="Cambria Math" w:cs="Times New Roman"/>
                <w:color w:val="000000" w:themeColor="text1"/>
                <w:kern w:val="0"/>
                <w:szCs w:val="21"/>
                <w14:textFill>
                  <w14:solidFill>
                    <w14:schemeClr w14:val="tx1"/>
                  </w14:solidFill>
                </w14:textFill>
              </w:rPr>
            </m:ctrlPr>
          </m:dPr>
          <m:e>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θ</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ctrlPr>
                  <w:rPr>
                    <w:rFonts w:ascii="Cambria Math" w:hAnsi="Cambria Math" w:cs="Times New Roman"/>
                    <w:color w:val="000000" w:themeColor="text1"/>
                    <w:kern w:val="0"/>
                    <w:szCs w:val="21"/>
                    <w14:textFill>
                      <w14:solidFill>
                        <w14:schemeClr w14:val="tx1"/>
                      </w14:solidFill>
                    </w14:textFill>
                  </w:rPr>
                </m:ctrlPr>
              </m:sub>
            </m:sSub>
            <m:ctrlPr>
              <w:rPr>
                <w:rFonts w:ascii="Cambria Math" w:hAnsi="Cambria Math" w:cs="Times New Roman"/>
                <w:color w:val="000000" w:themeColor="text1"/>
                <w:kern w:val="0"/>
                <w:szCs w:val="21"/>
                <w14:textFill>
                  <w14:solidFill>
                    <w14:schemeClr w14:val="tx1"/>
                  </w14:solidFill>
                </w14:textFill>
              </w:rPr>
            </m:ctrlPr>
          </m:e>
        </m:d>
      </m:oMath>
      <w:r>
        <w:rPr>
          <w:rFonts w:hint="eastAsia" w:cs="Times New Roman" w:asciiTheme="minorEastAsia" w:hAnsiTheme="minorEastAsia"/>
          <w:color w:val="000000" w:themeColor="text1"/>
          <w:kern w:val="0"/>
          <w:szCs w:val="21"/>
          <w14:textFill>
            <w14:solidFill>
              <w14:schemeClr w14:val="tx1"/>
            </w14:solidFill>
          </w14:textFill>
        </w:rPr>
        <w:t>——层间弹性位移角限值。</w:t>
      </w:r>
    </w:p>
    <w:p>
      <w:pPr>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2.2.3</w:t>
      </w:r>
      <w:r>
        <w:rPr>
          <w:rFonts w:cs="MS Mincho"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几何参数</w:t>
      </w:r>
    </w:p>
    <w:p>
      <w:pPr>
        <w:spacing w:line="360" w:lineRule="auto"/>
        <w:ind w:firstLine="420"/>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屋盖标高处的高度；</w:t>
      </w:r>
    </w:p>
    <w:p>
      <w:pPr>
        <w:spacing w:line="360" w:lineRule="auto"/>
        <w:ind w:firstLine="420"/>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天窗标高处的高度；</w:t>
      </w:r>
    </w:p>
    <w:p>
      <w:pPr>
        <w:spacing w:line="360" w:lineRule="auto"/>
        <w:ind w:firstLine="420"/>
        <w:rPr>
          <w:rFonts w:cs="Times New Roman"/>
          <w:bCs/>
          <w:snapToGrid w:val="0"/>
          <w:color w:val="000000" w:themeColor="text1"/>
          <w:szCs w:val="21"/>
          <w14:textFill>
            <w14:solidFill>
              <w14:schemeClr w14:val="tx1"/>
            </w14:solidFill>
          </w14:textFill>
        </w:rPr>
      </w:pPr>
      <w:r>
        <w:rPr>
          <w:rFonts w:hint="eastAsia" w:cs="Times New Roman"/>
          <w:bCs/>
          <w:snapToGrid w:val="0"/>
          <w:color w:val="000000" w:themeColor="text1"/>
          <w:kern w:val="0"/>
          <w:szCs w:val="21"/>
          <w14:textFill>
            <w14:solidFill>
              <w14:schemeClr w14:val="tx1"/>
            </w14:solidFill>
          </w14:textFill>
        </w:rPr>
        <w:t>D——钢管直</w:t>
      </w:r>
      <w:r>
        <w:rPr>
          <w:rFonts w:hint="eastAsia" w:cs="Times New Roman"/>
          <w:bCs/>
          <w:snapToGrid w:val="0"/>
          <w:color w:val="000000" w:themeColor="text1"/>
          <w:szCs w:val="21"/>
          <w14:textFill>
            <w14:solidFill>
              <w14:schemeClr w14:val="tx1"/>
            </w14:solidFill>
          </w14:textFill>
        </w:rPr>
        <w:t>径；</w:t>
      </w:r>
    </w:p>
    <w:p>
      <w:pPr>
        <w:spacing w:line="360" w:lineRule="auto"/>
        <w:ind w:firstLine="420"/>
        <w:rPr>
          <w:rFonts w:cs="Times New Roman"/>
          <w:bCs/>
          <w:snapToGrid w:val="0"/>
          <w:color w:val="000000" w:themeColor="text1"/>
          <w:kern w:val="0"/>
          <w:szCs w:val="21"/>
          <w14:textFill>
            <w14:solidFill>
              <w14:schemeClr w14:val="tx1"/>
            </w14:solidFill>
          </w14:textFill>
        </w:rPr>
      </w:pPr>
      <w:r>
        <w:rPr>
          <w:rFonts w:cs="Times New Roman"/>
          <w:bCs/>
          <w:snapToGrid w:val="0"/>
          <w:color w:val="000000" w:themeColor="text1"/>
          <w:kern w:val="0"/>
          <w:szCs w:val="21"/>
          <w14:textFill>
            <w14:solidFill>
              <w14:schemeClr w14:val="tx1"/>
            </w14:solidFill>
          </w14:textFill>
        </w:rPr>
        <w:t>t</w:t>
      </w:r>
      <w:r>
        <w:rPr>
          <w:rFonts w:hint="eastAsia" w:cs="Times New Roman"/>
          <w:bCs/>
          <w:snapToGrid w:val="0"/>
          <w:color w:val="000000" w:themeColor="text1"/>
          <w:kern w:val="0"/>
          <w:szCs w:val="21"/>
          <w14:textFill>
            <w14:solidFill>
              <w14:schemeClr w14:val="tx1"/>
            </w14:solidFill>
          </w14:textFill>
        </w:rPr>
        <w:t>——钢管壁厚；</w:t>
      </w:r>
    </w:p>
    <w:p>
      <w:pPr>
        <w:spacing w:line="360" w:lineRule="auto"/>
        <w:ind w:firstLine="420"/>
        <w:rPr>
          <w:rFonts w:cs="MS Mincho" w:asciiTheme="minorEastAsia" w:hAnsiTheme="minorEastAsia"/>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A</w:t>
      </w:r>
      <w:r>
        <w:rPr>
          <w:bCs/>
          <w:color w:val="000000" w:themeColor="text1"/>
          <w:kern w:val="0"/>
          <w:szCs w:val="21"/>
          <w:vertAlign w:val="subscript"/>
          <w14:textFill>
            <w14:solidFill>
              <w14:schemeClr w14:val="tx1"/>
            </w14:solidFill>
          </w14:textFill>
        </w:rPr>
        <w:t>f</w:t>
      </w:r>
      <w:r>
        <w:rPr>
          <w:bCs/>
          <w:color w:val="000000" w:themeColor="text1"/>
          <w:kern w:val="0"/>
          <w:szCs w:val="21"/>
          <w14:textFill>
            <w14:solidFill>
              <w14:schemeClr w14:val="tx1"/>
            </w14:solidFill>
          </w14:textFill>
        </w:rPr>
        <w:t>——</w:t>
      </w:r>
      <w:r>
        <w:rPr>
          <w:rFonts w:hint="eastAsia"/>
          <w:bCs/>
          <w:color w:val="000000" w:themeColor="text1"/>
          <w:kern w:val="0"/>
          <w:szCs w:val="21"/>
          <w14:textFill>
            <w14:solidFill>
              <w14:schemeClr w14:val="tx1"/>
            </w14:solidFill>
          </w14:textFill>
        </w:rPr>
        <w:t>梁翼缘截面面积。</w:t>
      </w:r>
    </w:p>
    <w:p>
      <w:pPr>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2.2.4</w:t>
      </w:r>
      <w:r>
        <w:rPr>
          <w:rFonts w:cs="MS Mincho"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计算参数</w:t>
      </w:r>
    </w:p>
    <w:p>
      <w:pPr>
        <w:spacing w:line="360" w:lineRule="auto"/>
        <w:ind w:firstLine="420"/>
        <w:rPr>
          <w:rFonts w:cs="Times New Roman"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RE</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kern w:val="0"/>
          <w:szCs w:val="21"/>
          <w14:textFill>
            <w14:solidFill>
              <w14:schemeClr w14:val="tx1"/>
            </w14:solidFill>
          </w14:textFill>
        </w:rPr>
        <w:t>——承载力抗震调整系数；</w:t>
      </w:r>
    </w:p>
    <w:p>
      <w:pPr>
        <w:autoSpaceDE w:val="0"/>
        <w:autoSpaceDN w:val="0"/>
        <w:spacing w:line="360" w:lineRule="auto"/>
        <w:ind w:firstLine="420"/>
        <w:jc w:val="left"/>
        <w:rPr>
          <w:rFonts w:cs="Times New Roman" w:asciiTheme="minorEastAsia" w:hAnsiTheme="minorEastAsia"/>
          <w:color w:val="000000" w:themeColor="text1"/>
          <w:szCs w:val="21"/>
          <w14:textFill>
            <w14:solidFill>
              <w14:schemeClr w14:val="tx1"/>
            </w14:solidFill>
          </w14:textFill>
        </w:rPr>
      </w:pPr>
      <m:oMath>
        <m:r>
          <m:rPr>
            <m:sty m:val="p"/>
          </m:rPr>
          <w:rPr>
            <w:rFonts w:hint="eastAsia" w:ascii="Cambria Math" w:hAnsi="Cambria Math" w:cs="Times New Roman"/>
            <w:color w:val="000000" w:themeColor="text1"/>
            <w:szCs w:val="21"/>
            <w14:textFill>
              <w14:solidFill>
                <w14:schemeClr w14:val="tx1"/>
              </w14:solidFill>
            </w14:textFill>
          </w:rPr>
          <m:t>q</m:t>
        </m:r>
      </m:oMath>
      <w:r>
        <w:rPr>
          <w:rFonts w:hint="eastAsia" w:cs="Times New Roman" w:asciiTheme="minorEastAsia" w:hAnsiTheme="minorEastAsia"/>
          <w:color w:val="000000" w:themeColor="text1"/>
          <w:szCs w:val="21"/>
          <w14:textFill>
            <w14:solidFill>
              <w14:schemeClr w14:val="tx1"/>
            </w14:solidFill>
          </w14:textFill>
        </w:rPr>
        <w:t>——水平地震结构系数；</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q</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szCs w:val="21"/>
          <w14:textFill>
            <w14:solidFill>
              <w14:schemeClr w14:val="tx1"/>
            </w14:solidFill>
          </w14:textFill>
        </w:rPr>
        <w:t>——竖向地震结构系数；</w:t>
      </w:r>
    </w:p>
    <w:p>
      <w:pPr>
        <w:spacing w:line="360" w:lineRule="auto"/>
        <w:ind w:firstLine="420"/>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ψ</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——风荷载组合值系数；</w:t>
      </w:r>
    </w:p>
    <w:p>
      <w:pPr>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p>
    <w:p>
      <w:pPr>
        <w:widowControl/>
        <w:adjustRightInd/>
        <w:snapToGrid/>
        <w:spacing w:line="360" w:lineRule="auto"/>
        <w:ind w:firstLine="0" w:firstLineChars="0"/>
        <w:jc w:val="left"/>
        <w:rPr>
          <w:rFonts w:cs="Times New Roman"/>
          <w:b/>
          <w:color w:val="000000" w:themeColor="text1"/>
          <w:kern w:val="44"/>
          <w:sz w:val="30"/>
          <w:szCs w:val="20"/>
          <w:lang w:val="zh-CN"/>
          <w14:textFill>
            <w14:solidFill>
              <w14:schemeClr w14:val="tx1"/>
            </w14:solidFill>
          </w14:textFill>
        </w:rPr>
      </w:pPr>
      <w:r>
        <w:rPr>
          <w:color w:val="000000" w:themeColor="text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19" w:name="_Toc48841017"/>
      <w:r>
        <w:rPr>
          <w:rFonts w:hint="eastAsia"/>
          <w:color w:val="000000" w:themeColor="text1"/>
          <w14:textFill>
            <w14:solidFill>
              <w14:schemeClr w14:val="tx1"/>
            </w14:solidFill>
          </w14:textFill>
        </w:rPr>
        <w:t>抗震设计基本规定</w:t>
      </w:r>
      <w:bookmarkEnd w:id="19"/>
    </w:p>
    <w:p>
      <w:pPr>
        <w:pStyle w:val="53"/>
        <w:autoSpaceDE w:val="0"/>
        <w:autoSpaceDN w:val="0"/>
        <w:spacing w:line="360" w:lineRule="auto"/>
        <w:ind w:left="2977" w:firstLine="0" w:firstLineChars="0"/>
        <w:jc w:val="left"/>
        <w:rPr>
          <w:rFonts w:cs="MS Mincho" w:asciiTheme="minorEastAsia" w:hAnsiTheme="minorEastAsia"/>
          <w:b/>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3.0.1 </w:t>
      </w:r>
      <w:r>
        <w:rPr>
          <w:rFonts w:hint="eastAsia" w:cs="HiddenHorzOCR" w:asciiTheme="minorEastAsia" w:hAnsiTheme="minorEastAsia"/>
          <w:color w:val="000000" w:themeColor="text1"/>
          <w:kern w:val="0"/>
          <w:szCs w:val="21"/>
          <w14:textFill>
            <w14:solidFill>
              <w14:schemeClr w14:val="tx1"/>
            </w14:solidFill>
          </w14:textFill>
        </w:rPr>
        <w:t>工</w:t>
      </w:r>
      <w:r>
        <w:rPr>
          <w:rFonts w:hint="eastAsia" w:cs="宋体" w:asciiTheme="minorEastAsia" w:hAnsiTheme="minorEastAsia"/>
          <w:color w:val="000000" w:themeColor="text1"/>
          <w:kern w:val="0"/>
          <w:szCs w:val="21"/>
          <w14:textFill>
            <w14:solidFill>
              <w14:schemeClr w14:val="tx1"/>
            </w14:solidFill>
          </w14:textFill>
        </w:rPr>
        <w:t>业</w:t>
      </w:r>
      <w:r>
        <w:rPr>
          <w:rFonts w:hint="eastAsia" w:cs="MS Mincho" w:asciiTheme="minorEastAsia" w:hAnsiTheme="minorEastAsia"/>
          <w:color w:val="000000" w:themeColor="text1"/>
          <w:kern w:val="0"/>
          <w:szCs w:val="21"/>
          <w14:textFill>
            <w14:solidFill>
              <w14:schemeClr w14:val="tx1"/>
            </w14:solidFill>
          </w14:textFill>
        </w:rPr>
        <w:t>建筑</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构抗震</w:t>
      </w:r>
      <w:r>
        <w:rPr>
          <w:rFonts w:hint="eastAsia" w:cs="宋体" w:asciiTheme="minorEastAsia" w:hAnsiTheme="minorEastAsia"/>
          <w:color w:val="000000" w:themeColor="text1"/>
          <w:kern w:val="0"/>
          <w:szCs w:val="21"/>
          <w14:textFill>
            <w14:solidFill>
              <w14:schemeClr w14:val="tx1"/>
            </w14:solidFill>
          </w14:textFill>
        </w:rPr>
        <w:t>设计应</w:t>
      </w:r>
      <w:r>
        <w:rPr>
          <w:rFonts w:hint="eastAsia" w:cs="MS Mincho" w:asciiTheme="minorEastAsia" w:hAnsiTheme="minorEastAsia"/>
          <w:color w:val="000000" w:themeColor="text1"/>
          <w:kern w:val="0"/>
          <w:szCs w:val="21"/>
          <w14:textFill>
            <w14:solidFill>
              <w14:schemeClr w14:val="tx1"/>
            </w14:solidFill>
          </w14:textFill>
        </w:rPr>
        <w:t>与工</w:t>
      </w:r>
      <w:r>
        <w:rPr>
          <w:rFonts w:hint="eastAsia" w:cs="宋体" w:asciiTheme="minorEastAsia" w:hAnsiTheme="minorEastAsia"/>
          <w:color w:val="000000" w:themeColor="text1"/>
          <w:kern w:val="0"/>
          <w:szCs w:val="21"/>
          <w14:textFill>
            <w14:solidFill>
              <w14:schemeClr w14:val="tx1"/>
            </w14:solidFill>
          </w14:textFill>
        </w:rPr>
        <w:t>艺设计</w:t>
      </w:r>
      <w:r>
        <w:rPr>
          <w:rFonts w:hint="eastAsia" w:cs="MS Mincho" w:asciiTheme="minorEastAsia" w:hAnsiTheme="minorEastAsia"/>
          <w:color w:val="000000" w:themeColor="text1"/>
          <w:kern w:val="0"/>
          <w:szCs w:val="21"/>
          <w14:textFill>
            <w14:solidFill>
              <w14:schemeClr w14:val="tx1"/>
            </w14:solidFill>
          </w14:textFill>
        </w:rPr>
        <w:t>配合，</w:t>
      </w:r>
      <w:r>
        <w:rPr>
          <w:rFonts w:hint="eastAsia" w:cs="宋体" w:asciiTheme="minorEastAsia" w:hAnsiTheme="minorEastAsia"/>
          <w:color w:val="000000" w:themeColor="text1"/>
          <w:kern w:val="0"/>
          <w:szCs w:val="21"/>
          <w14:textFill>
            <w14:solidFill>
              <w14:schemeClr w14:val="tx1"/>
            </w14:solidFill>
          </w14:textFill>
        </w:rPr>
        <w:t>选择对</w:t>
      </w:r>
      <w:r>
        <w:rPr>
          <w:rFonts w:hint="eastAsia" w:cs="MS Mincho" w:asciiTheme="minorEastAsia" w:hAnsiTheme="minorEastAsia"/>
          <w:color w:val="000000" w:themeColor="text1"/>
          <w:kern w:val="0"/>
          <w:szCs w:val="21"/>
          <w14:textFill>
            <w14:solidFill>
              <w14:schemeClr w14:val="tx1"/>
            </w14:solidFill>
          </w14:textFill>
        </w:rPr>
        <w:t>抗</w:t>
      </w:r>
      <w:r>
        <w:rPr>
          <w:rFonts w:hint="eastAsia" w:cs="HiddenHorzOCR" w:asciiTheme="minorEastAsia" w:hAnsiTheme="minorEastAsia"/>
          <w:color w:val="000000" w:themeColor="text1"/>
          <w:kern w:val="0"/>
          <w:szCs w:val="21"/>
          <w14:textFill>
            <w14:solidFill>
              <w14:schemeClr w14:val="tx1"/>
            </w14:solidFill>
          </w14:textFill>
        </w:rPr>
        <w:t>震有利的建筑布置：</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厂房的体型宜整</w:t>
      </w:r>
      <w:r>
        <w:rPr>
          <w:rFonts w:hint="eastAsia" w:cs="宋体" w:asciiTheme="minorEastAsia" w:hAnsiTheme="minorEastAsia"/>
          <w:color w:val="000000" w:themeColor="text1"/>
          <w:kern w:val="0"/>
          <w:szCs w:val="21"/>
          <w14:textFill>
            <w14:solidFill>
              <w14:schemeClr w14:val="tx1"/>
            </w14:solidFill>
          </w14:textFill>
        </w:rPr>
        <w:t>齐简洁</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重型</w:t>
      </w:r>
      <w:r>
        <w:rPr>
          <w:rFonts w:hint="eastAsia" w:cs="宋体" w:asciiTheme="minorEastAsia" w:hAnsiTheme="minorEastAsia"/>
          <w:color w:val="000000" w:themeColor="text1"/>
          <w:kern w:val="0"/>
          <w:szCs w:val="21"/>
          <w14:textFill>
            <w14:solidFill>
              <w14:schemeClr w14:val="tx1"/>
            </w14:solidFill>
          </w14:textFill>
        </w:rPr>
        <w:t>设备</w:t>
      </w:r>
      <w:r>
        <w:rPr>
          <w:rFonts w:hint="eastAsia" w:cs="MS Mincho" w:asciiTheme="minorEastAsia" w:hAnsiTheme="minorEastAsia"/>
          <w:color w:val="000000" w:themeColor="text1"/>
          <w:kern w:val="0"/>
          <w:szCs w:val="21"/>
          <w14:textFill>
            <w14:solidFill>
              <w14:schemeClr w14:val="tx1"/>
            </w14:solidFill>
          </w14:textFill>
        </w:rPr>
        <w:t>宜低位布置或独立</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置支承</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 </w:t>
      </w:r>
      <w:r>
        <w:rPr>
          <w:rFonts w:hint="eastAsia" w:cs="宋体" w:asciiTheme="minorEastAsia" w:hAnsiTheme="minorEastAsia"/>
          <w:color w:val="000000" w:themeColor="text1"/>
          <w:kern w:val="0"/>
          <w:szCs w:val="21"/>
          <w14:textFill>
            <w14:solidFill>
              <w14:schemeClr w14:val="tx1"/>
            </w14:solidFill>
          </w14:textFill>
        </w:rPr>
        <w:t>锅</w:t>
      </w:r>
      <w:r>
        <w:rPr>
          <w:rFonts w:hint="eastAsia" w:cs="MS Mincho" w:asciiTheme="minorEastAsia" w:hAnsiTheme="minorEastAsia"/>
          <w:color w:val="000000" w:themeColor="text1"/>
          <w:kern w:val="0"/>
          <w:szCs w:val="21"/>
          <w14:textFill>
            <w14:solidFill>
              <w14:schemeClr w14:val="tx1"/>
            </w14:solidFill>
          </w14:textFill>
        </w:rPr>
        <w:t>炉和自</w:t>
      </w:r>
      <w:r>
        <w:rPr>
          <w:rFonts w:hint="eastAsia" w:cs="宋体" w:asciiTheme="minorEastAsia" w:hAnsiTheme="minorEastAsia"/>
          <w:color w:val="000000" w:themeColor="text1"/>
          <w:kern w:val="0"/>
          <w:szCs w:val="21"/>
          <w14:textFill>
            <w14:solidFill>
              <w14:schemeClr w14:val="tx1"/>
            </w14:solidFill>
          </w14:textFill>
        </w:rPr>
        <w:t>备电</w:t>
      </w:r>
      <w:r>
        <w:rPr>
          <w:rFonts w:hint="eastAsia" w:cs="MS Mincho" w:asciiTheme="minorEastAsia" w:hAnsiTheme="minorEastAsia"/>
          <w:color w:val="000000" w:themeColor="text1"/>
          <w:kern w:val="0"/>
          <w:szCs w:val="21"/>
          <w14:textFill>
            <w14:solidFill>
              <w14:schemeClr w14:val="tx1"/>
            </w14:solidFill>
          </w14:textFill>
        </w:rPr>
        <w:t>站某些</w:t>
      </w:r>
      <w:r>
        <w:rPr>
          <w:rFonts w:hint="eastAsia" w:cs="宋体" w:asciiTheme="minorEastAsia" w:hAnsiTheme="minorEastAsia"/>
          <w:color w:val="000000" w:themeColor="text1"/>
          <w:kern w:val="0"/>
          <w:szCs w:val="21"/>
          <w14:textFill>
            <w14:solidFill>
              <w14:schemeClr w14:val="tx1"/>
            </w14:solidFill>
          </w14:textFill>
        </w:rPr>
        <w:t>辅</w:t>
      </w:r>
      <w:r>
        <w:rPr>
          <w:rFonts w:hint="eastAsia" w:cs="MS Mincho" w:asciiTheme="minorEastAsia" w:hAnsiTheme="minorEastAsia"/>
          <w:color w:val="000000" w:themeColor="text1"/>
          <w:kern w:val="0"/>
          <w:szCs w:val="21"/>
          <w14:textFill>
            <w14:solidFill>
              <w14:schemeClr w14:val="tx1"/>
            </w14:solidFill>
          </w14:textFill>
        </w:rPr>
        <w:t>助</w:t>
      </w:r>
      <w:r>
        <w:rPr>
          <w:rFonts w:hint="eastAsia" w:cs="宋体" w:asciiTheme="minorEastAsia" w:hAnsiTheme="minorEastAsia"/>
          <w:color w:val="000000" w:themeColor="text1"/>
          <w:kern w:val="0"/>
          <w:szCs w:val="21"/>
          <w14:textFill>
            <w14:solidFill>
              <w14:schemeClr w14:val="tx1"/>
            </w14:solidFill>
          </w14:textFill>
        </w:rPr>
        <w:t>设备</w:t>
      </w:r>
      <w:r>
        <w:rPr>
          <w:rFonts w:hint="eastAsia" w:cs="MS Mincho" w:asciiTheme="minorEastAsia" w:hAnsiTheme="minorEastAsia"/>
          <w:color w:val="000000" w:themeColor="text1"/>
          <w:kern w:val="0"/>
          <w:szCs w:val="21"/>
          <w14:textFill>
            <w14:solidFill>
              <w14:schemeClr w14:val="tx1"/>
            </w14:solidFill>
          </w14:textFill>
        </w:rPr>
        <w:t>，宜采用露天或半露天布</w:t>
      </w:r>
      <w:r>
        <w:rPr>
          <w:rFonts w:hint="eastAsia" w:cs="HiddenHorzOCR" w:asciiTheme="minorEastAsia" w:hAnsiTheme="minorEastAsia"/>
          <w:color w:val="000000" w:themeColor="text1"/>
          <w:kern w:val="0"/>
          <w:szCs w:val="21"/>
          <w14:textFill>
            <w14:solidFill>
              <w14:schemeClr w14:val="tx1"/>
            </w14:solidFill>
          </w14:textFill>
        </w:rPr>
        <w:t>置；</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4 </w:t>
      </w:r>
      <w:r>
        <w:rPr>
          <w:rFonts w:hint="eastAsia" w:cs="HiddenHorzOCR" w:asciiTheme="minorEastAsia" w:hAnsiTheme="minorEastAsia"/>
          <w:color w:val="000000" w:themeColor="text1"/>
          <w:kern w:val="0"/>
          <w:szCs w:val="21"/>
          <w14:textFill>
            <w14:solidFill>
              <w14:schemeClr w14:val="tx1"/>
            </w14:solidFill>
          </w14:textFill>
        </w:rPr>
        <w:t>毗</w:t>
      </w:r>
      <w:r>
        <w:rPr>
          <w:rFonts w:hint="eastAsia" w:cs="宋体" w:asciiTheme="minorEastAsia" w:hAnsiTheme="minorEastAsia"/>
          <w:color w:val="000000" w:themeColor="text1"/>
          <w:kern w:val="0"/>
          <w:szCs w:val="21"/>
          <w14:textFill>
            <w14:solidFill>
              <w14:schemeClr w14:val="tx1"/>
            </w14:solidFill>
          </w14:textFill>
        </w:rPr>
        <w:t>邻</w:t>
      </w:r>
      <w:r>
        <w:rPr>
          <w:rFonts w:hint="eastAsia" w:cs="MS Mincho" w:asciiTheme="minorEastAsia" w:hAnsiTheme="minorEastAsia"/>
          <w:color w:val="000000" w:themeColor="text1"/>
          <w:kern w:val="0"/>
          <w:szCs w:val="21"/>
          <w14:textFill>
            <w14:solidFill>
              <w14:schemeClr w14:val="tx1"/>
            </w14:solidFill>
          </w14:textFill>
        </w:rPr>
        <w:t>于主体</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构的室内外小屋，不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阻碍主体</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HiddenHorzOCR" w:asciiTheme="minorEastAsia" w:hAnsiTheme="minorEastAsia"/>
          <w:color w:val="000000" w:themeColor="text1"/>
          <w:kern w:val="0"/>
          <w:szCs w:val="21"/>
          <w14:textFill>
            <w14:solidFill>
              <w14:schemeClr w14:val="tx1"/>
            </w14:solidFill>
          </w14:textFill>
        </w:rPr>
        <w:t>的地震</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向位移。</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3.0.2 </w:t>
      </w:r>
      <w:r>
        <w:rPr>
          <w:rFonts w:hint="eastAsia" w:cs="HiddenHorzOCR" w:asciiTheme="minorEastAsia" w:hAnsiTheme="minorEastAsia"/>
          <w:color w:val="000000" w:themeColor="text1"/>
          <w:kern w:val="0"/>
          <w:szCs w:val="21"/>
          <w14:textFill>
            <w14:solidFill>
              <w14:schemeClr w14:val="tx1"/>
            </w14:solidFill>
          </w14:textFill>
        </w:rPr>
        <w:t>体型复</w:t>
      </w:r>
      <w:r>
        <w:rPr>
          <w:rFonts w:hint="eastAsia" w:cs="宋体" w:asciiTheme="minorEastAsia" w:hAnsiTheme="minorEastAsia"/>
          <w:color w:val="000000" w:themeColor="text1"/>
          <w:kern w:val="0"/>
          <w:szCs w:val="21"/>
          <w14:textFill>
            <w14:solidFill>
              <w14:schemeClr w14:val="tx1"/>
            </w14:solidFill>
          </w14:textFill>
        </w:rPr>
        <w:t>杂</w:t>
      </w:r>
      <w:r>
        <w:rPr>
          <w:rFonts w:hint="eastAsia" w:cs="MS Mincho" w:asciiTheme="minorEastAsia" w:hAnsiTheme="minorEastAsia"/>
          <w:color w:val="000000" w:themeColor="text1"/>
          <w:kern w:val="0"/>
          <w:szCs w:val="21"/>
          <w14:textFill>
            <w14:solidFill>
              <w14:schemeClr w14:val="tx1"/>
            </w14:solidFill>
          </w14:textFill>
        </w:rPr>
        <w:t>的结构，宜</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w:t>
      </w:r>
      <w:r>
        <w:rPr>
          <w:rFonts w:hint="eastAsia" w:cs="HiddenHorzOCR" w:asciiTheme="minorEastAsia" w:hAnsiTheme="minorEastAsia"/>
          <w:color w:val="000000" w:themeColor="text1"/>
          <w:kern w:val="0"/>
          <w:szCs w:val="21"/>
          <w14:textFill>
            <w14:solidFill>
              <w14:schemeClr w14:val="tx1"/>
            </w14:solidFill>
          </w14:textFill>
        </w:rPr>
        <w:t>防震</w:t>
      </w:r>
      <w:r>
        <w:rPr>
          <w:rFonts w:hint="eastAsia" w:cs="宋体" w:asciiTheme="minorEastAsia" w:hAnsiTheme="minorEastAsia"/>
          <w:color w:val="000000" w:themeColor="text1"/>
          <w:kern w:val="0"/>
          <w:szCs w:val="21"/>
          <w14:textFill>
            <w14:solidFill>
              <w14:schemeClr w14:val="tx1"/>
            </w14:solidFill>
          </w14:textFill>
        </w:rPr>
        <w:t>缝</w:t>
      </w:r>
      <w:r>
        <w:rPr>
          <w:rFonts w:hint="eastAsia" w:cs="MS Mincho" w:asciiTheme="minorEastAsia" w:hAnsiTheme="minorEastAsia"/>
          <w:color w:val="000000" w:themeColor="text1"/>
          <w:kern w:val="0"/>
          <w:szCs w:val="21"/>
          <w14:textFill>
            <w14:solidFill>
              <w14:schemeClr w14:val="tx1"/>
            </w14:solidFill>
          </w14:textFill>
        </w:rPr>
        <w:t>将其划分</w:t>
      </w:r>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比</w:t>
      </w:r>
      <w:r>
        <w:rPr>
          <w:rFonts w:hint="eastAsia" w:cs="宋体" w:asciiTheme="minorEastAsia" w:hAnsiTheme="minorEastAsia"/>
          <w:color w:val="000000" w:themeColor="text1"/>
          <w:kern w:val="0"/>
          <w:szCs w:val="21"/>
          <w14:textFill>
            <w14:solidFill>
              <w14:schemeClr w14:val="tx1"/>
            </w14:solidFill>
          </w14:textFill>
        </w:rPr>
        <w:t>较规则</w:t>
      </w:r>
      <w:r>
        <w:rPr>
          <w:rFonts w:hint="eastAsia" w:cs="MS Mincho" w:asciiTheme="minorEastAsia" w:hAnsiTheme="minorEastAsia"/>
          <w:color w:val="000000" w:themeColor="text1"/>
          <w:kern w:val="0"/>
          <w:szCs w:val="21"/>
          <w14:textFill>
            <w14:solidFill>
              <w14:schemeClr w14:val="tx1"/>
            </w14:solidFill>
          </w14:textFill>
        </w:rPr>
        <w:t>、均</w:t>
      </w:r>
      <w:r>
        <w:rPr>
          <w:rFonts w:hint="eastAsia" w:cs="HiddenHorzOCR" w:asciiTheme="minorEastAsia" w:hAnsiTheme="minorEastAsia"/>
          <w:color w:val="000000" w:themeColor="text1"/>
          <w:kern w:val="0"/>
          <w:szCs w:val="21"/>
          <w14:textFill>
            <w14:solidFill>
              <w14:schemeClr w14:val="tx1"/>
            </w14:solidFill>
          </w14:textFill>
        </w:rPr>
        <w:t>匀的</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元。在结构的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横跨</w:t>
      </w:r>
      <w:r>
        <w:rPr>
          <w:rFonts w:hint="eastAsia" w:cs="HiddenHorzOCR" w:asciiTheme="minorEastAsia" w:hAnsiTheme="minorEastAsia"/>
          <w:color w:val="000000" w:themeColor="text1"/>
          <w:kern w:val="0"/>
          <w:szCs w:val="21"/>
          <w14:textFill>
            <w14:solidFill>
              <w14:schemeClr w14:val="tx1"/>
            </w14:solidFill>
          </w14:textFill>
        </w:rPr>
        <w:t>交接</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，沿</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构的高度</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移</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度差异很大</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，在与</w:t>
      </w:r>
      <w:r>
        <w:rPr>
          <w:rFonts w:hint="eastAsia" w:cs="宋体" w:asciiTheme="minorEastAsia" w:hAnsiTheme="minorEastAsia"/>
          <w:color w:val="000000" w:themeColor="text1"/>
          <w:kern w:val="0"/>
          <w:szCs w:val="21"/>
          <w14:textFill>
            <w14:solidFill>
              <w14:schemeClr w14:val="tx1"/>
            </w14:solidFill>
          </w14:textFill>
        </w:rPr>
        <w:t>贴</w:t>
      </w:r>
      <w:r>
        <w:rPr>
          <w:rFonts w:hint="eastAsia" w:cs="MS Mincho" w:asciiTheme="minorEastAsia" w:hAnsiTheme="minorEastAsia"/>
          <w:color w:val="000000" w:themeColor="text1"/>
          <w:kern w:val="0"/>
          <w:szCs w:val="21"/>
          <w14:textFill>
            <w14:solidFill>
              <w14:schemeClr w14:val="tx1"/>
            </w14:solidFill>
          </w14:textFill>
        </w:rPr>
        <w:t>建</w:t>
      </w:r>
      <w:r>
        <w:rPr>
          <w:rFonts w:hint="eastAsia" w:cs="HiddenHorzOCR" w:asciiTheme="minorEastAsia" w:hAnsiTheme="minorEastAsia"/>
          <w:color w:val="000000" w:themeColor="text1"/>
          <w:kern w:val="0"/>
          <w:szCs w:val="21"/>
          <w14:textFill>
            <w14:solidFill>
              <w14:schemeClr w14:val="tx1"/>
            </w14:solidFill>
          </w14:textFill>
        </w:rPr>
        <w:t>于结构的</w:t>
      </w:r>
      <w:r>
        <w:rPr>
          <w:rFonts w:hint="eastAsia" w:cs="宋体" w:asciiTheme="minorEastAsia" w:hAnsiTheme="minorEastAsia"/>
          <w:color w:val="000000" w:themeColor="text1"/>
          <w:kern w:val="0"/>
          <w:szCs w:val="21"/>
          <w14:textFill>
            <w14:solidFill>
              <w14:schemeClr w14:val="tx1"/>
            </w14:solidFill>
          </w14:textFill>
        </w:rPr>
        <w:t>砖</w:t>
      </w:r>
      <w:r>
        <w:rPr>
          <w:rFonts w:hint="eastAsia" w:cs="MS Mincho" w:asciiTheme="minorEastAsia" w:hAnsiTheme="minorEastAsia"/>
          <w:color w:val="000000" w:themeColor="text1"/>
          <w:kern w:val="0"/>
          <w:szCs w:val="21"/>
          <w14:textFill>
            <w14:solidFill>
              <w14:schemeClr w14:val="tx1"/>
            </w14:solidFill>
          </w14:textFill>
        </w:rPr>
        <w:t>房交接</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以及需</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伸</w:t>
      </w:r>
      <w:r>
        <w:rPr>
          <w:rFonts w:hint="eastAsia" w:cs="宋体" w:asciiTheme="minorEastAsia" w:hAnsiTheme="minorEastAsia"/>
          <w:color w:val="000000" w:themeColor="text1"/>
          <w:kern w:val="0"/>
          <w:szCs w:val="21"/>
          <w14:textFill>
            <w14:solidFill>
              <w14:schemeClr w14:val="tx1"/>
            </w14:solidFill>
          </w14:textFill>
        </w:rPr>
        <w:t>缩缝</w:t>
      </w:r>
      <w:r>
        <w:rPr>
          <w:rFonts w:hint="eastAsia" w:cs="MS Mincho" w:asciiTheme="minorEastAsia" w:hAnsiTheme="minorEastAsia"/>
          <w:color w:val="000000" w:themeColor="text1"/>
          <w:kern w:val="0"/>
          <w:szCs w:val="21"/>
          <w14:textFill>
            <w14:solidFill>
              <w14:schemeClr w14:val="tx1"/>
            </w14:solidFill>
          </w14:textFill>
        </w:rPr>
        <w:t>或沉降</w:t>
      </w:r>
      <w:r>
        <w:rPr>
          <w:rFonts w:hint="eastAsia" w:cs="宋体" w:asciiTheme="minorEastAsia" w:hAnsiTheme="minorEastAsia"/>
          <w:color w:val="000000" w:themeColor="text1"/>
          <w:kern w:val="0"/>
          <w:szCs w:val="21"/>
          <w14:textFill>
            <w14:solidFill>
              <w14:schemeClr w14:val="tx1"/>
            </w14:solidFill>
          </w14:textFill>
        </w:rPr>
        <w:t>缝处</w:t>
      </w:r>
      <w:r>
        <w:rPr>
          <w:rFonts w:hint="eastAsia" w:cs="MS Mincho" w:asciiTheme="minorEastAsia" w:hAnsiTheme="minorEastAsia"/>
          <w:color w:val="000000" w:themeColor="text1"/>
          <w:kern w:val="0"/>
          <w:szCs w:val="21"/>
          <w14:textFill>
            <w14:solidFill>
              <w14:schemeClr w14:val="tx1"/>
            </w14:solidFill>
          </w14:textFill>
        </w:rPr>
        <w:t>，均宜</w:t>
      </w:r>
      <w:r>
        <w:rPr>
          <w:rFonts w:hint="eastAsia" w:cs="宋体" w:asciiTheme="minorEastAsia" w:hAnsiTheme="minorEastAsia"/>
          <w:color w:val="000000" w:themeColor="text1"/>
          <w:kern w:val="0"/>
          <w:szCs w:val="21"/>
          <w14:textFill>
            <w14:solidFill>
              <w14:schemeClr w14:val="tx1"/>
            </w14:solidFill>
          </w14:textFill>
        </w:rPr>
        <w:t>设</w:t>
      </w:r>
      <w:r>
        <w:rPr>
          <w:rFonts w:hint="eastAsia" w:cs="HiddenHorzOCR" w:asciiTheme="minorEastAsia" w:hAnsiTheme="minorEastAsia"/>
          <w:color w:val="000000" w:themeColor="text1"/>
          <w:kern w:val="0"/>
          <w:szCs w:val="21"/>
          <w14:textFill>
            <w14:solidFill>
              <w14:schemeClr w14:val="tx1"/>
            </w14:solidFill>
          </w14:textFill>
        </w:rPr>
        <w:t>置防震</w:t>
      </w:r>
      <w:r>
        <w:rPr>
          <w:rFonts w:hint="eastAsia" w:cs="宋体" w:asciiTheme="minorEastAsia" w:hAnsiTheme="minorEastAsia"/>
          <w:color w:val="000000" w:themeColor="text1"/>
          <w:kern w:val="0"/>
          <w:szCs w:val="21"/>
          <w14:textFill>
            <w14:solidFill>
              <w14:schemeClr w14:val="tx1"/>
            </w14:solidFill>
          </w14:textFill>
        </w:rPr>
        <w:t>缝</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多</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结构中当有穿越楼</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且</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移</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较</w:t>
      </w:r>
      <w:r>
        <w:rPr>
          <w:rFonts w:hint="eastAsia" w:cs="MS Mincho" w:asciiTheme="minorEastAsia" w:hAnsiTheme="minorEastAsia"/>
          <w:color w:val="000000" w:themeColor="text1"/>
          <w:kern w:val="0"/>
          <w:szCs w:val="21"/>
          <w14:textFill>
            <w14:solidFill>
              <w14:schemeClr w14:val="tx1"/>
            </w14:solidFill>
          </w14:textFill>
        </w:rPr>
        <w:t>大并有独立的大型</w:t>
      </w:r>
      <w:r>
        <w:rPr>
          <w:rFonts w:hint="eastAsia" w:cs="宋体" w:asciiTheme="minorEastAsia" w:hAnsiTheme="minorEastAsia"/>
          <w:color w:val="000000" w:themeColor="text1"/>
          <w:kern w:val="0"/>
          <w:szCs w:val="21"/>
          <w14:textFill>
            <w14:solidFill>
              <w14:schemeClr w14:val="tx1"/>
            </w14:solidFill>
          </w14:textFill>
        </w:rPr>
        <w:t>设备时</w:t>
      </w:r>
      <w:r>
        <w:rPr>
          <w:rFonts w:hint="eastAsia" w:cs="MS Mincho" w:asciiTheme="minorEastAsia" w:hAnsiTheme="minorEastAsia"/>
          <w:color w:val="000000" w:themeColor="text1"/>
          <w:kern w:val="0"/>
          <w:szCs w:val="21"/>
          <w14:textFill>
            <w14:solidFill>
              <w14:schemeClr w14:val="tx1"/>
            </w14:solidFill>
          </w14:textFill>
        </w:rPr>
        <w:t>，可根据其</w:t>
      </w:r>
      <w:r>
        <w:rPr>
          <w:rFonts w:hint="eastAsia" w:cs="宋体" w:asciiTheme="minorEastAsia" w:hAnsiTheme="minorEastAsia"/>
          <w:color w:val="000000" w:themeColor="text1"/>
          <w:kern w:val="0"/>
          <w:szCs w:val="21"/>
          <w14:textFill>
            <w14:solidFill>
              <w14:schemeClr w14:val="tx1"/>
            </w14:solidFill>
          </w14:textFill>
        </w:rPr>
        <w:t>设备</w:t>
      </w:r>
      <w:r>
        <w:rPr>
          <w:rFonts w:hint="eastAsia" w:cs="MS Mincho" w:asciiTheme="minorEastAsia" w:hAnsiTheme="minorEastAsia"/>
          <w:color w:val="000000" w:themeColor="text1"/>
          <w:kern w:val="0"/>
          <w:szCs w:val="21"/>
          <w14:textFill>
            <w14:solidFill>
              <w14:schemeClr w14:val="tx1"/>
            </w14:solidFill>
          </w14:textFill>
        </w:rPr>
        <w:t>的高度</w:t>
      </w:r>
      <w:r>
        <w:rPr>
          <w:rFonts w:cs="HiddenHorzOCR" w:asciiTheme="minorEastAsia" w:hAnsiTheme="minorEastAsia"/>
          <w:color w:val="000000" w:themeColor="text1"/>
          <w:kern w:val="0"/>
          <w:szCs w:val="21"/>
          <w14:textFill>
            <w14:solidFill>
              <w14:schemeClr w14:val="tx1"/>
            </w14:solidFill>
          </w14:textFill>
        </w:rPr>
        <w:t>H</w:t>
      </w:r>
      <w:r>
        <w:rPr>
          <w:rFonts w:hint="eastAsia" w:cs="HiddenHorzOCR" w:asciiTheme="minorEastAsia" w:hAnsiTheme="minorEastAsia"/>
          <w:color w:val="000000" w:themeColor="text1"/>
          <w:kern w:val="0"/>
          <w:szCs w:val="21"/>
          <w14:textFill>
            <w14:solidFill>
              <w14:schemeClr w14:val="tx1"/>
            </w14:solidFill>
          </w14:textFill>
        </w:rPr>
        <w:t>，按第</w:t>
      </w:r>
      <w:r>
        <w:rPr>
          <w:rFonts w:cs="HiddenHorzOCR"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O.</w:t>
      </w:r>
      <w:r>
        <w:rPr>
          <w:rFonts w:hint="eastAsia" w:cs="HiddenHorzOCR" w:asciiTheme="minorEastAsia" w:hAnsiTheme="minorEastAsia"/>
          <w:color w:val="000000" w:themeColor="text1"/>
          <w:kern w:val="0"/>
          <w:szCs w:val="21"/>
          <w14:textFill>
            <w14:solidFill>
              <w14:schemeClr w14:val="tx1"/>
            </w14:solidFill>
          </w14:textFill>
        </w:rPr>
        <w:t>4条的要求确定其防震</w:t>
      </w:r>
      <w:r>
        <w:rPr>
          <w:rFonts w:hint="eastAsia" w:cs="宋体" w:asciiTheme="minorEastAsia" w:hAnsiTheme="minorEastAsia"/>
          <w:color w:val="000000" w:themeColor="text1"/>
          <w:kern w:val="0"/>
          <w:szCs w:val="21"/>
          <w14:textFill>
            <w14:solidFill>
              <w14:schemeClr w14:val="tx1"/>
            </w14:solidFill>
          </w14:textFill>
        </w:rPr>
        <w:t>缝宽</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3.</w:t>
      </w:r>
      <w:r>
        <w:rPr>
          <w:rFonts w:hint="eastAsia" w:cs="Times New Roman" w:asciiTheme="minorEastAsia" w:hAnsiTheme="minorEastAsia"/>
          <w:color w:val="000000" w:themeColor="text1"/>
          <w:kern w:val="0"/>
          <w:szCs w:val="21"/>
          <w14:textFill>
            <w14:solidFill>
              <w14:schemeClr w14:val="tx1"/>
            </w14:solidFill>
          </w14:textFill>
        </w:rPr>
        <w:t>0</w:t>
      </w:r>
      <w:r>
        <w:rPr>
          <w:rFonts w:cs="Times New Roman" w:asciiTheme="minorEastAsia" w:hAnsiTheme="minorEastAsia"/>
          <w:color w:val="000000" w:themeColor="text1"/>
          <w:kern w:val="0"/>
          <w:szCs w:val="21"/>
          <w14:textFill>
            <w14:solidFill>
              <w14:schemeClr w14:val="tx1"/>
            </w14:solidFill>
          </w14:textFill>
        </w:rPr>
        <w:t>.</w:t>
      </w:r>
      <w:r>
        <w:rPr>
          <w:rFonts w:cs="HiddenHorzOCR" w:asciiTheme="minorEastAsia" w:hAnsiTheme="minorEastAsia"/>
          <w:color w:val="000000" w:themeColor="text1"/>
          <w:kern w:val="0"/>
          <w:szCs w:val="21"/>
          <w14:textFill>
            <w14:solidFill>
              <w14:schemeClr w14:val="tx1"/>
            </w14:solidFill>
          </w14:textFill>
        </w:rPr>
        <w:t>2</w:t>
      </w:r>
      <w:r>
        <w:rPr>
          <w:rFonts w:hint="eastAsia" w:cs="HiddenHorzOCR" w:asciiTheme="minorEastAsia" w:hAnsiTheme="minorEastAsia"/>
          <w:color w:val="000000" w:themeColor="text1"/>
          <w:kern w:val="0"/>
          <w:szCs w:val="21"/>
          <w14:textFill>
            <w14:solidFill>
              <w14:schemeClr w14:val="tx1"/>
            </w14:solidFill>
          </w14:textFill>
        </w:rPr>
        <w:t>-1）。</w:t>
      </w:r>
    </w:p>
    <w:p>
      <w:pPr>
        <w:autoSpaceDE w:val="0"/>
        <w:autoSpaceDN w:val="0"/>
        <w:spacing w:line="360" w:lineRule="auto"/>
        <w:ind w:firstLine="0" w:firstLineChars="0"/>
        <w:jc w:val="center"/>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1953895" cy="1687195"/>
            <wp:effectExtent l="0" t="0" r="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53968" cy="1687425"/>
                    </a:xfrm>
                    <a:prstGeom prst="rect">
                      <a:avLst/>
                    </a:prstGeom>
                  </pic:spPr>
                </pic:pic>
              </a:graphicData>
            </a:graphic>
          </wp:inline>
        </w:drawing>
      </w:r>
    </w:p>
    <w:p>
      <w:pPr>
        <w:autoSpaceDE w:val="0"/>
        <w:autoSpaceDN w:val="0"/>
        <w:spacing w:line="360" w:lineRule="auto"/>
        <w:ind w:firstLine="0" w:firstLineChars="0"/>
        <w:jc w:val="center"/>
        <w:rPr>
          <w:rFonts w:cs="HiddenHorzOCR" w:asciiTheme="minorEastAsia" w:hAnsiTheme="minorEastAsia"/>
          <w:color w:val="000000" w:themeColor="text1"/>
          <w:kern w:val="0"/>
          <w:sz w:val="18"/>
          <w:szCs w:val="18"/>
          <w14:textFill>
            <w14:solidFill>
              <w14:schemeClr w14:val="tx1"/>
            </w14:solidFill>
          </w14:textFill>
        </w:rPr>
      </w:pPr>
      <w:r>
        <w:rPr>
          <w:rFonts w:hint="eastAsia" w:cs="HiddenHorzOCR" w:asciiTheme="minorEastAsia" w:hAnsiTheme="minorEastAsia"/>
          <w:color w:val="000000" w:themeColor="text1"/>
          <w:kern w:val="0"/>
          <w:sz w:val="18"/>
          <w:szCs w:val="18"/>
          <w14:textFill>
            <w14:solidFill>
              <w14:schemeClr w14:val="tx1"/>
            </w14:solidFill>
          </w14:textFill>
        </w:rPr>
        <w:t>图3</w:t>
      </w:r>
      <w:r>
        <w:rPr>
          <w:rFonts w:cs="HiddenHorzOCR" w:asciiTheme="minorEastAsia" w:hAnsiTheme="minorEastAsia"/>
          <w:color w:val="000000" w:themeColor="text1"/>
          <w:kern w:val="0"/>
          <w:sz w:val="18"/>
          <w:szCs w:val="18"/>
          <w14:textFill>
            <w14:solidFill>
              <w14:schemeClr w14:val="tx1"/>
            </w14:solidFill>
          </w14:textFill>
        </w:rPr>
        <w:t>.0.</w:t>
      </w:r>
      <w:r>
        <w:rPr>
          <w:rFonts w:hint="eastAsia" w:cs="HiddenHorzOCR" w:asciiTheme="minorEastAsia" w:hAnsiTheme="minorEastAsia"/>
          <w:color w:val="000000" w:themeColor="text1"/>
          <w:kern w:val="0"/>
          <w:sz w:val="18"/>
          <w:szCs w:val="18"/>
          <w14:textFill>
            <w14:solidFill>
              <w14:schemeClr w14:val="tx1"/>
            </w14:solidFill>
          </w14:textFill>
        </w:rPr>
        <w:t>2-1</w:t>
      </w:r>
      <w:r>
        <w:rPr>
          <w:rFonts w:cs="HiddenHorzOCR" w:asciiTheme="minorEastAsia" w:hAnsiTheme="minorEastAsia"/>
          <w:color w:val="000000" w:themeColor="text1"/>
          <w:kern w:val="0"/>
          <w:sz w:val="18"/>
          <w:szCs w:val="18"/>
          <w14:textFill>
            <w14:solidFill>
              <w14:schemeClr w14:val="tx1"/>
            </w14:solidFill>
          </w14:textFill>
        </w:rPr>
        <w:t xml:space="preserve"> </w:t>
      </w:r>
      <w:r>
        <w:rPr>
          <w:rFonts w:hint="eastAsia" w:cs="HiddenHorzOCR" w:asciiTheme="minorEastAsia" w:hAnsiTheme="minorEastAsia"/>
          <w:color w:val="000000" w:themeColor="text1"/>
          <w:kern w:val="0"/>
          <w:sz w:val="18"/>
          <w:szCs w:val="18"/>
          <w14:textFill>
            <w14:solidFill>
              <w14:schemeClr w14:val="tx1"/>
            </w14:solidFill>
          </w14:textFill>
        </w:rPr>
        <w:t>厂房结构与独立设备间的防震缝</w:t>
      </w:r>
    </w:p>
    <w:p>
      <w:pPr>
        <w:autoSpaceDE w:val="0"/>
        <w:autoSpaceDN w:val="0"/>
        <w:spacing w:line="360" w:lineRule="auto"/>
        <w:ind w:firstLine="360"/>
        <w:jc w:val="left"/>
        <w:rPr>
          <w:rFonts w:cs="HiddenHorzOCR" w:asciiTheme="minorEastAsia" w:hAnsiTheme="minorEastAsia"/>
          <w:color w:val="000000" w:themeColor="text1"/>
          <w:kern w:val="0"/>
          <w:sz w:val="18"/>
          <w:szCs w:val="18"/>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3.0.3 </w:t>
      </w:r>
      <w:r>
        <w:rPr>
          <w:rFonts w:hint="eastAsia" w:cs="HiddenHorzOCR" w:asciiTheme="minorEastAsia" w:hAnsiTheme="minorEastAsia"/>
          <w:color w:val="000000" w:themeColor="text1"/>
          <w:kern w:val="0"/>
          <w:szCs w:val="21"/>
          <w14:textFill>
            <w14:solidFill>
              <w14:schemeClr w14:val="tx1"/>
            </w14:solidFill>
          </w14:textFill>
        </w:rPr>
        <w:t>防震</w:t>
      </w:r>
      <w:r>
        <w:rPr>
          <w:rFonts w:hint="eastAsia" w:cs="宋体" w:asciiTheme="minorEastAsia" w:hAnsiTheme="minorEastAsia"/>
          <w:color w:val="000000" w:themeColor="text1"/>
          <w:kern w:val="0"/>
          <w:szCs w:val="21"/>
          <w14:textFill>
            <w14:solidFill>
              <w14:schemeClr w14:val="tx1"/>
            </w14:solidFill>
          </w14:textFill>
        </w:rPr>
        <w:t>缝</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防震</w:t>
      </w:r>
      <w:r>
        <w:rPr>
          <w:rFonts w:hint="eastAsia" w:cs="宋体" w:asciiTheme="minorEastAsia" w:hAnsiTheme="minorEastAsia"/>
          <w:color w:val="000000" w:themeColor="text1"/>
          <w:kern w:val="0"/>
          <w:szCs w:val="21"/>
          <w14:textFill>
            <w14:solidFill>
              <w14:schemeClr w14:val="tx1"/>
            </w14:solidFill>
          </w14:textFill>
        </w:rPr>
        <w:t>缝</w:t>
      </w:r>
      <w:r>
        <w:rPr>
          <w:rFonts w:hint="eastAsia" w:cs="MS Mincho" w:asciiTheme="minorEastAsia" w:hAnsiTheme="minorEastAsia"/>
          <w:color w:val="000000" w:themeColor="text1"/>
          <w:kern w:val="0"/>
          <w:szCs w:val="21"/>
          <w14:textFill>
            <w14:solidFill>
              <w14:schemeClr w14:val="tx1"/>
            </w14:solidFill>
          </w14:textFill>
        </w:rPr>
        <w:t>两</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的上部</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完全分开；</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在防震</w:t>
      </w:r>
      <w:r>
        <w:rPr>
          <w:rFonts w:hint="eastAsia" w:cs="宋体" w:asciiTheme="minorEastAsia" w:hAnsiTheme="minorEastAsia"/>
          <w:color w:val="000000" w:themeColor="text1"/>
          <w:kern w:val="0"/>
          <w:szCs w:val="21"/>
          <w14:textFill>
            <w14:solidFill>
              <w14:schemeClr w14:val="tx1"/>
            </w14:solidFill>
          </w14:textFill>
        </w:rPr>
        <w:t>缝处</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构宜采用双排</w:t>
      </w:r>
      <w:r>
        <w:rPr>
          <w:rFonts w:hint="eastAsia" w:cs="HiddenHorzOCR" w:asciiTheme="minorEastAsia" w:hAnsiTheme="minorEastAsia"/>
          <w:color w:val="000000" w:themeColor="text1"/>
          <w:kern w:val="0"/>
          <w:szCs w:val="21"/>
          <w14:textFill>
            <w14:solidFill>
              <w14:schemeClr w14:val="tx1"/>
            </w14:solidFill>
          </w14:textFill>
        </w:rPr>
        <w:t>（框、</w:t>
      </w:r>
      <w:r>
        <w:rPr>
          <w:rFonts w:hint="eastAsia" w:cs="宋体" w:asciiTheme="minorEastAsia" w:hAnsiTheme="minorEastAsia"/>
          <w:color w:val="000000" w:themeColor="text1"/>
          <w:kern w:val="0"/>
          <w:szCs w:val="21"/>
          <w14:textFill>
            <w14:solidFill>
              <w14:schemeClr w14:val="tx1"/>
            </w14:solidFill>
          </w14:textFill>
        </w:rPr>
        <w:t>刚</w:t>
      </w:r>
      <w:r>
        <w:rPr>
          <w:rFonts w:hint="eastAsia" w:cs="HiddenHorzOCR" w:asciiTheme="minorEastAsia" w:hAnsiTheme="minorEastAsia"/>
          <w:color w:val="000000" w:themeColor="text1"/>
          <w:kern w:val="0"/>
          <w:szCs w:val="21"/>
          <w14:textFill>
            <w14:solidFill>
              <w14:schemeClr w14:val="tx1"/>
            </w14:solidFill>
          </w14:textFill>
        </w:rPr>
        <w:t>）架</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防震</w:t>
      </w:r>
      <w:r>
        <w:rPr>
          <w:rFonts w:hint="eastAsia" w:cs="宋体" w:asciiTheme="minorEastAsia" w:hAnsiTheme="minorEastAsia"/>
          <w:color w:val="000000" w:themeColor="text1"/>
          <w:kern w:val="0"/>
          <w:szCs w:val="21"/>
          <w14:textFill>
            <w14:solidFill>
              <w14:schemeClr w14:val="tx1"/>
            </w14:solidFill>
          </w14:textFill>
        </w:rPr>
        <w:t>缝应</w:t>
      </w:r>
      <w:r>
        <w:rPr>
          <w:rFonts w:hint="eastAsia" w:cs="MS Mincho" w:asciiTheme="minorEastAsia" w:hAnsiTheme="minorEastAsia"/>
          <w:color w:val="000000" w:themeColor="text1"/>
          <w:kern w:val="0"/>
          <w:szCs w:val="21"/>
          <w14:textFill>
            <w14:solidFill>
              <w14:schemeClr w14:val="tx1"/>
            </w14:solidFill>
          </w14:textFill>
        </w:rPr>
        <w:t>同伸</w:t>
      </w:r>
      <w:r>
        <w:rPr>
          <w:rFonts w:hint="eastAsia" w:cs="宋体" w:asciiTheme="minorEastAsia" w:hAnsiTheme="minorEastAsia"/>
          <w:color w:val="000000" w:themeColor="text1"/>
          <w:kern w:val="0"/>
          <w:szCs w:val="21"/>
          <w14:textFill>
            <w14:solidFill>
              <w14:schemeClr w14:val="tx1"/>
            </w14:solidFill>
          </w14:textFill>
        </w:rPr>
        <w:t>缩缝</w:t>
      </w:r>
      <w:r>
        <w:rPr>
          <w:rFonts w:hint="eastAsia" w:cs="MS Mincho" w:asciiTheme="minorEastAsia" w:hAnsiTheme="minorEastAsia"/>
          <w:color w:val="000000" w:themeColor="text1"/>
          <w:kern w:val="0"/>
          <w:szCs w:val="21"/>
          <w14:textFill>
            <w14:solidFill>
              <w14:schemeClr w14:val="tx1"/>
            </w14:solidFill>
          </w14:textFill>
        </w:rPr>
        <w:t>、沉降</w:t>
      </w:r>
      <w:r>
        <w:rPr>
          <w:rFonts w:hint="eastAsia" w:cs="宋体" w:asciiTheme="minorEastAsia" w:hAnsiTheme="minorEastAsia"/>
          <w:color w:val="000000" w:themeColor="text1"/>
          <w:kern w:val="0"/>
          <w:szCs w:val="21"/>
          <w14:textFill>
            <w14:solidFill>
              <w14:schemeClr w14:val="tx1"/>
            </w14:solidFill>
          </w14:textFill>
        </w:rPr>
        <w:t>缝协调</w:t>
      </w:r>
      <w:r>
        <w:rPr>
          <w:rFonts w:hint="eastAsia" w:cs="MS Mincho" w:asciiTheme="minorEastAsia" w:hAnsiTheme="minorEastAsia"/>
          <w:color w:val="000000" w:themeColor="text1"/>
          <w:kern w:val="0"/>
          <w:szCs w:val="21"/>
          <w14:textFill>
            <w14:solidFill>
              <w14:schemeClr w14:val="tx1"/>
            </w14:solidFill>
          </w14:textFill>
        </w:rPr>
        <w:t>布置，并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符合防震</w:t>
      </w:r>
      <w:r>
        <w:rPr>
          <w:rFonts w:hint="eastAsia" w:cs="宋体" w:asciiTheme="minorEastAsia" w:hAnsiTheme="minorEastAsia"/>
          <w:color w:val="000000" w:themeColor="text1"/>
          <w:kern w:val="0"/>
          <w:szCs w:val="21"/>
          <w14:textFill>
            <w14:solidFill>
              <w14:schemeClr w14:val="tx1"/>
            </w14:solidFill>
          </w14:textFill>
        </w:rPr>
        <w:t>缝</w:t>
      </w:r>
      <w:r>
        <w:rPr>
          <w:rFonts w:hint="eastAsia" w:cs="HiddenHorzOCR" w:asciiTheme="minorEastAsia" w:hAnsiTheme="minorEastAsia"/>
          <w:color w:val="000000" w:themeColor="text1"/>
          <w:kern w:val="0"/>
          <w:szCs w:val="21"/>
          <w14:textFill>
            <w14:solidFill>
              <w14:schemeClr w14:val="tx1"/>
            </w14:solidFill>
          </w14:textFill>
        </w:rPr>
        <w:t>的要求；</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3.0.4 </w:t>
      </w:r>
      <w:r>
        <w:rPr>
          <w:rFonts w:hint="eastAsia" w:cs="HiddenHorzOCR" w:asciiTheme="minorEastAsia" w:hAnsiTheme="minorEastAsia"/>
          <w:color w:val="000000" w:themeColor="text1"/>
          <w:kern w:val="0"/>
          <w:szCs w:val="21"/>
          <w14:textFill>
            <w14:solidFill>
              <w14:schemeClr w14:val="tx1"/>
            </w14:solidFill>
          </w14:textFill>
        </w:rPr>
        <w:t>防震</w:t>
      </w:r>
      <w:r>
        <w:rPr>
          <w:rFonts w:hint="eastAsia" w:cs="宋体" w:asciiTheme="minorEastAsia" w:hAnsiTheme="minorEastAsia"/>
          <w:color w:val="000000" w:themeColor="text1"/>
          <w:kern w:val="0"/>
          <w:szCs w:val="21"/>
          <w14:textFill>
            <w14:solidFill>
              <w14:schemeClr w14:val="tx1"/>
            </w14:solidFill>
          </w14:textFill>
        </w:rPr>
        <w:t>缝</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宽</w:t>
      </w:r>
      <w:r>
        <w:rPr>
          <w:rFonts w:hint="eastAsia" w:cs="MS Mincho" w:asciiTheme="minorEastAsia" w:hAnsiTheme="minorEastAsia"/>
          <w:color w:val="000000" w:themeColor="text1"/>
          <w:kern w:val="0"/>
          <w:szCs w:val="21"/>
          <w14:textFill>
            <w14:solidFill>
              <w14:schemeClr w14:val="tx1"/>
            </w14:solidFill>
          </w14:textFill>
        </w:rPr>
        <w:t>度宜根据</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防烈度、</w:t>
      </w:r>
      <w:r>
        <w:rPr>
          <w:rFonts w:hint="eastAsia" w:cs="宋体" w:asciiTheme="minorEastAsia" w:hAnsiTheme="minorEastAsia"/>
          <w:color w:val="000000" w:themeColor="text1"/>
          <w:kern w:val="0"/>
          <w:szCs w:val="21"/>
          <w14:textFill>
            <w14:solidFill>
              <w14:schemeClr w14:val="tx1"/>
            </w14:solidFill>
          </w14:textFill>
        </w:rPr>
        <w:t>场</w:t>
      </w:r>
      <w:r>
        <w:rPr>
          <w:rFonts w:hint="eastAsia" w:cs="MS Mincho" w:asciiTheme="minorEastAsia" w:hAnsiTheme="minorEastAsia"/>
          <w:color w:val="000000" w:themeColor="text1"/>
          <w:kern w:val="0"/>
          <w:szCs w:val="21"/>
          <w14:textFill>
            <w14:solidFill>
              <w14:schemeClr w14:val="tx1"/>
            </w14:solidFill>
          </w14:textFill>
        </w:rPr>
        <w:t>地</w:t>
      </w:r>
      <w:r>
        <w:rPr>
          <w:rFonts w:hint="eastAsia" w:cs="宋体" w:asciiTheme="minorEastAsia" w:hAnsiTheme="minorEastAsia"/>
          <w:color w:val="000000" w:themeColor="text1"/>
          <w:kern w:val="0"/>
          <w:szCs w:val="21"/>
          <w14:textFill>
            <w14:solidFill>
              <w14:schemeClr w14:val="tx1"/>
            </w14:solidFill>
          </w14:textFill>
        </w:rPr>
        <w:t>类别</w:t>
      </w:r>
      <w:r>
        <w:rPr>
          <w:rFonts w:hint="eastAsia" w:cs="MS Mincho" w:asciiTheme="minorEastAsia" w:hAnsiTheme="minorEastAsia"/>
          <w:color w:val="000000" w:themeColor="text1"/>
          <w:kern w:val="0"/>
          <w:szCs w:val="21"/>
          <w14:textFill>
            <w14:solidFill>
              <w14:schemeClr w14:val="tx1"/>
            </w14:solidFill>
          </w14:textFill>
        </w:rPr>
        <w:t>和结构高度，采</w:t>
      </w:r>
      <w:r>
        <w:rPr>
          <w:rFonts w:hint="eastAsia" w:cs="HiddenHorzOCR" w:asciiTheme="minorEastAsia" w:hAnsiTheme="minorEastAsia"/>
          <w:color w:val="000000" w:themeColor="text1"/>
          <w:kern w:val="0"/>
          <w:szCs w:val="21"/>
          <w14:textFill>
            <w14:solidFill>
              <w14:schemeClr w14:val="tx1"/>
            </w14:solidFill>
          </w14:textFill>
        </w:rPr>
        <w:t>用下列限</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宋体" w:asciiTheme="minorEastAsia" w:hAnsiTheme="minorEastAsia"/>
          <w:color w:val="000000" w:themeColor="text1"/>
          <w:kern w:val="0"/>
          <w:szCs w:val="21"/>
          <w14:textFill>
            <w14:solidFill>
              <w14:schemeClr w14:val="tx1"/>
            </w14:solidFill>
          </w14:textFill>
        </w:rPr>
        <w:t>单层</w:t>
      </w:r>
      <w:r>
        <w:rPr>
          <w:rFonts w:hint="eastAsia" w:cs="MS Mincho" w:asciiTheme="minorEastAsia" w:hAnsiTheme="minorEastAsia"/>
          <w:color w:val="000000" w:themeColor="text1"/>
          <w:kern w:val="0"/>
          <w:szCs w:val="21"/>
          <w14:textFill>
            <w14:solidFill>
              <w14:schemeClr w14:val="tx1"/>
            </w14:solidFill>
          </w14:textFill>
        </w:rPr>
        <w:t>结构的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横跨交接</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宜采用</w:t>
      </w:r>
      <w:r>
        <w:rPr>
          <w:rFonts w:cs="HiddenHorzOCR" w:asciiTheme="minorEastAsia" w:hAnsiTheme="minorEastAsia"/>
          <w:color w:val="000000" w:themeColor="text1"/>
          <w:kern w:val="0"/>
          <w:szCs w:val="21"/>
          <w14:textFill>
            <w14:solidFill>
              <w14:schemeClr w14:val="tx1"/>
            </w14:solidFill>
          </w14:textFill>
        </w:rPr>
        <w:t>100</w:t>
      </w:r>
      <w:r>
        <w:rPr>
          <w:rFonts w:hint="eastAsia" w:cs="HiddenHorzOCR" w:asciiTheme="minorEastAsia" w:hAnsiTheme="minorEastAsia"/>
          <w:color w:val="000000" w:themeColor="text1"/>
          <w:kern w:val="0"/>
          <w:szCs w:val="21"/>
          <w14:textFill>
            <w14:solidFill>
              <w14:schemeClr w14:val="tx1"/>
            </w14:solidFill>
          </w14:textFill>
        </w:rPr>
        <w:t>～</w:t>
      </w:r>
      <w:r>
        <w:rPr>
          <w:rFonts w:cs="HiddenHorzOCR" w:asciiTheme="minorEastAsia" w:hAnsiTheme="minorEastAsia"/>
          <w:color w:val="000000" w:themeColor="text1"/>
          <w:kern w:val="0"/>
          <w:szCs w:val="21"/>
          <w14:textFill>
            <w14:solidFill>
              <w14:schemeClr w14:val="tx1"/>
            </w14:solidFill>
          </w14:textFill>
        </w:rPr>
        <w:t>150mm</w:t>
      </w:r>
      <w:r>
        <w:rPr>
          <w:rFonts w:hint="eastAsia" w:cs="HiddenHorzOCR" w:asciiTheme="minorEastAsia" w:hAnsiTheme="minorEastAsia"/>
          <w:color w:val="000000" w:themeColor="text1"/>
          <w:kern w:val="0"/>
          <w:szCs w:val="21"/>
          <w14:textFill>
            <w14:solidFill>
              <w14:schemeClr w14:val="tx1"/>
            </w14:solidFill>
          </w14:textFill>
        </w:rPr>
        <w:t>，其它部位可采用</w:t>
      </w:r>
      <w:r>
        <w:rPr>
          <w:rFonts w:cs="HiddenHorzOCR" w:asciiTheme="minorEastAsia" w:hAnsiTheme="minorEastAsia"/>
          <w:color w:val="000000" w:themeColor="text1"/>
          <w:kern w:val="0"/>
          <w:szCs w:val="21"/>
          <w14:textFill>
            <w14:solidFill>
              <w14:schemeClr w14:val="tx1"/>
            </w14:solidFill>
          </w14:textFill>
        </w:rPr>
        <w:t>50</w:t>
      </w:r>
      <w:r>
        <w:rPr>
          <w:rFonts w:hint="eastAsia" w:cs="HiddenHorzOCR" w:asciiTheme="minorEastAsia" w:hAnsiTheme="minorEastAsia"/>
          <w:color w:val="000000" w:themeColor="text1"/>
          <w:kern w:val="0"/>
          <w:szCs w:val="21"/>
          <w14:textFill>
            <w14:solidFill>
              <w14:schemeClr w14:val="tx1"/>
            </w14:solidFill>
          </w14:textFill>
        </w:rPr>
        <w:t>～</w:t>
      </w:r>
      <w:r>
        <w:rPr>
          <w:rFonts w:cs="HiddenHorzOCR" w:asciiTheme="minorEastAsia" w:hAnsiTheme="minorEastAsia"/>
          <w:color w:val="000000" w:themeColor="text1"/>
          <w:kern w:val="0"/>
          <w:szCs w:val="21"/>
          <w14:textFill>
            <w14:solidFill>
              <w14:schemeClr w14:val="tx1"/>
            </w14:solidFill>
          </w14:textFill>
        </w:rPr>
        <w:t>120mm</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多</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结构当高度不超</w:t>
      </w:r>
      <w:r>
        <w:rPr>
          <w:rFonts w:hint="eastAsia" w:cs="宋体" w:asciiTheme="minorEastAsia" w:hAnsiTheme="minorEastAsia"/>
          <w:color w:val="000000" w:themeColor="text1"/>
          <w:kern w:val="0"/>
          <w:szCs w:val="21"/>
          <w14:textFill>
            <w14:solidFill>
              <w14:schemeClr w14:val="tx1"/>
            </w14:solidFill>
          </w14:textFill>
        </w:rPr>
        <w:t>过</w:t>
      </w:r>
      <w:r>
        <w:rPr>
          <w:rFonts w:cs="HiddenHorzOCR" w:asciiTheme="minorEastAsia" w:hAnsiTheme="minorEastAsia"/>
          <w:color w:val="000000" w:themeColor="text1"/>
          <w:kern w:val="0"/>
          <w:szCs w:val="21"/>
          <w14:textFill>
            <w14:solidFill>
              <w14:schemeClr w14:val="tx1"/>
            </w14:solidFill>
          </w14:textFill>
        </w:rPr>
        <w:t>15m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，可采用</w:t>
      </w:r>
      <w:r>
        <w:rPr>
          <w:rFonts w:cs="HiddenHorzOCR" w:asciiTheme="minorEastAsia" w:hAnsiTheme="minorEastAsia"/>
          <w:color w:val="000000" w:themeColor="text1"/>
          <w:kern w:val="0"/>
          <w:szCs w:val="21"/>
          <w14:textFill>
            <w14:solidFill>
              <w14:schemeClr w14:val="tx1"/>
            </w14:solidFill>
          </w14:textFill>
        </w:rPr>
        <w:t>70mm</w:t>
      </w:r>
      <w:r>
        <w:rPr>
          <w:rFonts w:hint="eastAsia" w:cs="HiddenHorzOCR" w:asciiTheme="minorEastAsia" w:hAnsiTheme="minorEastAsia"/>
          <w:color w:val="000000" w:themeColor="text1"/>
          <w:kern w:val="0"/>
          <w:szCs w:val="21"/>
          <w14:textFill>
            <w14:solidFill>
              <w14:schemeClr w14:val="tx1"/>
            </w14:solidFill>
          </w14:textFill>
        </w:rPr>
        <w:t>；当高度超</w:t>
      </w:r>
      <w:r>
        <w:rPr>
          <w:rFonts w:hint="eastAsia" w:cs="宋体" w:asciiTheme="minorEastAsia" w:hAnsiTheme="minorEastAsia"/>
          <w:color w:val="000000" w:themeColor="text1"/>
          <w:kern w:val="0"/>
          <w:szCs w:val="21"/>
          <w14:textFill>
            <w14:solidFill>
              <w14:schemeClr w14:val="tx1"/>
            </w14:solidFill>
          </w14:textFill>
        </w:rPr>
        <w:t>过</w:t>
      </w:r>
      <w:r>
        <w:rPr>
          <w:rFonts w:cs="HiddenHorzOCR" w:asciiTheme="minorEastAsia" w:hAnsiTheme="minorEastAsia"/>
          <w:color w:val="000000" w:themeColor="text1"/>
          <w:kern w:val="0"/>
          <w:szCs w:val="21"/>
          <w14:textFill>
            <w14:solidFill>
              <w14:schemeClr w14:val="tx1"/>
            </w14:solidFill>
          </w14:textFill>
        </w:rPr>
        <w:t>15m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cs="HiddenHorzOCR" w:asciiTheme="minorEastAsia" w:hAnsiTheme="minorEastAsia"/>
          <w:color w:val="000000" w:themeColor="text1"/>
          <w:kern w:val="0"/>
          <w:szCs w:val="21"/>
          <w14:textFill>
            <w14:solidFill>
              <w14:schemeClr w14:val="tx1"/>
            </w14:solidFill>
          </w14:textFill>
        </w:rPr>
        <w:t>6</w:t>
      </w:r>
      <w:r>
        <w:rPr>
          <w:rFonts w:hint="eastAsia" w:cs="HiddenHorzOCR" w:asciiTheme="minorEastAsia" w:hAnsiTheme="minorEastAsia"/>
          <w:color w:val="000000" w:themeColor="text1"/>
          <w:kern w:val="0"/>
          <w:szCs w:val="21"/>
          <w14:textFill>
            <w14:solidFill>
              <w14:schemeClr w14:val="tx1"/>
            </w14:solidFill>
          </w14:textFill>
        </w:rPr>
        <w:t>度、</w:t>
      </w:r>
      <w:r>
        <w:rPr>
          <w:rFonts w:cs="HiddenHorzOCR" w:asciiTheme="minorEastAsia" w:hAnsiTheme="minorEastAsia"/>
          <w:color w:val="000000" w:themeColor="text1"/>
          <w:kern w:val="0"/>
          <w:szCs w:val="21"/>
          <w14:textFill>
            <w14:solidFill>
              <w14:schemeClr w14:val="tx1"/>
            </w14:solidFill>
          </w14:textFill>
        </w:rPr>
        <w:t>7</w:t>
      </w:r>
      <w:r>
        <w:rPr>
          <w:rFonts w:hint="eastAsia" w:cs="HiddenHorzOCR" w:asciiTheme="minorEastAsia" w:hAnsiTheme="minorEastAsia"/>
          <w:color w:val="000000" w:themeColor="text1"/>
          <w:kern w:val="0"/>
          <w:szCs w:val="21"/>
          <w14:textFill>
            <w14:solidFill>
              <w14:schemeClr w14:val="tx1"/>
            </w14:solidFill>
          </w14:textFill>
        </w:rPr>
        <w:t>度、</w:t>
      </w:r>
      <w:r>
        <w:rPr>
          <w:rFonts w:cs="HiddenHorzOCR" w:asciiTheme="minorEastAsia" w:hAnsiTheme="minorEastAsia"/>
          <w:color w:val="000000" w:themeColor="text1"/>
          <w:kern w:val="0"/>
          <w:szCs w:val="21"/>
          <w14:textFill>
            <w14:solidFill>
              <w14:schemeClr w14:val="tx1"/>
            </w14:solidFill>
          </w14:textFill>
        </w:rPr>
        <w:t>8</w:t>
      </w:r>
      <w:r>
        <w:rPr>
          <w:rFonts w:hint="eastAsia" w:cs="HiddenHorzOCR" w:asciiTheme="minorEastAsia" w:hAnsiTheme="minorEastAsia"/>
          <w:color w:val="000000" w:themeColor="text1"/>
          <w:kern w:val="0"/>
          <w:szCs w:val="21"/>
          <w14:textFill>
            <w14:solidFill>
              <w14:schemeClr w14:val="tx1"/>
            </w14:solidFill>
          </w14:textFill>
        </w:rPr>
        <w:t>度、</w:t>
      </w:r>
      <w:r>
        <w:rPr>
          <w:rFonts w:cs="HiddenHorzOCR" w:asciiTheme="minorEastAsia" w:hAnsiTheme="minorEastAsia"/>
          <w:color w:val="000000" w:themeColor="text1"/>
          <w:kern w:val="0"/>
          <w:szCs w:val="21"/>
          <w14:textFill>
            <w14:solidFill>
              <w14:schemeClr w14:val="tx1"/>
            </w14:solidFill>
          </w14:textFill>
        </w:rPr>
        <w:t>9</w:t>
      </w:r>
      <w:r>
        <w:rPr>
          <w:rFonts w:hint="eastAsia" w:cs="HiddenHorzOCR" w:asciiTheme="minorEastAsia" w:hAnsiTheme="minorEastAsia"/>
          <w:color w:val="000000" w:themeColor="text1"/>
          <w:kern w:val="0"/>
          <w:szCs w:val="21"/>
          <w14:textFill>
            <w14:solidFill>
              <w14:schemeClr w14:val="tx1"/>
            </w14:solidFill>
          </w14:textFill>
        </w:rPr>
        <w:t>度，相</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每增加</w:t>
      </w:r>
      <w:r>
        <w:rPr>
          <w:rFonts w:cs="HiddenHorzOCR" w:asciiTheme="minorEastAsia" w:hAnsiTheme="minorEastAsia"/>
          <w:color w:val="000000" w:themeColor="text1"/>
          <w:kern w:val="0"/>
          <w:szCs w:val="21"/>
          <w14:textFill>
            <w14:solidFill>
              <w14:schemeClr w14:val="tx1"/>
            </w14:solidFill>
          </w14:textFill>
        </w:rPr>
        <w:t>5m</w:t>
      </w:r>
      <w:r>
        <w:rPr>
          <w:rFonts w:hint="eastAsia" w:cs="HiddenHorzOCR" w:asciiTheme="minorEastAsia" w:hAnsiTheme="minorEastAsia"/>
          <w:color w:val="000000" w:themeColor="text1"/>
          <w:kern w:val="0"/>
          <w:szCs w:val="21"/>
          <w14:textFill>
            <w14:solidFill>
              <w14:schemeClr w14:val="tx1"/>
            </w14:solidFill>
          </w14:textFill>
        </w:rPr>
        <w:t>、</w:t>
      </w:r>
      <w:r>
        <w:rPr>
          <w:rFonts w:cs="HiddenHorzOCR" w:asciiTheme="minorEastAsia" w:hAnsiTheme="minorEastAsia"/>
          <w:color w:val="000000" w:themeColor="text1"/>
          <w:kern w:val="0"/>
          <w:szCs w:val="21"/>
          <w14:textFill>
            <w14:solidFill>
              <w14:schemeClr w14:val="tx1"/>
            </w14:solidFill>
          </w14:textFill>
        </w:rPr>
        <w:t>4m</w:t>
      </w:r>
      <w:r>
        <w:rPr>
          <w:rFonts w:hint="eastAsia" w:cs="HiddenHorzOCR" w:asciiTheme="minorEastAsia" w:hAnsiTheme="minorEastAsia"/>
          <w:color w:val="000000" w:themeColor="text1"/>
          <w:kern w:val="0"/>
          <w:szCs w:val="21"/>
          <w14:textFill>
            <w14:solidFill>
              <w14:schemeClr w14:val="tx1"/>
            </w14:solidFill>
          </w14:textFill>
        </w:rPr>
        <w:t>、</w:t>
      </w:r>
      <w:r>
        <w:rPr>
          <w:rFonts w:cs="HiddenHorzOCR" w:asciiTheme="minorEastAsia" w:hAnsiTheme="minorEastAsia"/>
          <w:color w:val="000000" w:themeColor="text1"/>
          <w:kern w:val="0"/>
          <w:szCs w:val="21"/>
          <w14:textFill>
            <w14:solidFill>
              <w14:schemeClr w14:val="tx1"/>
            </w14:solidFill>
          </w14:textFill>
        </w:rPr>
        <w:t>3m</w:t>
      </w:r>
      <w:r>
        <w:rPr>
          <w:rFonts w:hint="eastAsia" w:cs="HiddenHorzOCR" w:asciiTheme="minorEastAsia" w:hAnsiTheme="minorEastAsia"/>
          <w:color w:val="000000" w:themeColor="text1"/>
          <w:kern w:val="0"/>
          <w:szCs w:val="21"/>
          <w14:textFill>
            <w14:solidFill>
              <w14:schemeClr w14:val="tx1"/>
            </w14:solidFill>
          </w14:textFill>
        </w:rPr>
        <w:t>、</w:t>
      </w:r>
      <w:r>
        <w:rPr>
          <w:rFonts w:cs="HiddenHorzOCR" w:asciiTheme="minorEastAsia" w:hAnsiTheme="minorEastAsia"/>
          <w:color w:val="000000" w:themeColor="text1"/>
          <w:kern w:val="0"/>
          <w:szCs w:val="21"/>
          <w14:textFill>
            <w14:solidFill>
              <w14:schemeClr w14:val="tx1"/>
            </w14:solidFill>
          </w14:textFill>
        </w:rPr>
        <w:t>2m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宜再加</w:t>
      </w:r>
      <w:r>
        <w:rPr>
          <w:rFonts w:hint="eastAsia" w:cs="宋体" w:asciiTheme="minorEastAsia" w:hAnsiTheme="minorEastAsia"/>
          <w:color w:val="000000" w:themeColor="text1"/>
          <w:kern w:val="0"/>
          <w:szCs w:val="21"/>
          <w14:textFill>
            <w14:solidFill>
              <w14:schemeClr w14:val="tx1"/>
            </w14:solidFill>
          </w14:textFill>
        </w:rPr>
        <w:t>宽</w:t>
      </w:r>
      <w:r>
        <w:rPr>
          <w:rFonts w:cs="HiddenHorzOCR" w:asciiTheme="minorEastAsia" w:hAnsiTheme="minorEastAsia"/>
          <w:color w:val="000000" w:themeColor="text1"/>
          <w:kern w:val="0"/>
          <w:szCs w:val="21"/>
          <w14:textFill>
            <w14:solidFill>
              <w14:schemeClr w14:val="tx1"/>
            </w14:solidFill>
          </w14:textFill>
        </w:rPr>
        <w:t>20mm</w:t>
      </w:r>
      <w:r>
        <w:rPr>
          <w:rFonts w:hint="eastAsia" w:cs="HiddenHorzOCR" w:asciiTheme="minorEastAsia" w:hAnsiTheme="minorEastAsia"/>
          <w:color w:val="000000" w:themeColor="text1"/>
          <w:kern w:val="0"/>
          <w:szCs w:val="21"/>
          <w14:textFill>
            <w14:solidFill>
              <w14:schemeClr w14:val="tx1"/>
            </w14:solidFill>
          </w14:textFill>
        </w:rPr>
        <w:t>，位于Ⅲ、Ⅳ</w:t>
      </w:r>
      <w:r>
        <w:rPr>
          <w:rFonts w:hint="eastAsia" w:cs="宋体" w:asciiTheme="minorEastAsia" w:hAnsiTheme="minorEastAsia"/>
          <w:color w:val="000000" w:themeColor="text1"/>
          <w:kern w:val="0"/>
          <w:szCs w:val="21"/>
          <w14:textFill>
            <w14:solidFill>
              <w14:schemeClr w14:val="tx1"/>
            </w14:solidFill>
          </w14:textFill>
        </w:rPr>
        <w:t>类场</w:t>
      </w:r>
      <w:r>
        <w:rPr>
          <w:rFonts w:hint="eastAsia" w:cs="MS Mincho" w:asciiTheme="minorEastAsia" w:hAnsiTheme="minorEastAsia"/>
          <w:color w:val="000000" w:themeColor="text1"/>
          <w:kern w:val="0"/>
          <w:szCs w:val="21"/>
          <w14:textFill>
            <w14:solidFill>
              <w14:schemeClr w14:val="tx1"/>
            </w14:solidFill>
          </w14:textFill>
        </w:rPr>
        <w:t>地上的</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构，其防震</w:t>
      </w:r>
      <w:r>
        <w:rPr>
          <w:rFonts w:hint="eastAsia" w:cs="宋体" w:asciiTheme="minorEastAsia" w:hAnsiTheme="minorEastAsia"/>
          <w:color w:val="000000" w:themeColor="text1"/>
          <w:kern w:val="0"/>
          <w:szCs w:val="21"/>
          <w14:textFill>
            <w14:solidFill>
              <w14:schemeClr w14:val="tx1"/>
            </w14:solidFill>
          </w14:textFill>
        </w:rPr>
        <w:t>缝宽</w:t>
      </w:r>
      <w:r>
        <w:rPr>
          <w:rFonts w:hint="eastAsia" w:cs="MS Mincho" w:asciiTheme="minorEastAsia" w:hAnsiTheme="minorEastAsia"/>
          <w:color w:val="000000" w:themeColor="text1"/>
          <w:kern w:val="0"/>
          <w:szCs w:val="21"/>
          <w14:textFill>
            <w14:solidFill>
              <w14:schemeClr w14:val="tx1"/>
            </w14:solidFill>
          </w14:textFill>
        </w:rPr>
        <w:t>度宜按上述</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定适当加大。</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3.0.</w:t>
      </w:r>
      <w:r>
        <w:rPr>
          <w:rFonts w:hint="eastAsia" w:cs="Times New Roman" w:asciiTheme="minorEastAsia" w:hAnsiTheme="minorEastAsia"/>
          <w:color w:val="000000" w:themeColor="text1"/>
          <w:kern w:val="0"/>
          <w:szCs w:val="21"/>
          <w14:textFill>
            <w14:solidFill>
              <w14:schemeClr w14:val="tx1"/>
            </w14:solidFill>
          </w14:textFill>
        </w:rPr>
        <w:t>5</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车间扩</w:t>
      </w:r>
      <w:r>
        <w:rPr>
          <w:rFonts w:hint="eastAsia" w:cs="MS Mincho" w:asciiTheme="minorEastAsia" w:hAnsiTheme="minorEastAsia"/>
          <w:color w:val="000000" w:themeColor="text1"/>
          <w:kern w:val="0"/>
          <w:szCs w:val="21"/>
          <w14:textFill>
            <w14:solidFill>
              <w14:schemeClr w14:val="tx1"/>
            </w14:solidFill>
          </w14:textFill>
        </w:rPr>
        <w:t>建，且</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有</w:t>
      </w:r>
      <w:r>
        <w:rPr>
          <w:rFonts w:hint="eastAsia" w:cs="宋体" w:asciiTheme="minorEastAsia" w:hAnsiTheme="minorEastAsia"/>
          <w:color w:val="000000" w:themeColor="text1"/>
          <w:kern w:val="0"/>
          <w:szCs w:val="21"/>
          <w14:textFill>
            <w14:solidFill>
              <w14:schemeClr w14:val="tx1"/>
            </w14:solidFill>
          </w14:textFill>
        </w:rPr>
        <w:t>过</w:t>
      </w:r>
      <w:r>
        <w:rPr>
          <w:rFonts w:hint="eastAsia" w:cs="MS Mincho" w:asciiTheme="minorEastAsia" w:hAnsiTheme="minorEastAsia"/>
          <w:color w:val="000000" w:themeColor="text1"/>
          <w:kern w:val="0"/>
          <w:szCs w:val="21"/>
          <w14:textFill>
            <w14:solidFill>
              <w14:schemeClr w14:val="tx1"/>
            </w14:solidFill>
          </w14:textFill>
        </w:rPr>
        <w:t>渡跨</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，防震</w:t>
      </w:r>
      <w:r>
        <w:rPr>
          <w:rFonts w:hint="eastAsia" w:cs="宋体" w:asciiTheme="minorEastAsia" w:hAnsiTheme="minorEastAsia"/>
          <w:color w:val="000000" w:themeColor="text1"/>
          <w:kern w:val="0"/>
          <w:szCs w:val="21"/>
          <w14:textFill>
            <w14:solidFill>
              <w14:schemeClr w14:val="tx1"/>
            </w14:solidFill>
          </w14:textFill>
        </w:rPr>
        <w:t>缝应设</w:t>
      </w:r>
      <w:r>
        <w:rPr>
          <w:rFonts w:hint="eastAsia" w:cs="MS Mincho" w:asciiTheme="minorEastAsia" w:hAnsiTheme="minorEastAsia"/>
          <w:color w:val="000000" w:themeColor="text1"/>
          <w:kern w:val="0"/>
          <w:szCs w:val="21"/>
          <w14:textFill>
            <w14:solidFill>
              <w14:schemeClr w14:val="tx1"/>
            </w14:solidFill>
          </w14:textFill>
        </w:rPr>
        <w:t>在已有结构与</w:t>
      </w:r>
      <w:r>
        <w:rPr>
          <w:rFonts w:hint="eastAsia" w:cs="宋体" w:asciiTheme="minorEastAsia" w:hAnsiTheme="minorEastAsia"/>
          <w:color w:val="000000" w:themeColor="text1"/>
          <w:kern w:val="0"/>
          <w:szCs w:val="21"/>
          <w14:textFill>
            <w14:solidFill>
              <w14:schemeClr w14:val="tx1"/>
            </w14:solidFill>
          </w14:textFill>
        </w:rPr>
        <w:t>过</w:t>
      </w:r>
      <w:r>
        <w:rPr>
          <w:rFonts w:hint="eastAsia" w:cs="HiddenHorzOCR" w:asciiTheme="minorEastAsia" w:hAnsiTheme="minorEastAsia"/>
          <w:color w:val="000000" w:themeColor="text1"/>
          <w:kern w:val="0"/>
          <w:szCs w:val="21"/>
          <w14:textFill>
            <w14:solidFill>
              <w14:schemeClr w14:val="tx1"/>
            </w14:solidFill>
          </w14:textFill>
        </w:rPr>
        <w:t>渡跨的交接</w:t>
      </w:r>
      <w:r>
        <w:rPr>
          <w:rFonts w:hint="eastAsia" w:cs="宋体" w:asciiTheme="minorEastAsia" w:hAnsiTheme="minorEastAsia"/>
          <w:color w:val="000000" w:themeColor="text1"/>
          <w:kern w:val="0"/>
          <w:szCs w:val="21"/>
          <w14:textFill>
            <w14:solidFill>
              <w14:schemeClr w14:val="tx1"/>
            </w14:solidFill>
          </w14:textFill>
        </w:rPr>
        <w:t>处</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过</w:t>
      </w:r>
      <w:r>
        <w:rPr>
          <w:rFonts w:hint="eastAsia" w:cs="MS Mincho" w:asciiTheme="minorEastAsia" w:hAnsiTheme="minorEastAsia"/>
          <w:color w:val="000000" w:themeColor="text1"/>
          <w:kern w:val="0"/>
          <w:szCs w:val="21"/>
          <w14:textFill>
            <w14:solidFill>
              <w14:schemeClr w14:val="tx1"/>
            </w14:solidFill>
          </w14:textFill>
        </w:rPr>
        <w:t>度跨的屋盖</w:t>
      </w:r>
      <w:r>
        <w:rPr>
          <w:rFonts w:hint="eastAsia" w:cs="HiddenHorzOCR" w:asciiTheme="minorEastAsia" w:hAnsiTheme="minorEastAsia"/>
          <w:color w:val="000000" w:themeColor="text1"/>
          <w:kern w:val="0"/>
          <w:szCs w:val="21"/>
          <w14:textFill>
            <w14:solidFill>
              <w14:schemeClr w14:val="tx1"/>
            </w14:solidFill>
          </w14:textFill>
        </w:rPr>
        <w:t>（楼盖）</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从新建结构的主体</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HiddenHorzOCR" w:asciiTheme="minorEastAsia" w:hAnsiTheme="minorEastAsia"/>
          <w:color w:val="000000" w:themeColor="text1"/>
          <w:kern w:val="0"/>
          <w:szCs w:val="21"/>
          <w14:textFill>
            <w14:solidFill>
              <w14:schemeClr w14:val="tx1"/>
            </w14:solidFill>
          </w14:textFill>
        </w:rPr>
        <w:t>上挑出，不得与已有结构拉</w:t>
      </w:r>
      <w:r>
        <w:rPr>
          <w:rFonts w:hint="eastAsia" w:cs="宋体" w:asciiTheme="minorEastAsia" w:hAnsiTheme="minorEastAsia"/>
          <w:color w:val="000000" w:themeColor="text1"/>
          <w:kern w:val="0"/>
          <w:szCs w:val="21"/>
          <w14:textFill>
            <w14:solidFill>
              <w14:schemeClr w14:val="tx1"/>
            </w14:solidFill>
          </w14:textFill>
        </w:rPr>
        <w:t>结</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3.O.</w:t>
      </w:r>
      <w:r>
        <w:rPr>
          <w:rFonts w:hint="eastAsia" w:cs="HiddenHorzOCR" w:asciiTheme="minorEastAsia" w:hAnsiTheme="minorEastAsia"/>
          <w:color w:val="000000" w:themeColor="text1"/>
          <w:kern w:val="0"/>
          <w:szCs w:val="21"/>
          <w14:textFill>
            <w14:solidFill>
              <w14:schemeClr w14:val="tx1"/>
            </w14:solidFill>
          </w14:textFill>
        </w:rPr>
        <w:t>5-1）。</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2710180" cy="17341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10195" cy="1734594"/>
                    </a:xfrm>
                    <a:prstGeom prst="rect">
                      <a:avLst/>
                    </a:prstGeom>
                  </pic:spPr>
                </pic:pic>
              </a:graphicData>
            </a:graphic>
          </wp:inline>
        </w:drawing>
      </w:r>
    </w:p>
    <w:p>
      <w:pPr>
        <w:autoSpaceDE w:val="0"/>
        <w:autoSpaceDN w:val="0"/>
        <w:spacing w:line="360" w:lineRule="auto"/>
        <w:ind w:firstLine="900" w:firstLineChars="500"/>
        <w:jc w:val="center"/>
        <w:rPr>
          <w:rFonts w:cs="HiddenHorzOCR" w:asciiTheme="minorEastAsia" w:hAnsiTheme="minorEastAsia"/>
          <w:color w:val="000000" w:themeColor="text1"/>
          <w:kern w:val="0"/>
          <w:sz w:val="18"/>
          <w:szCs w:val="18"/>
          <w14:textFill>
            <w14:solidFill>
              <w14:schemeClr w14:val="tx1"/>
            </w14:solidFill>
          </w14:textFill>
        </w:rPr>
      </w:pPr>
      <w:r>
        <w:rPr>
          <w:rFonts w:hint="eastAsia" w:cs="HiddenHorzOCR" w:asciiTheme="minorEastAsia" w:hAnsiTheme="minorEastAsia"/>
          <w:color w:val="000000" w:themeColor="text1"/>
          <w:kern w:val="0"/>
          <w:sz w:val="18"/>
          <w:szCs w:val="18"/>
          <w14:textFill>
            <w14:solidFill>
              <w14:schemeClr w14:val="tx1"/>
            </w14:solidFill>
          </w14:textFill>
        </w:rPr>
        <w:t>图3</w:t>
      </w:r>
      <w:r>
        <w:rPr>
          <w:rFonts w:cs="HiddenHorzOCR" w:asciiTheme="minorEastAsia" w:hAnsiTheme="minorEastAsia"/>
          <w:color w:val="000000" w:themeColor="text1"/>
          <w:kern w:val="0"/>
          <w:sz w:val="18"/>
          <w:szCs w:val="18"/>
          <w14:textFill>
            <w14:solidFill>
              <w14:schemeClr w14:val="tx1"/>
            </w14:solidFill>
          </w14:textFill>
        </w:rPr>
        <w:t>.0.</w:t>
      </w:r>
      <w:r>
        <w:rPr>
          <w:rFonts w:hint="eastAsia" w:cs="HiddenHorzOCR" w:asciiTheme="minorEastAsia" w:hAnsiTheme="minorEastAsia"/>
          <w:color w:val="000000" w:themeColor="text1"/>
          <w:kern w:val="0"/>
          <w:sz w:val="18"/>
          <w:szCs w:val="18"/>
          <w14:textFill>
            <w14:solidFill>
              <w14:schemeClr w14:val="tx1"/>
            </w14:solidFill>
          </w14:textFill>
        </w:rPr>
        <w:t>5-1</w:t>
      </w:r>
      <w:r>
        <w:rPr>
          <w:rFonts w:cs="HiddenHorzOCR" w:asciiTheme="minorEastAsia" w:hAnsiTheme="minorEastAsia"/>
          <w:color w:val="000000" w:themeColor="text1"/>
          <w:kern w:val="0"/>
          <w:sz w:val="18"/>
          <w:szCs w:val="18"/>
          <w14:textFill>
            <w14:solidFill>
              <w14:schemeClr w14:val="tx1"/>
            </w14:solidFill>
          </w14:textFill>
        </w:rPr>
        <w:t xml:space="preserve"> </w:t>
      </w:r>
      <w:r>
        <w:rPr>
          <w:rFonts w:hint="eastAsia" w:cs="HiddenHorzOCR" w:asciiTheme="minorEastAsia" w:hAnsiTheme="minorEastAsia"/>
          <w:color w:val="000000" w:themeColor="text1"/>
          <w:kern w:val="0"/>
          <w:sz w:val="18"/>
          <w:szCs w:val="18"/>
          <w14:textFill>
            <w14:solidFill>
              <w14:schemeClr w14:val="tx1"/>
            </w14:solidFill>
          </w14:textFill>
        </w:rPr>
        <w:t>新老厂房间设过渡跨示意图</w:t>
      </w:r>
    </w:p>
    <w:p>
      <w:pPr>
        <w:autoSpaceDE w:val="0"/>
        <w:autoSpaceDN w:val="0"/>
        <w:spacing w:line="360" w:lineRule="auto"/>
        <w:ind w:firstLine="900" w:firstLineChars="500"/>
        <w:jc w:val="left"/>
        <w:rPr>
          <w:rFonts w:cs="HiddenHorzOCR" w:asciiTheme="minorEastAsia" w:hAnsiTheme="minorEastAsia"/>
          <w:color w:val="000000" w:themeColor="text1"/>
          <w:kern w:val="0"/>
          <w:sz w:val="18"/>
          <w:szCs w:val="18"/>
          <w14:textFill>
            <w14:solidFill>
              <w14:schemeClr w14:val="tx1"/>
            </w14:solidFill>
          </w14:textFill>
        </w:rPr>
      </w:pP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3.0.</w:t>
      </w:r>
      <w:r>
        <w:rPr>
          <w:rFonts w:hint="eastAsia" w:cs="Times New Roman" w:asciiTheme="minorEastAsia" w:hAnsiTheme="minorEastAsia"/>
          <w:color w:val="000000" w:themeColor="text1"/>
          <w:kern w:val="0"/>
          <w:szCs w:val="21"/>
          <w14:textFill>
            <w14:solidFill>
              <w14:schemeClr w14:val="tx1"/>
            </w14:solidFill>
          </w14:textFill>
        </w:rPr>
        <w:t>6</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运</w:t>
      </w:r>
      <w:r>
        <w:rPr>
          <w:rFonts w:hint="eastAsia" w:cs="宋体" w:asciiTheme="minorEastAsia" w:hAnsiTheme="minorEastAsia"/>
          <w:color w:val="000000" w:themeColor="text1"/>
          <w:kern w:val="0"/>
          <w:szCs w:val="21"/>
          <w14:textFill>
            <w14:solidFill>
              <w14:schemeClr w14:val="tx1"/>
            </w14:solidFill>
          </w14:textFill>
        </w:rPr>
        <w:t>输</w:t>
      </w:r>
      <w:r>
        <w:rPr>
          <w:rFonts w:hint="eastAsia" w:cs="MS Mincho" w:asciiTheme="minorEastAsia" w:hAnsiTheme="minorEastAsia"/>
          <w:color w:val="000000" w:themeColor="text1"/>
          <w:kern w:val="0"/>
          <w:szCs w:val="21"/>
          <w14:textFill>
            <w14:solidFill>
              <w14:schemeClr w14:val="tx1"/>
            </w14:solidFill>
          </w14:textFill>
        </w:rPr>
        <w:t>机通廊、</w:t>
      </w:r>
      <w:r>
        <w:rPr>
          <w:rFonts w:hint="eastAsia" w:cs="宋体" w:asciiTheme="minorEastAsia" w:hAnsiTheme="minorEastAsia"/>
          <w:color w:val="000000" w:themeColor="text1"/>
          <w:kern w:val="0"/>
          <w:szCs w:val="21"/>
          <w14:textFill>
            <w14:solidFill>
              <w14:schemeClr w14:val="tx1"/>
            </w14:solidFill>
          </w14:textFill>
        </w:rPr>
        <w:t>栈桥</w:t>
      </w:r>
      <w:r>
        <w:rPr>
          <w:rFonts w:hint="eastAsia" w:cs="MS Mincho" w:asciiTheme="minorEastAsia" w:hAnsiTheme="minorEastAsia"/>
          <w:color w:val="000000" w:themeColor="text1"/>
          <w:kern w:val="0"/>
          <w:szCs w:val="21"/>
          <w14:textFill>
            <w14:solidFill>
              <w14:schemeClr w14:val="tx1"/>
            </w14:solidFill>
          </w14:textFill>
        </w:rPr>
        <w:t>等构筑物的两端，均不宜与结构直接相</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。可采用端</w:t>
      </w:r>
      <w:r>
        <w:rPr>
          <w:rFonts w:hint="eastAsia" w:cs="宋体" w:asciiTheme="minorEastAsia" w:hAnsiTheme="minorEastAsia"/>
          <w:color w:val="000000" w:themeColor="text1"/>
          <w:kern w:val="0"/>
          <w:szCs w:val="21"/>
          <w14:textFill>
            <w14:solidFill>
              <w14:schemeClr w14:val="tx1"/>
            </w14:solidFill>
          </w14:textFill>
        </w:rPr>
        <w:t>头悬</w:t>
      </w:r>
      <w:r>
        <w:rPr>
          <w:rFonts w:hint="eastAsia" w:cs="MS Mincho" w:asciiTheme="minorEastAsia" w:hAnsiTheme="minorEastAsia"/>
          <w:color w:val="000000" w:themeColor="text1"/>
          <w:kern w:val="0"/>
          <w:szCs w:val="21"/>
          <w14:textFill>
            <w14:solidFill>
              <w14:schemeClr w14:val="tx1"/>
            </w14:solidFill>
          </w14:textFill>
        </w:rPr>
        <w:t>挑方案，在</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构之</w:t>
      </w:r>
      <w:r>
        <w:rPr>
          <w:rFonts w:hint="eastAsia" w:cs="宋体" w:asciiTheme="minorEastAsia" w:hAnsiTheme="minorEastAsia"/>
          <w:color w:val="000000" w:themeColor="text1"/>
          <w:kern w:val="0"/>
          <w:szCs w:val="21"/>
          <w14:textFill>
            <w14:solidFill>
              <w14:schemeClr w14:val="tx1"/>
            </w14:solidFill>
          </w14:textFill>
        </w:rPr>
        <w:t>间设</w:t>
      </w:r>
      <w:r>
        <w:rPr>
          <w:rFonts w:hint="eastAsia" w:cs="MS Mincho" w:asciiTheme="minorEastAsia" w:hAnsiTheme="minorEastAsia"/>
          <w:color w:val="000000" w:themeColor="text1"/>
          <w:kern w:val="0"/>
          <w:szCs w:val="21"/>
          <w14:textFill>
            <w14:solidFill>
              <w14:schemeClr w14:val="tx1"/>
            </w14:solidFill>
          </w14:textFill>
        </w:rPr>
        <w:t>防震</w:t>
      </w:r>
      <w:r>
        <w:rPr>
          <w:rFonts w:hint="eastAsia" w:cs="宋体" w:asciiTheme="minorEastAsia" w:hAnsiTheme="minorEastAsia"/>
          <w:color w:val="000000" w:themeColor="text1"/>
          <w:kern w:val="0"/>
          <w:szCs w:val="21"/>
          <w14:textFill>
            <w14:solidFill>
              <w14:schemeClr w14:val="tx1"/>
            </w14:solidFill>
          </w14:textFill>
        </w:rPr>
        <w:t>缝</w:t>
      </w:r>
      <w:r>
        <w:rPr>
          <w:rFonts w:hint="eastAsia" w:cs="MS Mincho" w:asciiTheme="minorEastAsia" w:hAnsiTheme="minorEastAsia"/>
          <w:color w:val="000000" w:themeColor="text1"/>
          <w:kern w:val="0"/>
          <w:szCs w:val="21"/>
          <w14:textFill>
            <w14:solidFill>
              <w14:schemeClr w14:val="tx1"/>
            </w14:solidFill>
          </w14:textFill>
        </w:rPr>
        <w:t>脱开</w:t>
      </w:r>
      <w:r>
        <w:rPr>
          <w:rFonts w:hint="eastAsia" w:cs="HiddenHorzOCR" w:asciiTheme="minorEastAsia" w:hAnsiTheme="minorEastAsia"/>
          <w:color w:val="000000" w:themeColor="text1"/>
          <w:kern w:val="0"/>
          <w:szCs w:val="21"/>
          <w14:textFill>
            <w14:solidFill>
              <w14:schemeClr w14:val="tx1"/>
            </w14:solidFill>
          </w14:textFill>
        </w:rPr>
        <w:t>；有可靠根据</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，此</w:t>
      </w:r>
      <w:r>
        <w:rPr>
          <w:rFonts w:hint="eastAsia" w:cs="宋体" w:asciiTheme="minorEastAsia" w:hAnsiTheme="minorEastAsia"/>
          <w:color w:val="000000" w:themeColor="text1"/>
          <w:kern w:val="0"/>
          <w:szCs w:val="21"/>
          <w14:textFill>
            <w14:solidFill>
              <w14:schemeClr w14:val="tx1"/>
            </w14:solidFill>
          </w14:textFill>
        </w:rPr>
        <w:t>类</w:t>
      </w:r>
      <w:r>
        <w:rPr>
          <w:rFonts w:hint="eastAsia" w:cs="MS Mincho" w:asciiTheme="minorEastAsia" w:hAnsiTheme="minorEastAsia"/>
          <w:color w:val="000000" w:themeColor="text1"/>
          <w:kern w:val="0"/>
          <w:szCs w:val="21"/>
          <w14:textFill>
            <w14:solidFill>
              <w14:schemeClr w14:val="tx1"/>
            </w14:solidFill>
          </w14:textFill>
        </w:rPr>
        <w:t>构筑物可采用</w:t>
      </w:r>
      <w:r>
        <w:rPr>
          <w:rFonts w:hint="eastAsia" w:cs="宋体" w:asciiTheme="minorEastAsia" w:hAnsiTheme="minorEastAsia"/>
          <w:color w:val="000000" w:themeColor="text1"/>
          <w:kern w:val="0"/>
          <w:szCs w:val="21"/>
          <w14:textFill>
            <w14:solidFill>
              <w14:schemeClr w14:val="tx1"/>
            </w14:solidFill>
          </w14:textFill>
        </w:rPr>
        <w:t>链</w:t>
      </w:r>
      <w:r>
        <w:rPr>
          <w:rFonts w:hint="eastAsia" w:cs="MS Mincho" w:asciiTheme="minorEastAsia" w:hAnsiTheme="minorEastAsia"/>
          <w:color w:val="000000" w:themeColor="text1"/>
          <w:kern w:val="0"/>
          <w:szCs w:val="21"/>
          <w14:textFill>
            <w14:solidFill>
              <w14:schemeClr w14:val="tx1"/>
            </w14:solidFill>
          </w14:textFill>
        </w:rPr>
        <w:t>杆或可</w:t>
      </w:r>
      <w:r>
        <w:rPr>
          <w:rFonts w:hint="eastAsia" w:cs="宋体" w:asciiTheme="minorEastAsia" w:hAnsiTheme="minorEastAsia"/>
          <w:color w:val="000000" w:themeColor="text1"/>
          <w:kern w:val="0"/>
          <w:szCs w:val="21"/>
          <w14:textFill>
            <w14:solidFill>
              <w14:schemeClr w14:val="tx1"/>
            </w14:solidFill>
          </w14:textFill>
        </w:rPr>
        <w:t>动</w:t>
      </w:r>
      <w:r>
        <w:rPr>
          <w:rFonts w:hint="eastAsia" w:cs="MS Mincho" w:asciiTheme="minorEastAsia" w:hAnsiTheme="minorEastAsia"/>
          <w:color w:val="000000" w:themeColor="text1"/>
          <w:kern w:val="0"/>
          <w:szCs w:val="21"/>
          <w14:textFill>
            <w14:solidFill>
              <w14:schemeClr w14:val="tx1"/>
            </w14:solidFill>
          </w14:textFill>
        </w:rPr>
        <w:t>铰与结构</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3.0.</w:t>
      </w:r>
      <w:r>
        <w:rPr>
          <w:rFonts w:hint="eastAsia" w:cs="HiddenHorzOCR" w:asciiTheme="minorEastAsia" w:hAnsiTheme="minorEastAsia"/>
          <w:color w:val="000000" w:themeColor="text1"/>
          <w:kern w:val="0"/>
          <w:szCs w:val="21"/>
          <w14:textFill>
            <w14:solidFill>
              <w14:schemeClr w14:val="tx1"/>
            </w14:solidFill>
          </w14:textFill>
        </w:rPr>
        <w:t>7</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楼</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上</w:t>
      </w:r>
      <w:r>
        <w:rPr>
          <w:rFonts w:hint="eastAsia" w:cs="HiddenHorzOCR"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设备</w:t>
      </w:r>
      <w:r>
        <w:rPr>
          <w:rFonts w:hint="eastAsia" w:cs="MS Mincho"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跨越防震</w:t>
      </w:r>
      <w:r>
        <w:rPr>
          <w:rFonts w:hint="eastAsia" w:cs="宋体" w:asciiTheme="minorEastAsia" w:hAnsiTheme="minorEastAsia"/>
          <w:color w:val="000000" w:themeColor="text1"/>
          <w:kern w:val="0"/>
          <w:szCs w:val="21"/>
          <w14:textFill>
            <w14:solidFill>
              <w14:schemeClr w14:val="tx1"/>
            </w14:solidFill>
          </w14:textFill>
        </w:rPr>
        <w:t>缝</w:t>
      </w:r>
      <w:r>
        <w:rPr>
          <w:rFonts w:hint="eastAsia" w:cs="MS Mincho" w:asciiTheme="minorEastAsia" w:hAnsiTheme="minorEastAsia"/>
          <w:color w:val="000000" w:themeColor="text1"/>
          <w:kern w:val="0"/>
          <w:szCs w:val="21"/>
          <w14:textFill>
            <w14:solidFill>
              <w14:schemeClr w14:val="tx1"/>
            </w14:solidFill>
          </w14:textFill>
        </w:rPr>
        <w:t>布置。</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于通</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设备</w:t>
      </w:r>
      <w:r>
        <w:rPr>
          <w:rFonts w:hint="eastAsia" w:cs="MS Mincho" w:asciiTheme="minorEastAsia" w:hAnsiTheme="minorEastAsia"/>
          <w:color w:val="000000" w:themeColor="text1"/>
          <w:kern w:val="0"/>
          <w:szCs w:val="21"/>
          <w14:textFill>
            <w14:solidFill>
              <w14:schemeClr w14:val="tx1"/>
            </w14:solidFill>
          </w14:textFill>
        </w:rPr>
        <w:t>如运</w:t>
      </w:r>
      <w:r>
        <w:rPr>
          <w:rFonts w:hint="eastAsia" w:cs="宋体" w:asciiTheme="minorEastAsia" w:hAnsiTheme="minorEastAsia"/>
          <w:color w:val="000000" w:themeColor="text1"/>
          <w:kern w:val="0"/>
          <w:szCs w:val="21"/>
          <w14:textFill>
            <w14:solidFill>
              <w14:schemeClr w14:val="tx1"/>
            </w14:solidFill>
          </w14:textFill>
        </w:rPr>
        <w:t>输</w:t>
      </w:r>
      <w:r>
        <w:rPr>
          <w:rFonts w:hint="eastAsia" w:cs="MS Mincho" w:asciiTheme="minorEastAsia" w:hAnsiTheme="minorEastAsia"/>
          <w:color w:val="000000" w:themeColor="text1"/>
          <w:kern w:val="0"/>
          <w:szCs w:val="21"/>
          <w14:textFill>
            <w14:solidFill>
              <w14:schemeClr w14:val="tx1"/>
            </w14:solidFill>
          </w14:textFill>
        </w:rPr>
        <w:t>机、管</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等必</w:t>
      </w:r>
      <w:r>
        <w:rPr>
          <w:rFonts w:hint="eastAsia" w:cs="宋体" w:asciiTheme="minorEastAsia" w:hAnsiTheme="minorEastAsia"/>
          <w:color w:val="000000" w:themeColor="text1"/>
          <w:kern w:val="0"/>
          <w:szCs w:val="21"/>
          <w14:textFill>
            <w14:solidFill>
              <w14:schemeClr w14:val="tx1"/>
            </w14:solidFill>
          </w14:textFill>
        </w:rPr>
        <w:t>须</w:t>
      </w:r>
      <w:r>
        <w:rPr>
          <w:rFonts w:hint="eastAsia" w:cs="MS Mincho" w:asciiTheme="minorEastAsia" w:hAnsiTheme="minorEastAsia"/>
          <w:color w:val="000000" w:themeColor="text1"/>
          <w:kern w:val="0"/>
          <w:szCs w:val="21"/>
          <w14:textFill>
            <w14:solidFill>
              <w14:schemeClr w14:val="tx1"/>
            </w14:solidFill>
          </w14:textFill>
        </w:rPr>
        <w:t>穿越防震</w:t>
      </w:r>
      <w:r>
        <w:rPr>
          <w:rFonts w:hint="eastAsia" w:cs="宋体" w:asciiTheme="minorEastAsia" w:hAnsiTheme="minorEastAsia"/>
          <w:color w:val="000000" w:themeColor="text1"/>
          <w:kern w:val="0"/>
          <w:szCs w:val="21"/>
          <w14:textFill>
            <w14:solidFill>
              <w14:schemeClr w14:val="tx1"/>
            </w14:solidFill>
          </w14:textFill>
        </w:rPr>
        <w:t>缝时</w:t>
      </w:r>
      <w:r>
        <w:rPr>
          <w:rFonts w:hint="eastAsia" w:cs="MS Mincho" w:asciiTheme="minorEastAsia" w:hAnsiTheme="minorEastAsia"/>
          <w:color w:val="000000" w:themeColor="text1"/>
          <w:kern w:val="0"/>
          <w:szCs w:val="21"/>
          <w14:textFill>
            <w14:solidFill>
              <w14:schemeClr w14:val="tx1"/>
            </w14:solidFill>
          </w14:textFill>
        </w:rPr>
        <w:t>，工</w:t>
      </w:r>
      <w:r>
        <w:rPr>
          <w:rFonts w:hint="eastAsia" w:cs="宋体" w:asciiTheme="minorEastAsia" w:hAnsiTheme="minorEastAsia"/>
          <w:color w:val="000000" w:themeColor="text1"/>
          <w:kern w:val="0"/>
          <w:szCs w:val="21"/>
          <w14:textFill>
            <w14:solidFill>
              <w14:schemeClr w14:val="tx1"/>
            </w14:solidFill>
          </w14:textFill>
        </w:rPr>
        <w:t>艺设计</w:t>
      </w:r>
      <w:r>
        <w:rPr>
          <w:rFonts w:hint="eastAsia" w:cs="MS Mincho" w:asciiTheme="minorEastAsia" w:hAnsiTheme="minorEastAsia"/>
          <w:color w:val="000000" w:themeColor="text1"/>
          <w:kern w:val="0"/>
          <w:szCs w:val="21"/>
          <w14:textFill>
            <w14:solidFill>
              <w14:schemeClr w14:val="tx1"/>
            </w14:solidFill>
          </w14:textFill>
        </w:rPr>
        <w:t>中</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有能适</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地震</w:t>
      </w:r>
      <w:r>
        <w:rPr>
          <w:rFonts w:hint="eastAsia" w:cs="宋体" w:asciiTheme="minorEastAsia" w:hAnsiTheme="minorEastAsia"/>
          <w:color w:val="000000" w:themeColor="text1"/>
          <w:kern w:val="0"/>
          <w:szCs w:val="21"/>
          <w14:textFill>
            <w14:solidFill>
              <w14:schemeClr w14:val="tx1"/>
            </w14:solidFill>
          </w14:textFill>
        </w:rPr>
        <w:t>时结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形或防止断裂的措施。</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3.0.</w:t>
      </w:r>
      <w:r>
        <w:rPr>
          <w:rFonts w:hint="eastAsia" w:cs="Times New Roman" w:asciiTheme="minorEastAsia" w:hAnsiTheme="minorEastAsia"/>
          <w:color w:val="000000" w:themeColor="text1"/>
          <w:kern w:val="0"/>
          <w:szCs w:val="21"/>
          <w14:textFill>
            <w14:solidFill>
              <w14:schemeClr w14:val="tx1"/>
            </w14:solidFill>
          </w14:textFill>
        </w:rPr>
        <w:t>8</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体型复</w:t>
      </w:r>
      <w:r>
        <w:rPr>
          <w:rFonts w:hint="eastAsia" w:cs="宋体" w:asciiTheme="minorEastAsia" w:hAnsiTheme="minorEastAsia"/>
          <w:color w:val="000000" w:themeColor="text1"/>
          <w:kern w:val="0"/>
          <w:szCs w:val="21"/>
          <w14:textFill>
            <w14:solidFill>
              <w14:schemeClr w14:val="tx1"/>
            </w14:solidFill>
          </w14:textFill>
        </w:rPr>
        <w:t>杂</w:t>
      </w:r>
      <w:r>
        <w:rPr>
          <w:rFonts w:hint="eastAsia" w:cs="MS Mincho" w:asciiTheme="minorEastAsia" w:hAnsiTheme="minorEastAsia"/>
          <w:color w:val="000000" w:themeColor="text1"/>
          <w:kern w:val="0"/>
          <w:szCs w:val="21"/>
          <w14:textFill>
            <w14:solidFill>
              <w14:schemeClr w14:val="tx1"/>
            </w14:solidFill>
          </w14:textFill>
        </w:rPr>
        <w:t>的结构不</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防震</w:t>
      </w:r>
      <w:r>
        <w:rPr>
          <w:rFonts w:hint="eastAsia" w:cs="宋体" w:asciiTheme="minorEastAsia" w:hAnsiTheme="minorEastAsia"/>
          <w:color w:val="000000" w:themeColor="text1"/>
          <w:kern w:val="0"/>
          <w:szCs w:val="21"/>
          <w14:textFill>
            <w14:solidFill>
              <w14:schemeClr w14:val="tx1"/>
            </w14:solidFill>
          </w14:textFill>
        </w:rPr>
        <w:t>缝时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应选</w:t>
      </w:r>
      <w:r>
        <w:rPr>
          <w:rFonts w:hint="eastAsia" w:cs="MS Mincho" w:asciiTheme="minorEastAsia" w:hAnsiTheme="minorEastAsia"/>
          <w:color w:val="000000" w:themeColor="text1"/>
          <w:kern w:val="0"/>
          <w:szCs w:val="21"/>
          <w14:textFill>
            <w14:solidFill>
              <w14:schemeClr w14:val="tx1"/>
            </w14:solidFill>
          </w14:textFill>
        </w:rPr>
        <w:t>用符合</w:t>
      </w:r>
      <w:r>
        <w:rPr>
          <w:rFonts w:hint="eastAsia" w:cs="宋体" w:asciiTheme="minorEastAsia" w:hAnsiTheme="minorEastAsia"/>
          <w:color w:val="000000" w:themeColor="text1"/>
          <w:kern w:val="0"/>
          <w:szCs w:val="21"/>
          <w14:textFill>
            <w14:solidFill>
              <w14:schemeClr w14:val="tx1"/>
            </w14:solidFill>
          </w14:textFill>
        </w:rPr>
        <w:t>实际</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计</w:t>
      </w:r>
      <w:r>
        <w:rPr>
          <w:rFonts w:hint="eastAsia" w:cs="HiddenHorzOCR" w:asciiTheme="minorEastAsia" w:hAnsiTheme="minorEastAsia"/>
          <w:color w:val="000000" w:themeColor="text1"/>
          <w:kern w:val="0"/>
          <w:szCs w:val="21"/>
          <w14:textFill>
            <w14:solidFill>
              <w14:schemeClr w14:val="tx1"/>
            </w14:solidFill>
          </w14:textFill>
        </w:rPr>
        <w:t>算模型，且</w:t>
      </w:r>
      <w:r>
        <w:rPr>
          <w:rFonts w:hint="eastAsia" w:cs="宋体" w:asciiTheme="minorEastAsia" w:hAnsiTheme="minorEastAsia"/>
          <w:color w:val="000000" w:themeColor="text1"/>
          <w:kern w:val="0"/>
          <w:szCs w:val="21"/>
          <w14:textFill>
            <w14:solidFill>
              <w14:schemeClr w14:val="tx1"/>
            </w14:solidFill>
          </w14:textFill>
        </w:rPr>
        <w:t>对应</w:t>
      </w:r>
      <w:r>
        <w:rPr>
          <w:rFonts w:hint="eastAsia" w:cs="MS Mincho" w:asciiTheme="minorEastAsia" w:hAnsiTheme="minorEastAsia"/>
          <w:color w:val="000000" w:themeColor="text1"/>
          <w:kern w:val="0"/>
          <w:szCs w:val="21"/>
          <w14:textFill>
            <w14:solidFill>
              <w14:schemeClr w14:val="tx1"/>
            </w14:solidFill>
          </w14:textFill>
        </w:rPr>
        <w:t>力和</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形集中的构件、</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点等易</w:t>
      </w:r>
      <w:r>
        <w:rPr>
          <w:rFonts w:hint="eastAsia" w:cs="宋体" w:asciiTheme="minorEastAsia" w:hAnsiTheme="minorEastAsia"/>
          <w:color w:val="000000" w:themeColor="text1"/>
          <w:kern w:val="0"/>
          <w:szCs w:val="21"/>
          <w14:textFill>
            <w14:solidFill>
              <w14:schemeClr w14:val="tx1"/>
            </w14:solidFill>
          </w14:textFill>
        </w:rPr>
        <w:t>损</w:t>
      </w:r>
      <w:r>
        <w:rPr>
          <w:rFonts w:hint="eastAsia" w:cs="MS Mincho" w:asciiTheme="minorEastAsia" w:hAnsiTheme="minorEastAsia"/>
          <w:color w:val="000000" w:themeColor="text1"/>
          <w:kern w:val="0"/>
          <w:szCs w:val="21"/>
          <w14:textFill>
            <w14:solidFill>
              <w14:schemeClr w14:val="tx1"/>
            </w14:solidFill>
          </w14:textFill>
        </w:rPr>
        <w:t>坏部位</w:t>
      </w:r>
      <w:r>
        <w:rPr>
          <w:rFonts w:hint="eastAsia" w:cs="HiddenHorzOCR" w:asciiTheme="minorEastAsia" w:hAnsiTheme="minorEastAsia"/>
          <w:color w:val="000000" w:themeColor="text1"/>
          <w:kern w:val="0"/>
          <w:szCs w:val="21"/>
          <w14:textFill>
            <w14:solidFill>
              <w14:schemeClr w14:val="tx1"/>
            </w14:solidFill>
          </w14:textFill>
        </w:rPr>
        <w:t>采取可靠措施。</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3.0.</w:t>
      </w:r>
      <w:r>
        <w:rPr>
          <w:rFonts w:hint="eastAsia" w:cs="Times New Roman" w:asciiTheme="minorEastAsia" w:hAnsiTheme="minorEastAsia"/>
          <w:color w:val="000000" w:themeColor="text1"/>
          <w:kern w:val="0"/>
          <w:szCs w:val="21"/>
          <w14:textFill>
            <w14:solidFill>
              <w14:schemeClr w14:val="tx1"/>
            </w14:solidFill>
          </w14:textFill>
        </w:rPr>
        <w:t>9</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框</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排架</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HiddenHorzOCR" w:asciiTheme="minorEastAsia" w:hAnsiTheme="minorEastAsia"/>
          <w:color w:val="000000" w:themeColor="text1"/>
          <w:kern w:val="0"/>
          <w:szCs w:val="21"/>
          <w14:textFill>
            <w14:solidFill>
              <w14:schemeClr w14:val="tx1"/>
            </w14:solidFill>
          </w14:textFill>
        </w:rPr>
        <w:t>中，</w:t>
      </w:r>
      <w:r>
        <w:rPr>
          <w:rFonts w:hint="eastAsia" w:cs="宋体" w:asciiTheme="minorEastAsia" w:hAnsiTheme="minorEastAsia"/>
          <w:color w:val="000000" w:themeColor="text1"/>
          <w:kern w:val="0"/>
          <w:szCs w:val="21"/>
          <w14:textFill>
            <w14:solidFill>
              <w14:schemeClr w14:val="tx1"/>
            </w14:solidFill>
          </w14:textFill>
        </w:rPr>
        <w:t>单层</w:t>
      </w:r>
      <w:r>
        <w:rPr>
          <w:rFonts w:hint="eastAsia" w:cs="MS Mincho" w:asciiTheme="minorEastAsia" w:hAnsiTheme="minorEastAsia"/>
          <w:color w:val="000000" w:themeColor="text1"/>
          <w:kern w:val="0"/>
          <w:szCs w:val="21"/>
          <w14:textFill>
            <w14:solidFill>
              <w14:schemeClr w14:val="tx1"/>
            </w14:solidFill>
          </w14:textFill>
        </w:rPr>
        <w:t>排架的屋架（屋面梁）支座</w:t>
      </w:r>
      <w:r>
        <w:rPr>
          <w:rFonts w:hint="eastAsia" w:cs="HiddenHorzOCR" w:asciiTheme="minorEastAsia" w:hAnsiTheme="minorEastAsia"/>
          <w:color w:val="000000" w:themeColor="text1"/>
          <w:kern w:val="0"/>
          <w:szCs w:val="21"/>
          <w14:textFill>
            <w14:solidFill>
              <w14:schemeClr w14:val="tx1"/>
            </w14:solidFill>
          </w14:textFill>
        </w:rPr>
        <w:t>点的</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高，宜与多</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框架相</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的楼</w:t>
      </w:r>
      <w:r>
        <w:rPr>
          <w:rFonts w:hint="eastAsia" w:cs="宋体" w:asciiTheme="minorEastAsia" w:hAnsiTheme="minorEastAsia"/>
          <w:color w:val="000000" w:themeColor="text1"/>
          <w:kern w:val="0"/>
          <w:szCs w:val="21"/>
          <w14:textFill>
            <w14:solidFill>
              <w14:schemeClr w14:val="tx1"/>
            </w14:solidFill>
          </w14:textFill>
        </w:rPr>
        <w:t>层标</w:t>
      </w:r>
      <w:r>
        <w:rPr>
          <w:rFonts w:hint="eastAsia" w:cs="MS Mincho" w:asciiTheme="minorEastAsia" w:hAnsiTheme="minorEastAsia"/>
          <w:color w:val="000000" w:themeColor="text1"/>
          <w:kern w:val="0"/>
          <w:szCs w:val="21"/>
          <w14:textFill>
            <w14:solidFill>
              <w14:schemeClr w14:val="tx1"/>
            </w14:solidFill>
          </w14:textFill>
        </w:rPr>
        <w:t>高一致</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3.</w:t>
      </w:r>
      <w:r>
        <w:rPr>
          <w:rFonts w:hint="eastAsia" w:cs="Times New Roman" w:asciiTheme="minorEastAsia" w:hAnsiTheme="minorEastAsia"/>
          <w:color w:val="000000" w:themeColor="text1"/>
          <w:kern w:val="0"/>
          <w:szCs w:val="21"/>
          <w14:textFill>
            <w14:solidFill>
              <w14:schemeClr w14:val="tx1"/>
            </w14:solidFill>
          </w14:textFill>
        </w:rPr>
        <w:t>0.</w:t>
      </w:r>
      <w:r>
        <w:rPr>
          <w:rFonts w:hint="eastAsia" w:cs="HiddenHorzOCR" w:asciiTheme="minorEastAsia" w:hAnsiTheme="minorEastAsia"/>
          <w:color w:val="000000" w:themeColor="text1"/>
          <w:kern w:val="0"/>
          <w:szCs w:val="21"/>
          <w14:textFill>
            <w14:solidFill>
              <w14:schemeClr w14:val="tx1"/>
            </w14:solidFill>
          </w14:textFill>
        </w:rPr>
        <w:t>9-1）</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2404110" cy="125476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04649" cy="1255298"/>
                    </a:xfrm>
                    <a:prstGeom prst="rect">
                      <a:avLst/>
                    </a:prstGeom>
                  </pic:spPr>
                </pic:pic>
              </a:graphicData>
            </a:graphic>
          </wp:inline>
        </w:drawing>
      </w:r>
    </w:p>
    <w:p>
      <w:pPr>
        <w:autoSpaceDE w:val="0"/>
        <w:autoSpaceDN w:val="0"/>
        <w:spacing w:line="360" w:lineRule="auto"/>
        <w:ind w:firstLine="1260" w:firstLineChars="700"/>
        <w:jc w:val="center"/>
        <w:rPr>
          <w:rFonts w:cs="HiddenHorzOCR" w:asciiTheme="minorEastAsia" w:hAnsiTheme="minorEastAsia"/>
          <w:color w:val="000000" w:themeColor="text1"/>
          <w:kern w:val="0"/>
          <w:sz w:val="18"/>
          <w:szCs w:val="18"/>
          <w14:textFill>
            <w14:solidFill>
              <w14:schemeClr w14:val="tx1"/>
            </w14:solidFill>
          </w14:textFill>
        </w:rPr>
      </w:pPr>
      <w:r>
        <w:rPr>
          <w:rFonts w:hint="eastAsia" w:cs="HiddenHorzOCR" w:asciiTheme="minorEastAsia" w:hAnsiTheme="minorEastAsia"/>
          <w:color w:val="000000" w:themeColor="text1"/>
          <w:kern w:val="0"/>
          <w:sz w:val="18"/>
          <w:szCs w:val="18"/>
          <w14:textFill>
            <w14:solidFill>
              <w14:schemeClr w14:val="tx1"/>
            </w14:solidFill>
          </w14:textFill>
        </w:rPr>
        <w:t>图3</w:t>
      </w:r>
      <w:r>
        <w:rPr>
          <w:rFonts w:cs="HiddenHorzOCR" w:asciiTheme="minorEastAsia" w:hAnsiTheme="minorEastAsia"/>
          <w:color w:val="000000" w:themeColor="text1"/>
          <w:kern w:val="0"/>
          <w:sz w:val="18"/>
          <w:szCs w:val="18"/>
          <w14:textFill>
            <w14:solidFill>
              <w14:schemeClr w14:val="tx1"/>
            </w14:solidFill>
          </w14:textFill>
        </w:rPr>
        <w:t>.0.</w:t>
      </w:r>
      <w:r>
        <w:rPr>
          <w:rFonts w:hint="eastAsia" w:cs="HiddenHorzOCR" w:asciiTheme="minorEastAsia" w:hAnsiTheme="minorEastAsia"/>
          <w:color w:val="000000" w:themeColor="text1"/>
          <w:kern w:val="0"/>
          <w:sz w:val="18"/>
          <w:szCs w:val="18"/>
          <w14:textFill>
            <w14:solidFill>
              <w14:schemeClr w14:val="tx1"/>
            </w14:solidFill>
          </w14:textFill>
        </w:rPr>
        <w:t>9-1</w:t>
      </w:r>
      <w:r>
        <w:rPr>
          <w:rFonts w:cs="HiddenHorzOCR" w:asciiTheme="minorEastAsia" w:hAnsiTheme="minorEastAsia"/>
          <w:color w:val="000000" w:themeColor="text1"/>
          <w:kern w:val="0"/>
          <w:sz w:val="18"/>
          <w:szCs w:val="18"/>
          <w14:textFill>
            <w14:solidFill>
              <w14:schemeClr w14:val="tx1"/>
            </w14:solidFill>
          </w14:textFill>
        </w:rPr>
        <w:t xml:space="preserve"> </w:t>
      </w:r>
      <w:r>
        <w:rPr>
          <w:rFonts w:hint="eastAsia" w:cs="HiddenHorzOCR" w:asciiTheme="minorEastAsia" w:hAnsiTheme="minorEastAsia"/>
          <w:color w:val="000000" w:themeColor="text1"/>
          <w:kern w:val="0"/>
          <w:sz w:val="18"/>
          <w:szCs w:val="18"/>
          <w14:textFill>
            <w14:solidFill>
              <w14:schemeClr w14:val="tx1"/>
            </w14:solidFill>
          </w14:textFill>
        </w:rPr>
        <w:t>框-排架结构示意图</w:t>
      </w:r>
    </w:p>
    <w:p>
      <w:pPr>
        <w:autoSpaceDE w:val="0"/>
        <w:autoSpaceDN w:val="0"/>
        <w:spacing w:line="360" w:lineRule="auto"/>
        <w:ind w:firstLine="900" w:firstLineChars="500"/>
        <w:jc w:val="left"/>
        <w:rPr>
          <w:rFonts w:cs="HiddenHorzOCR" w:asciiTheme="minorEastAsia" w:hAnsiTheme="minorEastAsia"/>
          <w:color w:val="000000" w:themeColor="text1"/>
          <w:kern w:val="0"/>
          <w:sz w:val="18"/>
          <w:szCs w:val="18"/>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3.0.</w:t>
      </w:r>
      <w:r>
        <w:rPr>
          <w:rFonts w:hint="eastAsia" w:cs="Times New Roman" w:asciiTheme="minorEastAsia" w:hAnsiTheme="minorEastAsia"/>
          <w:color w:val="000000" w:themeColor="text1"/>
          <w:kern w:val="0"/>
          <w:szCs w:val="21"/>
          <w14:textFill>
            <w14:solidFill>
              <w14:schemeClr w14:val="tx1"/>
            </w14:solidFill>
          </w14:textFill>
        </w:rPr>
        <w:t>10</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构的抗震</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pStyle w:val="53"/>
        <w:autoSpaceDE w:val="0"/>
        <w:autoSpaceDN w:val="0"/>
        <w:spacing w:line="360" w:lineRule="auto"/>
        <w:ind w:left="360"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基本原则</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结构设计，应满足以下两种极限状态：</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1）承载能力极限状态：是相关倒塌或其他形式的结构失效状态，它危及人身安全；</w:t>
      </w:r>
      <w:r>
        <w:rPr>
          <w:rFonts w:cs="HiddenHorzOCR" w:asciiTheme="minorEastAsia" w:hAnsiTheme="minorEastAsia"/>
          <w:color w:val="000000" w:themeColor="text1"/>
          <w:kern w:val="0"/>
          <w:szCs w:val="21"/>
          <w14:textFill>
            <w14:solidFill>
              <w14:schemeClr w14:val="tx1"/>
            </w14:solidFill>
          </w14:textFill>
        </w:rPr>
        <w:t xml:space="preserve"> </w:t>
      </w:r>
    </w:p>
    <w:p>
      <w:pPr>
        <w:autoSpaceDE w:val="0"/>
        <w:autoSpaceDN w:val="0"/>
        <w:spacing w:line="360" w:lineRule="auto"/>
        <w:ind w:firstLine="829" w:firstLineChars="395"/>
        <w:jc w:val="left"/>
        <w:rPr>
          <w:rFonts w:cs="HiddenHorzOCR" w:asciiTheme="minorEastAsia" w:hAnsiTheme="minorEastAsia"/>
          <w:color w:val="000000" w:themeColor="text1"/>
          <w:kern w:val="0"/>
          <w:szCs w:val="21"/>
          <w14:textFill>
            <w14:solidFill>
              <w14:schemeClr w14:val="tx1"/>
            </w14:solidFill>
          </w14:textFill>
        </w:rPr>
      </w:pPr>
      <w:bookmarkStart w:id="20" w:name="_Hlk24620147"/>
      <w:r>
        <w:rPr>
          <w:rFonts w:hint="eastAsia" w:cs="HiddenHorzOCR" w:asciiTheme="minorEastAsia" w:hAnsiTheme="minorEastAsia"/>
          <w:color w:val="000000" w:themeColor="text1"/>
          <w:kern w:val="0"/>
          <w:szCs w:val="21"/>
          <w14:textFill>
            <w14:solidFill>
              <w14:schemeClr w14:val="tx1"/>
            </w14:solidFill>
          </w14:textFill>
        </w:rPr>
        <w:t>2）正常使用极限状态</w:t>
      </w:r>
      <w:bookmarkEnd w:id="20"/>
      <w:r>
        <w:rPr>
          <w:rFonts w:hint="eastAsia" w:cs="HiddenHorzOCR" w:asciiTheme="minorEastAsia" w:hAnsiTheme="minorEastAsia"/>
          <w:color w:val="000000" w:themeColor="text1"/>
          <w:kern w:val="0"/>
          <w:szCs w:val="21"/>
          <w14:textFill>
            <w14:solidFill>
              <w14:schemeClr w14:val="tx1"/>
            </w14:solidFill>
          </w14:textFill>
        </w:rPr>
        <w:t>：与损坏相关的状态，超过此状态不能满足正常使用要求。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选</w:t>
      </w:r>
      <w:r>
        <w:rPr>
          <w:rFonts w:hint="eastAsia" w:cs="MS Mincho" w:asciiTheme="minorEastAsia" w:hAnsiTheme="minorEastAsia"/>
          <w:color w:val="000000" w:themeColor="text1"/>
          <w:kern w:val="0"/>
          <w:szCs w:val="21"/>
          <w14:textFill>
            <w14:solidFill>
              <w14:schemeClr w14:val="tx1"/>
            </w14:solidFill>
          </w14:textFill>
        </w:rPr>
        <w:t>用具有明确</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简图</w:t>
      </w:r>
      <w:r>
        <w:rPr>
          <w:rFonts w:hint="eastAsia" w:cs="MS Mincho" w:asciiTheme="minorEastAsia" w:hAnsiTheme="minorEastAsia"/>
          <w:color w:val="000000" w:themeColor="text1"/>
          <w:kern w:val="0"/>
          <w:szCs w:val="21"/>
          <w14:textFill>
            <w14:solidFill>
              <w14:schemeClr w14:val="tx1"/>
            </w14:solidFill>
          </w14:textFill>
        </w:rPr>
        <w:t>和合理地震作用</w:t>
      </w:r>
      <w:r>
        <w:rPr>
          <w:rFonts w:hint="eastAsia" w:cs="宋体" w:asciiTheme="minorEastAsia" w:hAnsiTheme="minorEastAsia"/>
          <w:color w:val="000000" w:themeColor="text1"/>
          <w:kern w:val="0"/>
          <w:szCs w:val="21"/>
          <w14:textFill>
            <w14:solidFill>
              <w14:schemeClr w14:val="tx1"/>
            </w14:solidFill>
          </w14:textFill>
        </w:rPr>
        <w:t>传递</w:t>
      </w:r>
      <w:r>
        <w:rPr>
          <w:rFonts w:hint="eastAsia" w:cs="MS Mincho" w:asciiTheme="minorEastAsia" w:hAnsiTheme="minorEastAsia"/>
          <w:color w:val="000000" w:themeColor="text1"/>
          <w:kern w:val="0"/>
          <w:szCs w:val="21"/>
          <w14:textFill>
            <w14:solidFill>
              <w14:schemeClr w14:val="tx1"/>
            </w14:solidFill>
          </w14:textFill>
        </w:rPr>
        <w:t>途径的抗</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力体系；</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3</w:t>
      </w:r>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保</w:t>
      </w:r>
      <w:r>
        <w:rPr>
          <w:rFonts w:hint="eastAsia" w:cs="宋体" w:asciiTheme="minorEastAsia" w:hAnsiTheme="minorEastAsia"/>
          <w:color w:val="000000" w:themeColor="text1"/>
          <w:kern w:val="0"/>
          <w:szCs w:val="21"/>
          <w14:textFill>
            <w14:solidFill>
              <w14:schemeClr w14:val="tx1"/>
            </w14:solidFill>
          </w14:textFill>
        </w:rPr>
        <w:t>证</w:t>
      </w:r>
      <w:r>
        <w:rPr>
          <w:rFonts w:hint="eastAsia" w:cs="MS Mincho" w:asciiTheme="minorEastAsia" w:hAnsiTheme="minorEastAsia"/>
          <w:color w:val="000000" w:themeColor="text1"/>
          <w:kern w:val="0"/>
          <w:szCs w:val="21"/>
          <w14:textFill>
            <w14:solidFill>
              <w14:schemeClr w14:val="tx1"/>
            </w14:solidFill>
          </w14:textFill>
        </w:rPr>
        <w:t>结构的横向和</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向抗</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力体系均具有必要的抗震</w:t>
      </w:r>
      <w:r>
        <w:rPr>
          <w:rFonts w:hint="eastAsia" w:cs="HiddenHorzOCR" w:asciiTheme="minorEastAsia" w:hAnsiTheme="minorEastAsia"/>
          <w:color w:val="000000" w:themeColor="text1"/>
          <w:kern w:val="0"/>
          <w:szCs w:val="21"/>
          <w14:textFill>
            <w14:solidFill>
              <w14:schemeClr w14:val="tx1"/>
            </w14:solidFill>
          </w14:textFill>
        </w:rPr>
        <w:t>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力和良好的</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形与耗能能力；</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沿结构高度宜具有合理的</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度和</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度分布，避免因局</w:t>
      </w:r>
      <w:r>
        <w:rPr>
          <w:rFonts w:hint="eastAsia" w:cs="HiddenHorzOCR" w:asciiTheme="minorEastAsia" w:hAnsiTheme="minorEastAsia"/>
          <w:color w:val="000000" w:themeColor="text1"/>
          <w:kern w:val="0"/>
          <w:szCs w:val="21"/>
          <w14:textFill>
            <w14:solidFill>
              <w14:schemeClr w14:val="tx1"/>
            </w14:solidFill>
          </w14:textFill>
        </w:rPr>
        <w:t>部削弱或突</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形成薄弱部位或薄弱</w:t>
      </w:r>
      <w:r>
        <w:rPr>
          <w:rFonts w:hint="eastAsia" w:cs="宋体" w:asciiTheme="minorEastAsia" w:hAnsiTheme="minorEastAsia"/>
          <w:color w:val="000000" w:themeColor="text1"/>
          <w:kern w:val="0"/>
          <w:szCs w:val="21"/>
          <w14:textFill>
            <w14:solidFill>
              <w14:schemeClr w14:val="tx1"/>
            </w14:solidFill>
          </w14:textFill>
        </w:rPr>
        <w:t>层</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薄弱部位和薄弱</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采取措施提高其抗震能力；</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5</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加</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构件之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接，使构件</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力不低于其</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接构件的承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力，使</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力不低于</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接件的承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HiddenHorzOCR" w:asciiTheme="minorEastAsia" w:hAnsiTheme="minorEastAsia"/>
          <w:color w:val="000000" w:themeColor="text1"/>
          <w:kern w:val="0"/>
          <w:szCs w:val="21"/>
          <w14:textFill>
            <w14:solidFill>
              <w14:schemeClr w14:val="tx1"/>
            </w14:solidFill>
          </w14:textFill>
        </w:rPr>
        <w:t>力；装配式</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能保</w:t>
      </w:r>
      <w:r>
        <w:rPr>
          <w:rFonts w:hint="eastAsia" w:cs="宋体" w:asciiTheme="minorEastAsia" w:hAnsiTheme="minorEastAsia"/>
          <w:color w:val="000000" w:themeColor="text1"/>
          <w:kern w:val="0"/>
          <w:szCs w:val="21"/>
          <w14:textFill>
            <w14:solidFill>
              <w14:schemeClr w14:val="tx1"/>
            </w14:solidFill>
          </w14:textFill>
        </w:rPr>
        <w:t>证结</w:t>
      </w:r>
      <w:r>
        <w:rPr>
          <w:rFonts w:hint="eastAsia" w:cs="MS Mincho" w:asciiTheme="minorEastAsia" w:hAnsiTheme="minorEastAsia"/>
          <w:color w:val="000000" w:themeColor="text1"/>
          <w:kern w:val="0"/>
          <w:szCs w:val="21"/>
          <w14:textFill>
            <w14:solidFill>
              <w14:schemeClr w14:val="tx1"/>
            </w14:solidFill>
          </w14:textFill>
        </w:rPr>
        <w:t>构的整体性；</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6</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非</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构构件和建筑配件与其支承</w:t>
      </w:r>
      <w:r>
        <w:rPr>
          <w:rFonts w:hint="eastAsia" w:cs="宋体" w:asciiTheme="minorEastAsia" w:hAnsiTheme="minorEastAsia"/>
          <w:color w:val="000000" w:themeColor="text1"/>
          <w:kern w:val="0"/>
          <w:szCs w:val="21"/>
          <w14:textFill>
            <w14:solidFill>
              <w14:schemeClr w14:val="tx1"/>
            </w14:solidFill>
          </w14:textFill>
        </w:rPr>
        <w:t>结</w:t>
      </w:r>
      <w:r>
        <w:rPr>
          <w:rFonts w:hint="eastAsia" w:cs="HiddenHorzOCR"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有可靠的</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接或</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固，避免其在地震</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倒塌</w:t>
      </w:r>
      <w:r>
        <w:rPr>
          <w:rFonts w:hint="eastAsia" w:cs="宋体" w:asciiTheme="minorEastAsia" w:hAnsiTheme="minorEastAsia"/>
          <w:color w:val="000000" w:themeColor="text1"/>
          <w:kern w:val="0"/>
          <w:szCs w:val="21"/>
          <w14:textFill>
            <w14:solidFill>
              <w14:schemeClr w14:val="tx1"/>
            </w14:solidFill>
          </w14:textFill>
        </w:rPr>
        <w:t>伤</w:t>
      </w:r>
      <w:r>
        <w:rPr>
          <w:rFonts w:hint="eastAsia" w:cs="MS Mincho" w:asciiTheme="minorEastAsia" w:hAnsiTheme="minorEastAsia"/>
          <w:color w:val="000000" w:themeColor="text1"/>
          <w:kern w:val="0"/>
          <w:szCs w:val="21"/>
          <w14:textFill>
            <w14:solidFill>
              <w14:schemeClr w14:val="tx1"/>
            </w14:solidFill>
          </w14:textFill>
        </w:rPr>
        <w:t>人或</w:t>
      </w:r>
      <w:r>
        <w:rPr>
          <w:rFonts w:hint="eastAsia" w:cs="宋体" w:asciiTheme="minorEastAsia" w:hAnsiTheme="minorEastAsia"/>
          <w:color w:val="000000" w:themeColor="text1"/>
          <w:kern w:val="0"/>
          <w:szCs w:val="21"/>
          <w14:textFill>
            <w14:solidFill>
              <w14:schemeClr w14:val="tx1"/>
            </w14:solidFill>
          </w14:textFill>
        </w:rPr>
        <w:t>砸</w:t>
      </w:r>
      <w:r>
        <w:rPr>
          <w:rFonts w:hint="eastAsia" w:cs="MS Mincho" w:asciiTheme="minorEastAsia" w:hAnsiTheme="minorEastAsia"/>
          <w:color w:val="000000" w:themeColor="text1"/>
          <w:kern w:val="0"/>
          <w:szCs w:val="21"/>
          <w14:textFill>
            <w14:solidFill>
              <w14:schemeClr w14:val="tx1"/>
            </w14:solidFill>
          </w14:textFill>
        </w:rPr>
        <w:t>坏</w:t>
      </w:r>
      <w:r>
        <w:rPr>
          <w:rFonts w:hint="eastAsia" w:cs="宋体" w:asciiTheme="minorEastAsia" w:hAnsiTheme="minorEastAsia"/>
          <w:color w:val="000000" w:themeColor="text1"/>
          <w:kern w:val="0"/>
          <w:szCs w:val="21"/>
          <w14:textFill>
            <w14:solidFill>
              <w14:schemeClr w14:val="tx1"/>
            </w14:solidFill>
          </w14:textFill>
        </w:rPr>
        <w:t>设备</w:t>
      </w:r>
      <w:r>
        <w:rPr>
          <w:rFonts w:hint="eastAsia" w:cs="MS Mincho"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并考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其</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地震反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的有利和不利影响，避免因</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置不合理</w:t>
      </w:r>
      <w:r>
        <w:rPr>
          <w:rFonts w:hint="eastAsia" w:cs="HiddenHorzOCR" w:asciiTheme="minorEastAsia" w:hAnsiTheme="minorEastAsia"/>
          <w:color w:val="000000" w:themeColor="text1"/>
          <w:kern w:val="0"/>
          <w:szCs w:val="21"/>
          <w14:textFill>
            <w14:solidFill>
              <w14:schemeClr w14:val="tx1"/>
            </w14:solidFill>
          </w14:textFill>
        </w:rPr>
        <w:t>而</w:t>
      </w:r>
      <w:r>
        <w:rPr>
          <w:rFonts w:hint="eastAsia" w:cs="宋体" w:asciiTheme="minorEastAsia" w:hAnsiTheme="minorEastAsia"/>
          <w:color w:val="000000" w:themeColor="text1"/>
          <w:kern w:val="0"/>
          <w:szCs w:val="21"/>
          <w14:textFill>
            <w14:solidFill>
              <w14:schemeClr w14:val="tx1"/>
            </w14:solidFill>
          </w14:textFill>
        </w:rPr>
        <w:t>导</w:t>
      </w:r>
      <w:r>
        <w:rPr>
          <w:rFonts w:hint="eastAsia" w:cs="MS Mincho" w:asciiTheme="minorEastAsia" w:hAnsiTheme="minorEastAsia"/>
          <w:color w:val="000000" w:themeColor="text1"/>
          <w:kern w:val="0"/>
          <w:szCs w:val="21"/>
          <w14:textFill>
            <w14:solidFill>
              <w14:schemeClr w14:val="tx1"/>
            </w14:solidFill>
          </w14:textFill>
        </w:rPr>
        <w:t>致主体</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构的破坏；</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7</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地震</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可能引起次生灾害的物件，如楼</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上的</w:t>
      </w:r>
      <w:r>
        <w:rPr>
          <w:rFonts w:hint="eastAsia" w:cs="宋体" w:asciiTheme="minorEastAsia" w:hAnsiTheme="minorEastAsia"/>
          <w:color w:val="000000" w:themeColor="text1"/>
          <w:kern w:val="0"/>
          <w:szCs w:val="21"/>
          <w14:textFill>
            <w14:solidFill>
              <w14:schemeClr w14:val="tx1"/>
            </w14:solidFill>
          </w14:textFill>
        </w:rPr>
        <w:t>设备</w:t>
      </w:r>
      <w:r>
        <w:rPr>
          <w:rFonts w:hint="eastAsia" w:cs="MS Mincho" w:asciiTheme="minorEastAsia" w:hAnsiTheme="minorEastAsia"/>
          <w:color w:val="000000" w:themeColor="text1"/>
          <w:kern w:val="0"/>
          <w:szCs w:val="21"/>
          <w14:textFill>
            <w14:solidFill>
              <w14:schemeClr w14:val="tx1"/>
            </w14:solidFill>
          </w14:textFill>
        </w:rPr>
        <w:t>、槽</w:t>
      </w:r>
      <w:r>
        <w:rPr>
          <w:rFonts w:hint="eastAsia" w:cs="HiddenHorzOCR" w:asciiTheme="minorEastAsia" w:hAnsiTheme="minorEastAsia"/>
          <w:color w:val="000000" w:themeColor="text1"/>
          <w:kern w:val="0"/>
          <w:szCs w:val="21"/>
          <w14:textFill>
            <w14:solidFill>
              <w14:schemeClr w14:val="tx1"/>
            </w14:solidFill>
          </w14:textFill>
        </w:rPr>
        <w:t>罐等均不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浮放，而</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有可靠的固定或防</w:t>
      </w:r>
      <w:r>
        <w:rPr>
          <w:rFonts w:hint="eastAsia" w:cs="宋体" w:asciiTheme="minorEastAsia" w:hAnsiTheme="minorEastAsia"/>
          <w:color w:val="000000" w:themeColor="text1"/>
          <w:kern w:val="0"/>
          <w:szCs w:val="21"/>
          <w14:textFill>
            <w14:solidFill>
              <w14:schemeClr w14:val="tx1"/>
            </w14:solidFill>
          </w14:textFill>
        </w:rPr>
        <w:t>倾</w:t>
      </w:r>
      <w:r>
        <w:rPr>
          <w:rFonts w:hint="eastAsia" w:cs="MS Mincho" w:asciiTheme="minorEastAsia" w:hAnsiTheme="minorEastAsia"/>
          <w:color w:val="000000" w:themeColor="text1"/>
          <w:kern w:val="0"/>
          <w:szCs w:val="21"/>
          <w14:textFill>
            <w14:solidFill>
              <w14:schemeClr w14:val="tx1"/>
            </w14:solidFill>
          </w14:textFill>
        </w:rPr>
        <w:t>滑措施，并</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3.0.1</w:t>
      </w: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构构件的抗震</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加</w:t>
      </w:r>
      <w:r>
        <w:rPr>
          <w:rFonts w:hint="eastAsia" w:cs="宋体" w:asciiTheme="minorEastAsia" w:hAnsiTheme="minorEastAsia"/>
          <w:color w:val="000000" w:themeColor="text1"/>
          <w:kern w:val="0"/>
          <w:szCs w:val="21"/>
          <w14:textFill>
            <w14:solidFill>
              <w14:schemeClr w14:val="tx1"/>
            </w14:solidFill>
          </w14:textFill>
        </w:rPr>
        <w:t>强结</w:t>
      </w:r>
      <w:r>
        <w:rPr>
          <w:rFonts w:hint="eastAsia" w:cs="MS Mincho" w:asciiTheme="minorEastAsia" w:hAnsiTheme="minorEastAsia"/>
          <w:color w:val="000000" w:themeColor="text1"/>
          <w:kern w:val="0"/>
          <w:szCs w:val="21"/>
          <w14:textFill>
            <w14:solidFill>
              <w14:schemeClr w14:val="tx1"/>
            </w14:solidFill>
          </w14:textFill>
        </w:rPr>
        <w:t>构和构件的延性，避免出</w:t>
      </w:r>
      <w:r>
        <w:rPr>
          <w:rFonts w:hint="eastAsia" w:cs="宋体" w:asciiTheme="minorEastAsia" w:hAnsiTheme="minorEastAsia"/>
          <w:color w:val="000000" w:themeColor="text1"/>
          <w:kern w:val="0"/>
          <w:szCs w:val="21"/>
          <w14:textFill>
            <w14:solidFill>
              <w14:schemeClr w14:val="tx1"/>
            </w14:solidFill>
          </w14:textFill>
        </w:rPr>
        <w:t>现</w:t>
      </w:r>
      <w:r>
        <w:rPr>
          <w:rFonts w:hint="eastAsia" w:cs="MS Mincho" w:asciiTheme="minorEastAsia" w:hAnsiTheme="minorEastAsia"/>
          <w:color w:val="000000" w:themeColor="text1"/>
          <w:kern w:val="0"/>
          <w:szCs w:val="21"/>
          <w14:textFill>
            <w14:solidFill>
              <w14:schemeClr w14:val="tx1"/>
            </w14:solidFill>
          </w14:textFill>
        </w:rPr>
        <w:t>脆性破坏；</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2 </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混凝土构件，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合理</w:t>
      </w:r>
      <w:r>
        <w:rPr>
          <w:rFonts w:hint="eastAsia" w:cs="宋体" w:asciiTheme="minorEastAsia" w:hAnsiTheme="minorEastAsia"/>
          <w:color w:val="000000" w:themeColor="text1"/>
          <w:kern w:val="0"/>
          <w:szCs w:val="21"/>
          <w14:textFill>
            <w14:solidFill>
              <w14:schemeClr w14:val="tx1"/>
            </w14:solidFill>
          </w14:textFill>
        </w:rPr>
        <w:t>选择</w:t>
      </w:r>
      <w:r>
        <w:rPr>
          <w:rFonts w:hint="eastAsia" w:cs="MS Mincho" w:asciiTheme="minorEastAsia" w:hAnsiTheme="minorEastAsia"/>
          <w:color w:val="000000" w:themeColor="text1"/>
          <w:kern w:val="0"/>
          <w:szCs w:val="21"/>
          <w14:textFill>
            <w14:solidFill>
              <w14:schemeClr w14:val="tx1"/>
            </w14:solidFill>
          </w14:textFill>
        </w:rPr>
        <w:t>尺寸、配置</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筋和箍筋，避</w:t>
      </w:r>
      <w:r>
        <w:rPr>
          <w:rFonts w:hint="eastAsia" w:cs="HiddenHorzOCR" w:asciiTheme="minorEastAsia" w:hAnsiTheme="minorEastAsia"/>
          <w:color w:val="000000" w:themeColor="text1"/>
          <w:kern w:val="0"/>
          <w:szCs w:val="21"/>
          <w14:textFill>
            <w14:solidFill>
              <w14:schemeClr w14:val="tx1"/>
            </w14:solidFill>
          </w14:textFill>
        </w:rPr>
        <w:t>免剪切和粘</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开裂破坏先于弯曲破坏；</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 </w:t>
      </w:r>
      <w:r>
        <w:rPr>
          <w:rFonts w:hint="eastAsia" w:cs="宋体" w:asciiTheme="minorEastAsia" w:hAnsiTheme="minorEastAsia"/>
          <w:color w:val="000000" w:themeColor="text1"/>
          <w:kern w:val="0"/>
          <w:szCs w:val="21"/>
          <w14:textFill>
            <w14:solidFill>
              <w14:schemeClr w14:val="tx1"/>
            </w14:solidFill>
          </w14:textFill>
        </w:rPr>
        <w:t>对钢</w:t>
      </w:r>
      <w:r>
        <w:rPr>
          <w:rFonts w:hint="eastAsia" w:cs="MS Mincho" w:asciiTheme="minorEastAsia" w:hAnsiTheme="minorEastAsia"/>
          <w:color w:val="000000" w:themeColor="text1"/>
          <w:kern w:val="0"/>
          <w:szCs w:val="21"/>
          <w14:textFill>
            <w14:solidFill>
              <w14:schemeClr w14:val="tx1"/>
            </w14:solidFill>
          </w14:textFill>
        </w:rPr>
        <w:t>构件、铝合金构件和不锈钢构件，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合理控制尺寸，避免局部或整体失</w:t>
      </w:r>
      <w:r>
        <w:rPr>
          <w:rFonts w:hint="eastAsia" w:cs="宋体" w:asciiTheme="minorEastAsia" w:hAnsiTheme="minorEastAsia"/>
          <w:color w:val="000000" w:themeColor="text1"/>
          <w:kern w:val="0"/>
          <w:szCs w:val="21"/>
          <w14:textFill>
            <w14:solidFill>
              <w14:schemeClr w14:val="tx1"/>
            </w14:solidFill>
          </w14:textFill>
        </w:rPr>
        <w:t>稳</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 w:val="18"/>
          <w:szCs w:val="18"/>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多</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框架</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构，避免柱的破坏先于梁的破坏。</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3.0.12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材料和施工</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量的</w:t>
      </w:r>
      <w:r>
        <w:rPr>
          <w:rFonts w:hint="eastAsia" w:cs="宋体" w:asciiTheme="minorEastAsia" w:hAnsiTheme="minorEastAsia"/>
          <w:color w:val="000000" w:themeColor="text1"/>
          <w:kern w:val="0"/>
          <w:szCs w:val="21"/>
          <w14:textFill>
            <w14:solidFill>
              <w14:schemeClr w14:val="tx1"/>
            </w14:solidFill>
          </w14:textFill>
        </w:rPr>
        <w:t>检查</w:t>
      </w:r>
      <w:r>
        <w:rPr>
          <w:rFonts w:hint="eastAsia" w:cs="MS Mincho" w:asciiTheme="minorEastAsia" w:hAnsiTheme="minorEastAsia"/>
          <w:color w:val="000000" w:themeColor="text1"/>
          <w:kern w:val="0"/>
          <w:szCs w:val="21"/>
          <w14:textFill>
            <w14:solidFill>
              <w14:schemeClr w14:val="tx1"/>
            </w14:solidFill>
          </w14:textFill>
        </w:rPr>
        <w:t>和</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w:t>
      </w:r>
      <w:r>
        <w:rPr>
          <w:rFonts w:hint="eastAsia" w:cs="宋体" w:asciiTheme="minorEastAsia" w:hAnsiTheme="minorEastAsia"/>
          <w:color w:val="000000" w:themeColor="text1"/>
          <w:kern w:val="0"/>
          <w:szCs w:val="21"/>
          <w14:textFill>
            <w14:solidFill>
              <w14:schemeClr w14:val="tx1"/>
            </w14:solidFill>
          </w14:textFill>
        </w:rPr>
        <w:t>现</w:t>
      </w:r>
      <w:r>
        <w:rPr>
          <w:rFonts w:hint="eastAsia" w:cs="MS Mincho" w:asciiTheme="minorEastAsia" w:hAnsiTheme="minorEastAsia"/>
          <w:color w:val="000000" w:themeColor="text1"/>
          <w:kern w:val="0"/>
          <w:szCs w:val="21"/>
          <w14:textFill>
            <w14:solidFill>
              <w14:schemeClr w14:val="tx1"/>
            </w14:solidFill>
          </w14:textFill>
        </w:rPr>
        <w:t>行国家有关</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准的要求。</w:t>
      </w:r>
    </w:p>
    <w:p>
      <w:pPr>
        <w:spacing w:line="360" w:lineRule="auto"/>
        <w:ind w:firstLine="420"/>
        <w:rPr>
          <w:rFonts w:ascii="宋体" w:hAnsi="宋体"/>
          <w:color w:val="000000" w:themeColor="text1"/>
          <w:szCs w:val="21"/>
          <w14:textFill>
            <w14:solidFill>
              <w14:schemeClr w14:val="tx1"/>
            </w14:solidFill>
          </w14:textFill>
        </w:rPr>
      </w:pPr>
    </w:p>
    <w:p>
      <w:pPr>
        <w:spacing w:line="360" w:lineRule="auto"/>
        <w:ind w:firstLine="42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widowControl/>
        <w:adjustRightInd/>
        <w:snapToGrid/>
        <w:ind w:firstLine="0" w:firstLineChars="0"/>
        <w:jc w:val="left"/>
        <w:rPr>
          <w:rFonts w:cs="Times New Roman"/>
          <w:b/>
          <w:color w:val="000000" w:themeColor="text1"/>
          <w:kern w:val="44"/>
          <w:sz w:val="30"/>
          <w:szCs w:val="20"/>
          <w:lang w:val="zh-CN"/>
          <w14:textFill>
            <w14:solidFill>
              <w14:schemeClr w14:val="tx1"/>
            </w14:solidFill>
          </w14:textFill>
        </w:rPr>
      </w:pPr>
      <w:r>
        <w:rPr>
          <w:color w:val="000000" w:themeColor="text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21" w:name="_Toc48841018"/>
      <w:r>
        <w:rPr>
          <w:rFonts w:hint="eastAsia"/>
          <w:color w:val="000000" w:themeColor="text1"/>
          <w14:textFill>
            <w14:solidFill>
              <w14:schemeClr w14:val="tx1"/>
            </w14:solidFill>
          </w14:textFill>
        </w:rPr>
        <w:t>地震作用和结构抗震验算</w:t>
      </w:r>
      <w:bookmarkEnd w:id="21"/>
    </w:p>
    <w:p>
      <w:pPr>
        <w:pStyle w:val="3"/>
      </w:pPr>
      <w:bookmarkStart w:id="22" w:name="_Toc48841019"/>
      <w:r>
        <w:rPr>
          <w:rFonts w:hint="eastAsia"/>
        </w:rPr>
        <w:t>场地类别</w:t>
      </w:r>
      <w:bookmarkEnd w:id="22"/>
    </w:p>
    <w:p>
      <w:pPr>
        <w:autoSpaceDE w:val="0"/>
        <w:autoSpaceDN w:val="0"/>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4</w:t>
      </w:r>
      <w:r>
        <w:rPr>
          <w:rFonts w:cs="宋体" w:asciiTheme="minorEastAsia" w:hAnsiTheme="minorEastAsia"/>
          <w:color w:val="000000" w:themeColor="text1"/>
          <w:kern w:val="0"/>
          <w:szCs w:val="21"/>
          <w14:textFill>
            <w14:solidFill>
              <w14:schemeClr w14:val="tx1"/>
            </w14:solidFill>
          </w14:textFill>
        </w:rPr>
        <w:t xml:space="preserve">.1.1 </w:t>
      </w:r>
      <w:r>
        <w:rPr>
          <w:rFonts w:hint="eastAsia" w:cs="宋体" w:asciiTheme="minorEastAsia" w:hAnsiTheme="minorEastAsia"/>
          <w:color w:val="000000" w:themeColor="text1"/>
          <w:kern w:val="0"/>
          <w:szCs w:val="21"/>
          <w14:textFill>
            <w14:solidFill>
              <w14:schemeClr w14:val="tx1"/>
            </w14:solidFill>
          </w14:textFill>
        </w:rPr>
        <w:t>场</w:t>
      </w:r>
      <w:r>
        <w:rPr>
          <w:rFonts w:hint="eastAsia" w:cs="MS Mincho" w:asciiTheme="minorEastAsia" w:hAnsiTheme="minorEastAsia"/>
          <w:color w:val="000000" w:themeColor="text1"/>
          <w:kern w:val="0"/>
          <w:szCs w:val="21"/>
          <w14:textFill>
            <w14:solidFill>
              <w14:schemeClr w14:val="tx1"/>
            </w14:solidFill>
          </w14:textFill>
        </w:rPr>
        <w:t>地</w:t>
      </w:r>
      <w:r>
        <w:rPr>
          <w:rFonts w:hint="eastAsia" w:cs="宋体" w:asciiTheme="minorEastAsia" w:hAnsiTheme="minorEastAsia"/>
          <w:color w:val="000000" w:themeColor="text1"/>
          <w:kern w:val="0"/>
          <w:szCs w:val="21"/>
          <w14:textFill>
            <w14:solidFill>
              <w14:schemeClr w14:val="tx1"/>
            </w14:solidFill>
          </w14:textFill>
        </w:rPr>
        <w:t>类别</w:t>
      </w:r>
      <w:r>
        <w:rPr>
          <w:rFonts w:hint="eastAsia" w:cs="MS Mincho" w:asciiTheme="minorEastAsia" w:hAnsiTheme="minorEastAsia"/>
          <w:color w:val="000000" w:themeColor="text1"/>
          <w:kern w:val="0"/>
          <w:szCs w:val="21"/>
          <w14:textFill>
            <w14:solidFill>
              <w14:schemeClr w14:val="tx1"/>
            </w14:solidFill>
          </w14:textFill>
        </w:rPr>
        <w:t>见</w:t>
      </w:r>
      <w:r>
        <w:rPr>
          <w:rFonts w:hint="eastAsia" w:cs="宋体" w:asciiTheme="minorEastAsia" w:hAnsiTheme="minorEastAsia"/>
          <w:color w:val="000000" w:themeColor="text1"/>
          <w:kern w:val="0"/>
          <w:szCs w:val="21"/>
          <w14:textFill>
            <w14:solidFill>
              <w14:schemeClr w14:val="tx1"/>
            </w14:solidFill>
          </w14:textFill>
        </w:rPr>
        <w:t>《建筑抗震设计规范》GB50011</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rPr>
          <w:rFonts w:cs="MS Mincho" w:asciiTheme="minorEastAsia" w:hAnsiTheme="minorEastAsia"/>
          <w:color w:val="000000" w:themeColor="text1"/>
          <w:kern w:val="0"/>
          <w:szCs w:val="21"/>
          <w14:textFill>
            <w14:solidFill>
              <w14:schemeClr w14:val="tx1"/>
            </w14:solidFill>
          </w14:textFill>
        </w:rPr>
      </w:pPr>
    </w:p>
    <w:p>
      <w:pPr>
        <w:pStyle w:val="3"/>
      </w:pPr>
      <w:bookmarkStart w:id="23" w:name="_Toc48841020"/>
      <w:r>
        <w:rPr>
          <w:rFonts w:hint="eastAsia"/>
        </w:rPr>
        <w:t>重力荷载代表值、地震有效质量</w:t>
      </w:r>
      <w:bookmarkEnd w:id="23"/>
    </w:p>
    <w:p>
      <w:pPr>
        <w:autoSpaceDE w:val="0"/>
        <w:autoSpaceDN w:val="0"/>
        <w:spacing w:line="360" w:lineRule="auto"/>
        <w:ind w:firstLine="0" w:firstLineChars="0"/>
        <w:jc w:val="center"/>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4.2.</w:t>
      </w: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计</w:t>
      </w:r>
      <w:r>
        <w:rPr>
          <w:rFonts w:hint="eastAsia" w:cs="HiddenHorzOCR" w:asciiTheme="minorEastAsia" w:hAnsiTheme="minorEastAsia"/>
          <w:color w:val="000000" w:themeColor="text1"/>
          <w:kern w:val="0"/>
          <w:szCs w:val="21"/>
          <w14:textFill>
            <w14:solidFill>
              <w14:schemeClr w14:val="tx1"/>
            </w14:solidFill>
          </w14:textFill>
        </w:rPr>
        <w:t>算地震作用</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，结构的重力荷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代表</w:t>
      </w:r>
      <w:r>
        <w:rPr>
          <w:rFonts w:hint="eastAsia" w:cs="宋体" w:asciiTheme="minorEastAsia" w:hAnsiTheme="minorEastAsia"/>
          <w:color w:val="000000" w:themeColor="text1"/>
          <w:kern w:val="0"/>
          <w:szCs w:val="21"/>
          <w14:textFill>
            <w14:solidFill>
              <w14:schemeClr w14:val="tx1"/>
            </w14:solidFill>
          </w14:textFill>
        </w:rPr>
        <w:t>值应</w:t>
      </w:r>
      <w:r>
        <w:rPr>
          <w:rFonts w:hint="eastAsia" w:cs="MS Mincho" w:asciiTheme="minorEastAsia" w:hAnsiTheme="minorEastAsia"/>
          <w:color w:val="000000" w:themeColor="text1"/>
          <w:kern w:val="0"/>
          <w:szCs w:val="21"/>
          <w14:textFill>
            <w14:solidFill>
              <w14:schemeClr w14:val="tx1"/>
            </w14:solidFill>
          </w14:textFill>
        </w:rPr>
        <w:t>按下列要求确</w:t>
      </w:r>
      <w:r>
        <w:rPr>
          <w:rFonts w:hint="eastAsia" w:cs="HiddenHorzOCR" w:asciiTheme="minorEastAsia" w:hAnsiTheme="minorEastAsia"/>
          <w:color w:val="000000" w:themeColor="text1"/>
          <w:kern w:val="0"/>
          <w:szCs w:val="21"/>
          <w14:textFill>
            <w14:solidFill>
              <w14:schemeClr w14:val="tx1"/>
            </w14:solidFill>
          </w14:textFill>
        </w:rPr>
        <w:t>定：</w:t>
      </w:r>
    </w:p>
    <w:p>
      <w:pPr>
        <w:autoSpaceDE w:val="0"/>
        <w:autoSpaceDN w:val="0"/>
        <w:spacing w:line="360" w:lineRule="auto"/>
        <w:ind w:firstLine="420"/>
        <w:jc w:val="center"/>
        <w:rPr>
          <w:rFonts w:cs="HiddenHorzOCR" w:asciiTheme="minorEastAsia" w:hAnsiTheme="minorEastAsia"/>
          <w:iCs/>
          <w:color w:val="000000" w:themeColor="text1"/>
          <w:kern w:val="0"/>
          <w:szCs w:val="21"/>
          <w14:textFill>
            <w14:solidFill>
              <w14:schemeClr w14:val="tx1"/>
            </w14:solidFill>
          </w14:textFill>
        </w:rPr>
      </w:pPr>
      <w:bookmarkStart w:id="24" w:name="_Hlk20033806"/>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w:bookmarkEnd w:id="24"/>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w:bookmarkStart w:id="25" w:name="_Hlk20033720"/>
            <m:r>
              <m:rPr>
                <m:sty m:val="p"/>
              </m:rPr>
              <w:rPr>
                <w:rFonts w:ascii="Cambria Math" w:hAnsi="Cambria Math" w:cs="HiddenHorzOCR"/>
                <w:color w:val="000000" w:themeColor="text1"/>
                <w:kern w:val="0"/>
                <w:szCs w:val="21"/>
                <w14:textFill>
                  <w14:solidFill>
                    <w14:schemeClr w14:val="tx1"/>
                  </w14:solidFill>
                </w14:textFill>
              </w:rPr>
              <m:t>D</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w:bookmarkEnd w:id="25"/>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w:bookmarkStart w:id="26" w:name="_Hlk20033826"/>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w:bookmarkEnd w:id="26"/>
            <m:ctrlPr>
              <w:rPr>
                <w:rFonts w:ascii="Cambria Math" w:hAnsi="Cambria Math" w:cs="HiddenHorzOCR"/>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 xml:space="preserve">      (4.2.1-1)</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bookmarkStart w:id="27" w:name="_Hlk20033816"/>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D</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w:bookmarkEnd w:id="27"/>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nary>
          <m:naryPr>
            <m:chr m:val="∑"/>
            <m:limLoc m:val="undOvr"/>
            <m:subHide m:val="1"/>
            <m:supHide m:val="1"/>
            <m:ctrlPr>
              <w:rPr>
                <w:rFonts w:ascii="Cambria Math" w:hAnsi="Cambria Math" w:cs="HiddenHorzOCR"/>
                <w:color w:val="000000" w:themeColor="text1"/>
                <w:kern w:val="0"/>
                <w:szCs w:val="21"/>
                <w14:textFill>
                  <w14:solidFill>
                    <w14:schemeClr w14:val="tx1"/>
                  </w14:solidFill>
                </w14:textFill>
              </w:rPr>
            </m:ctrlPr>
          </m:naryPr>
          <m:sub>
            <m:ctrlPr>
              <w:rPr>
                <w:rFonts w:ascii="Cambria Math" w:hAnsi="Cambria Math" w:cs="HiddenHorzOCR"/>
                <w:color w:val="000000" w:themeColor="text1"/>
                <w:kern w:val="0"/>
                <w:szCs w:val="21"/>
                <w14:textFill>
                  <w14:solidFill>
                    <w14:schemeClr w14:val="tx1"/>
                  </w14:solidFill>
                </w14:textFill>
              </w:rPr>
            </m:ctrlPr>
          </m:sub>
          <m:sup>
            <w:bookmarkStart w:id="28" w:name="_Hlk20033840"/>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D</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w:bookmarkEnd w:id="28"/>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oMath>
      <w:r>
        <w:rPr>
          <w:rFonts w:cs="HiddenHorzOCR" w:asciiTheme="minorEastAsia" w:hAnsiTheme="minorEastAsia"/>
          <w:color w:val="000000" w:themeColor="text1"/>
          <w:kern w:val="0"/>
          <w:szCs w:val="21"/>
          <w14:textFill>
            <w14:solidFill>
              <w14:schemeClr w14:val="tx1"/>
            </w14:solidFill>
          </w14:textFill>
        </w:rPr>
        <w:t xml:space="preserve">         (4.2.1-2)</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nary>
          <m:naryPr>
            <m:chr m:val="∑"/>
            <m:limLoc m:val="undOvr"/>
            <m:subHide m:val="1"/>
            <m:supHide m:val="1"/>
            <m:ctrlPr>
              <w:rPr>
                <w:rFonts w:ascii="Cambria Math" w:hAnsi="Cambria Math" w:cs="HiddenHorzOCR"/>
                <w:color w:val="000000" w:themeColor="text1"/>
                <w:kern w:val="0"/>
                <w:szCs w:val="21"/>
                <w14:textFill>
                  <w14:solidFill>
                    <w14:schemeClr w14:val="tx1"/>
                  </w14:solidFill>
                </w14:textFill>
              </w:rPr>
            </m:ctrlPr>
          </m:naryPr>
          <w:bookmarkStart w:id="29" w:name="_Hlk20033882"/>
          <m:sub>
            <m:ctrlPr>
              <w:rPr>
                <w:rFonts w:ascii="Cambria Math" w:hAnsi="Cambria Math" w:cs="HiddenHorzOCR"/>
                <w:color w:val="000000" w:themeColor="text1"/>
                <w:kern w:val="0"/>
                <w:szCs w:val="21"/>
                <w14:textFill>
                  <w14:solidFill>
                    <w14:schemeClr w14:val="tx1"/>
                  </w14:solidFill>
                </w14:textFill>
              </w:rPr>
            </m:ctrlPr>
          </m:sub>
          <m:sup>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i/>
                    <w:iCs/>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iCs/>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iCs/>
                    <w:color w:val="000000" w:themeColor="text1"/>
                    <w:kern w:val="0"/>
                    <w:szCs w:val="21"/>
                    <w14:textFill>
                      <w14:solidFill>
                        <w14:schemeClr w14:val="tx1"/>
                      </w14:solidFill>
                    </w14:textFill>
                  </w:rPr>
                </m:ctrlPr>
              </m:sub>
            </m:sSub>
            <m:sSub>
              <m:sSubPr>
                <m:ctrlPr>
                  <w:rPr>
                    <w:rFonts w:ascii="Cambria Math" w:hAnsi="Cambria Math" w:cs="HiddenHorzOCR"/>
                    <w:i/>
                    <w:iCs/>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iCs/>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k</m:t>
                </m:r>
                <w:bookmarkEnd w:id="29"/>
                <m:ctrlPr>
                  <w:rPr>
                    <w:rFonts w:ascii="Cambria Math" w:hAnsi="Cambria Math" w:cs="HiddenHorzOCR"/>
                    <w:i/>
                    <w:iCs/>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oMath>
      <w:r>
        <w:rPr>
          <w:rFonts w:cs="HiddenHorzOCR" w:asciiTheme="minorEastAsia" w:hAnsiTheme="minorEastAsia"/>
          <w:color w:val="000000" w:themeColor="text1"/>
          <w:kern w:val="0"/>
          <w:szCs w:val="21"/>
          <w14:textFill>
            <w14:solidFill>
              <w14:schemeClr w14:val="tx1"/>
            </w14:solidFill>
          </w14:textFill>
        </w:rPr>
        <w:t xml:space="preserve">        (4.2.1-3)</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——重力荷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代表</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09" w:firstLineChars="195"/>
        <w:jc w:val="left"/>
        <w:rPr>
          <w:rFonts w:cs="HiddenHorzOCR" w:asciiTheme="minorEastAsia" w:hAnsiTheme="minorEastAsia"/>
          <w:color w:val="000000" w:themeColor="text1"/>
          <w:kern w:val="0"/>
          <w:szCs w:val="21"/>
          <w14:textFill>
            <w14:solidFill>
              <w14:schemeClr w14:val="tx1"/>
            </w14:solidFill>
          </w14:textFill>
        </w:rPr>
      </w:pPr>
      <m:oMath>
        <m:r>
          <w:rPr>
            <w:rFonts w:ascii="Cambria Math" w:hAnsi="Cambria Math" w:cs="HiddenHorzOCR"/>
            <w:color w:val="000000" w:themeColor="text1"/>
            <w:kern w:val="0"/>
            <w:szCs w:val="21"/>
            <w14:textFill>
              <w14:solidFill>
                <w14:schemeClr w14:val="tx1"/>
              </w14:solidFill>
            </w14:textFill>
          </w:rPr>
          <m:t xml:space="preserve">    </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D</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别为</w:t>
      </w:r>
      <w:r>
        <w:rPr>
          <w:rFonts w:hint="eastAsia" w:cs="MS Mincho" w:asciiTheme="minorEastAsia" w:hAnsiTheme="minorEastAsia"/>
          <w:color w:val="000000" w:themeColor="text1"/>
          <w:kern w:val="0"/>
          <w:szCs w:val="21"/>
          <w14:textFill>
            <w14:solidFill>
              <w14:schemeClr w14:val="tx1"/>
            </w14:solidFill>
          </w14:textFill>
        </w:rPr>
        <w:t>恒</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和可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的重力荷载代表</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19" w:firstLineChars="295"/>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D</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别为</w:t>
      </w:r>
      <w:r>
        <w:rPr>
          <w:rFonts w:hint="eastAsia" w:cs="MS Mincho" w:asciiTheme="minorEastAsia" w:hAnsiTheme="minorEastAsia"/>
          <w:color w:val="000000" w:themeColor="text1"/>
          <w:kern w:val="0"/>
          <w:szCs w:val="21"/>
          <w14:textFill>
            <w14:solidFill>
              <w14:schemeClr w14:val="tx1"/>
            </w14:solidFill>
          </w14:textFill>
        </w:rPr>
        <w:t>恒</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和可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准</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iCs/>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iCs/>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iCs/>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——重力荷载代表值下的可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合</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系数，可按表</w:t>
      </w:r>
      <w:r>
        <w:rPr>
          <w:rFonts w:cs="HiddenHorzOCR" w:asciiTheme="minorEastAsia" w:hAnsiTheme="minorEastAsia"/>
          <w:color w:val="000000" w:themeColor="text1"/>
          <w:kern w:val="0"/>
          <w:szCs w:val="21"/>
          <w14:textFill>
            <w14:solidFill>
              <w14:schemeClr w14:val="tx1"/>
            </w14:solidFill>
          </w14:textFill>
        </w:rPr>
        <w:t>4.2.</w:t>
      </w:r>
      <w:r>
        <w:rPr>
          <w:rFonts w:hint="eastAsia" w:cs="HiddenHorzOCR" w:asciiTheme="minorEastAsia" w:hAnsiTheme="minorEastAsia"/>
          <w:color w:val="000000" w:themeColor="text1"/>
          <w:kern w:val="0"/>
          <w:szCs w:val="21"/>
          <w14:textFill>
            <w14:solidFill>
              <w14:schemeClr w14:val="tx1"/>
            </w14:solidFill>
          </w14:textFill>
        </w:rPr>
        <w:t>1-1的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定采</w:t>
      </w:r>
      <w:r>
        <w:rPr>
          <w:rFonts w:hint="eastAsia" w:cs="HiddenHorzOCR" w:asciiTheme="minorEastAsia" w:hAnsiTheme="minorEastAsia"/>
          <w:color w:val="000000" w:themeColor="text1"/>
          <w:kern w:val="0"/>
          <w:szCs w:val="21"/>
          <w14:textFill>
            <w14:solidFill>
              <w14:schemeClr w14:val="tx1"/>
            </w14:solidFill>
          </w14:textFill>
        </w:rPr>
        <w:t>用。</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rPr>
          <w:rFonts w:cs="HiddenHorzOCR" w:asciiTheme="minorEastAsia" w:hAnsiTheme="minorEastAsia"/>
          <w:color w:val="000000" w:themeColor="text1"/>
          <w:kern w:val="0"/>
          <w:sz w:val="18"/>
          <w:szCs w:val="18"/>
          <w14:textFill>
            <w14:solidFill>
              <w14:schemeClr w14:val="tx1"/>
            </w14:solidFill>
          </w14:textFill>
        </w:rPr>
      </w:pPr>
      <w:r>
        <w:rPr>
          <w:rFonts w:hint="eastAsia" w:cs="Times New Roman" w:asciiTheme="minorEastAsia" w:hAnsiTheme="minorEastAsia"/>
          <w:color w:val="000000" w:themeColor="text1"/>
          <w:kern w:val="0"/>
          <w:sz w:val="18"/>
          <w:szCs w:val="18"/>
          <w14:textFill>
            <w14:solidFill>
              <w14:schemeClr w14:val="tx1"/>
            </w14:solidFill>
          </w14:textFill>
        </w:rPr>
        <w:t>表</w:t>
      </w:r>
      <w:r>
        <w:rPr>
          <w:rFonts w:cs="Times New Roman" w:asciiTheme="minorEastAsia" w:hAnsiTheme="minorEastAsia"/>
          <w:color w:val="000000" w:themeColor="text1"/>
          <w:kern w:val="0"/>
          <w:sz w:val="18"/>
          <w:szCs w:val="18"/>
          <w14:textFill>
            <w14:solidFill>
              <w14:schemeClr w14:val="tx1"/>
            </w14:solidFill>
          </w14:textFill>
        </w:rPr>
        <w:t>4.2.</w:t>
      </w:r>
      <w:r>
        <w:rPr>
          <w:rFonts w:hint="eastAsia" w:cs="Times New Roman" w:asciiTheme="minorEastAsia" w:hAnsiTheme="minorEastAsia"/>
          <w:color w:val="000000" w:themeColor="text1"/>
          <w:kern w:val="0"/>
          <w:sz w:val="18"/>
          <w:szCs w:val="18"/>
          <w14:textFill>
            <w14:solidFill>
              <w14:schemeClr w14:val="tx1"/>
            </w14:solidFill>
          </w14:textFill>
        </w:rPr>
        <w:t xml:space="preserve">1-1 </w:t>
      </w:r>
      <w:r>
        <w:rPr>
          <w:rFonts w:hint="eastAsia" w:cs="HiddenHorzOCR" w:asciiTheme="minorEastAsia" w:hAnsiTheme="minorEastAsia"/>
          <w:color w:val="000000" w:themeColor="text1"/>
          <w:kern w:val="0"/>
          <w:sz w:val="18"/>
          <w:szCs w:val="18"/>
          <w14:textFill>
            <w14:solidFill>
              <w14:schemeClr w14:val="tx1"/>
            </w14:solidFill>
          </w14:textFill>
        </w:rPr>
        <w:t>重力荷载代表值下的可</w:t>
      </w:r>
      <w:r>
        <w:rPr>
          <w:rFonts w:hint="eastAsia" w:cs="宋体" w:asciiTheme="minorEastAsia" w:hAnsiTheme="minorEastAsia"/>
          <w:color w:val="000000" w:themeColor="text1"/>
          <w:kern w:val="0"/>
          <w:sz w:val="18"/>
          <w:szCs w:val="18"/>
          <w14:textFill>
            <w14:solidFill>
              <w14:schemeClr w14:val="tx1"/>
            </w14:solidFill>
          </w14:textFill>
        </w:rPr>
        <w:t>变</w:t>
      </w:r>
      <w:r>
        <w:rPr>
          <w:rFonts w:hint="eastAsia" w:cs="MS Mincho" w:asciiTheme="minorEastAsia" w:hAnsiTheme="minorEastAsia"/>
          <w:color w:val="000000" w:themeColor="text1"/>
          <w:kern w:val="0"/>
          <w:sz w:val="18"/>
          <w:szCs w:val="18"/>
          <w14:textFill>
            <w14:solidFill>
              <w14:schemeClr w14:val="tx1"/>
            </w14:solidFill>
          </w14:textFill>
        </w:rPr>
        <w:t>荷</w:t>
      </w:r>
      <w:r>
        <w:rPr>
          <w:rFonts w:hint="eastAsia" w:cs="宋体" w:asciiTheme="minorEastAsia" w:hAnsiTheme="minorEastAsia"/>
          <w:color w:val="000000" w:themeColor="text1"/>
          <w:kern w:val="0"/>
          <w:sz w:val="18"/>
          <w:szCs w:val="18"/>
          <w14:textFill>
            <w14:solidFill>
              <w14:schemeClr w14:val="tx1"/>
            </w14:solidFill>
          </w14:textFill>
        </w:rPr>
        <w:t>载</w:t>
      </w:r>
      <w:r>
        <w:rPr>
          <w:rFonts w:hint="eastAsia" w:cs="MS Mincho" w:asciiTheme="minorEastAsia" w:hAnsiTheme="minorEastAsia"/>
          <w:color w:val="000000" w:themeColor="text1"/>
          <w:kern w:val="0"/>
          <w:sz w:val="18"/>
          <w:szCs w:val="18"/>
          <w14:textFill>
            <w14:solidFill>
              <w14:schemeClr w14:val="tx1"/>
            </w14:solidFill>
          </w14:textFill>
        </w:rPr>
        <w:t>的</w:t>
      </w:r>
      <w:r>
        <w:rPr>
          <w:rFonts w:hint="eastAsia" w:cs="宋体" w:asciiTheme="minorEastAsia" w:hAnsiTheme="minorEastAsia"/>
          <w:color w:val="000000" w:themeColor="text1"/>
          <w:kern w:val="0"/>
          <w:sz w:val="18"/>
          <w:szCs w:val="18"/>
          <w14:textFill>
            <w14:solidFill>
              <w14:schemeClr w14:val="tx1"/>
            </w14:solidFill>
          </w14:textFill>
        </w:rPr>
        <w:t>组</w:t>
      </w:r>
      <w:r>
        <w:rPr>
          <w:rFonts w:hint="eastAsia" w:cs="MS Mincho" w:asciiTheme="minorEastAsia" w:hAnsiTheme="minorEastAsia"/>
          <w:color w:val="000000" w:themeColor="text1"/>
          <w:kern w:val="0"/>
          <w:sz w:val="18"/>
          <w:szCs w:val="18"/>
          <w14:textFill>
            <w14:solidFill>
              <w14:schemeClr w14:val="tx1"/>
            </w14:solidFill>
          </w14:textFill>
        </w:rPr>
        <w:t>合</w:t>
      </w:r>
      <w:r>
        <w:rPr>
          <w:rFonts w:hint="eastAsia" w:cs="宋体" w:asciiTheme="minorEastAsia" w:hAnsiTheme="minorEastAsia"/>
          <w:color w:val="000000" w:themeColor="text1"/>
          <w:kern w:val="0"/>
          <w:sz w:val="18"/>
          <w:szCs w:val="18"/>
          <w14:textFill>
            <w14:solidFill>
              <w14:schemeClr w14:val="tx1"/>
            </w14:solidFill>
          </w14:textFill>
        </w:rPr>
        <w:t>值</w:t>
      </w:r>
      <w:r>
        <w:rPr>
          <w:rFonts w:hint="eastAsia" w:cs="MS Mincho" w:asciiTheme="minorEastAsia" w:hAnsiTheme="minorEastAsia"/>
          <w:color w:val="000000" w:themeColor="text1"/>
          <w:kern w:val="0"/>
          <w:sz w:val="18"/>
          <w:szCs w:val="18"/>
          <w14:textFill>
            <w14:solidFill>
              <w14:schemeClr w14:val="tx1"/>
            </w14:solidFill>
          </w14:textFill>
        </w:rPr>
        <w:t>系数</w:t>
      </w:r>
      <m:oMath>
        <m:sSub>
          <m:sSubPr>
            <m:ctrlPr>
              <w:rPr>
                <w:rFonts w:ascii="Cambria Math" w:hAnsi="Cambria Math" w:cs="HiddenHorzOCR"/>
                <w:i/>
                <w:iCs/>
                <w:color w:val="000000" w:themeColor="text1"/>
                <w:kern w:val="0"/>
                <w:sz w:val="18"/>
                <w:szCs w:val="18"/>
                <w14:textFill>
                  <w14:solidFill>
                    <w14:schemeClr w14:val="tx1"/>
                  </w14:solidFill>
                </w14:textFill>
              </w:rPr>
            </m:ctrlPr>
          </m:sSubPr>
          <m:e>
            <m:r>
              <w:rPr>
                <w:rFonts w:ascii="Cambria Math" w:hAnsi="Cambria Math" w:cs="HiddenHorzOCR"/>
                <w:color w:val="000000" w:themeColor="text1"/>
                <w:kern w:val="0"/>
                <w:sz w:val="18"/>
                <w:szCs w:val="18"/>
                <w14:textFill>
                  <w14:solidFill>
                    <w14:schemeClr w14:val="tx1"/>
                  </w14:solidFill>
                </w14:textFill>
              </w:rPr>
              <m:t>a</m:t>
            </m:r>
            <m:ctrlPr>
              <w:rPr>
                <w:rFonts w:ascii="Cambria Math" w:hAnsi="Cambria Math" w:cs="HiddenHorzOCR"/>
                <w:i/>
                <w:iCs/>
                <w:color w:val="000000" w:themeColor="text1"/>
                <w:kern w:val="0"/>
                <w:sz w:val="18"/>
                <w:szCs w:val="18"/>
                <w14:textFill>
                  <w14:solidFill>
                    <w14:schemeClr w14:val="tx1"/>
                  </w14:solidFill>
                </w14:textFill>
              </w:rPr>
            </m:ctrlPr>
          </m:e>
          <m:sub>
            <m:r>
              <w:rPr>
                <w:rFonts w:ascii="Cambria Math" w:hAnsi="Cambria Math" w:cs="HiddenHorzOCR"/>
                <w:color w:val="000000" w:themeColor="text1"/>
                <w:kern w:val="0"/>
                <w:sz w:val="18"/>
                <w:szCs w:val="18"/>
                <w14:textFill>
                  <w14:solidFill>
                    <w14:schemeClr w14:val="tx1"/>
                  </w14:solidFill>
                </w14:textFill>
              </w:rPr>
              <m:t>i</m:t>
            </m:r>
            <m:ctrlPr>
              <w:rPr>
                <w:rFonts w:ascii="Cambria Math" w:hAnsi="Cambria Math" w:cs="HiddenHorzOCR"/>
                <w:i/>
                <w:iCs/>
                <w:color w:val="000000" w:themeColor="text1"/>
                <w:kern w:val="0"/>
                <w:sz w:val="18"/>
                <w:szCs w:val="18"/>
                <w14:textFill>
                  <w14:solidFill>
                    <w14:schemeClr w14:val="tx1"/>
                  </w14:solidFill>
                </w14:textFill>
              </w:rPr>
            </m:ctrlPr>
          </m:sub>
        </m:sSub>
      </m:oMath>
      <w:r>
        <w:rPr>
          <w:rFonts w:hint="eastAsia" w:cs="HiddenHorzOCR" w:asciiTheme="minorEastAsia" w:hAnsiTheme="minorEastAsia"/>
          <w:color w:val="000000" w:themeColor="text1"/>
          <w:kern w:val="0"/>
          <w:sz w:val="18"/>
          <w:szCs w:val="18"/>
          <w14:textFill>
            <w14:solidFill>
              <w14:schemeClr w14:val="tx1"/>
            </w14:solidFill>
          </w14:textFill>
        </w:rPr>
        <w:t>,可</w:t>
      </w:r>
      <w:r>
        <w:rPr>
          <w:rFonts w:hint="eastAsia" w:cs="宋体" w:asciiTheme="minorEastAsia" w:hAnsiTheme="minorEastAsia"/>
          <w:color w:val="000000" w:themeColor="text1"/>
          <w:kern w:val="0"/>
          <w:sz w:val="18"/>
          <w:szCs w:val="18"/>
          <w14:textFill>
            <w14:solidFill>
              <w14:schemeClr w14:val="tx1"/>
            </w14:solidFill>
          </w14:textFill>
        </w:rPr>
        <w:t>变</w:t>
      </w:r>
      <w:r>
        <w:rPr>
          <w:rFonts w:hint="eastAsia" w:cs="MS Mincho" w:asciiTheme="minorEastAsia" w:hAnsiTheme="minorEastAsia"/>
          <w:color w:val="000000" w:themeColor="text1"/>
          <w:kern w:val="0"/>
          <w:sz w:val="18"/>
          <w:szCs w:val="18"/>
          <w14:textFill>
            <w14:solidFill>
              <w14:schemeClr w14:val="tx1"/>
            </w14:solidFill>
          </w14:textFill>
        </w:rPr>
        <w:t>荷</w:t>
      </w:r>
      <w:r>
        <w:rPr>
          <w:rFonts w:hint="eastAsia" w:cs="宋体" w:asciiTheme="minorEastAsia" w:hAnsiTheme="minorEastAsia"/>
          <w:color w:val="000000" w:themeColor="text1"/>
          <w:kern w:val="0"/>
          <w:sz w:val="18"/>
          <w:szCs w:val="18"/>
          <w14:textFill>
            <w14:solidFill>
              <w14:schemeClr w14:val="tx1"/>
            </w14:solidFill>
          </w14:textFill>
        </w:rPr>
        <w:t>载对应的水平和竖向地震质量</w:t>
      </w:r>
      <w:r>
        <w:rPr>
          <w:rFonts w:hint="eastAsia" w:cs="MS Mincho" w:asciiTheme="minorEastAsia" w:hAnsiTheme="minorEastAsia"/>
          <w:color w:val="000000" w:themeColor="text1"/>
          <w:kern w:val="0"/>
          <w:sz w:val="18"/>
          <w:szCs w:val="18"/>
          <w14:textFill>
            <w14:solidFill>
              <w14:schemeClr w14:val="tx1"/>
            </w14:solidFill>
          </w14:textFill>
        </w:rPr>
        <w:t>系数</w:t>
      </w:r>
      <m:oMath>
        <m:sSub>
          <m:sSubPr>
            <m:ctrlPr>
              <w:rPr>
                <w:rFonts w:ascii="Cambria Math" w:hAnsi="Cambria Math" w:cs="HiddenHorzOCR"/>
                <w:i/>
                <w:iCs/>
                <w:color w:val="000000" w:themeColor="text1"/>
                <w:kern w:val="0"/>
                <w:sz w:val="18"/>
                <w:szCs w:val="18"/>
                <w14:textFill>
                  <w14:solidFill>
                    <w14:schemeClr w14:val="tx1"/>
                  </w14:solidFill>
                </w14:textFill>
              </w:rPr>
            </m:ctrlPr>
          </m:sSubPr>
          <m:e>
            <m:r>
              <w:rPr>
                <w:rFonts w:ascii="Cambria Math" w:hAnsi="Cambria Math" w:cs="HiddenHorzOCR"/>
                <w:color w:val="000000" w:themeColor="text1"/>
                <w:kern w:val="0"/>
                <w:sz w:val="18"/>
                <w:szCs w:val="18"/>
                <w14:textFill>
                  <w14:solidFill>
                    <w14:schemeClr w14:val="tx1"/>
                  </w14:solidFill>
                </w14:textFill>
              </w:rPr>
              <m:t>b</m:t>
            </m:r>
            <m:ctrlPr>
              <w:rPr>
                <w:rFonts w:ascii="Cambria Math" w:hAnsi="Cambria Math" w:cs="HiddenHorzOCR"/>
                <w:i/>
                <w:iCs/>
                <w:color w:val="000000" w:themeColor="text1"/>
                <w:kern w:val="0"/>
                <w:sz w:val="18"/>
                <w:szCs w:val="18"/>
                <w14:textFill>
                  <w14:solidFill>
                    <w14:schemeClr w14:val="tx1"/>
                  </w14:solidFill>
                </w14:textFill>
              </w:rPr>
            </m:ctrlPr>
          </m:e>
          <m:sub>
            <m:r>
              <w:rPr>
                <w:rFonts w:ascii="Cambria Math" w:hAnsi="Cambria Math" w:cs="HiddenHorzOCR"/>
                <w:color w:val="000000" w:themeColor="text1"/>
                <w:kern w:val="0"/>
                <w:sz w:val="18"/>
                <w:szCs w:val="18"/>
                <w14:textFill>
                  <w14:solidFill>
                    <w14:schemeClr w14:val="tx1"/>
                  </w14:solidFill>
                </w14:textFill>
              </w:rPr>
              <m:t>i</m:t>
            </m:r>
            <m:ctrlPr>
              <w:rPr>
                <w:rFonts w:ascii="Cambria Math" w:hAnsi="Cambria Math" w:cs="HiddenHorzOCR"/>
                <w:i/>
                <w:iCs/>
                <w:color w:val="000000" w:themeColor="text1"/>
                <w:kern w:val="0"/>
                <w:sz w:val="18"/>
                <w:szCs w:val="18"/>
                <w14:textFill>
                  <w14:solidFill>
                    <w14:schemeClr w14:val="tx1"/>
                  </w14:solidFill>
                </w14:textFill>
              </w:rPr>
            </m:ctrlPr>
          </m:sub>
        </m:sSub>
      </m:oMath>
      <w:r>
        <w:rPr>
          <w:rFonts w:hint="eastAsia" w:cs="HiddenHorzOCR" w:asciiTheme="minorEastAsia" w:hAnsiTheme="minorEastAsia"/>
          <w:i/>
          <w:iCs/>
          <w:color w:val="000000" w:themeColor="text1"/>
          <w:kern w:val="0"/>
          <w:sz w:val="18"/>
          <w:szCs w:val="18"/>
          <w14:textFill>
            <w14:solidFill>
              <w14:schemeClr w14:val="tx1"/>
            </w14:solidFill>
          </w14:textFill>
        </w:rPr>
        <w:t>、</w:t>
      </w:r>
      <m:oMath>
        <m:sSub>
          <m:sSubPr>
            <m:ctrlPr>
              <w:rPr>
                <w:rFonts w:ascii="Cambria Math" w:hAnsi="Cambria Math" w:cs="HiddenHorzOCR"/>
                <w:i/>
                <w:iCs/>
                <w:color w:val="000000" w:themeColor="text1"/>
                <w:kern w:val="0"/>
                <w:sz w:val="18"/>
                <w:szCs w:val="18"/>
                <w14:textFill>
                  <w14:solidFill>
                    <w14:schemeClr w14:val="tx1"/>
                  </w14:solidFill>
                </w14:textFill>
              </w:rPr>
            </m:ctrlPr>
          </m:sSubPr>
          <m:e>
            <m:r>
              <w:rPr>
                <w:rFonts w:ascii="Cambria Math" w:hAnsi="Cambria Math" w:cs="HiddenHorzOCR"/>
                <w:color w:val="000000" w:themeColor="text1"/>
                <w:kern w:val="0"/>
                <w:sz w:val="18"/>
                <w:szCs w:val="18"/>
                <w14:textFill>
                  <w14:solidFill>
                    <w14:schemeClr w14:val="tx1"/>
                  </w14:solidFill>
                </w14:textFill>
              </w:rPr>
              <m:t>c</m:t>
            </m:r>
            <m:ctrlPr>
              <w:rPr>
                <w:rFonts w:ascii="Cambria Math" w:hAnsi="Cambria Math" w:cs="HiddenHorzOCR"/>
                <w:i/>
                <w:iCs/>
                <w:color w:val="000000" w:themeColor="text1"/>
                <w:kern w:val="0"/>
                <w:sz w:val="18"/>
                <w:szCs w:val="18"/>
                <w14:textFill>
                  <w14:solidFill>
                    <w14:schemeClr w14:val="tx1"/>
                  </w14:solidFill>
                </w14:textFill>
              </w:rPr>
            </m:ctrlPr>
          </m:e>
          <m:sub>
            <m:r>
              <w:rPr>
                <w:rFonts w:ascii="Cambria Math" w:hAnsi="Cambria Math" w:cs="HiddenHorzOCR"/>
                <w:color w:val="000000" w:themeColor="text1"/>
                <w:kern w:val="0"/>
                <w:sz w:val="18"/>
                <w:szCs w:val="18"/>
                <w14:textFill>
                  <w14:solidFill>
                    <w14:schemeClr w14:val="tx1"/>
                  </w14:solidFill>
                </w14:textFill>
              </w:rPr>
              <m:t>i</m:t>
            </m:r>
            <m:ctrlPr>
              <w:rPr>
                <w:rFonts w:ascii="Cambria Math" w:hAnsi="Cambria Math" w:cs="HiddenHorzOCR"/>
                <w:i/>
                <w:iCs/>
                <w:color w:val="000000" w:themeColor="text1"/>
                <w:kern w:val="0"/>
                <w:sz w:val="18"/>
                <w:szCs w:val="18"/>
                <w14:textFill>
                  <w14:solidFill>
                    <w14:schemeClr w14:val="tx1"/>
                  </w14:solidFill>
                </w14:textFill>
              </w:rPr>
            </m:ctrlPr>
          </m:sub>
        </m:sSub>
      </m:oMath>
    </w:p>
    <w:tbl>
      <w:tblPr>
        <w:tblStyle w:val="32"/>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3"/>
        <w:gridCol w:w="2183"/>
        <w:gridCol w:w="1151"/>
        <w:gridCol w:w="1275"/>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6" w:type="dxa"/>
            <w:gridSpan w:val="2"/>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可变荷载种类</w:t>
            </w:r>
          </w:p>
        </w:tc>
        <w:tc>
          <w:tcPr>
            <w:tcW w:w="1151" w:type="dxa"/>
          </w:tcPr>
          <w:p>
            <w:pPr>
              <w:autoSpaceDE w:val="0"/>
              <w:autoSpaceDN w:val="0"/>
              <w:spacing w:line="360" w:lineRule="auto"/>
              <w:ind w:firstLine="420"/>
              <w:jc w:val="left"/>
              <w:rPr>
                <w:rFonts w:cs="HiddenHorzOCR" w:asciiTheme="minorEastAsia" w:hAnsiTheme="minorEastAsia"/>
                <w:i/>
                <w:iCs/>
                <w:color w:val="000000" w:themeColor="text1"/>
                <w:kern w:val="0"/>
                <w:szCs w:val="21"/>
                <w14:textFill>
                  <w14:solidFill>
                    <w14:schemeClr w14:val="tx1"/>
                  </w14:solidFill>
                </w14:textFill>
              </w:rPr>
            </w:pPr>
            <m:oMathPara>
              <m:oMath>
                <m:sSub>
                  <m:sSubPr>
                    <m:ctrlPr>
                      <w:rPr>
                        <w:rFonts w:ascii="Cambria Math" w:hAnsi="Cambria Math" w:cs="HiddenHorzOCR"/>
                        <w:i/>
                        <w:iCs/>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iCs/>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iCs/>
                        <w:color w:val="000000" w:themeColor="text1"/>
                        <w:kern w:val="0"/>
                        <w:szCs w:val="21"/>
                        <w14:textFill>
                          <w14:solidFill>
                            <w14:schemeClr w14:val="tx1"/>
                          </w14:solidFill>
                        </w14:textFill>
                      </w:rPr>
                    </m:ctrlPr>
                  </m:sub>
                </m:sSub>
              </m:oMath>
            </m:oMathPara>
          </w:p>
        </w:tc>
        <w:tc>
          <w:tcPr>
            <w:tcW w:w="1275" w:type="dxa"/>
          </w:tcPr>
          <w:p>
            <w:pPr>
              <w:autoSpaceDE w:val="0"/>
              <w:autoSpaceDN w:val="0"/>
              <w:spacing w:line="360" w:lineRule="auto"/>
              <w:ind w:firstLine="420"/>
              <w:jc w:val="left"/>
              <w:rPr>
                <w:rFonts w:cs="HiddenHorzOCR" w:asciiTheme="minorEastAsia" w:hAnsiTheme="minorEastAsia"/>
                <w:i/>
                <w:iCs/>
                <w:color w:val="000000" w:themeColor="text1"/>
                <w:kern w:val="0"/>
                <w:szCs w:val="21"/>
                <w14:textFill>
                  <w14:solidFill>
                    <w14:schemeClr w14:val="tx1"/>
                  </w14:solidFill>
                </w14:textFill>
              </w:rPr>
            </w:pPr>
            <m:oMathPara>
              <m:oMath>
                <m:sSub>
                  <m:sSubPr>
                    <m:ctrlPr>
                      <w:rPr>
                        <w:rFonts w:ascii="Cambria Math" w:hAnsi="Cambria Math" w:cs="HiddenHorzOCR"/>
                        <w:i/>
                        <w:iCs/>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b</m:t>
                    </m:r>
                    <m:ctrlPr>
                      <w:rPr>
                        <w:rFonts w:ascii="Cambria Math" w:hAnsi="Cambria Math" w:cs="HiddenHorzOCR"/>
                        <w:i/>
                        <w:iCs/>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iCs/>
                        <w:color w:val="000000" w:themeColor="text1"/>
                        <w:kern w:val="0"/>
                        <w:szCs w:val="21"/>
                        <w14:textFill>
                          <w14:solidFill>
                            <w14:schemeClr w14:val="tx1"/>
                          </w14:solidFill>
                        </w14:textFill>
                      </w:rPr>
                    </m:ctrlPr>
                  </m:sub>
                </m:sSub>
              </m:oMath>
            </m:oMathPara>
          </w:p>
        </w:tc>
        <w:tc>
          <w:tcPr>
            <w:tcW w:w="1361" w:type="dxa"/>
          </w:tcPr>
          <w:p>
            <w:pPr>
              <w:autoSpaceDE w:val="0"/>
              <w:autoSpaceDN w:val="0"/>
              <w:spacing w:line="360" w:lineRule="auto"/>
              <w:ind w:firstLine="420"/>
              <w:jc w:val="left"/>
              <w:rPr>
                <w:rFonts w:cs="HiddenHorzOCR" w:asciiTheme="minorEastAsia" w:hAnsiTheme="minorEastAsia"/>
                <w:i/>
                <w:iCs/>
                <w:color w:val="000000" w:themeColor="text1"/>
                <w:kern w:val="0"/>
                <w:szCs w:val="21"/>
                <w14:textFill>
                  <w14:solidFill>
                    <w14:schemeClr w14:val="tx1"/>
                  </w14:solidFill>
                </w14:textFill>
              </w:rPr>
            </w:pPr>
            <m:oMathPara>
              <m:oMath>
                <m:sSub>
                  <m:sSubPr>
                    <m:ctrlPr>
                      <w:rPr>
                        <w:rFonts w:ascii="Cambria Math" w:hAnsi="Cambria Math" w:cs="HiddenHorzOCR"/>
                        <w:i/>
                        <w:iCs/>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iCs/>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iCs/>
                        <w:color w:val="000000" w:themeColor="text1"/>
                        <w:kern w:val="0"/>
                        <w:szCs w:val="21"/>
                        <w14:textFill>
                          <w14:solidFill>
                            <w14:schemeClr w14:val="tx1"/>
                          </w14:solidFill>
                        </w14:textFill>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6" w:type="dxa"/>
            <w:gridSpan w:val="2"/>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雪荷载</w:t>
            </w:r>
          </w:p>
        </w:tc>
        <w:tc>
          <w:tcPr>
            <w:tcW w:w="115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6" w:type="dxa"/>
            <w:gridSpan w:val="2"/>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屋面积灰荷载</w:t>
            </w:r>
          </w:p>
        </w:tc>
        <w:tc>
          <w:tcPr>
            <w:tcW w:w="115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6" w:type="dxa"/>
            <w:gridSpan w:val="2"/>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屋面活荷载</w:t>
            </w:r>
          </w:p>
        </w:tc>
        <w:tc>
          <w:tcPr>
            <w:tcW w:w="1151" w:type="dxa"/>
          </w:tcPr>
          <w:p>
            <w:pPr>
              <w:autoSpaceDE w:val="0"/>
              <w:autoSpaceDN w:val="0"/>
              <w:spacing w:line="360" w:lineRule="auto"/>
              <w:ind w:firstLine="199" w:firstLineChars="95"/>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不考虑</w:t>
            </w:r>
          </w:p>
        </w:tc>
        <w:tc>
          <w:tcPr>
            <w:tcW w:w="1275" w:type="dxa"/>
          </w:tcPr>
          <w:p>
            <w:pPr>
              <w:autoSpaceDE w:val="0"/>
              <w:autoSpaceDN w:val="0"/>
              <w:spacing w:line="360" w:lineRule="auto"/>
              <w:ind w:firstLine="210" w:firstLine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不考虑</w:t>
            </w:r>
          </w:p>
        </w:tc>
        <w:tc>
          <w:tcPr>
            <w:tcW w:w="1361" w:type="dxa"/>
          </w:tcPr>
          <w:p>
            <w:pPr>
              <w:autoSpaceDE w:val="0"/>
              <w:autoSpaceDN w:val="0"/>
              <w:spacing w:line="360" w:lineRule="auto"/>
              <w:ind w:firstLine="199" w:firstLineChars="95"/>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不考虑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6" w:type="dxa"/>
            <w:gridSpan w:val="2"/>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按实际情况考虑的楼面活荷载</w:t>
            </w:r>
          </w:p>
        </w:tc>
        <w:tc>
          <w:tcPr>
            <w:tcW w:w="115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按等效均布考虑的楼面活荷载</w:t>
            </w:r>
          </w:p>
        </w:tc>
        <w:tc>
          <w:tcPr>
            <w:tcW w:w="2183" w:type="dxa"/>
          </w:tcPr>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厂房楼面及工作平台</w:t>
            </w:r>
          </w:p>
        </w:tc>
        <w:tc>
          <w:tcPr>
            <w:tcW w:w="115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0.8</w:t>
            </w: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0.8</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tc>
        <w:tc>
          <w:tcPr>
            <w:tcW w:w="2183" w:type="dxa"/>
          </w:tcPr>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电气控制室及辅助建筑</w:t>
            </w:r>
          </w:p>
        </w:tc>
        <w:tc>
          <w:tcPr>
            <w:tcW w:w="115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pPr>
              <w:autoSpaceDE w:val="0"/>
              <w:autoSpaceDN w:val="0"/>
              <w:spacing w:line="360" w:lineRule="auto"/>
              <w:ind w:firstLine="210" w:firstLineChars="100"/>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吊重</w:t>
            </w:r>
          </w:p>
        </w:tc>
        <w:tc>
          <w:tcPr>
            <w:tcW w:w="2183"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软钩吊车</w:t>
            </w:r>
          </w:p>
        </w:tc>
        <w:tc>
          <w:tcPr>
            <w:tcW w:w="1151" w:type="dxa"/>
            <w:vMerge w:val="restart"/>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tc>
        <w:tc>
          <w:tcPr>
            <w:tcW w:w="2183"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硬钩吊车</w:t>
            </w:r>
          </w:p>
        </w:tc>
        <w:tc>
          <w:tcPr>
            <w:tcW w:w="1151" w:type="dxa"/>
            <w:vMerge w:val="continue"/>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0.3</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6" w:type="dxa"/>
            <w:gridSpan w:val="2"/>
          </w:tcPr>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吊车桥架及小车自重</w:t>
            </w:r>
          </w:p>
        </w:tc>
        <w:tc>
          <w:tcPr>
            <w:tcW w:w="115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6" w:type="dxa"/>
            <w:gridSpan w:val="2"/>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水箱</w:t>
            </w:r>
          </w:p>
        </w:tc>
        <w:tc>
          <w:tcPr>
            <w:tcW w:w="115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27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361"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r>
    </w:tbl>
    <w:p>
      <w:pPr>
        <w:autoSpaceDE w:val="0"/>
        <w:autoSpaceDN w:val="0"/>
        <w:spacing w:line="360" w:lineRule="auto"/>
        <w:ind w:firstLine="360"/>
        <w:jc w:val="left"/>
        <w:rPr>
          <w:rFonts w:cs="Times New Roman" w:asciiTheme="minorEastAsia" w:hAnsiTheme="minorEastAsia"/>
          <w:color w:val="000000" w:themeColor="text1"/>
          <w:kern w:val="0"/>
          <w:sz w:val="18"/>
          <w:szCs w:val="18"/>
          <w14:textFill>
            <w14:solidFill>
              <w14:schemeClr w14:val="tx1"/>
            </w14:solidFill>
          </w14:textFill>
        </w:rPr>
      </w:pPr>
      <w:r>
        <w:rPr>
          <w:rFonts w:hint="eastAsia" w:cs="Times New Roman" w:asciiTheme="minorEastAsia" w:hAnsiTheme="minorEastAsia"/>
          <w:color w:val="000000" w:themeColor="text1"/>
          <w:kern w:val="0"/>
          <w:sz w:val="18"/>
          <w:szCs w:val="18"/>
          <w14:textFill>
            <w14:solidFill>
              <w14:schemeClr w14:val="tx1"/>
            </w14:solidFill>
          </w14:textFill>
        </w:rPr>
        <w:t>注：1 有依据时，水箱的</w:t>
      </w:r>
      <m:oMath>
        <m:sSub>
          <m:sSubPr>
            <m:ctrlPr>
              <w:rPr>
                <w:rFonts w:ascii="Cambria Math" w:hAnsi="Cambria Math" w:cs="HiddenHorzOCR"/>
                <w:i/>
                <w:iCs/>
                <w:color w:val="000000" w:themeColor="text1"/>
                <w:kern w:val="0"/>
                <w:sz w:val="18"/>
                <w:szCs w:val="18"/>
                <w14:textFill>
                  <w14:solidFill>
                    <w14:schemeClr w14:val="tx1"/>
                  </w14:solidFill>
                </w14:textFill>
              </w:rPr>
            </m:ctrlPr>
          </m:sSubPr>
          <m:e>
            <m:r>
              <w:rPr>
                <w:rFonts w:ascii="Cambria Math" w:hAnsi="Cambria Math" w:cs="HiddenHorzOCR"/>
                <w:color w:val="000000" w:themeColor="text1"/>
                <w:kern w:val="0"/>
                <w:sz w:val="18"/>
                <w:szCs w:val="18"/>
                <w14:textFill>
                  <w14:solidFill>
                    <w14:schemeClr w14:val="tx1"/>
                  </w14:solidFill>
                </w14:textFill>
              </w:rPr>
              <m:t>b</m:t>
            </m:r>
            <m:ctrlPr>
              <w:rPr>
                <w:rFonts w:ascii="Cambria Math" w:hAnsi="Cambria Math" w:cs="HiddenHorzOCR"/>
                <w:i/>
                <w:iCs/>
                <w:color w:val="000000" w:themeColor="text1"/>
                <w:kern w:val="0"/>
                <w:sz w:val="18"/>
                <w:szCs w:val="18"/>
                <w14:textFill>
                  <w14:solidFill>
                    <w14:schemeClr w14:val="tx1"/>
                  </w14:solidFill>
                </w14:textFill>
              </w:rPr>
            </m:ctrlPr>
          </m:e>
          <m:sub>
            <m:r>
              <w:rPr>
                <w:rFonts w:ascii="Cambria Math" w:hAnsi="Cambria Math" w:cs="HiddenHorzOCR"/>
                <w:color w:val="000000" w:themeColor="text1"/>
                <w:kern w:val="0"/>
                <w:sz w:val="18"/>
                <w:szCs w:val="18"/>
                <w14:textFill>
                  <w14:solidFill>
                    <w14:schemeClr w14:val="tx1"/>
                  </w14:solidFill>
                </w14:textFill>
              </w:rPr>
              <m:t>i</m:t>
            </m:r>
            <m:ctrlPr>
              <w:rPr>
                <w:rFonts w:ascii="Cambria Math" w:hAnsi="Cambria Math" w:cs="HiddenHorzOCR"/>
                <w:i/>
                <w:iCs/>
                <w:color w:val="000000" w:themeColor="text1"/>
                <w:kern w:val="0"/>
                <w:sz w:val="18"/>
                <w:szCs w:val="18"/>
                <w14:textFill>
                  <w14:solidFill>
                    <w14:schemeClr w14:val="tx1"/>
                  </w14:solidFill>
                </w14:textFill>
              </w:rPr>
            </m:ctrlPr>
          </m:sub>
        </m:sSub>
      </m:oMath>
      <w:r>
        <w:rPr>
          <w:rFonts w:hint="eastAsia" w:cs="Times New Roman" w:asciiTheme="minorEastAsia" w:hAnsiTheme="minorEastAsia"/>
          <w:color w:val="000000" w:themeColor="text1"/>
          <w:kern w:val="0"/>
          <w:sz w:val="18"/>
          <w:szCs w:val="18"/>
          <w14:textFill>
            <w14:solidFill>
              <w14:schemeClr w14:val="tx1"/>
            </w14:solidFill>
          </w14:textFill>
        </w:rPr>
        <w:t>可取小于1.0的值。</w:t>
      </w:r>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4.2.</w:t>
      </w:r>
      <w:r>
        <w:rPr>
          <w:rFonts w:cs="Times New Roman" w:asciiTheme="minorEastAsia" w:hAnsiTheme="minorEastAsia"/>
          <w:color w:val="000000" w:themeColor="text1"/>
          <w:kern w:val="0"/>
          <w:szCs w:val="21"/>
          <w14:textFill>
            <w14:solidFill>
              <w14:schemeClr w14:val="tx1"/>
            </w14:solidFill>
          </w14:textFill>
        </w:rPr>
        <w:t>2</w:t>
      </w:r>
      <w:r>
        <w:rPr>
          <w:rFonts w:hint="eastAsia" w:cs="Times New Roman" w:asciiTheme="minorEastAsia" w:hAnsiTheme="minorEastAsia"/>
          <w:color w:val="000000" w:themeColor="text1"/>
          <w:kern w:val="0"/>
          <w:szCs w:val="21"/>
          <w14:textFill>
            <w14:solidFill>
              <w14:schemeClr w14:val="tx1"/>
            </w14:solidFill>
          </w14:textFill>
        </w:rPr>
        <w:t xml:space="preserve"> 抗震设计时，地震有效质量按下列要求确定：</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 水平地震有效质量</w:t>
      </w:r>
    </w:p>
    <w:p>
      <w:pPr>
        <w:autoSpaceDE w:val="0"/>
        <w:autoSpaceDN w:val="0"/>
        <w:spacing w:line="360" w:lineRule="auto"/>
        <w:ind w:firstLine="420"/>
        <w:jc w:val="center"/>
        <w:rPr>
          <w:rFonts w:cs="Times New Roman" w:asciiTheme="minorEastAsia" w:hAnsiTheme="minorEastAsia"/>
          <w:color w:val="000000" w:themeColor="text1"/>
          <w:kern w:val="0"/>
          <w:szCs w:val="21"/>
          <w14:textFill>
            <w14:solidFill>
              <w14:schemeClr w14:val="tx1"/>
            </w14:solidFill>
          </w14:textFill>
        </w:rPr>
      </w:pPr>
      <m:oMath>
        <m:sSub>
          <w:bookmarkStart w:id="30" w:name="_Hlk20034177"/>
          <w:bookmarkStart w:id="31" w:name="_Hlk20034307"/>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Eh</m:t>
            </m:r>
            <w:bookmarkEnd w:id="30"/>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DE</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LEh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(4.2.2-1)</w:t>
      </w:r>
    </w:p>
    <w:p>
      <w:pPr>
        <w:autoSpaceDE w:val="0"/>
        <w:autoSpaceDN w:val="0"/>
        <w:spacing w:line="360" w:lineRule="auto"/>
        <w:ind w:firstLine="199" w:firstLineChars="95"/>
        <w:jc w:val="center"/>
        <w:rPr>
          <w:rFonts w:cs="Times New Roman"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DE</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nary>
          <m:naryPr>
            <m:chr m:val="∑"/>
            <m:limLoc m:val="undOvr"/>
            <m:subHide m:val="1"/>
            <m:supHide m:val="1"/>
            <m:ctrlPr>
              <w:rPr>
                <w:rFonts w:ascii="Cambria Math" w:hAnsi="Cambria Math" w:cs="Times New Roman"/>
                <w:color w:val="000000" w:themeColor="text1"/>
                <w:kern w:val="0"/>
                <w:szCs w:val="21"/>
                <w14:textFill>
                  <w14:solidFill>
                    <w14:schemeClr w14:val="tx1"/>
                  </w14:solidFill>
                </w14:textFill>
              </w:rPr>
            </m:ctrlPr>
          </m:naryPr>
          <m:sub>
            <m:ctrlPr>
              <w:rPr>
                <w:rFonts w:ascii="Cambria Math" w:hAnsi="Cambria Math" w:cs="Times New Roman"/>
                <w:color w:val="000000" w:themeColor="text1"/>
                <w:kern w:val="0"/>
                <w:szCs w:val="21"/>
                <w14:textFill>
                  <w14:solidFill>
                    <w14:schemeClr w14:val="tx1"/>
                  </w14:solidFill>
                </w14:textFill>
              </w:rPr>
            </m:ctrlPr>
          </m:sub>
          <m:sup>
            <m:ctrlPr>
              <w:rPr>
                <w:rFonts w:ascii="Cambria Math" w:hAnsi="Cambria Math" w:cs="Times New Roman"/>
                <w:color w:val="000000" w:themeColor="text1"/>
                <w:kern w:val="0"/>
                <w:szCs w:val="21"/>
                <w14:textFill>
                  <w14:solidFill>
                    <w14:schemeClr w14:val="tx1"/>
                  </w14:solidFill>
                </w14:textFill>
              </w:rPr>
            </m:ctrlPr>
          </m:sup>
          <m:e>
            <m:sSub>
              <m:sSubPr>
                <m:ctrlPr>
                  <w:rPr>
                    <w:rFonts w:ascii="Cambria Math" w:hAnsi="Cambria Math" w:cs="Times New Roman"/>
                    <w:color w:val="000000" w:themeColor="text1"/>
                    <w:kern w:val="0"/>
                    <w:szCs w:val="21"/>
                    <w14:textFill>
                      <w14:solidFill>
                        <w14:schemeClr w14:val="tx1"/>
                      </w14:solidFill>
                    </w14:textFill>
                  </w:rPr>
                </m:ctrlPr>
              </m:sSubPr>
              <m:e>
                <w:bookmarkStart w:id="32" w:name="_Hlk20034214"/>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Dk</m:t>
                </m:r>
                <w:bookmarkEnd w:id="32"/>
                <m:ctrlPr>
                  <w:rPr>
                    <w:rFonts w:ascii="Cambria Math" w:hAnsi="Cambria Math" w:cs="Times New Roman"/>
                    <w:color w:val="000000" w:themeColor="text1"/>
                    <w:kern w:val="0"/>
                    <w:szCs w:val="21"/>
                    <w14:textFill>
                      <w14:solidFill>
                        <w14:schemeClr w14:val="tx1"/>
                      </w14:solidFill>
                    </w14:textFill>
                  </w:rPr>
                </m:ctrlPr>
              </m:sub>
            </m:sSub>
            <m:ctrlPr>
              <w:rPr>
                <w:rFonts w:ascii="Cambria Math" w:hAnsi="Cambria Math" w:cs="Times New Roman"/>
                <w:color w:val="000000" w:themeColor="text1"/>
                <w:kern w:val="0"/>
                <w:szCs w:val="21"/>
                <w14:textFill>
                  <w14:solidFill>
                    <w14:schemeClr w14:val="tx1"/>
                  </w14:solidFill>
                </w14:textFill>
              </w:rPr>
            </m:ctrlPr>
          </m:e>
        </m:nary>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(4.2.2-2)</w:t>
      </w:r>
    </w:p>
    <w:p>
      <w:pPr>
        <w:autoSpaceDE w:val="0"/>
        <w:autoSpaceDN w:val="0"/>
        <w:spacing w:line="360" w:lineRule="auto"/>
        <w:ind w:firstLine="420"/>
        <w:jc w:val="center"/>
        <w:rPr>
          <w:rFonts w:cs="Times New Roman" w:asciiTheme="minorEastAsia" w:hAnsiTheme="minorEastAsia"/>
          <w:color w:val="000000" w:themeColor="text1"/>
          <w:kern w:val="0"/>
          <w:szCs w:val="21"/>
          <w14:textFill>
            <w14:solidFill>
              <w14:schemeClr w14:val="tx1"/>
            </w14:solidFill>
          </w14:textFill>
        </w:rPr>
      </w:pPr>
      <m:oMath>
        <m:sSub>
          <w:bookmarkStart w:id="33" w:name="_Hlk20034197"/>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LEh</m:t>
            </m:r>
            <w:bookmarkEnd w:id="33"/>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nary>
          <m:naryPr>
            <m:chr m:val="∑"/>
            <m:limLoc m:val="undOvr"/>
            <m:subHide m:val="1"/>
            <m:supHide m:val="1"/>
            <m:ctrlPr>
              <w:rPr>
                <w:rFonts w:ascii="Cambria Math" w:hAnsi="Cambria Math" w:cs="Times New Roman"/>
                <w:color w:val="000000" w:themeColor="text1"/>
                <w:kern w:val="0"/>
                <w:szCs w:val="21"/>
                <w14:textFill>
                  <w14:solidFill>
                    <w14:schemeClr w14:val="tx1"/>
                  </w14:solidFill>
                </w14:textFill>
              </w:rPr>
            </m:ctrlPr>
          </m:naryPr>
          <m:sub>
            <m:ctrlPr>
              <w:rPr>
                <w:rFonts w:ascii="Cambria Math" w:hAnsi="Cambria Math" w:cs="Times New Roman"/>
                <w:color w:val="000000" w:themeColor="text1"/>
                <w:kern w:val="0"/>
                <w:szCs w:val="21"/>
                <w14:textFill>
                  <w14:solidFill>
                    <w14:schemeClr w14:val="tx1"/>
                  </w14:solidFill>
                </w14:textFill>
              </w:rPr>
            </m:ctrlPr>
          </m:sub>
          <m:sup>
            <m:ctrlPr>
              <w:rPr>
                <w:rFonts w:ascii="Cambria Math" w:hAnsi="Cambria Math" w:cs="Times New Roman"/>
                <w:color w:val="000000" w:themeColor="text1"/>
                <w:kern w:val="0"/>
                <w:szCs w:val="21"/>
                <w14:textFill>
                  <w14:solidFill>
                    <w14:schemeClr w14:val="tx1"/>
                  </w14:solidFill>
                </w14:textFill>
              </w:rPr>
            </m:ctrlPr>
          </m:sup>
          <m:e>
            <m:sSub>
              <w:bookmarkStart w:id="34" w:name="_Hlk20034256"/>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b</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i</m:t>
                </m:r>
                <w:bookmarkEnd w:id="34"/>
                <m:ctrlPr>
                  <w:rPr>
                    <w:rFonts w:ascii="Cambria Math" w:hAnsi="Cambria Math" w:cs="Times New Roman"/>
                    <w:color w:val="000000" w:themeColor="text1"/>
                    <w:kern w:val="0"/>
                    <w:szCs w:val="21"/>
                    <w14:textFill>
                      <w14:solidFill>
                        <w14:schemeClr w14:val="tx1"/>
                      </w14:solidFill>
                    </w14:textFill>
                  </w:rPr>
                </m:ctrlPr>
              </m:sub>
            </m:sSub>
            <w:bookmarkStart w:id="35" w:name="_Hlk20034229"/>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Lk</m:t>
                </m:r>
                <w:bookmarkEnd w:id="35"/>
                <m:ctrlPr>
                  <w:rPr>
                    <w:rFonts w:ascii="Cambria Math" w:hAnsi="Cambria Math" w:cs="Times New Roman"/>
                    <w:color w:val="000000" w:themeColor="text1"/>
                    <w:kern w:val="0"/>
                    <w:szCs w:val="21"/>
                    <w14:textFill>
                      <w14:solidFill>
                        <w14:schemeClr w14:val="tx1"/>
                      </w14:solidFill>
                    </w14:textFill>
                  </w:rPr>
                </m:ctrlPr>
              </m:sub>
            </m:sSub>
            <m:ctrlPr>
              <w:rPr>
                <w:rFonts w:ascii="Cambria Math" w:hAnsi="Cambria Math" w:cs="Times New Roman"/>
                <w:color w:val="000000" w:themeColor="text1"/>
                <w:kern w:val="0"/>
                <w:szCs w:val="21"/>
                <w14:textFill>
                  <w14:solidFill>
                    <w14:schemeClr w14:val="tx1"/>
                  </w14:solidFill>
                </w14:textFill>
              </w:rPr>
            </m:ctrlPr>
          </m:e>
        </m:nary>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(4.2.2-3)</w:t>
      </w:r>
    </w:p>
    <w:bookmarkEnd w:id="31"/>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bookmarkStart w:id="36" w:name="_Hlk20034398"/>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水平地震有效质量</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DE</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LEh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别为</w:t>
      </w:r>
      <w:r>
        <w:rPr>
          <w:rFonts w:hint="eastAsia" w:cs="MS Mincho" w:asciiTheme="minorEastAsia" w:hAnsiTheme="minorEastAsia"/>
          <w:color w:val="000000" w:themeColor="text1"/>
          <w:kern w:val="0"/>
          <w:szCs w:val="21"/>
          <w14:textFill>
            <w14:solidFill>
              <w14:schemeClr w14:val="tx1"/>
            </w14:solidFill>
          </w14:textFill>
        </w:rPr>
        <w:t>恒</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和可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载对应的</w:t>
      </w:r>
      <w:r>
        <w:rPr>
          <w:rFonts w:hint="eastAsia" w:cs="Times New Roman" w:asciiTheme="minorEastAsia" w:hAnsiTheme="minorEastAsia"/>
          <w:color w:val="000000" w:themeColor="text1"/>
          <w:kern w:val="0"/>
          <w:szCs w:val="21"/>
          <w14:textFill>
            <w14:solidFill>
              <w14:schemeClr w14:val="tx1"/>
            </w14:solidFill>
          </w14:textFill>
        </w:rPr>
        <w:t>水平地震有效质量</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Dk</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Lk</m:t>
            </m:r>
            <m:ctrlPr>
              <w:rPr>
                <w:rFonts w:ascii="Cambria Math" w:hAnsi="Cambria Math" w:cs="Times New Roman"/>
                <w:color w:val="000000" w:themeColor="text1"/>
                <w:kern w:val="0"/>
                <w:szCs w:val="21"/>
                <w14:textFill>
                  <w14:solidFill>
                    <w14:schemeClr w14:val="tx1"/>
                  </w14:solidFill>
                </w14:textFill>
              </w:rPr>
            </m:ctrlPr>
          </m:sub>
        </m:sSub>
      </m:oMath>
      <w:bookmarkStart w:id="37" w:name="_Hlk20034291"/>
      <w:r>
        <w:rPr>
          <w:rFonts w:hint="eastAsia" w:cs="HiddenHorzOCR" w:asciiTheme="minorEastAsia" w:hAnsiTheme="minorEastAsia"/>
          <w:color w:val="000000" w:themeColor="text1"/>
          <w:kern w:val="0"/>
          <w:szCs w:val="21"/>
          <w14:textFill>
            <w14:solidFill>
              <w14:schemeClr w14:val="tx1"/>
            </w14:solidFill>
          </w14:textFill>
        </w:rPr>
        <w:t>——</w:t>
      </w:r>
      <w:bookmarkEnd w:id="37"/>
      <w:r>
        <w:rPr>
          <w:rFonts w:hint="eastAsia" w:cs="HiddenHorzOCR"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别为</w:t>
      </w:r>
      <w:r>
        <w:rPr>
          <w:rFonts w:hint="eastAsia" w:cs="MS Mincho" w:asciiTheme="minorEastAsia" w:hAnsiTheme="minorEastAsia"/>
          <w:color w:val="000000" w:themeColor="text1"/>
          <w:kern w:val="0"/>
          <w:szCs w:val="21"/>
          <w14:textFill>
            <w14:solidFill>
              <w14:schemeClr w14:val="tx1"/>
            </w14:solidFill>
          </w14:textFill>
        </w:rPr>
        <w:t>恒</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和可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载对应的</w:t>
      </w:r>
      <w:r>
        <w:rPr>
          <w:rFonts w:hint="eastAsia" w:cs="Times New Roman" w:asciiTheme="minorEastAsia" w:hAnsiTheme="minorEastAsia"/>
          <w:color w:val="000000" w:themeColor="text1"/>
          <w:kern w:val="0"/>
          <w:szCs w:val="21"/>
          <w14:textFill>
            <w14:solidFill>
              <w14:schemeClr w14:val="tx1"/>
            </w14:solidFill>
          </w14:textFill>
        </w:rPr>
        <w:t>质量</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b</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i</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载对应的水平地震质量</w:t>
      </w:r>
      <w:r>
        <w:rPr>
          <w:rFonts w:hint="eastAsia" w:cs="MS Mincho" w:asciiTheme="minorEastAsia" w:hAnsiTheme="minorEastAsia"/>
          <w:color w:val="000000" w:themeColor="text1"/>
          <w:kern w:val="0"/>
          <w:szCs w:val="21"/>
          <w14:textFill>
            <w14:solidFill>
              <w14:schemeClr w14:val="tx1"/>
            </w14:solidFill>
          </w14:textFill>
        </w:rPr>
        <w:t>系数，可按表</w:t>
      </w:r>
      <w:r>
        <w:rPr>
          <w:rFonts w:cs="HiddenHorzOCR" w:asciiTheme="minorEastAsia" w:hAnsiTheme="minorEastAsia"/>
          <w:color w:val="000000" w:themeColor="text1"/>
          <w:kern w:val="0"/>
          <w:szCs w:val="21"/>
          <w14:textFill>
            <w14:solidFill>
              <w14:schemeClr w14:val="tx1"/>
            </w14:solidFill>
          </w14:textFill>
        </w:rPr>
        <w:t>4.2.1</w:t>
      </w:r>
      <w:r>
        <w:rPr>
          <w:rFonts w:hint="eastAsia" w:cs="HiddenHorzOCR" w:asciiTheme="minorEastAsia" w:hAnsiTheme="minorEastAsia"/>
          <w:color w:val="000000" w:themeColor="text1"/>
          <w:kern w:val="0"/>
          <w:szCs w:val="21"/>
          <w14:textFill>
            <w14:solidFill>
              <w14:schemeClr w14:val="tx1"/>
            </w14:solidFill>
          </w14:textFill>
        </w:rPr>
        <w:t>-1的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定采</w:t>
      </w:r>
      <w:r>
        <w:rPr>
          <w:rFonts w:hint="eastAsia" w:cs="HiddenHorzOCR" w:asciiTheme="minorEastAsia" w:hAnsiTheme="minorEastAsia"/>
          <w:color w:val="000000" w:themeColor="text1"/>
          <w:kern w:val="0"/>
          <w:szCs w:val="21"/>
          <w14:textFill>
            <w14:solidFill>
              <w14:schemeClr w14:val="tx1"/>
            </w14:solidFill>
          </w14:textFill>
        </w:rPr>
        <w:t>用。</w:t>
      </w:r>
    </w:p>
    <w:bookmarkEnd w:id="36"/>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 竖向地震有效质量</w:t>
      </w:r>
    </w:p>
    <w:p>
      <w:pPr>
        <w:autoSpaceDE w:val="0"/>
        <w:autoSpaceDN w:val="0"/>
        <w:spacing w:line="360" w:lineRule="auto"/>
        <w:ind w:firstLine="420"/>
        <w:jc w:val="center"/>
        <w:rPr>
          <w:rFonts w:cs="Times New Roman"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hint="eastAsia" w:ascii="Cambria Math" w:hAnsi="Cambria Math" w:cs="Times New Roman"/>
                <w:color w:val="000000" w:themeColor="text1"/>
                <w:kern w:val="0"/>
                <w:szCs w:val="21"/>
                <w14:textFill>
                  <w14:solidFill>
                    <w14:schemeClr w14:val="tx1"/>
                  </w14:solidFill>
                </w14:textFill>
              </w:rPr>
              <m:t>v</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DE</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LEv</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asciiTheme="minorEastAsia" w:hAnsiTheme="minorEastAsia"/>
          <w:color w:val="000000" w:themeColor="text1"/>
          <w:kern w:val="0"/>
          <w:szCs w:val="21"/>
          <w14:textFill>
            <w14:solidFill>
              <w14:schemeClr w14:val="tx1"/>
            </w14:solidFill>
          </w14:textFill>
        </w:rPr>
        <w:t>（4.2.2-4）</w:t>
      </w:r>
    </w:p>
    <w:p>
      <w:pPr>
        <w:autoSpaceDE w:val="0"/>
        <w:autoSpaceDN w:val="0"/>
        <w:spacing w:line="360" w:lineRule="auto"/>
        <w:ind w:firstLine="420"/>
        <w:jc w:val="center"/>
        <w:rPr>
          <w:rFonts w:cs="Times New Roman"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DE</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nary>
          <m:naryPr>
            <m:chr m:val="∑"/>
            <m:limLoc m:val="undOvr"/>
            <m:subHide m:val="1"/>
            <m:supHide m:val="1"/>
            <m:ctrlPr>
              <w:rPr>
                <w:rFonts w:ascii="Cambria Math" w:hAnsi="Cambria Math" w:cs="Times New Roman"/>
                <w:color w:val="000000" w:themeColor="text1"/>
                <w:kern w:val="0"/>
                <w:szCs w:val="21"/>
                <w14:textFill>
                  <w14:solidFill>
                    <w14:schemeClr w14:val="tx1"/>
                  </w14:solidFill>
                </w14:textFill>
              </w:rPr>
            </m:ctrlPr>
          </m:naryPr>
          <m:sub>
            <m:ctrlPr>
              <w:rPr>
                <w:rFonts w:ascii="Cambria Math" w:hAnsi="Cambria Math" w:cs="Times New Roman"/>
                <w:color w:val="000000" w:themeColor="text1"/>
                <w:kern w:val="0"/>
                <w:szCs w:val="21"/>
                <w14:textFill>
                  <w14:solidFill>
                    <w14:schemeClr w14:val="tx1"/>
                  </w14:solidFill>
                </w14:textFill>
              </w:rPr>
            </m:ctrlPr>
          </m:sub>
          <m:sup>
            <m:ctrlPr>
              <w:rPr>
                <w:rFonts w:ascii="Cambria Math" w:hAnsi="Cambria Math" w:cs="Times New Roman"/>
                <w:color w:val="000000" w:themeColor="text1"/>
                <w:kern w:val="0"/>
                <w:szCs w:val="21"/>
                <w14:textFill>
                  <w14:solidFill>
                    <w14:schemeClr w14:val="tx1"/>
                  </w14:solidFill>
                </w14:textFill>
              </w:rPr>
            </m:ctrlPr>
          </m:sup>
          <m:e>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Dk</m:t>
                </m:r>
                <m:ctrlPr>
                  <w:rPr>
                    <w:rFonts w:ascii="Cambria Math" w:hAnsi="Cambria Math" w:cs="Times New Roman"/>
                    <w:color w:val="000000" w:themeColor="text1"/>
                    <w:kern w:val="0"/>
                    <w:szCs w:val="21"/>
                    <w14:textFill>
                      <w14:solidFill>
                        <w14:schemeClr w14:val="tx1"/>
                      </w14:solidFill>
                    </w14:textFill>
                  </w:rPr>
                </m:ctrlPr>
              </m:sub>
            </m:sSub>
            <m:ctrlPr>
              <w:rPr>
                <w:rFonts w:ascii="Cambria Math" w:hAnsi="Cambria Math" w:cs="Times New Roman"/>
                <w:color w:val="000000" w:themeColor="text1"/>
                <w:kern w:val="0"/>
                <w:szCs w:val="21"/>
                <w14:textFill>
                  <w14:solidFill>
                    <w14:schemeClr w14:val="tx1"/>
                  </w14:solidFill>
                </w14:textFill>
              </w:rPr>
            </m:ctrlPr>
          </m:e>
        </m:nary>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asciiTheme="minorEastAsia" w:hAnsiTheme="minorEastAsia"/>
          <w:color w:val="000000" w:themeColor="text1"/>
          <w:kern w:val="0"/>
          <w:szCs w:val="21"/>
          <w14:textFill>
            <w14:solidFill>
              <w14:schemeClr w14:val="tx1"/>
            </w14:solidFill>
          </w14:textFill>
        </w:rPr>
        <w:t>（4.2.2-5）</w:t>
      </w:r>
    </w:p>
    <w:p>
      <w:pPr>
        <w:autoSpaceDE w:val="0"/>
        <w:autoSpaceDN w:val="0"/>
        <w:spacing w:line="360" w:lineRule="auto"/>
        <w:ind w:firstLine="420"/>
        <w:jc w:val="center"/>
        <w:rPr>
          <w:rFonts w:cs="Times New Roman"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LEv</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nary>
          <m:naryPr>
            <m:chr m:val="∑"/>
            <m:limLoc m:val="undOvr"/>
            <m:subHide m:val="1"/>
            <m:supHide m:val="1"/>
            <m:ctrlPr>
              <w:rPr>
                <w:rFonts w:ascii="Cambria Math" w:hAnsi="Cambria Math" w:cs="Times New Roman"/>
                <w:color w:val="000000" w:themeColor="text1"/>
                <w:kern w:val="0"/>
                <w:szCs w:val="21"/>
                <w14:textFill>
                  <w14:solidFill>
                    <w14:schemeClr w14:val="tx1"/>
                  </w14:solidFill>
                </w14:textFill>
              </w:rPr>
            </m:ctrlPr>
          </m:naryPr>
          <m:sub>
            <m:ctrlPr>
              <w:rPr>
                <w:rFonts w:ascii="Cambria Math" w:hAnsi="Cambria Math" w:cs="Times New Roman"/>
                <w:color w:val="000000" w:themeColor="text1"/>
                <w:kern w:val="0"/>
                <w:szCs w:val="21"/>
                <w14:textFill>
                  <w14:solidFill>
                    <w14:schemeClr w14:val="tx1"/>
                  </w14:solidFill>
                </w14:textFill>
              </w:rPr>
            </m:ctrlPr>
          </m:sub>
          <m:sup>
            <m:ctrlPr>
              <w:rPr>
                <w:rFonts w:ascii="Cambria Math" w:hAnsi="Cambria Math" w:cs="Times New Roman"/>
                <w:color w:val="000000" w:themeColor="text1"/>
                <w:kern w:val="0"/>
                <w:szCs w:val="21"/>
                <w14:textFill>
                  <w14:solidFill>
                    <w14:schemeClr w14:val="tx1"/>
                  </w14:solidFill>
                </w14:textFill>
              </w:rPr>
            </m:ctrlPr>
          </m:sup>
          <m:e>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c</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i</m:t>
                </m:r>
                <m:ctrlPr>
                  <w:rPr>
                    <w:rFonts w:ascii="Cambria Math" w:hAnsi="Cambria Math" w:cs="Times New Roman"/>
                    <w:color w:val="000000" w:themeColor="text1"/>
                    <w:kern w:val="0"/>
                    <w:szCs w:val="21"/>
                    <w14:textFill>
                      <w14:solidFill>
                        <w14:schemeClr w14:val="tx1"/>
                      </w14:solidFill>
                    </w14:textFill>
                  </w:rPr>
                </m:ctrlPr>
              </m:sub>
            </m:sSub>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Lk</m:t>
                </m:r>
                <m:ctrlPr>
                  <w:rPr>
                    <w:rFonts w:ascii="Cambria Math" w:hAnsi="Cambria Math" w:cs="Times New Roman"/>
                    <w:color w:val="000000" w:themeColor="text1"/>
                    <w:kern w:val="0"/>
                    <w:szCs w:val="21"/>
                    <w14:textFill>
                      <w14:solidFill>
                        <w14:schemeClr w14:val="tx1"/>
                      </w14:solidFill>
                    </w14:textFill>
                  </w:rPr>
                </m:ctrlPr>
              </m:sub>
            </m:sSub>
            <m:ctrlPr>
              <w:rPr>
                <w:rFonts w:ascii="Cambria Math" w:hAnsi="Cambria Math" w:cs="Times New Roman"/>
                <w:color w:val="000000" w:themeColor="text1"/>
                <w:kern w:val="0"/>
                <w:szCs w:val="21"/>
                <w14:textFill>
                  <w14:solidFill>
                    <w14:schemeClr w14:val="tx1"/>
                  </w14:solidFill>
                </w14:textFill>
              </w:rPr>
            </m:ctrlPr>
          </m:e>
        </m:nary>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asciiTheme="minorEastAsia" w:hAnsiTheme="minorEastAsia"/>
          <w:color w:val="000000" w:themeColor="text1"/>
          <w:kern w:val="0"/>
          <w:szCs w:val="21"/>
          <w14:textFill>
            <w14:solidFill>
              <w14:schemeClr w14:val="tx1"/>
            </w14:solidFill>
          </w14:textFill>
        </w:rPr>
        <w:t>（4.2.2-6）</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r>
          <w:rPr>
            <w:rFonts w:ascii="Cambria Math" w:hAnsi="Cambria Math" w:cs="HiddenHorzOCR"/>
            <w:color w:val="000000" w:themeColor="text1"/>
            <w:kern w:val="0"/>
            <w:szCs w:val="21"/>
            <w14:textFill>
              <w14:solidFill>
                <w14:schemeClr w14:val="tx1"/>
              </w14:solidFill>
            </w14:textFill>
          </w:rPr>
          <m:t xml:space="preserve"> </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Ev</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竖向地震有效质量</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DE</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LE</m:t>
            </m:r>
            <m:r>
              <m:rPr>
                <m:sty m:val="p"/>
              </m:rPr>
              <w:rPr>
                <w:rFonts w:hint="eastAsia" w:ascii="Cambria Math" w:hAnsi="Cambria Math" w:cs="Times New Roman"/>
                <w:color w:val="000000" w:themeColor="text1"/>
                <w:kern w:val="0"/>
                <w:szCs w:val="21"/>
                <w14:textFill>
                  <w14:solidFill>
                    <w14:schemeClr w14:val="tx1"/>
                  </w14:solidFill>
                </w14:textFill>
              </w:rPr>
              <m:t>v</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别为</w:t>
      </w:r>
      <w:r>
        <w:rPr>
          <w:rFonts w:hint="eastAsia" w:cs="MS Mincho" w:asciiTheme="minorEastAsia" w:hAnsiTheme="minorEastAsia"/>
          <w:color w:val="000000" w:themeColor="text1"/>
          <w:kern w:val="0"/>
          <w:szCs w:val="21"/>
          <w14:textFill>
            <w14:solidFill>
              <w14:schemeClr w14:val="tx1"/>
            </w14:solidFill>
          </w14:textFill>
        </w:rPr>
        <w:t>恒</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和可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载对应的</w:t>
      </w:r>
      <w:r>
        <w:rPr>
          <w:rFonts w:hint="eastAsia" w:cs="Times New Roman" w:asciiTheme="minorEastAsia" w:hAnsiTheme="minorEastAsia"/>
          <w:color w:val="000000" w:themeColor="text1"/>
          <w:kern w:val="0"/>
          <w:szCs w:val="21"/>
          <w14:textFill>
            <w14:solidFill>
              <w14:schemeClr w14:val="tx1"/>
            </w14:solidFill>
          </w14:textFill>
        </w:rPr>
        <w:t>竖向地震有效质量</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Dk</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Lk</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别为</w:t>
      </w:r>
      <w:r>
        <w:rPr>
          <w:rFonts w:hint="eastAsia" w:cs="MS Mincho" w:asciiTheme="minorEastAsia" w:hAnsiTheme="minorEastAsia"/>
          <w:color w:val="000000" w:themeColor="text1"/>
          <w:kern w:val="0"/>
          <w:szCs w:val="21"/>
          <w14:textFill>
            <w14:solidFill>
              <w14:schemeClr w14:val="tx1"/>
            </w14:solidFill>
          </w14:textFill>
        </w:rPr>
        <w:t>恒</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和可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载对应的</w:t>
      </w:r>
      <w:r>
        <w:rPr>
          <w:rFonts w:hint="eastAsia" w:cs="Times New Roman" w:asciiTheme="minorEastAsia" w:hAnsiTheme="minorEastAsia"/>
          <w:color w:val="000000" w:themeColor="text1"/>
          <w:kern w:val="0"/>
          <w:szCs w:val="21"/>
          <w14:textFill>
            <w14:solidFill>
              <w14:schemeClr w14:val="tx1"/>
            </w14:solidFill>
          </w14:textFill>
        </w:rPr>
        <w:t>质量</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hint="eastAsia" w:ascii="Cambria Math" w:hAnsi="Cambria Math" w:cs="Times New Roman"/>
                <w:color w:val="000000" w:themeColor="text1"/>
                <w:kern w:val="0"/>
                <w:szCs w:val="21"/>
                <w14:textFill>
                  <w14:solidFill>
                    <w14:schemeClr w14:val="tx1"/>
                  </w14:solidFill>
                </w14:textFill>
              </w:rPr>
              <m:t>c</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i</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——可</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载对应的竖向地震质量</w:t>
      </w:r>
      <w:r>
        <w:rPr>
          <w:rFonts w:hint="eastAsia" w:cs="MS Mincho" w:asciiTheme="minorEastAsia" w:hAnsiTheme="minorEastAsia"/>
          <w:color w:val="000000" w:themeColor="text1"/>
          <w:kern w:val="0"/>
          <w:szCs w:val="21"/>
          <w14:textFill>
            <w14:solidFill>
              <w14:schemeClr w14:val="tx1"/>
            </w14:solidFill>
          </w14:textFill>
        </w:rPr>
        <w:t>系数，可按表</w:t>
      </w:r>
      <w:r>
        <w:rPr>
          <w:rFonts w:cs="HiddenHorzOCR" w:asciiTheme="minorEastAsia" w:hAnsiTheme="minorEastAsia"/>
          <w:color w:val="000000" w:themeColor="text1"/>
          <w:kern w:val="0"/>
          <w:szCs w:val="21"/>
          <w14:textFill>
            <w14:solidFill>
              <w14:schemeClr w14:val="tx1"/>
            </w14:solidFill>
          </w14:textFill>
        </w:rPr>
        <w:t>4.2.</w:t>
      </w:r>
      <w:r>
        <w:rPr>
          <w:rFonts w:hint="eastAsia" w:cs="HiddenHorzOCR" w:asciiTheme="minorEastAsia" w:hAnsiTheme="minorEastAsia"/>
          <w:color w:val="000000" w:themeColor="text1"/>
          <w:kern w:val="0"/>
          <w:szCs w:val="21"/>
          <w14:textFill>
            <w14:solidFill>
              <w14:schemeClr w14:val="tx1"/>
            </w14:solidFill>
          </w14:textFill>
        </w:rPr>
        <w:t>1-1的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定采</w:t>
      </w:r>
      <w:r>
        <w:rPr>
          <w:rFonts w:hint="eastAsia" w:cs="HiddenHorzOCR" w:asciiTheme="minorEastAsia" w:hAnsiTheme="minorEastAsia"/>
          <w:color w:val="000000" w:themeColor="text1"/>
          <w:kern w:val="0"/>
          <w:szCs w:val="21"/>
          <w14:textFill>
            <w14:solidFill>
              <w14:schemeClr w14:val="tx1"/>
            </w14:solidFill>
          </w14:textFill>
        </w:rPr>
        <w:t>用。</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p>
    <w:p>
      <w:pPr>
        <w:pStyle w:val="3"/>
      </w:pPr>
      <w:bookmarkStart w:id="38" w:name="_Toc48841021"/>
      <w:r>
        <w:rPr>
          <w:rFonts w:hint="eastAsia"/>
        </w:rPr>
        <w:t>水平地震作用计算</w:t>
      </w:r>
      <w:bookmarkEnd w:id="38"/>
    </w:p>
    <w:p>
      <w:pPr>
        <w:autoSpaceDE w:val="0"/>
        <w:autoSpaceDN w:val="0"/>
        <w:spacing w:line="360" w:lineRule="auto"/>
        <w:ind w:firstLine="0" w:firstLineChars="0"/>
        <w:jc w:val="center"/>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一般情况，可沿结构平面的两个主</w:t>
      </w:r>
      <w:r>
        <w:rPr>
          <w:rFonts w:hint="eastAsia" w:cs="宋体" w:asciiTheme="minorEastAsia" w:hAnsiTheme="minorEastAsia"/>
          <w:color w:val="000000" w:themeColor="text1"/>
          <w:kern w:val="0"/>
          <w:szCs w:val="21"/>
          <w14:textFill>
            <w14:solidFill>
              <w14:schemeClr w14:val="tx1"/>
            </w14:solidFill>
          </w14:textFill>
        </w:rPr>
        <w:t>轴</w:t>
      </w:r>
      <w:r>
        <w:rPr>
          <w:rFonts w:hint="eastAsia" w:cs="MS Mincho" w:asciiTheme="minorEastAsia" w:hAnsiTheme="minorEastAsia"/>
          <w:color w:val="000000" w:themeColor="text1"/>
          <w:kern w:val="0"/>
          <w:szCs w:val="21"/>
          <w14:textFill>
            <w14:solidFill>
              <w14:schemeClr w14:val="tx1"/>
            </w14:solidFill>
          </w14:textFill>
        </w:rPr>
        <w:t>方向分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水平地</w:t>
      </w:r>
      <w:r>
        <w:rPr>
          <w:rFonts w:hint="eastAsia" w:cs="HiddenHorzOCR" w:asciiTheme="minorEastAsia" w:hAnsiTheme="minorEastAsia"/>
          <w:color w:val="000000" w:themeColor="text1"/>
          <w:kern w:val="0"/>
          <w:szCs w:val="21"/>
          <w14:textFill>
            <w14:solidFill>
              <w14:schemeClr w14:val="tx1"/>
            </w14:solidFill>
          </w14:textFill>
        </w:rPr>
        <w:t>震作用，并分</w:t>
      </w:r>
      <w:r>
        <w:rPr>
          <w:rFonts w:hint="eastAsia" w:cs="宋体" w:asciiTheme="minorEastAsia" w:hAnsiTheme="minorEastAsia"/>
          <w:color w:val="000000" w:themeColor="text1"/>
          <w:kern w:val="0"/>
          <w:szCs w:val="21"/>
          <w14:textFill>
            <w14:solidFill>
              <w14:schemeClr w14:val="tx1"/>
            </w14:solidFill>
          </w14:textFill>
        </w:rPr>
        <w:t>别进</w:t>
      </w:r>
      <w:r>
        <w:rPr>
          <w:rFonts w:hint="eastAsia" w:cs="MS Mincho" w:asciiTheme="minorEastAsia" w:hAnsiTheme="minorEastAsia"/>
          <w:color w:val="000000" w:themeColor="text1"/>
          <w:kern w:val="0"/>
          <w:szCs w:val="21"/>
          <w14:textFill>
            <w14:solidFill>
              <w14:schemeClr w14:val="tx1"/>
            </w14:solidFill>
          </w14:textFill>
        </w:rPr>
        <w:t>行抗震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量和</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度明</w:t>
      </w:r>
      <w:r>
        <w:rPr>
          <w:rFonts w:hint="eastAsia" w:cs="宋体" w:asciiTheme="minorEastAsia" w:hAnsiTheme="minorEastAsia"/>
          <w:color w:val="000000" w:themeColor="text1"/>
          <w:kern w:val="0"/>
          <w:szCs w:val="21"/>
          <w14:textFill>
            <w14:solidFill>
              <w14:schemeClr w14:val="tx1"/>
            </w14:solidFill>
          </w14:textFill>
        </w:rPr>
        <w:t>显</w:t>
      </w:r>
      <w:r>
        <w:rPr>
          <w:rFonts w:hint="eastAsia" w:cs="MS Mincho" w:asciiTheme="minorEastAsia" w:hAnsiTheme="minorEastAsia"/>
          <w:color w:val="000000" w:themeColor="text1"/>
          <w:kern w:val="0"/>
          <w:szCs w:val="21"/>
          <w14:textFill>
            <w14:solidFill>
              <w14:schemeClr w14:val="tx1"/>
            </w14:solidFill>
          </w14:textFill>
        </w:rPr>
        <w:t>不均匀和不</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称的</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水平地震作用的扭</w:t>
      </w:r>
      <w:r>
        <w:rPr>
          <w:rFonts w:hint="eastAsia" w:cs="宋体" w:asciiTheme="minorEastAsia" w:hAnsiTheme="minorEastAsia"/>
          <w:color w:val="000000" w:themeColor="text1"/>
          <w:kern w:val="0"/>
          <w:szCs w:val="21"/>
          <w14:textFill>
            <w14:solidFill>
              <w14:schemeClr w14:val="tx1"/>
            </w14:solidFill>
          </w14:textFill>
        </w:rPr>
        <w:t>转</w:t>
      </w:r>
      <w:r>
        <w:rPr>
          <w:rFonts w:hint="eastAsia" w:cs="MS Mincho" w:asciiTheme="minorEastAsia" w:hAnsiTheme="minorEastAsia"/>
          <w:color w:val="000000" w:themeColor="text1"/>
          <w:kern w:val="0"/>
          <w:szCs w:val="21"/>
          <w14:textFill>
            <w14:solidFill>
              <w14:schemeClr w14:val="tx1"/>
            </w14:solidFill>
          </w14:textFill>
        </w:rPr>
        <w:t>影响。</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抗震</w:t>
      </w:r>
      <w:r>
        <w:rPr>
          <w:rFonts w:hint="eastAsia" w:cs="宋体" w:asciiTheme="minorEastAsia" w:hAnsiTheme="minorEastAsia"/>
          <w:color w:val="000000" w:themeColor="text1"/>
          <w:kern w:val="0"/>
          <w:szCs w:val="21"/>
          <w14:textFill>
            <w14:solidFill>
              <w14:schemeClr w14:val="tx1"/>
            </w14:solidFill>
          </w14:textFill>
        </w:rPr>
        <w:t>设计时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桥</w:t>
      </w:r>
      <w:r>
        <w:rPr>
          <w:rFonts w:hint="eastAsia" w:cs="MS Mincho" w:asciiTheme="minorEastAsia" w:hAnsiTheme="minorEastAsia"/>
          <w:color w:val="000000" w:themeColor="text1"/>
          <w:kern w:val="0"/>
          <w:szCs w:val="21"/>
          <w14:textFill>
            <w14:solidFill>
              <w14:schemeClr w14:val="tx1"/>
            </w14:solidFill>
          </w14:textFill>
        </w:rPr>
        <w:t>式吊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台数、布置及荷</w:t>
      </w:r>
      <w:r>
        <w:rPr>
          <w:rFonts w:hint="eastAsia" w:cs="宋体" w:asciiTheme="minorEastAsia" w:hAnsiTheme="minorEastAsia"/>
          <w:color w:val="000000" w:themeColor="text1"/>
          <w:kern w:val="0"/>
          <w:szCs w:val="21"/>
          <w14:textFill>
            <w14:solidFill>
              <w14:schemeClr w14:val="tx1"/>
            </w14:solidFill>
          </w14:textFill>
        </w:rPr>
        <w:t>载应</w:t>
      </w:r>
      <w:r>
        <w:rPr>
          <w:rFonts w:hint="eastAsia" w:cs="MS Mincho" w:asciiTheme="minorEastAsia" w:hAnsiTheme="minorEastAsia"/>
          <w:color w:val="000000" w:themeColor="text1"/>
          <w:kern w:val="0"/>
          <w:szCs w:val="21"/>
          <w14:textFill>
            <w14:solidFill>
              <w14:schemeClr w14:val="tx1"/>
            </w14:solidFill>
          </w14:textFill>
        </w:rPr>
        <w:t>按实际情况采用；当按第4.3.4条平面计算模型进行抗震计算时，</w:t>
      </w:r>
      <w:bookmarkStart w:id="39" w:name="_Hlk42858437"/>
      <w:r>
        <w:rPr>
          <w:rFonts w:hint="eastAsia" w:cs="MS Mincho" w:asciiTheme="minorEastAsia" w:hAnsiTheme="minorEastAsia"/>
          <w:color w:val="000000" w:themeColor="text1"/>
          <w:kern w:val="0"/>
          <w:szCs w:val="21"/>
          <w14:textFill>
            <w14:solidFill>
              <w14:schemeClr w14:val="tx1"/>
            </w14:solidFill>
          </w14:textFill>
        </w:rPr>
        <w:t>可按下列</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定确定</w:t>
      </w:r>
      <w:r>
        <w:rPr>
          <w:rFonts w:hint="eastAsia" w:cs="HiddenHorzOCR" w:asciiTheme="minorEastAsia" w:hAnsiTheme="minorEastAsia"/>
          <w:color w:val="000000" w:themeColor="text1"/>
          <w:kern w:val="0"/>
          <w:szCs w:val="21"/>
          <w14:textFill>
            <w14:solidFill>
              <w14:schemeClr w14:val="tx1"/>
            </w14:solidFill>
          </w14:textFill>
        </w:rPr>
        <w:t>；</w:t>
      </w:r>
    </w:p>
    <w:bookmarkEnd w:id="39"/>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bookmarkStart w:id="40" w:name="_Hlk20152266"/>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横向结构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单层</w:t>
      </w:r>
      <w:r>
        <w:rPr>
          <w:rFonts w:hint="eastAsia" w:cs="MS Mincho"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跨取</w:t>
      </w: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台；多跨取</w:t>
      </w:r>
      <w:r>
        <w:rPr>
          <w:rFonts w:cs="HiddenHorzOCR" w:asciiTheme="minorEastAsia" w:hAnsiTheme="minorEastAsia"/>
          <w:color w:val="000000" w:themeColor="text1"/>
          <w:kern w:val="0"/>
          <w:szCs w:val="21"/>
          <w14:textFill>
            <w14:solidFill>
              <w14:schemeClr w14:val="tx1"/>
            </w14:solidFill>
          </w14:textFill>
        </w:rPr>
        <w:t>2</w:t>
      </w:r>
      <w:r>
        <w:rPr>
          <w:rFonts w:hint="eastAsia" w:cs="HiddenHorzOCR" w:asciiTheme="minorEastAsia" w:hAnsiTheme="minorEastAsia"/>
          <w:color w:val="000000" w:themeColor="text1"/>
          <w:kern w:val="0"/>
          <w:szCs w:val="21"/>
          <w14:textFill>
            <w14:solidFill>
              <w14:schemeClr w14:val="tx1"/>
            </w14:solidFill>
          </w14:textFill>
        </w:rPr>
        <w:t>台，但不在同一跨内；</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2</w:t>
      </w:r>
      <w:r>
        <w:rPr>
          <w:rFonts w:hint="eastAsia" w:cs="HiddenHorzOCR" w:asciiTheme="minorEastAsia" w:hAnsiTheme="minorEastAsia"/>
          <w:color w:val="000000" w:themeColor="text1"/>
          <w:kern w:val="0"/>
          <w:szCs w:val="21"/>
          <w14:textFill>
            <w14:solidFill>
              <w14:schemeClr w14:val="tx1"/>
            </w14:solidFill>
          </w14:textFill>
        </w:rPr>
        <w:t>）双</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跨取上</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或下</w:t>
      </w:r>
      <w:r>
        <w:rPr>
          <w:rFonts w:hint="eastAsia" w:cs="宋体" w:asciiTheme="minorEastAsia" w:hAnsiTheme="minorEastAsia"/>
          <w:color w:val="000000" w:themeColor="text1"/>
          <w:kern w:val="0"/>
          <w:szCs w:val="21"/>
          <w14:textFill>
            <w14:solidFill>
              <w14:schemeClr w14:val="tx1"/>
            </w14:solidFill>
          </w14:textFill>
        </w:rPr>
        <w:t>层</w:t>
      </w: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台；多跨取</w:t>
      </w:r>
      <w:r>
        <w:rPr>
          <w:rFonts w:cs="HiddenHorzOCR" w:asciiTheme="minorEastAsia" w:hAnsiTheme="minorEastAsia"/>
          <w:color w:val="000000" w:themeColor="text1"/>
          <w:kern w:val="0"/>
          <w:szCs w:val="21"/>
          <w14:textFill>
            <w14:solidFill>
              <w14:schemeClr w14:val="tx1"/>
            </w14:solidFill>
          </w14:textFill>
        </w:rPr>
        <w:t>2</w:t>
      </w:r>
      <w:r>
        <w:rPr>
          <w:rFonts w:hint="eastAsia" w:cs="HiddenHorzOCR" w:asciiTheme="minorEastAsia" w:hAnsiTheme="minorEastAsia"/>
          <w:color w:val="000000" w:themeColor="text1"/>
          <w:kern w:val="0"/>
          <w:szCs w:val="21"/>
          <w14:textFill>
            <w14:solidFill>
              <w14:schemeClr w14:val="tx1"/>
            </w14:solidFill>
          </w14:textFill>
        </w:rPr>
        <w:t>台，但不在同一跨内。</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2 </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向结构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，每跨</w:t>
      </w: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台；</w:t>
      </w:r>
    </w:p>
    <w:bookmarkEnd w:id="40"/>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3</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行地震作用效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与其他荷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效</w:t>
      </w:r>
      <w:r>
        <w:rPr>
          <w:rFonts w:hint="eastAsia" w:cs="宋体" w:asciiTheme="minorEastAsia" w:hAnsiTheme="minorEastAsia"/>
          <w:color w:val="000000" w:themeColor="text1"/>
          <w:kern w:val="0"/>
          <w:szCs w:val="21"/>
          <w14:textFill>
            <w14:solidFill>
              <w14:schemeClr w14:val="tx1"/>
            </w14:solidFill>
          </w14:textFill>
        </w:rPr>
        <w:t>应组</w:t>
      </w:r>
      <w:r>
        <w:rPr>
          <w:rFonts w:hint="eastAsia" w:cs="MS Mincho" w:asciiTheme="minorEastAsia" w:hAnsiTheme="minorEastAsia"/>
          <w:color w:val="000000" w:themeColor="text1"/>
          <w:kern w:val="0"/>
          <w:szCs w:val="21"/>
          <w14:textFill>
            <w14:solidFill>
              <w14:schemeClr w14:val="tx1"/>
            </w14:solidFill>
          </w14:textFill>
        </w:rPr>
        <w:t>合，确定吊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的重力荷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效</w:t>
      </w:r>
      <w:r>
        <w:rPr>
          <w:rFonts w:hint="eastAsia" w:cs="宋体" w:asciiTheme="minorEastAsia" w:hAnsiTheme="minorEastAsia"/>
          <w:color w:val="000000" w:themeColor="text1"/>
          <w:kern w:val="0"/>
          <w:szCs w:val="21"/>
          <w14:textFill>
            <w14:solidFill>
              <w14:schemeClr w14:val="tx1"/>
            </w14:solidFill>
          </w14:textFill>
        </w:rPr>
        <w:t>应时</w:t>
      </w:r>
      <w:r>
        <w:rPr>
          <w:rFonts w:hint="eastAsia" w:cs="MS Mincho"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桥</w:t>
      </w:r>
      <w:r>
        <w:rPr>
          <w:rFonts w:hint="eastAsia" w:cs="MS Mincho" w:asciiTheme="minorEastAsia" w:hAnsiTheme="minorEastAsia"/>
          <w:color w:val="000000" w:themeColor="text1"/>
          <w:kern w:val="0"/>
          <w:szCs w:val="21"/>
          <w14:textFill>
            <w14:solidFill>
              <w14:schemeClr w14:val="tx1"/>
            </w14:solidFill>
          </w14:textFill>
        </w:rPr>
        <w:t>架自重、小</w:t>
      </w:r>
      <w:r>
        <w:rPr>
          <w:rFonts w:hint="eastAsia" w:cs="宋体" w:asciiTheme="minorEastAsia" w:hAnsiTheme="minorEastAsia"/>
          <w:color w:val="000000" w:themeColor="text1"/>
          <w:kern w:val="0"/>
          <w:szCs w:val="21"/>
          <w14:textFill>
            <w14:solidFill>
              <w14:schemeClr w14:val="tx1"/>
            </w14:solidFill>
          </w14:textFill>
        </w:rPr>
        <w:t>车自</w:t>
      </w:r>
      <w:r>
        <w:rPr>
          <w:rFonts w:hint="eastAsia" w:cs="MS Mincho" w:asciiTheme="minorEastAsia" w:hAnsiTheme="minorEastAsia"/>
          <w:color w:val="000000" w:themeColor="text1"/>
          <w:kern w:val="0"/>
          <w:szCs w:val="21"/>
          <w14:textFill>
            <w14:solidFill>
              <w14:schemeClr w14:val="tx1"/>
            </w14:solidFill>
          </w14:textFill>
        </w:rPr>
        <w:t>重和吊重，不</w:t>
      </w:r>
      <w:r>
        <w:rPr>
          <w:rFonts w:hint="eastAsia" w:cs="宋体" w:asciiTheme="minorEastAsia" w:hAnsiTheme="minorEastAsia"/>
          <w:color w:val="000000" w:themeColor="text1"/>
          <w:kern w:val="0"/>
          <w:szCs w:val="21"/>
          <w14:textFill>
            <w14:solidFill>
              <w14:schemeClr w14:val="tx1"/>
            </w14:solidFill>
          </w14:textFill>
        </w:rPr>
        <w:t>论软钩</w:t>
      </w:r>
      <w:r>
        <w:rPr>
          <w:rFonts w:hint="eastAsia" w:cs="MS Mincho" w:asciiTheme="minorEastAsia" w:hAnsiTheme="minorEastAsia"/>
          <w:color w:val="000000" w:themeColor="text1"/>
          <w:kern w:val="0"/>
          <w:szCs w:val="21"/>
          <w14:textFill>
            <w14:solidFill>
              <w14:schemeClr w14:val="tx1"/>
            </w14:solidFill>
          </w14:textFill>
        </w:rPr>
        <w:t>与硬</w:t>
      </w:r>
      <w:r>
        <w:rPr>
          <w:rFonts w:hint="eastAsia" w:cs="宋体" w:asciiTheme="minorEastAsia" w:hAnsiTheme="minorEastAsia"/>
          <w:color w:val="000000" w:themeColor="text1"/>
          <w:kern w:val="0"/>
          <w:szCs w:val="21"/>
          <w14:textFill>
            <w14:solidFill>
              <w14:schemeClr w14:val="tx1"/>
            </w14:solidFill>
          </w14:textFill>
        </w:rPr>
        <w:t>钩</w:t>
      </w:r>
      <w:r>
        <w:rPr>
          <w:rFonts w:hint="eastAsia" w:cs="MS Mincho"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均取用</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准</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；此</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，其荷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项</w:t>
      </w:r>
      <w:r>
        <w:rPr>
          <w:rFonts w:hint="eastAsia" w:cs="MS Mincho" w:asciiTheme="minorEastAsia" w:hAnsiTheme="minorEastAsia"/>
          <w:color w:val="000000" w:themeColor="text1"/>
          <w:kern w:val="0"/>
          <w:szCs w:val="21"/>
          <w14:textFill>
            <w14:solidFill>
              <w14:schemeClr w14:val="tx1"/>
            </w14:solidFill>
          </w14:textFill>
        </w:rPr>
        <w:t>系数按</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构件承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力有利</w:t>
      </w:r>
      <w:r>
        <w:rPr>
          <w:rFonts w:hint="eastAsia" w:cs="HiddenHorzOCR" w:asciiTheme="minorEastAsia" w:hAnsiTheme="minorEastAsia"/>
          <w:color w:val="000000" w:themeColor="text1"/>
          <w:kern w:val="0"/>
          <w:szCs w:val="21"/>
          <w14:textFill>
            <w14:solidFill>
              <w14:schemeClr w14:val="tx1"/>
            </w14:solidFill>
          </w14:textFill>
        </w:rPr>
        <w:t>或不利情况，分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采用</w:t>
      </w:r>
      <w:r>
        <w:rPr>
          <w:rFonts w:cs="HiddenHorzOCR" w:asciiTheme="minorEastAsia" w:hAnsiTheme="minorEastAsia"/>
          <w:color w:val="000000" w:themeColor="text1"/>
          <w:kern w:val="0"/>
          <w:szCs w:val="21"/>
          <w14:textFill>
            <w14:solidFill>
              <w14:schemeClr w14:val="tx1"/>
            </w14:solidFill>
          </w14:textFill>
        </w:rPr>
        <w:t>1.0</w:t>
      </w:r>
      <w:r>
        <w:rPr>
          <w:rFonts w:hint="eastAsia" w:cs="HiddenHorzOCR" w:asciiTheme="minorEastAsia" w:hAnsiTheme="minorEastAsia"/>
          <w:color w:val="000000" w:themeColor="text1"/>
          <w:kern w:val="0"/>
          <w:szCs w:val="21"/>
          <w14:textFill>
            <w14:solidFill>
              <w14:schemeClr w14:val="tx1"/>
            </w14:solidFill>
          </w14:textFill>
        </w:rPr>
        <w:t>或</w:t>
      </w: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3。</w:t>
      </w:r>
    </w:p>
    <w:p>
      <w:pPr>
        <w:autoSpaceDE w:val="0"/>
        <w:autoSpaceDN w:val="0"/>
        <w:spacing w:line="360" w:lineRule="auto"/>
        <w:ind w:left="210" w:leftChars="100" w:firstLine="180" w:firstLineChars="100"/>
        <w:jc w:val="left"/>
        <w:rPr>
          <w:rFonts w:cs="HiddenHorzOCR" w:asciiTheme="minorEastAsia" w:hAnsiTheme="minorEastAsia"/>
          <w:color w:val="000000" w:themeColor="text1"/>
          <w:kern w:val="0"/>
          <w:sz w:val="18"/>
          <w:szCs w:val="18"/>
          <w14:textFill>
            <w14:solidFill>
              <w14:schemeClr w14:val="tx1"/>
            </w14:solidFill>
          </w14:textFill>
        </w:rPr>
      </w:pPr>
      <w:r>
        <w:rPr>
          <w:rFonts w:hint="eastAsia" w:cs="HiddenHorzOCR" w:asciiTheme="minorEastAsia" w:hAnsiTheme="minorEastAsia"/>
          <w:color w:val="000000" w:themeColor="text1"/>
          <w:kern w:val="0"/>
          <w:sz w:val="18"/>
          <w:szCs w:val="18"/>
          <w14:textFill>
            <w14:solidFill>
              <w14:schemeClr w14:val="tx1"/>
            </w14:solidFill>
          </w14:textFill>
        </w:rPr>
        <w:t xml:space="preserve">注：1 </w:t>
      </w:r>
      <w:r>
        <w:rPr>
          <w:rFonts w:hint="eastAsia" w:cs="宋体" w:asciiTheme="minorEastAsia" w:hAnsiTheme="minorEastAsia"/>
          <w:color w:val="000000" w:themeColor="text1"/>
          <w:kern w:val="0"/>
          <w:sz w:val="18"/>
          <w:szCs w:val="18"/>
          <w14:textFill>
            <w14:solidFill>
              <w14:schemeClr w14:val="tx1"/>
            </w14:solidFill>
          </w14:textFill>
        </w:rPr>
        <w:t>对设</w:t>
      </w:r>
      <w:r>
        <w:rPr>
          <w:rFonts w:hint="eastAsia" w:cs="MS Mincho" w:asciiTheme="minorEastAsia" w:hAnsiTheme="minorEastAsia"/>
          <w:color w:val="000000" w:themeColor="text1"/>
          <w:kern w:val="0"/>
          <w:sz w:val="18"/>
          <w:szCs w:val="18"/>
          <w14:textFill>
            <w14:solidFill>
              <w14:schemeClr w14:val="tx1"/>
            </w14:solidFill>
          </w14:textFill>
        </w:rPr>
        <w:t>有多台重</w:t>
      </w:r>
      <w:r>
        <w:rPr>
          <w:rFonts w:hint="eastAsia" w:cs="宋体" w:asciiTheme="minorEastAsia" w:hAnsiTheme="minorEastAsia"/>
          <w:color w:val="000000" w:themeColor="text1"/>
          <w:kern w:val="0"/>
          <w:sz w:val="18"/>
          <w:szCs w:val="18"/>
          <w14:textFill>
            <w14:solidFill>
              <w14:schemeClr w14:val="tx1"/>
            </w14:solidFill>
          </w14:textFill>
        </w:rPr>
        <w:t>级</w:t>
      </w:r>
      <w:r>
        <w:rPr>
          <w:rFonts w:hint="eastAsia" w:cs="MS Mincho" w:asciiTheme="minorEastAsia" w:hAnsiTheme="minorEastAsia"/>
          <w:color w:val="000000" w:themeColor="text1"/>
          <w:kern w:val="0"/>
          <w:sz w:val="18"/>
          <w:szCs w:val="18"/>
          <w14:textFill>
            <w14:solidFill>
              <w14:schemeClr w14:val="tx1"/>
            </w14:solidFill>
          </w14:textFill>
        </w:rPr>
        <w:t>工作制</w:t>
      </w:r>
      <w:r>
        <w:rPr>
          <w:rFonts w:hint="eastAsia" w:cs="宋体" w:asciiTheme="minorEastAsia" w:hAnsiTheme="minorEastAsia"/>
          <w:color w:val="000000" w:themeColor="text1"/>
          <w:kern w:val="0"/>
          <w:sz w:val="18"/>
          <w:szCs w:val="18"/>
          <w14:textFill>
            <w14:solidFill>
              <w14:schemeClr w14:val="tx1"/>
            </w14:solidFill>
          </w14:textFill>
        </w:rPr>
        <w:t>桥</w:t>
      </w:r>
      <w:r>
        <w:rPr>
          <w:rFonts w:hint="eastAsia" w:cs="MS Mincho" w:asciiTheme="minorEastAsia" w:hAnsiTheme="minorEastAsia"/>
          <w:color w:val="000000" w:themeColor="text1"/>
          <w:kern w:val="0"/>
          <w:sz w:val="18"/>
          <w:szCs w:val="18"/>
          <w14:textFill>
            <w14:solidFill>
              <w14:schemeClr w14:val="tx1"/>
            </w14:solidFill>
          </w14:textFill>
        </w:rPr>
        <w:t>式吊</w:t>
      </w:r>
      <w:r>
        <w:rPr>
          <w:rFonts w:hint="eastAsia" w:cs="宋体" w:asciiTheme="minorEastAsia" w:hAnsiTheme="minorEastAsia"/>
          <w:color w:val="000000" w:themeColor="text1"/>
          <w:kern w:val="0"/>
          <w:sz w:val="18"/>
          <w:szCs w:val="18"/>
          <w14:textFill>
            <w14:solidFill>
              <w14:schemeClr w14:val="tx1"/>
            </w14:solidFill>
          </w14:textFill>
        </w:rPr>
        <w:t>车</w:t>
      </w:r>
      <w:r>
        <w:rPr>
          <w:rFonts w:hint="eastAsia" w:cs="MS Mincho" w:asciiTheme="minorEastAsia" w:hAnsiTheme="minorEastAsia"/>
          <w:color w:val="000000" w:themeColor="text1"/>
          <w:kern w:val="0"/>
          <w:sz w:val="18"/>
          <w:szCs w:val="18"/>
          <w14:textFill>
            <w14:solidFill>
              <w14:schemeClr w14:val="tx1"/>
            </w14:solidFill>
          </w14:textFill>
        </w:rPr>
        <w:t>，且</w:t>
      </w:r>
      <w:r>
        <w:rPr>
          <w:rFonts w:hint="eastAsia" w:cs="宋体" w:asciiTheme="minorEastAsia" w:hAnsiTheme="minorEastAsia"/>
          <w:color w:val="000000" w:themeColor="text1"/>
          <w:kern w:val="0"/>
          <w:sz w:val="18"/>
          <w:szCs w:val="18"/>
          <w14:textFill>
            <w14:solidFill>
              <w14:schemeClr w14:val="tx1"/>
            </w14:solidFill>
          </w14:textFill>
        </w:rPr>
        <w:t>纵</w:t>
      </w:r>
      <w:r>
        <w:rPr>
          <w:rFonts w:hint="eastAsia" w:cs="MS Mincho" w:asciiTheme="minorEastAsia" w:hAnsiTheme="minorEastAsia"/>
          <w:color w:val="000000" w:themeColor="text1"/>
          <w:kern w:val="0"/>
          <w:sz w:val="18"/>
          <w:szCs w:val="18"/>
          <w14:textFill>
            <w14:solidFill>
              <w14:schemeClr w14:val="tx1"/>
            </w14:solidFill>
          </w14:textFill>
        </w:rPr>
        <w:t>向柱距大于</w:t>
      </w:r>
      <w:r>
        <w:rPr>
          <w:rFonts w:cs="HiddenHorzOCR" w:asciiTheme="minorEastAsia" w:hAnsiTheme="minorEastAsia"/>
          <w:color w:val="000000" w:themeColor="text1"/>
          <w:kern w:val="0"/>
          <w:sz w:val="18"/>
          <w:szCs w:val="18"/>
          <w14:textFill>
            <w14:solidFill>
              <w14:schemeClr w14:val="tx1"/>
            </w14:solidFill>
          </w14:textFill>
        </w:rPr>
        <w:t>12m</w:t>
      </w:r>
      <w:r>
        <w:rPr>
          <w:rFonts w:hint="eastAsia" w:cs="宋体" w:asciiTheme="minorEastAsia" w:hAnsiTheme="minorEastAsia"/>
          <w:color w:val="000000" w:themeColor="text1"/>
          <w:kern w:val="0"/>
          <w:sz w:val="18"/>
          <w:szCs w:val="18"/>
          <w14:textFill>
            <w14:solidFill>
              <w14:schemeClr w14:val="tx1"/>
            </w14:solidFill>
          </w14:textFill>
        </w:rPr>
        <w:t>时</w:t>
      </w:r>
      <w:r>
        <w:rPr>
          <w:rFonts w:hint="eastAsia" w:cs="MS Mincho" w:asciiTheme="minorEastAsia" w:hAnsiTheme="minorEastAsia"/>
          <w:color w:val="000000" w:themeColor="text1"/>
          <w:kern w:val="0"/>
          <w:sz w:val="18"/>
          <w:szCs w:val="18"/>
          <w14:textFill>
            <w14:solidFill>
              <w14:schemeClr w14:val="tx1"/>
            </w14:solidFill>
          </w14:textFill>
        </w:rPr>
        <w:t>，可根据</w:t>
      </w:r>
      <w:r>
        <w:rPr>
          <w:rFonts w:hint="eastAsia" w:cs="宋体" w:asciiTheme="minorEastAsia" w:hAnsiTheme="minorEastAsia"/>
          <w:color w:val="000000" w:themeColor="text1"/>
          <w:kern w:val="0"/>
          <w:sz w:val="18"/>
          <w:szCs w:val="18"/>
          <w14:textFill>
            <w14:solidFill>
              <w14:schemeClr w14:val="tx1"/>
            </w14:solidFill>
          </w14:textFill>
        </w:rPr>
        <w:t>实际</w:t>
      </w:r>
      <w:r>
        <w:rPr>
          <w:rFonts w:hint="eastAsia" w:cs="MS Mincho" w:asciiTheme="minorEastAsia" w:hAnsiTheme="minorEastAsia"/>
          <w:color w:val="000000" w:themeColor="text1"/>
          <w:kern w:val="0"/>
          <w:sz w:val="18"/>
          <w:szCs w:val="18"/>
          <w14:textFill>
            <w14:solidFill>
              <w14:schemeClr w14:val="tx1"/>
            </w14:solidFill>
          </w14:textFill>
        </w:rPr>
        <w:t>情况，</w:t>
      </w:r>
      <w:r>
        <w:rPr>
          <w:rFonts w:hint="eastAsia" w:cs="HiddenHorzOCR" w:asciiTheme="minorEastAsia" w:hAnsiTheme="minorEastAsia"/>
          <w:color w:val="000000" w:themeColor="text1"/>
          <w:kern w:val="0"/>
          <w:sz w:val="18"/>
          <w:szCs w:val="18"/>
          <w14:textFill>
            <w14:solidFill>
              <w14:schemeClr w14:val="tx1"/>
            </w14:solidFill>
          </w14:textFill>
        </w:rPr>
        <w:t>适当增加取用吊</w:t>
      </w:r>
      <w:r>
        <w:rPr>
          <w:rFonts w:hint="eastAsia" w:cs="宋体" w:asciiTheme="minorEastAsia" w:hAnsiTheme="minorEastAsia"/>
          <w:color w:val="000000" w:themeColor="text1"/>
          <w:kern w:val="0"/>
          <w:sz w:val="18"/>
          <w:szCs w:val="18"/>
          <w14:textFill>
            <w14:solidFill>
              <w14:schemeClr w14:val="tx1"/>
            </w14:solidFill>
          </w14:textFill>
        </w:rPr>
        <w:t>车</w:t>
      </w:r>
      <w:r>
        <w:rPr>
          <w:rFonts w:hint="eastAsia" w:cs="MS Mincho" w:asciiTheme="minorEastAsia" w:hAnsiTheme="minorEastAsia"/>
          <w:color w:val="000000" w:themeColor="text1"/>
          <w:kern w:val="0"/>
          <w:sz w:val="18"/>
          <w:szCs w:val="18"/>
          <w14:textFill>
            <w14:solidFill>
              <w14:schemeClr w14:val="tx1"/>
            </w14:solidFill>
          </w14:textFill>
        </w:rPr>
        <w:t>的台数</w:t>
      </w:r>
      <w:r>
        <w:rPr>
          <w:rFonts w:hint="eastAsia" w:cs="HiddenHorzOCR" w:asciiTheme="minorEastAsia" w:hAnsiTheme="minorEastAsia"/>
          <w:color w:val="000000" w:themeColor="text1"/>
          <w:kern w:val="0"/>
          <w:sz w:val="18"/>
          <w:szCs w:val="18"/>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行结构主要抗</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力体系的截面抗震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，其水平</w:t>
      </w:r>
      <w:r>
        <w:rPr>
          <w:rFonts w:hint="eastAsia" w:cs="HiddenHorzOCR" w:asciiTheme="minorEastAsia" w:hAnsiTheme="minorEastAsia"/>
          <w:color w:val="000000" w:themeColor="text1"/>
          <w:kern w:val="0"/>
          <w:szCs w:val="21"/>
          <w14:textFill>
            <w14:solidFill>
              <w14:schemeClr w14:val="tx1"/>
            </w14:solidFill>
          </w14:textFill>
        </w:rPr>
        <w:t>地震作用可采用振型分解反</w:t>
      </w:r>
      <w:r>
        <w:rPr>
          <w:rFonts w:hint="eastAsia" w:cs="宋体" w:asciiTheme="minorEastAsia" w:hAnsiTheme="minorEastAsia"/>
          <w:color w:val="000000" w:themeColor="text1"/>
          <w:kern w:val="0"/>
          <w:szCs w:val="21"/>
          <w14:textFill>
            <w14:solidFill>
              <w14:schemeClr w14:val="tx1"/>
            </w14:solidFill>
          </w14:textFill>
        </w:rPr>
        <w:t>应谱</w:t>
      </w:r>
      <w:r>
        <w:rPr>
          <w:rFonts w:hint="eastAsia" w:cs="MS Mincho" w:asciiTheme="minorEastAsia" w:hAnsiTheme="minorEastAsia"/>
          <w:color w:val="000000" w:themeColor="text1"/>
          <w:kern w:val="0"/>
          <w:szCs w:val="21"/>
          <w14:textFill>
            <w14:solidFill>
              <w14:schemeClr w14:val="tx1"/>
            </w14:solidFill>
          </w14:textFill>
        </w:rPr>
        <w:t>法加以确定</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某些构件的抗震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算，可按本</w:t>
      </w:r>
      <w:r>
        <w:rPr>
          <w:rFonts w:hint="eastAsia" w:cs="宋体" w:asciiTheme="minorEastAsia" w:hAnsiTheme="minorEastAsia"/>
          <w:color w:val="000000" w:themeColor="text1"/>
          <w:kern w:val="0"/>
          <w:szCs w:val="21"/>
          <w14:textFill>
            <w14:solidFill>
              <w14:schemeClr w14:val="tx1"/>
            </w14:solidFill>
          </w14:textFill>
        </w:rPr>
        <w:t>标准</w:t>
      </w:r>
      <w:r>
        <w:rPr>
          <w:rFonts w:hint="eastAsia" w:cs="MS Mincho" w:asciiTheme="minorEastAsia" w:hAnsiTheme="minorEastAsia"/>
          <w:color w:val="000000" w:themeColor="text1"/>
          <w:kern w:val="0"/>
          <w:szCs w:val="21"/>
          <w14:textFill>
            <w14:solidFill>
              <w14:schemeClr w14:val="tx1"/>
            </w14:solidFill>
          </w14:textFill>
        </w:rPr>
        <w:t>各章所</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w:t>
      </w:r>
      <w:r>
        <w:rPr>
          <w:rFonts w:hint="eastAsia" w:cs="宋体" w:asciiTheme="minorEastAsia" w:hAnsiTheme="minorEastAsia"/>
          <w:color w:val="000000" w:themeColor="text1"/>
          <w:kern w:val="0"/>
          <w:szCs w:val="21"/>
          <w14:textFill>
            <w14:solidFill>
              <w14:schemeClr w14:val="tx1"/>
            </w14:solidFill>
          </w14:textFill>
        </w:rPr>
        <w:t>简</w:t>
      </w:r>
      <w:r>
        <w:rPr>
          <w:rFonts w:hint="eastAsia" w:cs="MS Mincho" w:asciiTheme="minorEastAsia" w:hAnsiTheme="minorEastAsia"/>
          <w:color w:val="000000" w:themeColor="text1"/>
          <w:kern w:val="0"/>
          <w:szCs w:val="21"/>
          <w14:textFill>
            <w14:solidFill>
              <w14:schemeClr w14:val="tx1"/>
            </w14:solidFill>
          </w14:textFill>
        </w:rPr>
        <w:t>化方法确定其地震作用。</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不考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扭</w:t>
      </w:r>
      <w:r>
        <w:rPr>
          <w:rFonts w:hint="eastAsia" w:cs="宋体" w:asciiTheme="minorEastAsia" w:hAnsiTheme="minorEastAsia"/>
          <w:color w:val="000000" w:themeColor="text1"/>
          <w:kern w:val="0"/>
          <w:szCs w:val="21"/>
          <w14:textFill>
            <w14:solidFill>
              <w14:schemeClr w14:val="tx1"/>
            </w14:solidFill>
          </w14:textFill>
        </w:rPr>
        <w:t>转</w:t>
      </w:r>
      <w:r>
        <w:rPr>
          <w:rFonts w:hint="eastAsia" w:cs="MS Mincho" w:asciiTheme="minorEastAsia" w:hAnsiTheme="minorEastAsia"/>
          <w:color w:val="000000" w:themeColor="text1"/>
          <w:kern w:val="0"/>
          <w:szCs w:val="21"/>
          <w14:textFill>
            <w14:solidFill>
              <w14:schemeClr w14:val="tx1"/>
            </w14:solidFill>
          </w14:textFill>
        </w:rPr>
        <w:t>影响</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，可采用</w:t>
      </w:r>
      <w:bookmarkStart w:id="41" w:name="_Hlk42858369"/>
      <w:r>
        <w:rPr>
          <w:rFonts w:hint="eastAsia" w:cs="MS Mincho" w:asciiTheme="minorEastAsia" w:hAnsiTheme="minorEastAsia"/>
          <w:color w:val="000000" w:themeColor="text1"/>
          <w:kern w:val="0"/>
          <w:szCs w:val="21"/>
          <w14:textFill>
            <w14:solidFill>
              <w14:schemeClr w14:val="tx1"/>
            </w14:solidFill>
          </w14:textFill>
        </w:rPr>
        <w:t>平面计算模型</w:t>
      </w:r>
      <w:bookmarkEnd w:id="41"/>
      <w:r>
        <w:rPr>
          <w:rFonts w:hint="eastAsia" w:cs="MS Mincho" w:asciiTheme="minorEastAsia" w:hAnsiTheme="minorEastAsia"/>
          <w:color w:val="000000" w:themeColor="text1"/>
          <w:kern w:val="0"/>
          <w:szCs w:val="21"/>
          <w14:textFill>
            <w14:solidFill>
              <w14:schemeClr w14:val="tx1"/>
            </w14:solidFill>
          </w14:textFill>
        </w:rPr>
        <w:t>，按下列</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结</w:t>
      </w:r>
      <w:r>
        <w:rPr>
          <w:rFonts w:hint="eastAsia" w:cs="HiddenHorzOCR" w:asciiTheme="minorEastAsia" w:hAnsiTheme="minorEastAsia"/>
          <w:color w:val="000000" w:themeColor="text1"/>
          <w:kern w:val="0"/>
          <w:szCs w:val="21"/>
          <w14:textFill>
            <w14:solidFill>
              <w14:schemeClr w14:val="tx1"/>
            </w14:solidFill>
          </w14:textFill>
        </w:rPr>
        <w:t>构的地震作用及其作用效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HiddenHorzOCR" w:asciiTheme="minorEastAsia" w:hAnsiTheme="minorEastAsia"/>
          <w:color w:val="000000" w:themeColor="text1"/>
          <w:kern w:val="0"/>
          <w:szCs w:val="21"/>
          <w14:textFill>
            <w14:solidFill>
              <w14:schemeClr w14:val="tx1"/>
            </w14:solidFill>
          </w14:textFill>
        </w:rPr>
        <w:t>j振型</w:t>
      </w:r>
      <w:r>
        <w:rPr>
          <w:rFonts w:cs="HiddenHorzOCR" w:asciiTheme="minorEastAsia" w:hAnsiTheme="minorEastAsia"/>
          <w:color w:val="000000" w:themeColor="text1"/>
          <w:kern w:val="0"/>
          <w:szCs w:val="21"/>
          <w14:textFill>
            <w14:solidFill>
              <w14:schemeClr w14:val="tx1"/>
            </w14:solidFill>
          </w14:textFill>
        </w:rPr>
        <w:t>i</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点的水平地震作用</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准</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按下列公</w:t>
      </w:r>
      <w:r>
        <w:rPr>
          <w:rFonts w:hint="eastAsia" w:cs="HiddenHorzOCR" w:asciiTheme="minorEastAsia" w:hAnsiTheme="minorEastAsia"/>
          <w:color w:val="000000" w:themeColor="text1"/>
          <w:kern w:val="0"/>
          <w:szCs w:val="21"/>
          <w14:textFill>
            <w14:solidFill>
              <w14:schemeClr w14:val="tx1"/>
            </w14:solidFill>
          </w14:textFill>
        </w:rPr>
        <w:t>式确定：</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bookmarkStart w:id="42" w:name="_Hlk20152953"/>
      <w:bookmarkStart w:id="43" w:name="_Hlk20412413"/>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w:bookmarkEnd w:id="42"/>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w:bookmarkStart w:id="44" w:name="_Hlk20152682"/>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w:bookmarkEnd w:id="44"/>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w:bookmarkStart w:id="45" w:name="_Hlk20152872"/>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w:bookmarkStart w:id="46" w:name="_Hlk20153236"/>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w:bookmarkEnd w:id="45"/>
              <w:bookmarkEnd w:id="46"/>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 xml:space="preserve">            (i=1,2,…,n;j=1,2,…,m)</m:t>
          </m:r>
        </m:oMath>
      </m:oMathPara>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bookmarkStart w:id="47" w:name="_Hlk20153154"/>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w:bookmarkEnd w:id="47"/>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w:bookmarkStart w:id="48" w:name="_Hlk20152904"/>
            <m:fPr>
              <m:ctrlPr>
                <w:rPr>
                  <w:rFonts w:ascii="Cambria Math" w:hAnsi="Cambria Math" w:cs="HiddenHorzOCR"/>
                  <w:color w:val="000000" w:themeColor="text1"/>
                  <w:kern w:val="0"/>
                  <w:szCs w:val="21"/>
                  <w14:textFill>
                    <w14:solidFill>
                      <w14:schemeClr w14:val="tx1"/>
                    </w14:solidFill>
                  </w14:textFill>
                </w:rPr>
              </m:ctrlPr>
            </m:fPr>
            <m:num>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w:bookmarkEnd w:id="48"/>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num>
            <m:den>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sSup>
                    <m:sSupPr>
                      <m:ctrlPr>
                        <w:rPr>
                          <w:rFonts w:ascii="Cambria Math" w:hAnsi="Cambria Math" w:cs="HiddenHorzOCR"/>
                          <w:color w:val="000000" w:themeColor="text1"/>
                          <w:kern w:val="0"/>
                          <w:szCs w:val="21"/>
                          <w14:textFill>
                            <w14:solidFill>
                              <w14:schemeClr w14:val="tx1"/>
                            </w14:solidFill>
                          </w14:textFill>
                        </w:rPr>
                      </m:ctrlPr>
                    </m:sSupPr>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p>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 xml:space="preserve">                           </m:t>
          </m:r>
          <m:r>
            <m:rPr>
              <m:sty m:val="p"/>
            </m:rPr>
            <w:rPr>
              <w:rFonts w:hint="eastAsia" w:ascii="Cambria Math" w:hAnsi="Cambria Math" w:cs="HiddenHorzOCR"/>
              <w:color w:val="000000" w:themeColor="text1"/>
              <w:kern w:val="0"/>
              <w:szCs w:val="21"/>
              <w14:textFill>
                <w14:solidFill>
                  <w14:schemeClr w14:val="tx1"/>
                </w14:solidFill>
              </w14:textFill>
            </w:rPr>
            <m:t>（4.3.4</m:t>
          </m:r>
          <m:r>
            <m:rPr>
              <m:sty m:val="p"/>
            </m:rPr>
            <w:rPr>
              <w:rFonts w:hint="eastAsia" w:ascii="微软雅黑" w:hAnsi="微软雅黑" w:eastAsia="微软雅黑" w:cs="微软雅黑"/>
              <w:color w:val="000000" w:themeColor="text1"/>
              <w:kern w:val="0"/>
              <w:szCs w:val="21"/>
              <w14:textFill>
                <w14:solidFill>
                  <w14:schemeClr w14:val="tx1"/>
                </w14:solidFill>
              </w14:textFill>
            </w:rPr>
            <m:t>-</m:t>
          </m:r>
          <m:r>
            <m:rPr>
              <m:sty m:val="p"/>
            </m:rPr>
            <w:rPr>
              <w:rFonts w:hint="eastAsia" w:ascii="Cambria Math" w:hAnsi="Cambria Math" w:cs="HiddenHorzOCR"/>
              <w:color w:val="000000" w:themeColor="text1"/>
              <w:kern w:val="0"/>
              <w:szCs w:val="21"/>
              <w14:textFill>
                <w14:solidFill>
                  <w14:schemeClr w14:val="tx1"/>
                </w14:solidFill>
              </w14:textFill>
            </w:rPr>
            <m:t>1）</m:t>
          </m:r>
          <m:r>
            <w:rPr>
              <w:rFonts w:ascii="Cambria Math" w:hAnsi="Cambria Math" w:cs="HiddenHorzOCR"/>
              <w:color w:val="000000" w:themeColor="text1"/>
              <w:kern w:val="0"/>
              <w:szCs w:val="21"/>
              <w14:textFill>
                <w14:solidFill>
                  <w14:schemeClr w14:val="tx1"/>
                </w14:solidFill>
              </w14:textFill>
            </w:rPr>
            <m:t xml:space="preserve"> </m:t>
          </m:r>
        </m:oMath>
      </m:oMathPara>
    </w:p>
    <w:bookmarkEnd w:id="43"/>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bookmarkStart w:id="49" w:name="_Hlk20153198"/>
      <w:r>
        <w:rPr>
          <w:rFonts w:hint="eastAsia" w:cs="HiddenHorzOCR" w:asciiTheme="minorEastAsia" w:hAnsiTheme="minorEastAsia"/>
          <w:color w:val="000000" w:themeColor="text1"/>
          <w:kern w:val="0"/>
          <w:szCs w:val="21"/>
          <w14:textFill>
            <w14:solidFill>
              <w14:schemeClr w14:val="tx1"/>
            </w14:solidFill>
          </w14:textFill>
        </w:rPr>
        <w:t>j振型i质点的水平地震作用标准值；</w:t>
      </w:r>
      <w:bookmarkEnd w:id="49"/>
    </w:p>
    <w:p>
      <w:pPr>
        <w:autoSpaceDE w:val="0"/>
        <w:autoSpaceDN w:val="0"/>
        <w:spacing w:line="360" w:lineRule="auto"/>
        <w:ind w:left="1260" w:leftChars="300" w:hanging="630" w:hanging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——j振型自振周期</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的地震影响系数，按《建筑抗震设计规范》G</w:t>
      </w:r>
      <w:r>
        <w:rPr>
          <w:rFonts w:cs="HiddenHorzOCR" w:asciiTheme="minorEastAsia" w:hAnsiTheme="minorEastAsia"/>
          <w:color w:val="000000" w:themeColor="text1"/>
          <w:kern w:val="0"/>
          <w:szCs w:val="21"/>
          <w14:textFill>
            <w14:solidFill>
              <w14:schemeClr w14:val="tx1"/>
            </w14:solidFill>
          </w14:textFill>
        </w:rPr>
        <w:t>B50011</w:t>
      </w:r>
      <w:r>
        <w:rPr>
          <w:rFonts w:hint="eastAsia" w:cs="HiddenHorzOCR" w:asciiTheme="minorEastAsia" w:hAnsiTheme="minorEastAsia"/>
          <w:color w:val="000000" w:themeColor="text1"/>
          <w:kern w:val="0"/>
          <w:szCs w:val="21"/>
          <w14:textFill>
            <w14:solidFill>
              <w14:schemeClr w14:val="tx1"/>
            </w14:solidFill>
          </w14:textFill>
        </w:rPr>
        <w:t>多遇地震采用；</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w:bookmarkStart w:id="50" w:name="_Hlk20412535"/>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——j振型的参与系数；</w:t>
      </w:r>
    </w:p>
    <w:bookmarkEnd w:id="50"/>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w:bookmarkStart w:id="51" w:name="_Hlk20412905"/>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bookmarkStart w:id="52" w:name="_Hlk20153258"/>
      <w:r>
        <w:rPr>
          <w:rFonts w:hint="eastAsia" w:cs="HiddenHorzOCR" w:asciiTheme="minorEastAsia" w:hAnsiTheme="minorEastAsia"/>
          <w:color w:val="000000" w:themeColor="text1"/>
          <w:kern w:val="0"/>
          <w:szCs w:val="21"/>
          <w14:textFill>
            <w14:solidFill>
              <w14:schemeClr w14:val="tx1"/>
            </w14:solidFill>
          </w14:textFill>
        </w:rPr>
        <w:t>j振型i质点的相对位移；</w:t>
      </w:r>
      <w:bookmarkEnd w:id="52"/>
    </w:p>
    <w:bookmarkEnd w:id="51"/>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——集中于i质点的重力荷载代表值。</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 水平地震作用效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（弯矩、剪力、</w:t>
      </w:r>
      <w:r>
        <w:rPr>
          <w:rFonts w:hint="eastAsia" w:cs="宋体" w:asciiTheme="minorEastAsia" w:hAnsiTheme="minorEastAsia"/>
          <w:color w:val="000000" w:themeColor="text1"/>
          <w:kern w:val="0"/>
          <w:szCs w:val="21"/>
          <w14:textFill>
            <w14:solidFill>
              <w14:schemeClr w14:val="tx1"/>
            </w14:solidFill>
          </w14:textFill>
        </w:rPr>
        <w:t>轴</w:t>
      </w:r>
      <w:r>
        <w:rPr>
          <w:rFonts w:hint="eastAsia" w:cs="MS Mincho" w:asciiTheme="minorEastAsia" w:hAnsiTheme="minorEastAsia"/>
          <w:color w:val="000000" w:themeColor="text1"/>
          <w:kern w:val="0"/>
          <w:szCs w:val="21"/>
          <w14:textFill>
            <w14:solidFill>
              <w14:schemeClr w14:val="tx1"/>
            </w14:solidFill>
          </w14:textFill>
        </w:rPr>
        <w:t>向力或</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MS Mincho" w:asciiTheme="minorEastAsia" w:hAnsiTheme="minorEastAsia"/>
          <w:color w:val="000000" w:themeColor="text1"/>
          <w:kern w:val="0"/>
          <w:szCs w:val="21"/>
          <w14:textFill>
            <w14:solidFill>
              <w14:schemeClr w14:val="tx1"/>
            </w14:solidFill>
          </w14:textFill>
        </w:rPr>
        <w:t>按</w:t>
      </w:r>
      <w:r>
        <w:rPr>
          <w:rFonts w:hint="eastAsia" w:cs="HiddenHorzOCR" w:asciiTheme="minorEastAsia" w:hAnsiTheme="minorEastAsia"/>
          <w:color w:val="000000" w:themeColor="text1"/>
          <w:kern w:val="0"/>
          <w:szCs w:val="21"/>
          <w14:textFill>
            <w14:solidFill>
              <w14:schemeClr w14:val="tx1"/>
            </w14:solidFill>
          </w14:textFill>
        </w:rPr>
        <w:t>下式确定：</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r>
            <m:rPr>
              <m:sty m:val="p"/>
            </m:rPr>
            <w:rPr>
              <w:rFonts w:ascii="Cambria Math" w:hAnsi="Cambria Math" w:cs="HiddenHorzOCR"/>
              <w:color w:val="000000" w:themeColor="text1"/>
              <w:kern w:val="0"/>
              <w:szCs w:val="21"/>
              <w14:textFill>
                <w14:solidFill>
                  <w14:schemeClr w14:val="tx1"/>
                </w14:solidFill>
              </w14:textFill>
            </w:rPr>
            <m:t>S</m:t>
          </m:r>
          <m:r>
            <m:rPr>
              <m:sty m:val="p"/>
            </m:rPr>
            <w:rPr>
              <w:rFonts w:hint="eastAsia" w:ascii="Cambria Math" w:hAnsi="Cambria Math" w:cs="HiddenHorzOCR"/>
              <w:color w:val="000000" w:themeColor="text1"/>
              <w:kern w:val="0"/>
              <w:szCs w:val="21"/>
              <w14:textFill>
                <w14:solidFill>
                  <w14:schemeClr w14:val="tx1"/>
                </w14:solidFill>
              </w14:textFill>
            </w:rPr>
            <m:t>=</m:t>
          </m:r>
          <m:rad>
            <m:radPr>
              <m:degHide m:val="1"/>
              <m:ctrlPr>
                <w:rPr>
                  <w:rFonts w:ascii="Cambria Math" w:hAnsi="Cambria Math" w:cs="HiddenHorzOCR"/>
                  <w:color w:val="000000" w:themeColor="text1"/>
                  <w:kern w:val="0"/>
                  <w:szCs w:val="21"/>
                  <w14:textFill>
                    <w14:solidFill>
                      <w14:schemeClr w14:val="tx1"/>
                    </w14:solidFill>
                  </w14:textFill>
                </w:rPr>
              </m:ctrlPr>
            </m:radPr>
            <m:deg>
              <m:ctrlPr>
                <w:rPr>
                  <w:rFonts w:ascii="Cambria Math" w:hAnsi="Cambria Math" w:cs="HiddenHorzOCR"/>
                  <w:color w:val="000000" w:themeColor="text1"/>
                  <w:kern w:val="0"/>
                  <w:szCs w:val="21"/>
                  <w14:textFill>
                    <w14:solidFill>
                      <w14:schemeClr w14:val="tx1"/>
                    </w14:solidFill>
                  </w14:textFill>
                </w:rPr>
              </m:ctrlPr>
            </m:deg>
            <m:e>
              <m:nary>
                <m:naryPr>
                  <m:chr m:val="∑"/>
                  <m:limLoc m:val="undOvr"/>
                  <m:subHide m:val="1"/>
                  <m:supHide m:val="1"/>
                  <m:ctrlPr>
                    <w:rPr>
                      <w:rFonts w:ascii="Cambria Math" w:hAnsi="Cambria Math" w:cs="HiddenHorzOCR"/>
                      <w:color w:val="000000" w:themeColor="text1"/>
                      <w:kern w:val="0"/>
                      <w:szCs w:val="21"/>
                      <w14:textFill>
                        <w14:solidFill>
                          <w14:schemeClr w14:val="tx1"/>
                        </w14:solidFill>
                      </w14:textFill>
                    </w:rPr>
                  </m:ctrlPr>
                </m:naryPr>
                <m:sub>
                  <m:ctrlPr>
                    <w:rPr>
                      <w:rFonts w:ascii="Cambria Math" w:hAnsi="Cambria Math" w:cs="HiddenHorzOCR"/>
                      <w:color w:val="000000" w:themeColor="text1"/>
                      <w:kern w:val="0"/>
                      <w:szCs w:val="21"/>
                      <w14:textFill>
                        <w14:solidFill>
                          <w14:schemeClr w14:val="tx1"/>
                        </w14:solidFill>
                      </w14:textFill>
                    </w:rPr>
                  </m:ctrlPr>
                </m:sub>
                <m:sup>
                  <m:ctrlPr>
                    <w:rPr>
                      <w:rFonts w:ascii="Cambria Math" w:hAnsi="Cambria Math" w:cs="HiddenHorzOCR"/>
                      <w:color w:val="000000" w:themeColor="text1"/>
                      <w:kern w:val="0"/>
                      <w:szCs w:val="21"/>
                      <w14:textFill>
                        <w14:solidFill>
                          <w14:schemeClr w14:val="tx1"/>
                        </w14:solidFill>
                      </w14:textFill>
                    </w:rPr>
                  </m:ctrlPr>
                </m:sup>
                <m:e>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e>
          </m:rad>
          <m:r>
            <m:rPr>
              <m:sty m:val="p"/>
            </m:rPr>
            <w:rPr>
              <w:rFonts w:ascii="Cambria Math" w:hAnsi="Cambria Math" w:cs="HiddenHorzOCR"/>
              <w:color w:val="000000" w:themeColor="text1"/>
              <w:kern w:val="0"/>
              <w:szCs w:val="21"/>
              <w14:textFill>
                <w14:solidFill>
                  <w14:schemeClr w14:val="tx1"/>
                </w14:solidFill>
              </w14:textFill>
            </w:rPr>
            <m:t xml:space="preserve">                            </m:t>
          </m:r>
          <m:r>
            <m:rPr>
              <m:sty m:val="p"/>
            </m:rPr>
            <w:rPr>
              <w:rFonts w:hint="eastAsia" w:ascii="Cambria Math" w:hAnsi="Cambria Math" w:cs="HiddenHorzOCR"/>
              <w:color w:val="000000" w:themeColor="text1"/>
              <w:kern w:val="0"/>
              <w:szCs w:val="21"/>
              <w14:textFill>
                <w14:solidFill>
                  <w14:schemeClr w14:val="tx1"/>
                </w14:solidFill>
              </w14:textFill>
            </w:rPr>
            <m:t>（4.3.4</m:t>
          </m:r>
          <m:r>
            <m:rPr>
              <m:sty m:val="p"/>
            </m:rPr>
            <w:rPr>
              <w:rFonts w:hint="eastAsia" w:ascii="微软雅黑" w:hAnsi="微软雅黑" w:eastAsia="微软雅黑" w:cs="微软雅黑"/>
              <w:color w:val="000000" w:themeColor="text1"/>
              <w:kern w:val="0"/>
              <w:szCs w:val="21"/>
              <w14:textFill>
                <w14:solidFill>
                  <w14:schemeClr w14:val="tx1"/>
                </w14:solidFill>
              </w14:textFill>
            </w:rPr>
            <m:t>-</m:t>
          </m:r>
          <m:r>
            <m:rPr>
              <m:sty m:val="p"/>
            </m:rPr>
            <w:rPr>
              <w:rFonts w:hint="eastAsia" w:ascii="Cambria Math" w:hAnsi="Cambria Math" w:cs="HiddenHorzOCR"/>
              <w:color w:val="000000" w:themeColor="text1"/>
              <w:kern w:val="0"/>
              <w:szCs w:val="21"/>
              <w14:textFill>
                <w14:solidFill>
                  <w14:schemeClr w14:val="tx1"/>
                </w14:solidFill>
              </w14:textFill>
            </w:rPr>
            <m:t>2）</m:t>
          </m:r>
        </m:oMath>
      </m:oMathPara>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w:bookmarkStart w:id="53" w:name="_Hlk20414543"/>
      <m:oMath>
        <m:r>
          <m:rPr>
            <m:sty m:val="p"/>
          </m:rPr>
          <w:rPr>
            <w:rFonts w:ascii="Cambria Math" w:hAnsi="Cambria Math" w:cs="HiddenHorzOCR"/>
            <w:color w:val="000000" w:themeColor="text1"/>
            <w:kern w:val="0"/>
            <w:szCs w:val="21"/>
            <w14:textFill>
              <w14:solidFill>
                <w14:schemeClr w14:val="tx1"/>
              </w14:solidFill>
            </w14:textFill>
          </w:rPr>
          <m:t>S</m:t>
        </m:r>
      </m:oMath>
      <w:r>
        <w:rPr>
          <w:rFonts w:hint="eastAsia" w:cs="HiddenHorzOCR" w:asciiTheme="minorEastAsia" w:hAnsiTheme="minorEastAsia"/>
          <w:color w:val="000000" w:themeColor="text1"/>
          <w:kern w:val="0"/>
          <w:szCs w:val="21"/>
          <w14:textFill>
            <w14:solidFill>
              <w14:schemeClr w14:val="tx1"/>
            </w14:solidFill>
          </w14:textFill>
        </w:rPr>
        <w:t>——水平地震作用效应；</w:t>
      </w:r>
    </w:p>
    <w:p>
      <w:pPr>
        <w:autoSpaceDE w:val="0"/>
        <w:autoSpaceDN w:val="0"/>
        <w:spacing w:line="360" w:lineRule="auto"/>
        <w:ind w:left="1260" w:leftChars="300" w:hanging="630" w:hanging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——j振型水平地震作用产生的作用效应，按结构力学方法确定；单层厂房排架和刚架以及多层厂房框架和框架-剪力墙结构，可取前3个振型；单-多层厂房框-排架结构，应取前5个振型。</w:t>
      </w:r>
    </w:p>
    <w:bookmarkEnd w:id="53"/>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5</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轻</w:t>
      </w:r>
      <w:r>
        <w:rPr>
          <w:rFonts w:hint="eastAsia" w:cs="MS Mincho" w:asciiTheme="minorEastAsia" w:hAnsiTheme="minorEastAsia"/>
          <w:color w:val="000000" w:themeColor="text1"/>
          <w:kern w:val="0"/>
          <w:szCs w:val="21"/>
          <w14:textFill>
            <w14:solidFill>
              <w14:schemeClr w14:val="tx1"/>
            </w14:solidFill>
          </w14:textFill>
        </w:rPr>
        <w:t>型板材屋面（楼面）的结构，按空</w:t>
      </w:r>
      <w:r>
        <w:rPr>
          <w:rFonts w:hint="eastAsia" w:cs="宋体" w:asciiTheme="minorEastAsia" w:hAnsiTheme="minorEastAsia"/>
          <w:color w:val="000000" w:themeColor="text1"/>
          <w:kern w:val="0"/>
          <w:szCs w:val="21"/>
          <w14:textFill>
            <w14:solidFill>
              <w14:schemeClr w14:val="tx1"/>
            </w14:solidFill>
          </w14:textFill>
        </w:rPr>
        <w:t>间结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算其地震反</w:t>
      </w:r>
      <w:r>
        <w:rPr>
          <w:rFonts w:hint="eastAsia" w:cs="宋体" w:asciiTheme="minorEastAsia" w:hAnsiTheme="minorEastAsia"/>
          <w:color w:val="000000" w:themeColor="text1"/>
          <w:kern w:val="0"/>
          <w:szCs w:val="21"/>
          <w14:textFill>
            <w14:solidFill>
              <w14:schemeClr w14:val="tx1"/>
            </w14:solidFill>
          </w14:textFill>
        </w:rPr>
        <w:t>应时</w:t>
      </w:r>
      <w:r>
        <w:rPr>
          <w:rFonts w:hint="eastAsia" w:cs="MS Mincho" w:asciiTheme="minorEastAsia" w:hAnsiTheme="minorEastAsia"/>
          <w:color w:val="000000" w:themeColor="text1"/>
          <w:kern w:val="0"/>
          <w:szCs w:val="21"/>
          <w14:textFill>
            <w14:solidFill>
              <w14:schemeClr w14:val="tx1"/>
            </w14:solidFill>
          </w14:textFill>
        </w:rPr>
        <w:t>，宜考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屋盖（</w:t>
      </w:r>
      <w:r>
        <w:rPr>
          <w:rFonts w:hint="eastAsia" w:cs="HiddenHorzOCR" w:asciiTheme="minorEastAsia" w:hAnsiTheme="minorEastAsia"/>
          <w:color w:val="000000" w:themeColor="text1"/>
          <w:kern w:val="0"/>
          <w:szCs w:val="21"/>
          <w14:textFill>
            <w14:solidFill>
              <w14:schemeClr w14:val="tx1"/>
            </w14:solidFill>
          </w14:textFill>
        </w:rPr>
        <w:t>楼盖）的</w:t>
      </w:r>
      <w:r>
        <w:rPr>
          <w:rFonts w:hint="eastAsia" w:cs="宋体" w:asciiTheme="minorEastAsia" w:hAnsiTheme="minorEastAsia"/>
          <w:color w:val="000000" w:themeColor="text1"/>
          <w:kern w:val="0"/>
          <w:szCs w:val="21"/>
          <w14:textFill>
            <w14:solidFill>
              <w14:schemeClr w14:val="tx1"/>
            </w14:solidFill>
          </w14:textFill>
        </w:rPr>
        <w:t>弹</w:t>
      </w:r>
      <w:r>
        <w:rPr>
          <w:rFonts w:hint="eastAsia" w:cs="MS Mincho" w:asciiTheme="minorEastAsia" w:hAnsiTheme="minorEastAsia"/>
          <w:color w:val="000000" w:themeColor="text1"/>
          <w:kern w:val="0"/>
          <w:szCs w:val="21"/>
          <w14:textFill>
            <w14:solidFill>
              <w14:schemeClr w14:val="tx1"/>
            </w14:solidFill>
          </w14:textFill>
        </w:rPr>
        <w:t>性</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w:t>
      </w:r>
      <w:r>
        <w:rPr>
          <w:rFonts w:hint="eastAsia" w:cs="HiddenHorzOCR" w:asciiTheme="minorEastAsia" w:hAnsiTheme="minorEastAsia"/>
          <w:color w:val="000000" w:themeColor="text1"/>
          <w:kern w:val="0"/>
          <w:szCs w:val="21"/>
          <w14:textFill>
            <w14:solidFill>
              <w14:schemeClr w14:val="tx1"/>
            </w14:solidFill>
          </w14:textFill>
        </w:rPr>
        <w:t>；此</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，需</w:t>
      </w:r>
      <w:r>
        <w:rPr>
          <w:rFonts w:hint="eastAsia" w:cs="HiddenHorzOCR"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扭</w:t>
      </w:r>
      <w:r>
        <w:rPr>
          <w:rFonts w:hint="eastAsia" w:cs="宋体" w:asciiTheme="minorEastAsia" w:hAnsiTheme="minorEastAsia"/>
          <w:color w:val="000000" w:themeColor="text1"/>
          <w:kern w:val="0"/>
          <w:szCs w:val="21"/>
          <w14:textFill>
            <w14:solidFill>
              <w14:schemeClr w14:val="tx1"/>
            </w14:solidFill>
          </w14:textFill>
        </w:rPr>
        <w:t>转</w:t>
      </w:r>
      <w:r>
        <w:rPr>
          <w:rFonts w:hint="eastAsia" w:cs="MS Mincho" w:asciiTheme="minorEastAsia" w:hAnsiTheme="minorEastAsia"/>
          <w:color w:val="000000" w:themeColor="text1"/>
          <w:kern w:val="0"/>
          <w:szCs w:val="21"/>
          <w14:textFill>
            <w14:solidFill>
              <w14:schemeClr w14:val="tx1"/>
            </w14:solidFill>
          </w14:textFill>
        </w:rPr>
        <w:t>影响</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，沿结构的横向和</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向的水平地震作用和作用效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cs="HiddenHorzOCR" w:asciiTheme="minorEastAsia" w:hAnsiTheme="minorEastAsia"/>
          <w:color w:val="000000" w:themeColor="text1"/>
          <w:kern w:val="0"/>
          <w:szCs w:val="21"/>
          <w14:textFill>
            <w14:solidFill>
              <w14:schemeClr w14:val="tx1"/>
            </w14:solidFill>
          </w14:textFill>
        </w:rPr>
        <w:t>j</w:t>
      </w:r>
      <w:r>
        <w:rPr>
          <w:rFonts w:hint="eastAsia" w:cs="HiddenHorzOCR" w:asciiTheme="minorEastAsia" w:hAnsiTheme="minorEastAsia"/>
          <w:color w:val="000000" w:themeColor="text1"/>
          <w:kern w:val="0"/>
          <w:szCs w:val="21"/>
          <w14:textFill>
            <w14:solidFill>
              <w14:schemeClr w14:val="tx1"/>
            </w14:solidFill>
          </w14:textFill>
        </w:rPr>
        <w:t>振型</w:t>
      </w:r>
      <w:r>
        <w:rPr>
          <w:rFonts w:cs="HiddenHorzOCR" w:asciiTheme="minorEastAsia" w:hAnsiTheme="minorEastAsia"/>
          <w:color w:val="000000" w:themeColor="text1"/>
          <w:kern w:val="0"/>
          <w:szCs w:val="21"/>
          <w14:textFill>
            <w14:solidFill>
              <w14:schemeClr w14:val="tx1"/>
            </w14:solidFill>
          </w14:textFill>
        </w:rPr>
        <w:t>i</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点的水平地震作用</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准</w:t>
      </w:r>
      <w:r>
        <w:rPr>
          <w:rFonts w:hint="eastAsia" w:cs="宋体" w:asciiTheme="minorEastAsia" w:hAnsiTheme="minorEastAsia"/>
          <w:color w:val="000000" w:themeColor="text1"/>
          <w:kern w:val="0"/>
          <w:szCs w:val="21"/>
          <w14:textFill>
            <w14:solidFill>
              <w14:schemeClr w14:val="tx1"/>
            </w14:solidFill>
          </w14:textFill>
        </w:rPr>
        <w:t>值应</w:t>
      </w:r>
      <w:r>
        <w:rPr>
          <w:rFonts w:hint="eastAsia" w:cs="MS Mincho" w:asciiTheme="minorEastAsia" w:hAnsiTheme="minorEastAsia"/>
          <w:color w:val="000000" w:themeColor="text1"/>
          <w:kern w:val="0"/>
          <w:szCs w:val="21"/>
          <w14:textFill>
            <w14:solidFill>
              <w14:schemeClr w14:val="tx1"/>
            </w14:solidFill>
          </w14:textFill>
        </w:rPr>
        <w:t>按下列公</w:t>
      </w:r>
      <w:r>
        <w:rPr>
          <w:rFonts w:hint="eastAsia" w:cs="HiddenHorzOCR" w:asciiTheme="minorEastAsia" w:hAnsiTheme="minorEastAsia"/>
          <w:color w:val="000000" w:themeColor="text1"/>
          <w:kern w:val="0"/>
          <w:szCs w:val="21"/>
          <w14:textFill>
            <w14:solidFill>
              <w14:schemeClr w14:val="tx1"/>
            </w14:solidFill>
          </w14:textFill>
        </w:rPr>
        <w:t>式确定：</w:t>
      </w:r>
    </w:p>
    <w:p>
      <w:pPr>
        <w:autoSpaceDE w:val="0"/>
        <w:autoSpaceDN w:val="0"/>
        <w:spacing w:line="360" w:lineRule="auto"/>
        <w:ind w:firstLine="420"/>
        <w:jc w:val="left"/>
        <w:rPr>
          <w:rFonts w:cs="HiddenHorzOCR" w:asciiTheme="minorEastAsia" w:hAnsiTheme="minorEastAsia"/>
          <w:i/>
          <w:color w:val="000000" w:themeColor="text1"/>
          <w:kern w:val="0"/>
          <w:szCs w:val="21"/>
          <w14:textFill>
            <w14:solidFill>
              <w14:schemeClr w14:val="tx1"/>
            </w14:solidFill>
          </w14:textFill>
        </w:rPr>
      </w:pPr>
      <w:bookmarkStart w:id="54" w:name="_Hlk20412686"/>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x</m:t>
              </m:r>
              <m:r>
                <m:rPr>
                  <m:sty m:val="p"/>
                </m:rPr>
                <w:rPr>
                  <w:rFonts w:ascii="Cambria Math" w:hAnsi="Cambria Math" w:cs="HiddenHorzOCR"/>
                  <w:color w:val="000000" w:themeColor="text1"/>
                  <w:kern w:val="0"/>
                  <w:szCs w:val="21"/>
                  <w14:textFill>
                    <w14:solidFill>
                      <w14:schemeClr w14:val="tx1"/>
                    </w14:solidFill>
                  </w14:textFill>
                </w:rPr>
                <m:t>ji</m:t>
              </m:r>
              <w:bookmarkEnd w:id="54"/>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 xml:space="preserve">            </m:t>
          </m:r>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i=1,2,…,n;j=1,2,…,m</m:t>
              </m:r>
              <m:ctrlPr>
                <w:rPr>
                  <w:rFonts w:ascii="Cambria Math" w:hAnsi="Cambria Math" w:cs="HiddenHorzOCR"/>
                  <w:color w:val="000000" w:themeColor="text1"/>
                  <w:kern w:val="0"/>
                  <w:szCs w:val="21"/>
                  <w14:textFill>
                    <w14:solidFill>
                      <w14:schemeClr w14:val="tx1"/>
                    </w14:solidFill>
                  </w14:textFill>
                </w:rPr>
              </m:ctrlPr>
            </m:e>
          </m:d>
          <m:r>
            <w:rPr>
              <w:rFonts w:ascii="Cambria Math" w:hAnsi="Cambria Math" w:cs="HiddenHorzOCR"/>
              <w:color w:val="000000" w:themeColor="text1"/>
              <w:kern w:val="0"/>
              <w:szCs w:val="21"/>
              <w14:textFill>
                <w14:solidFill>
                  <w14:schemeClr w14:val="tx1"/>
                </w14:solidFill>
              </w14:textFill>
            </w:rPr>
            <m:t xml:space="preserve">              (4.</m:t>
          </m:r>
          <m:r>
            <w:rPr>
              <w:rFonts w:hint="eastAsia" w:ascii="Cambria Math" w:hAnsi="Cambria Math" w:cs="HiddenHorzOCR"/>
              <w:color w:val="000000" w:themeColor="text1"/>
              <w:kern w:val="0"/>
              <w:szCs w:val="21"/>
              <w14:textFill>
                <w14:solidFill>
                  <w14:schemeClr w14:val="tx1"/>
                </w14:solidFill>
              </w14:textFill>
            </w:rPr>
            <m:t>3</m:t>
          </m:r>
          <m:r>
            <w:rPr>
              <w:rFonts w:ascii="Cambria Math" w:hAnsi="Cambria Math" w:cs="HiddenHorzOCR"/>
              <w:color w:val="000000" w:themeColor="text1"/>
              <w:kern w:val="0"/>
              <w:szCs w:val="21"/>
              <w14:textFill>
                <w14:solidFill>
                  <w14:schemeClr w14:val="tx1"/>
                </w14:solidFill>
              </w14:textFill>
            </w:rPr>
            <m:t>.</m:t>
          </m:r>
          <m:r>
            <w:rPr>
              <w:rFonts w:hint="eastAsia" w:ascii="Cambria Math" w:hAnsi="Cambria Math" w:cs="HiddenHorzOCR"/>
              <w:color w:val="000000" w:themeColor="text1"/>
              <w:kern w:val="0"/>
              <w:szCs w:val="21"/>
              <w14:textFill>
                <w14:solidFill>
                  <w14:schemeClr w14:val="tx1"/>
                </w14:solidFill>
              </w14:textFill>
            </w:rPr>
            <m:t>5</m:t>
          </m:r>
          <m:r>
            <w:rPr>
              <w:rFonts w:ascii="Cambria Math" w:hAnsi="Cambria Math" w:cs="HiddenHorzOCR"/>
              <w:color w:val="000000" w:themeColor="text1"/>
              <w:kern w:val="0"/>
              <w:szCs w:val="21"/>
              <w14:textFill>
                <w14:solidFill>
                  <w14:schemeClr w14:val="tx1"/>
                </w14:solidFill>
              </w14:textFill>
            </w:rPr>
            <m:t>-1)</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yji</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 xml:space="preserve">            </m:t>
          </m:r>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i=1,2,…,n;j=1,2,…,m</m:t>
              </m:r>
              <m:ctrlPr>
                <w:rPr>
                  <w:rFonts w:ascii="Cambria Math" w:hAnsi="Cambria Math" w:cs="HiddenHorzOCR"/>
                  <w:color w:val="000000" w:themeColor="text1"/>
                  <w:kern w:val="0"/>
                  <w:szCs w:val="21"/>
                  <w14:textFill>
                    <w14:solidFill>
                      <w14:schemeClr w14:val="tx1"/>
                    </w14:solidFill>
                  </w14:textFill>
                </w:rPr>
              </m:ctrlPr>
            </m:e>
          </m:d>
          <m:r>
            <w:rPr>
              <w:rFonts w:ascii="Cambria Math" w:hAnsi="Cambria Math" w:cs="HiddenHorzOCR"/>
              <w:color w:val="000000" w:themeColor="text1"/>
              <w:kern w:val="0"/>
              <w:szCs w:val="21"/>
              <w14:textFill>
                <w14:solidFill>
                  <w14:schemeClr w14:val="tx1"/>
                </w14:solidFill>
              </w14:textFill>
            </w:rPr>
            <m:t xml:space="preserve">              (4.</m:t>
          </m:r>
          <m:r>
            <w:rPr>
              <w:rFonts w:hint="eastAsia" w:ascii="Cambria Math" w:hAnsi="Cambria Math" w:cs="HiddenHorzOCR"/>
              <w:color w:val="000000" w:themeColor="text1"/>
              <w:kern w:val="0"/>
              <w:szCs w:val="21"/>
              <w14:textFill>
                <w14:solidFill>
                  <w14:schemeClr w14:val="tx1"/>
                </w14:solidFill>
              </w14:textFill>
            </w:rPr>
            <m:t>3</m:t>
          </m:r>
          <m:r>
            <w:rPr>
              <w:rFonts w:ascii="Cambria Math" w:hAnsi="Cambria Math" w:cs="HiddenHorzOCR"/>
              <w:color w:val="000000" w:themeColor="text1"/>
              <w:kern w:val="0"/>
              <w:szCs w:val="21"/>
              <w14:textFill>
                <w14:solidFill>
                  <w14:schemeClr w14:val="tx1"/>
                </w14:solidFill>
              </w14:textFill>
            </w:rPr>
            <m:t>.</m:t>
          </m:r>
          <m:r>
            <w:rPr>
              <w:rFonts w:hint="eastAsia" w:ascii="Cambria Math" w:hAnsi="Cambria Math" w:cs="HiddenHorzOCR"/>
              <w:color w:val="000000" w:themeColor="text1"/>
              <w:kern w:val="0"/>
              <w:szCs w:val="21"/>
              <w14:textFill>
                <w14:solidFill>
                  <w14:schemeClr w14:val="tx1"/>
                </w14:solidFill>
              </w14:textFill>
            </w:rPr>
            <m:t>5</m:t>
          </m:r>
          <m:r>
            <w:rPr>
              <w:rFonts w:ascii="Cambria Math" w:hAnsi="Cambria Math" w:cs="HiddenHorzOCR"/>
              <w:color w:val="000000" w:themeColor="text1"/>
              <w:kern w:val="0"/>
              <w:szCs w:val="21"/>
              <w14:textFill>
                <w14:solidFill>
                  <w14:schemeClr w14:val="tx1"/>
                </w14:solidFill>
              </w14:textFill>
            </w:rPr>
            <m:t>-2)</m:t>
          </m:r>
        </m:oMath>
      </m:oMathPara>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color w:val="000000" w:themeColor="text1"/>
                <w:kern w:val="0"/>
                <w:szCs w:val="21"/>
                <w14:textFill>
                  <w14:solidFill>
                    <w14:schemeClr w14:val="tx1"/>
                  </w14:solidFill>
                </w14:textFill>
              </w:rPr>
            </m:ctrlPr>
          </m:sSubPr>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x</m:t>
                </m:r>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m:t>
            </m:r>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y</m:t>
            </m:r>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——分别为j振型i质点的x方向和y方向的地震作用标准值；</w:t>
      </w:r>
    </w:p>
    <w:p>
      <w:pPr>
        <w:autoSpaceDE w:val="0"/>
        <w:autoSpaceDN w:val="0"/>
        <w:spacing w:line="360" w:lineRule="auto"/>
        <w:ind w:left="1260" w:leftChars="300" w:hanging="630" w:hangingChars="300"/>
        <w:jc w:val="left"/>
        <w:rPr>
          <w:rFonts w:cs="HiddenHorzOCR" w:asciiTheme="minorEastAsia" w:hAnsiTheme="minorEastAsia"/>
          <w:color w:val="000000" w:themeColor="text1"/>
          <w:kern w:val="0"/>
          <w:szCs w:val="21"/>
          <w14:textFill>
            <w14:solidFill>
              <w14:schemeClr w14:val="tx1"/>
            </w14:solidFill>
          </w14:textFill>
        </w:rPr>
      </w:pPr>
      <w:bookmarkStart w:id="55" w:name="_Hlk20413028"/>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ej</m:t>
            </m:r>
            <w:bookmarkEnd w:id="55"/>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——弹性楼、屋盖厂房考虑扭转影响的j振型的参与系数，可按式（4.3.5-3）或式（4.3.5-4）采用；</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w:bookmarkStart w:id="56" w:name="_Hlk20415247"/>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——分别为j振型i质点在x和y方向的水平相对位移。</w:t>
      </w:r>
    </w:p>
    <w:bookmarkEnd w:id="56"/>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2 仅</w:t>
      </w:r>
      <w:r>
        <w:rPr>
          <w:rFonts w:hint="eastAsia" w:cs="MS Mincho"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HiddenHorzOCR" w:asciiTheme="minorEastAsia" w:hAnsiTheme="minorEastAsia"/>
          <w:color w:val="000000" w:themeColor="text1"/>
          <w:kern w:val="0"/>
          <w:szCs w:val="21"/>
          <w14:textFill>
            <w14:solidFill>
              <w14:schemeClr w14:val="tx1"/>
            </w14:solidFill>
          </w14:textFill>
        </w:rPr>
        <w:t>x方向地震</w:t>
      </w:r>
      <w:r>
        <w:rPr>
          <w:rFonts w:hint="eastAsia" w:cs="宋体" w:asciiTheme="minorEastAsia" w:hAnsiTheme="minorEastAsia"/>
          <w:color w:val="000000" w:themeColor="text1"/>
          <w:kern w:val="0"/>
          <w:szCs w:val="21"/>
          <w14:textFill>
            <w14:solidFill>
              <w14:schemeClr w14:val="tx1"/>
            </w14:solidFill>
          </w14:textFill>
        </w:rPr>
        <w:t>输</w:t>
      </w:r>
      <w:r>
        <w:rPr>
          <w:rFonts w:hint="eastAsia" w:cs="MS Mincho" w:asciiTheme="minorEastAsia" w:hAnsiTheme="minorEastAsia"/>
          <w:color w:val="000000" w:themeColor="text1"/>
          <w:kern w:val="0"/>
          <w:szCs w:val="21"/>
          <w14:textFill>
            <w14:solidFill>
              <w14:schemeClr w14:val="tx1"/>
            </w14:solidFill>
          </w14:textFill>
        </w:rPr>
        <w:t>入</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，振型参与系数</w:t>
      </w:r>
      <m:oMath>
        <m:sSub>
          <w:bookmarkStart w:id="57" w:name="_Hlk20413191"/>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ej</m:t>
            </m:r>
            <w:bookmarkEnd w:id="57"/>
            <m:ctrlPr>
              <w:rPr>
                <w:rFonts w:ascii="Cambria Math" w:hAnsi="Cambria Math" w:cs="HiddenHorzOCR"/>
                <w:color w:val="000000" w:themeColor="text1"/>
                <w:kern w:val="0"/>
                <w:szCs w:val="21"/>
                <w14:textFill>
                  <w14:solidFill>
                    <w14:schemeClr w14:val="tx1"/>
                  </w14:solidFill>
                </w14:textFill>
              </w:rPr>
            </m:ctrlPr>
          </m:sub>
        </m:sSub>
      </m:oMath>
      <w:r>
        <w:rPr>
          <w:rFonts w:hint="eastAsia" w:cs="MS Mincho" w:asciiTheme="minorEastAsia" w:hAnsiTheme="minorEastAsia"/>
          <w:color w:val="000000" w:themeColor="text1"/>
          <w:kern w:val="0"/>
          <w:szCs w:val="21"/>
          <w14:textFill>
            <w14:solidFill>
              <w14:schemeClr w14:val="tx1"/>
            </w14:solidFill>
          </w14:textFill>
        </w:rPr>
        <w:t>可按下式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w:bookmarkStart w:id="58" w:name="_Hlk20413212"/>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ej</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w:bookmarkStart w:id="59" w:name="_Hlk20413172"/>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w:bookmarkEnd w:id="59"/>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num>
            <m:den>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d>
                    <m:dPr>
                      <m:ctrlPr>
                        <w:rPr>
                          <w:rFonts w:ascii="Cambria Math" w:hAnsi="Cambria Math" w:cs="HiddenHorzOCR"/>
                          <w:color w:val="000000" w:themeColor="text1"/>
                          <w:kern w:val="0"/>
                          <w:szCs w:val="21"/>
                          <w14:textFill>
                            <w14:solidFill>
                              <w14:schemeClr w14:val="tx1"/>
                            </w14:solidFill>
                          </w14:textFill>
                        </w:rPr>
                      </m:ctrlPr>
                    </m:dPr>
                    <m:e>
                      <m:sSubSup>
                        <m:sSubSupPr>
                          <m:ctrlPr>
                            <w:rPr>
                              <w:rFonts w:ascii="Cambria Math" w:hAnsi="Cambria Math" w:cs="HiddenHorzOCR"/>
                              <w:color w:val="000000" w:themeColor="text1"/>
                              <w:kern w:val="0"/>
                              <w:szCs w:val="21"/>
                              <w14:textFill>
                                <w14:solidFill>
                                  <w14:schemeClr w14:val="tx1"/>
                                </w14:solidFill>
                              </w14:textFill>
                            </w:rPr>
                          </m:ctrlPr>
                        </m:sSubSupPr>
                        <m:e>
                          <w:bookmarkStart w:id="60" w:name="_Hlk20413159"/>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w:bookmarkEnd w:id="60"/>
                          <m:ctrlPr>
                            <w:rPr>
                              <w:rFonts w:ascii="Cambria Math" w:hAnsi="Cambria Math" w:cs="HiddenHorzOCR"/>
                              <w:color w:val="000000" w:themeColor="text1"/>
                              <w:kern w:val="0"/>
                              <w:szCs w:val="21"/>
                              <w14:textFill>
                                <w14:solidFill>
                                  <w14:schemeClr w14:val="tx1"/>
                                </w14:solidFill>
                              </w14:textFill>
                            </w:rPr>
                          </m:ctrlPr>
                        </m:sup>
                      </m:sSubSup>
                      <m:r>
                        <m:rPr>
                          <m:sty m:val="p"/>
                        </m:rPr>
                        <w:rPr>
                          <w:rFonts w:ascii="Cambria Math" w:hAnsi="Cambria Math" w:cs="HiddenHorzOCR"/>
                          <w:color w:val="000000" w:themeColor="text1"/>
                          <w:kern w:val="0"/>
                          <w:szCs w:val="21"/>
                          <w14:textFill>
                            <w14:solidFill>
                              <w14:schemeClr w14:val="tx1"/>
                            </w14:solidFill>
                          </w14:textFill>
                        </w:rPr>
                        <m:t>+</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den>
          </m:f>
          <m:r>
            <m:rPr>
              <m:sty m:val="p"/>
            </m:rPr>
            <w:rPr>
              <w:rFonts w:ascii="Cambria Math" w:hAnsi="Cambria Math" w:cs="HiddenHorzOCR"/>
              <w:color w:val="000000" w:themeColor="text1"/>
              <w:kern w:val="0"/>
              <w:szCs w:val="21"/>
              <w14:textFill>
                <w14:solidFill>
                  <w14:schemeClr w14:val="tx1"/>
                </w14:solidFill>
              </w14:textFill>
            </w:rPr>
            <m:t xml:space="preserve">                         (4.</m:t>
          </m:r>
          <m:r>
            <m:rPr>
              <m:sty m:val="p"/>
            </m:rPr>
            <w:rPr>
              <w:rFonts w:hint="eastAsia" w:ascii="Cambria Math" w:hAnsi="Cambria Math" w:cs="HiddenHorzOCR"/>
              <w:color w:val="000000" w:themeColor="text1"/>
              <w:kern w:val="0"/>
              <w:szCs w:val="21"/>
              <w14:textFill>
                <w14:solidFill>
                  <w14:schemeClr w14:val="tx1"/>
                </w14:solidFill>
              </w14:textFill>
            </w:rPr>
            <m:t>3</m:t>
          </m:r>
          <m:r>
            <m:rPr>
              <m:sty m:val="p"/>
            </m:rPr>
            <w:rPr>
              <w:rFonts w:ascii="Cambria Math" w:hAnsi="Cambria Math" w:cs="HiddenHorzOCR"/>
              <w:color w:val="000000" w:themeColor="text1"/>
              <w:kern w:val="0"/>
              <w:szCs w:val="21"/>
              <w14:textFill>
                <w14:solidFill>
                  <w14:schemeClr w14:val="tx1"/>
                </w14:solidFill>
              </w14:textFill>
            </w:rPr>
            <m:t>.</m:t>
          </m:r>
          <m:r>
            <m:rPr>
              <m:sty m:val="p"/>
            </m:rPr>
            <w:rPr>
              <w:rFonts w:hint="eastAsia" w:ascii="Cambria Math" w:hAnsi="Cambria Math" w:cs="HiddenHorzOCR"/>
              <w:color w:val="000000" w:themeColor="text1"/>
              <w:kern w:val="0"/>
              <w:szCs w:val="21"/>
              <w14:textFill>
                <w14:solidFill>
                  <w14:schemeClr w14:val="tx1"/>
                </w14:solidFill>
              </w14:textFill>
            </w:rPr>
            <m:t>5</m:t>
          </m:r>
          <m:r>
            <m:rPr>
              <m:sty m:val="p"/>
            </m:rPr>
            <w:rPr>
              <w:rFonts w:ascii="Cambria Math" w:hAnsi="Cambria Math" w:cs="HiddenHorzOCR"/>
              <w:color w:val="000000" w:themeColor="text1"/>
              <w:kern w:val="0"/>
              <w:szCs w:val="21"/>
              <w14:textFill>
                <w14:solidFill>
                  <w14:schemeClr w14:val="tx1"/>
                </w14:solidFill>
              </w14:textFill>
            </w:rPr>
            <m:t>-3)</m:t>
          </m:r>
        </m:oMath>
      </m:oMathPara>
    </w:p>
    <w:bookmarkEnd w:id="58"/>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仅</w:t>
      </w:r>
      <w:r>
        <w:rPr>
          <w:rFonts w:hint="eastAsia" w:cs="MS Mincho"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HiddenHorzOCR" w:asciiTheme="minorEastAsia" w:hAnsiTheme="minorEastAsia"/>
          <w:color w:val="000000" w:themeColor="text1"/>
          <w:kern w:val="0"/>
          <w:szCs w:val="21"/>
          <w14:textFill>
            <w14:solidFill>
              <w14:schemeClr w14:val="tx1"/>
            </w14:solidFill>
          </w14:textFill>
        </w:rPr>
        <w:t>y方向地震</w:t>
      </w:r>
      <w:r>
        <w:rPr>
          <w:rFonts w:hint="eastAsia" w:cs="宋体" w:asciiTheme="minorEastAsia" w:hAnsiTheme="minorEastAsia"/>
          <w:color w:val="000000" w:themeColor="text1"/>
          <w:kern w:val="0"/>
          <w:szCs w:val="21"/>
          <w14:textFill>
            <w14:solidFill>
              <w14:schemeClr w14:val="tx1"/>
            </w14:solidFill>
          </w14:textFill>
        </w:rPr>
        <w:t>输</w:t>
      </w:r>
      <w:r>
        <w:rPr>
          <w:rFonts w:hint="eastAsia" w:cs="MS Mincho" w:asciiTheme="minorEastAsia" w:hAnsiTheme="minorEastAsia"/>
          <w:color w:val="000000" w:themeColor="text1"/>
          <w:kern w:val="0"/>
          <w:szCs w:val="21"/>
          <w14:textFill>
            <w14:solidFill>
              <w14:schemeClr w14:val="tx1"/>
            </w14:solidFill>
          </w14:textFill>
        </w:rPr>
        <w:t>入</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，振型参与系数</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MS Mincho" w:asciiTheme="minorEastAsia" w:hAnsiTheme="minorEastAsia"/>
          <w:color w:val="000000" w:themeColor="text1"/>
          <w:kern w:val="0"/>
          <w:szCs w:val="21"/>
          <w14:textFill>
            <w14:solidFill>
              <w14:schemeClr w14:val="tx1"/>
            </w14:solidFill>
          </w14:textFill>
        </w:rPr>
        <w:t>可按下式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ej</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num>
            <m:den>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d>
                    <m:dPr>
                      <m:ctrlPr>
                        <w:rPr>
                          <w:rFonts w:ascii="Cambria Math" w:hAnsi="Cambria Math" w:cs="HiddenHorzOCR"/>
                          <w:color w:val="000000" w:themeColor="text1"/>
                          <w:kern w:val="0"/>
                          <w:szCs w:val="21"/>
                          <w14:textFill>
                            <w14:solidFill>
                              <w14:schemeClr w14:val="tx1"/>
                            </w14:solidFill>
                          </w14:textFill>
                        </w:rPr>
                      </m:ctrlPr>
                    </m:dPr>
                    <m:e>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r>
                        <m:rPr>
                          <m:sty m:val="p"/>
                        </m:rPr>
                        <w:rPr>
                          <w:rFonts w:ascii="Cambria Math" w:hAnsi="Cambria Math" w:cs="HiddenHorzOCR"/>
                          <w:color w:val="000000" w:themeColor="text1"/>
                          <w:kern w:val="0"/>
                          <w:szCs w:val="21"/>
                          <w14:textFill>
                            <w14:solidFill>
                              <w14:schemeClr w14:val="tx1"/>
                            </w14:solidFill>
                          </w14:textFill>
                        </w:rPr>
                        <m:t>+</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den>
          </m:f>
          <m:r>
            <m:rPr>
              <m:sty m:val="p"/>
            </m:rPr>
            <w:rPr>
              <w:rFonts w:ascii="Cambria Math" w:hAnsi="Cambria Math" w:cs="HiddenHorzOCR"/>
              <w:color w:val="000000" w:themeColor="text1"/>
              <w:kern w:val="0"/>
              <w:szCs w:val="21"/>
              <w14:textFill>
                <w14:solidFill>
                  <w14:schemeClr w14:val="tx1"/>
                </w14:solidFill>
              </w14:textFill>
            </w:rPr>
            <m:t xml:space="preserve">                        (4.</m:t>
          </m:r>
          <m:r>
            <m:rPr>
              <m:sty m:val="p"/>
            </m:rPr>
            <w:rPr>
              <w:rFonts w:hint="eastAsia" w:ascii="Cambria Math" w:hAnsi="Cambria Math" w:cs="HiddenHorzOCR"/>
              <w:color w:val="000000" w:themeColor="text1"/>
              <w:kern w:val="0"/>
              <w:szCs w:val="21"/>
              <w14:textFill>
                <w14:solidFill>
                  <w14:schemeClr w14:val="tx1"/>
                </w14:solidFill>
              </w14:textFill>
            </w:rPr>
            <m:t>3</m:t>
          </m:r>
          <m:r>
            <m:rPr>
              <m:sty m:val="p"/>
            </m:rPr>
            <w:rPr>
              <w:rFonts w:ascii="Cambria Math" w:hAnsi="Cambria Math" w:cs="HiddenHorzOCR"/>
              <w:color w:val="000000" w:themeColor="text1"/>
              <w:kern w:val="0"/>
              <w:szCs w:val="21"/>
              <w14:textFill>
                <w14:solidFill>
                  <w14:schemeClr w14:val="tx1"/>
                </w14:solidFill>
              </w14:textFill>
            </w:rPr>
            <m:t>.</m:t>
          </m:r>
          <m:r>
            <m:rPr>
              <m:sty m:val="p"/>
            </m:rPr>
            <w:rPr>
              <w:rFonts w:hint="eastAsia" w:ascii="Cambria Math" w:hAnsi="Cambria Math" w:cs="HiddenHorzOCR"/>
              <w:color w:val="000000" w:themeColor="text1"/>
              <w:kern w:val="0"/>
              <w:szCs w:val="21"/>
              <w14:textFill>
                <w14:solidFill>
                  <w14:schemeClr w14:val="tx1"/>
                </w14:solidFill>
              </w14:textFill>
            </w:rPr>
            <m:t>5</m:t>
          </m:r>
          <m:r>
            <m:rPr>
              <m:sty m:val="p"/>
            </m:rPr>
            <w:rPr>
              <w:rFonts w:ascii="Cambria Math" w:hAnsi="Cambria Math" w:cs="HiddenHorzOCR"/>
              <w:color w:val="000000" w:themeColor="text1"/>
              <w:kern w:val="0"/>
              <w:szCs w:val="21"/>
              <w14:textFill>
                <w14:solidFill>
                  <w14:schemeClr w14:val="tx1"/>
                </w14:solidFill>
              </w14:textFill>
            </w:rPr>
            <m:t>-4)</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水平地震作用效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按下列公式确</w:t>
      </w:r>
      <w:r>
        <w:rPr>
          <w:rFonts w:hint="eastAsia" w:cs="HiddenHorzOCR" w:asciiTheme="minorEastAsia" w:hAnsiTheme="minorEastAsia"/>
          <w:color w:val="000000" w:themeColor="text1"/>
          <w:kern w:val="0"/>
          <w:szCs w:val="21"/>
          <w14:textFill>
            <w14:solidFill>
              <w14:schemeClr w14:val="tx1"/>
            </w14:solidFill>
          </w14:textFill>
        </w:rPr>
        <w:t>定：</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bookmarkStart w:id="61" w:name="_Hlk20465847"/>
      <m:oMathPara>
        <m:oMath>
          <m:r>
            <m:rPr>
              <m:sty m:val="p"/>
            </m:rPr>
            <w:rPr>
              <w:rFonts w:ascii="Cambria Math" w:hAnsi="Cambria Math" w:cs="HiddenHorzOCR"/>
              <w:color w:val="000000" w:themeColor="text1"/>
              <w:kern w:val="0"/>
              <w:szCs w:val="21"/>
              <w14:textFill>
                <w14:solidFill>
                  <w14:schemeClr w14:val="tx1"/>
                </w14:solidFill>
              </w14:textFill>
            </w:rPr>
            <m:t>S=</m:t>
          </m:r>
          <m:rad>
            <m:radPr>
              <m:degHide m:val="1"/>
              <m:ctrlPr>
                <w:rPr>
                  <w:rFonts w:ascii="Cambria Math" w:hAnsi="Cambria Math" w:cs="HiddenHorzOCR"/>
                  <w:color w:val="000000" w:themeColor="text1"/>
                  <w:kern w:val="0"/>
                  <w:szCs w:val="21"/>
                  <w14:textFill>
                    <w14:solidFill>
                      <w14:schemeClr w14:val="tx1"/>
                    </w14:solidFill>
                  </w14:textFill>
                </w:rPr>
              </m:ctrlPr>
            </m:radPr>
            <m:deg>
              <m:ctrlPr>
                <w:rPr>
                  <w:rFonts w:ascii="Cambria Math" w:hAnsi="Cambria Math" w:cs="HiddenHorzOCR"/>
                  <w:color w:val="000000" w:themeColor="text1"/>
                  <w:kern w:val="0"/>
                  <w:szCs w:val="21"/>
                  <w14:textFill>
                    <w14:solidFill>
                      <w14:schemeClr w14:val="tx1"/>
                    </w14:solidFill>
                  </w14:textFill>
                </w:rPr>
              </m:ctrlPr>
            </m:deg>
            <m:e>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j=1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color w:val="000000" w:themeColor="text1"/>
                      <w:kern w:val="0"/>
                      <w:szCs w:val="21"/>
                      <w14:textFill>
                        <w14:solidFill>
                          <w14:schemeClr w14:val="tx1"/>
                        </w14:solidFill>
                      </w14:textFill>
                    </w:rPr>
                  </m:ctrlPr>
                </m:sup>
                <m:e>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k=1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ρ</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jk</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e>
          </m:rad>
          <m:r>
            <w:rPr>
              <w:rFonts w:ascii="Cambria Math" w:hAnsi="Cambria Math" w:cs="HiddenHorzOCR"/>
              <w:color w:val="000000" w:themeColor="text1"/>
              <w:kern w:val="0"/>
              <w:szCs w:val="21"/>
              <w14:textFill>
                <w14:solidFill>
                  <w14:schemeClr w14:val="tx1"/>
                </w14:solidFill>
              </w14:textFill>
            </w:rPr>
            <m:t xml:space="preserve">                           (4.</m:t>
          </m:r>
          <m:r>
            <w:rPr>
              <w:rFonts w:hint="eastAsia" w:ascii="Cambria Math" w:hAnsi="Cambria Math" w:cs="HiddenHorzOCR"/>
              <w:color w:val="000000" w:themeColor="text1"/>
              <w:kern w:val="0"/>
              <w:szCs w:val="21"/>
              <w14:textFill>
                <w14:solidFill>
                  <w14:schemeClr w14:val="tx1"/>
                </w14:solidFill>
              </w14:textFill>
            </w:rPr>
            <m:t>3</m:t>
          </m:r>
          <m:r>
            <w:rPr>
              <w:rFonts w:ascii="Cambria Math" w:hAnsi="Cambria Math" w:cs="HiddenHorzOCR"/>
              <w:color w:val="000000" w:themeColor="text1"/>
              <w:kern w:val="0"/>
              <w:szCs w:val="21"/>
              <w14:textFill>
                <w14:solidFill>
                  <w14:schemeClr w14:val="tx1"/>
                </w14:solidFill>
              </w14:textFill>
            </w:rPr>
            <m:t>.</m:t>
          </m:r>
          <m:r>
            <w:rPr>
              <w:rFonts w:hint="eastAsia" w:ascii="Cambria Math" w:hAnsi="Cambria Math" w:cs="HiddenHorzOCR"/>
              <w:color w:val="000000" w:themeColor="text1"/>
              <w:kern w:val="0"/>
              <w:szCs w:val="21"/>
              <w14:textFill>
                <w14:solidFill>
                  <w14:schemeClr w14:val="tx1"/>
                </w14:solidFill>
              </w14:textFill>
            </w:rPr>
            <m:t>5</m:t>
          </m:r>
          <m:r>
            <w:rPr>
              <w:rFonts w:ascii="Cambria Math" w:hAnsi="Cambria Math" w:cs="HiddenHorzOCR"/>
              <w:color w:val="000000" w:themeColor="text1"/>
              <w:kern w:val="0"/>
              <w:szCs w:val="21"/>
              <w14:textFill>
                <w14:solidFill>
                  <w14:schemeClr w14:val="tx1"/>
                </w14:solidFill>
              </w14:textFill>
            </w:rPr>
            <m:t>-5)</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w:bookmarkStart w:id="62" w:name="_Hlk20414645"/>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ρ</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jk</m:t>
              </m:r>
              <w:bookmarkEnd w:id="62"/>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r>
                <m:rPr>
                  <m:sty m:val="p"/>
                </m:rPr>
                <w:rPr>
                  <w:rFonts w:ascii="Cambria Math" w:hAnsi="Cambria Math" w:cs="HiddenHorzOCR"/>
                  <w:color w:val="000000" w:themeColor="text1"/>
                  <w:kern w:val="0"/>
                  <w:szCs w:val="21"/>
                  <w14:textFill>
                    <w14:solidFill>
                      <w14:schemeClr w14:val="tx1"/>
                    </w14:solidFill>
                  </w14:textFill>
                </w:rPr>
                <m:t>8</m:t>
              </m:r>
              <m:rad>
                <m:radPr>
                  <m:degHide m:val="1"/>
                  <m:ctrlPr>
                    <w:rPr>
                      <w:rFonts w:ascii="Cambria Math" w:hAnsi="Cambria Math" w:cs="HiddenHorzOCR"/>
                      <w:color w:val="000000" w:themeColor="text1"/>
                      <w:kern w:val="0"/>
                      <w:szCs w:val="21"/>
                      <w14:textFill>
                        <w14:solidFill>
                          <w14:schemeClr w14:val="tx1"/>
                        </w14:solidFill>
                      </w14:textFill>
                    </w:rPr>
                  </m:ctrlPr>
                </m:radPr>
                <m:deg>
                  <m:ctrlPr>
                    <w:rPr>
                      <w:rFonts w:ascii="Cambria Math" w:hAnsi="Cambria Math" w:cs="HiddenHorzOCR"/>
                      <w:color w:val="000000" w:themeColor="text1"/>
                      <w:kern w:val="0"/>
                      <w:szCs w:val="21"/>
                      <w14:textFill>
                        <w14:solidFill>
                          <w14:schemeClr w14:val="tx1"/>
                        </w14:solidFill>
                      </w14:textFill>
                    </w:rPr>
                  </m:ctrlPr>
                </m:deg>
                <m:e>
                  <m:sSub>
                    <w:bookmarkStart w:id="63" w:name="_Hlk20413832"/>
                    <w:bookmarkStart w:id="64" w:name="_Hlk20413962"/>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w:bookmarkEnd w:id="63"/>
                      <m:ctrlPr>
                        <w:rPr>
                          <w:rFonts w:ascii="Cambria Math" w:hAnsi="Cambria Math" w:cs="HiddenHorzOCR"/>
                          <w:color w:val="000000" w:themeColor="text1"/>
                          <w:kern w:val="0"/>
                          <w:szCs w:val="21"/>
                          <w14:textFill>
                            <w14:solidFill>
                              <w14:schemeClr w14:val="tx1"/>
                            </w14:solidFill>
                          </w14:textFill>
                        </w:rPr>
                      </m:ctrlPr>
                    </m:sub>
                  </m:sSub>
                  <w:bookmarkStart w:id="65" w:name="_Hlk20413872"/>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w:bookmarkEnd w:id="64"/>
                      <w:bookmarkEnd w:id="65"/>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rad>
              <m:d>
                <m:dPr>
                  <m:ctrlPr>
                    <w:rPr>
                      <w:rFonts w:ascii="Cambria Math" w:hAnsi="Cambria Math" w:cs="HiddenHorzOCR"/>
                      <w:color w:val="000000" w:themeColor="text1"/>
                      <w:kern w:val="0"/>
                      <w:szCs w:val="21"/>
                      <w14:textFill>
                        <w14:solidFill>
                          <w14:schemeClr w14:val="tx1"/>
                        </w14:solidFill>
                      </w14:textFill>
                    </w:rPr>
                  </m:ctrlPr>
                </m:dPr>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d>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1.5</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num>
            <m:den>
              <m:sSup>
                <m:sSupPr>
                  <m:ctrlPr>
                    <w:rPr>
                      <w:rFonts w:ascii="Cambria Math" w:hAnsi="Cambria Math" w:cs="HiddenHorzOCR"/>
                      <w:color w:val="000000" w:themeColor="text1"/>
                      <w:kern w:val="0"/>
                      <w:szCs w:val="21"/>
                      <w14:textFill>
                        <w14:solidFill>
                          <w14:schemeClr w14:val="tx1"/>
                        </w14:solidFill>
                      </w14:textFill>
                    </w:rPr>
                  </m:ctrlPr>
                </m:sSupPr>
                <m:e>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1-</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ctrlPr>
                    <w:rPr>
                      <w:rFonts w:ascii="Cambria Math" w:hAnsi="Cambria Math" w:cs="HiddenHorzOCR"/>
                      <w:color w:val="000000" w:themeColor="text1"/>
                      <w:kern w:val="0"/>
                      <w:szCs w:val="21"/>
                      <w14:textFill>
                        <w14:solidFill>
                          <w14:schemeClr w14:val="tx1"/>
                        </w14:solidFill>
                      </w14:textFill>
                    </w:rPr>
                  </m:ctrlPr>
                </m:e>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p>
              <m:r>
                <m:rPr>
                  <m:sty m:val="p"/>
                </m:rPr>
                <w:rPr>
                  <w:rFonts w:ascii="Cambria Math" w:hAnsi="Cambria Math" w:cs="HiddenHorzOCR"/>
                  <w:color w:val="000000" w:themeColor="text1"/>
                  <w:kern w:val="0"/>
                  <w:szCs w:val="21"/>
                  <w14:textFill>
                    <w14:solidFill>
                      <w14:schemeClr w14:val="tx1"/>
                    </w14:solidFill>
                  </w14:textFill>
                </w:rPr>
                <m:t>+4</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1+</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sSub>
                <w:bookmarkStart w:id="66" w:name="_Hlk20414464"/>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w:bookmarkEnd w:id="66"/>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+4</m:t>
              </m:r>
              <m:d>
                <m:dPr>
                  <m:ctrlPr>
                    <w:rPr>
                      <w:rFonts w:ascii="Cambria Math" w:hAnsi="Cambria Math" w:cs="HiddenHorzOCR"/>
                      <w:color w:val="000000" w:themeColor="text1"/>
                      <w:kern w:val="0"/>
                      <w:szCs w:val="21"/>
                      <w14:textFill>
                        <w14:solidFill>
                          <w14:schemeClr w14:val="tx1"/>
                        </w14:solidFill>
                      </w14:textFill>
                    </w:rPr>
                  </m:ctrlPr>
                </m:dPr>
                <m:e>
                  <m:sSubSup>
                    <m:sSubSupPr>
                      <m:ctrlPr>
                        <w:rPr>
                          <w:rFonts w:ascii="Cambria Math" w:hAnsi="Cambria Math" w:cs="HiddenHorzOCR"/>
                          <w:color w:val="000000" w:themeColor="text1"/>
                          <w:kern w:val="0"/>
                          <w:szCs w:val="21"/>
                          <w14:textFill>
                            <w14:solidFill>
                              <w14:schemeClr w14:val="tx1"/>
                            </w14:solidFill>
                          </w14:textFill>
                        </w:rPr>
                      </m:ctrlPr>
                    </m:sSubSupPr>
                    <m:e>
                      <w:bookmarkStart w:id="67" w:name="_Hlk20414058"/>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w:bookmarkEnd w:id="67"/>
                      <m:ctrlPr>
                        <w:rPr>
                          <w:rFonts w:ascii="Cambria Math" w:hAnsi="Cambria Math" w:cs="HiddenHorzOCR"/>
                          <w:color w:val="000000" w:themeColor="text1"/>
                          <w:kern w:val="0"/>
                          <w:szCs w:val="21"/>
                          <w14:textFill>
                            <w14:solidFill>
                              <w14:schemeClr w14:val="tx1"/>
                            </w14:solidFill>
                          </w14:textFill>
                        </w:rPr>
                      </m:ctrlPr>
                    </m:sup>
                  </m:sSubSup>
                  <m:r>
                    <m:rPr>
                      <m:sty m:val="p"/>
                    </m:rPr>
                    <w:rPr>
                      <w:rFonts w:ascii="Cambria Math" w:hAnsi="Cambria Math" w:cs="HiddenHorzOCR"/>
                      <w:color w:val="000000" w:themeColor="text1"/>
                      <w:kern w:val="0"/>
                      <w:szCs w:val="21"/>
                      <w14:textFill>
                        <w14:solidFill>
                          <w14:schemeClr w14:val="tx1"/>
                        </w14:solidFill>
                      </w14:textFill>
                    </w:rPr>
                    <m:t>+</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 xml:space="preserve">              (4.</m:t>
          </m:r>
          <m:r>
            <w:rPr>
              <w:rFonts w:hint="eastAsia" w:ascii="Cambria Math" w:hAnsi="Cambria Math" w:cs="HiddenHorzOCR"/>
              <w:color w:val="000000" w:themeColor="text1"/>
              <w:kern w:val="0"/>
              <w:szCs w:val="21"/>
              <w14:textFill>
                <w14:solidFill>
                  <w14:schemeClr w14:val="tx1"/>
                </w14:solidFill>
              </w14:textFill>
            </w:rPr>
            <m:t>3</m:t>
          </m:r>
          <m:r>
            <w:rPr>
              <w:rFonts w:ascii="Cambria Math" w:hAnsi="Cambria Math" w:cs="HiddenHorzOCR"/>
              <w:color w:val="000000" w:themeColor="text1"/>
              <w:kern w:val="0"/>
              <w:szCs w:val="21"/>
              <w14:textFill>
                <w14:solidFill>
                  <w14:schemeClr w14:val="tx1"/>
                </w14:solidFill>
              </w14:textFill>
            </w:rPr>
            <m:t>.</m:t>
          </m:r>
          <m:r>
            <w:rPr>
              <w:rFonts w:hint="eastAsia" w:ascii="Cambria Math" w:hAnsi="Cambria Math" w:cs="HiddenHorzOCR"/>
              <w:color w:val="000000" w:themeColor="text1"/>
              <w:kern w:val="0"/>
              <w:szCs w:val="21"/>
              <w14:textFill>
                <w14:solidFill>
                  <w14:schemeClr w14:val="tx1"/>
                </w14:solidFill>
              </w14:textFill>
            </w:rPr>
            <m:t>5</m:t>
          </m:r>
          <m:r>
            <w:rPr>
              <w:rFonts w:ascii="Cambria Math" w:hAnsi="Cambria Math" w:cs="HiddenHorzOCR"/>
              <w:color w:val="000000" w:themeColor="text1"/>
              <w:kern w:val="0"/>
              <w:szCs w:val="21"/>
              <w14:textFill>
                <w14:solidFill>
                  <w14:schemeClr w14:val="tx1"/>
                </w14:solidFill>
              </w14:textFill>
            </w:rPr>
            <m:t>-6)</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bookmarkStart w:id="68" w:name="_Hlk20414720"/>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w:bookmarkEnd w:id="68"/>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num>
            <m:den>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den>
          </m:f>
        </m:oMath>
      </m:oMathPara>
    </w:p>
    <w:bookmarkEnd w:id="61"/>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r>
          <m:rPr>
            <m:sty m:val="p"/>
          </m:rPr>
          <w:rPr>
            <w:rFonts w:ascii="Cambria Math" w:hAnsi="Cambria Math" w:cs="HiddenHorzOCR"/>
            <w:color w:val="000000" w:themeColor="text1"/>
            <w:kern w:val="0"/>
            <w:szCs w:val="21"/>
            <w14:textFill>
              <w14:solidFill>
                <w14:schemeClr w14:val="tx1"/>
              </w14:solidFill>
            </w14:textFill>
          </w:rPr>
          <m:t>S</m:t>
        </m:r>
      </m:oMath>
      <w:r>
        <w:rPr>
          <w:rFonts w:hint="eastAsia" w:cs="HiddenHorzOCR" w:asciiTheme="minorEastAsia" w:hAnsiTheme="minorEastAsia"/>
          <w:color w:val="000000" w:themeColor="text1"/>
          <w:kern w:val="0"/>
          <w:szCs w:val="21"/>
          <w14:textFill>
            <w14:solidFill>
              <w14:schemeClr w14:val="tx1"/>
            </w14:solidFill>
          </w14:textFill>
        </w:rPr>
        <w:t>——水平地震作用效应；</w:t>
      </w:r>
    </w:p>
    <w:p>
      <w:pPr>
        <w:autoSpaceDE w:val="0"/>
        <w:autoSpaceDN w:val="0"/>
        <w:spacing w:line="360" w:lineRule="auto"/>
        <w:ind w:left="1680" w:leftChars="300" w:hanging="1050" w:hangingChars="500"/>
        <w:jc w:val="left"/>
        <w:rPr>
          <w:rFonts w:cs="HiddenHorzOCR" w:asciiTheme="minorEastAsia" w:hAnsiTheme="minorEastAsia"/>
          <w:color w:val="000000" w:themeColor="text1"/>
          <w:kern w:val="0"/>
          <w:szCs w:val="21"/>
          <w14:textFill>
            <w14:solidFill>
              <w14:schemeClr w14:val="tx1"/>
            </w14:solidFill>
          </w14:textFill>
        </w:rPr>
      </w:pPr>
      <w:bookmarkStart w:id="69" w:name="_Hlk20414564"/>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w:bookmarkEnd w:id="69"/>
            <m:ctrlPr>
              <w:rPr>
                <w:rFonts w:ascii="Cambria Math" w:hAnsi="Cambria Math" w:cs="HiddenHorzOCR"/>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——分别为j和k振型水平地震作用产生的作用效应，按结构力学方法确定</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宜取前25-30个振型；</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ρ</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jk</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——j振型与k振型的偶联系数；</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——k振型与j振型的周期比。</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6</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现浇</w:t>
      </w:r>
      <w:r>
        <w:rPr>
          <w:rFonts w:hint="eastAsia" w:cs="MS Mincho" w:asciiTheme="minorEastAsia" w:hAnsiTheme="minorEastAsia"/>
          <w:color w:val="000000" w:themeColor="text1"/>
          <w:kern w:val="0"/>
          <w:szCs w:val="21"/>
          <w14:textFill>
            <w14:solidFill>
              <w14:schemeClr w14:val="tx1"/>
            </w14:solidFill>
          </w14:textFill>
        </w:rPr>
        <w:t>和装配整体式且有</w:t>
      </w:r>
      <w:r>
        <w:rPr>
          <w:rFonts w:hint="eastAsia" w:cs="宋体" w:asciiTheme="minorEastAsia" w:hAnsiTheme="minorEastAsia"/>
          <w:color w:val="000000" w:themeColor="text1"/>
          <w:kern w:val="0"/>
          <w:szCs w:val="21"/>
          <w14:textFill>
            <w14:solidFill>
              <w14:schemeClr w14:val="tx1"/>
            </w14:solidFill>
          </w14:textFill>
        </w:rPr>
        <w:t>现浇</w:t>
      </w:r>
      <w:r>
        <w:rPr>
          <w:rFonts w:hint="eastAsia" w:cs="MS Mincho" w:asciiTheme="minorEastAsia" w:hAnsiTheme="minorEastAsia"/>
          <w:color w:val="000000" w:themeColor="text1"/>
          <w:kern w:val="0"/>
          <w:szCs w:val="21"/>
          <w14:textFill>
            <w14:solidFill>
              <w14:schemeClr w14:val="tx1"/>
            </w14:solidFill>
          </w14:textFill>
        </w:rPr>
        <w:t>面</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的混凝土屋面（楼</w:t>
      </w:r>
      <w:r>
        <w:rPr>
          <w:rFonts w:hint="eastAsia" w:cs="HiddenHorzOCR" w:asciiTheme="minorEastAsia" w:hAnsiTheme="minorEastAsia"/>
          <w:color w:val="000000" w:themeColor="text1"/>
          <w:kern w:val="0"/>
          <w:szCs w:val="21"/>
          <w14:textFill>
            <w14:solidFill>
              <w14:schemeClr w14:val="tx1"/>
            </w14:solidFill>
          </w14:textFill>
        </w:rPr>
        <w:t>面），按空</w:t>
      </w:r>
      <w:r>
        <w:rPr>
          <w:rFonts w:hint="eastAsia" w:cs="宋体" w:asciiTheme="minorEastAsia" w:hAnsiTheme="minorEastAsia"/>
          <w:color w:val="000000" w:themeColor="text1"/>
          <w:kern w:val="0"/>
          <w:szCs w:val="21"/>
          <w14:textFill>
            <w14:solidFill>
              <w14:schemeClr w14:val="tx1"/>
            </w14:solidFill>
          </w14:textFill>
        </w:rPr>
        <w:t>间结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算其地震反</w:t>
      </w:r>
      <w:r>
        <w:rPr>
          <w:rFonts w:hint="eastAsia" w:cs="宋体" w:asciiTheme="minorEastAsia" w:hAnsiTheme="minorEastAsia"/>
          <w:color w:val="000000" w:themeColor="text1"/>
          <w:kern w:val="0"/>
          <w:szCs w:val="21"/>
          <w14:textFill>
            <w14:solidFill>
              <w14:schemeClr w14:val="tx1"/>
            </w14:solidFill>
          </w14:textFill>
        </w:rPr>
        <w:t>应时</w:t>
      </w:r>
      <w:r>
        <w:rPr>
          <w:rFonts w:hint="eastAsia" w:cs="MS Mincho" w:asciiTheme="minorEastAsia" w:hAnsiTheme="minorEastAsia"/>
          <w:color w:val="000000" w:themeColor="text1"/>
          <w:kern w:val="0"/>
          <w:szCs w:val="21"/>
          <w14:textFill>
            <w14:solidFill>
              <w14:schemeClr w14:val="tx1"/>
            </w14:solidFill>
          </w14:textFill>
        </w:rPr>
        <w:t>，可不考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屋盖（楼盖）的</w:t>
      </w:r>
      <w:r>
        <w:rPr>
          <w:rFonts w:hint="eastAsia" w:cs="宋体" w:asciiTheme="minorEastAsia" w:hAnsiTheme="minorEastAsia"/>
          <w:color w:val="000000" w:themeColor="text1"/>
          <w:kern w:val="0"/>
          <w:szCs w:val="21"/>
          <w14:textFill>
            <w14:solidFill>
              <w14:schemeClr w14:val="tx1"/>
            </w14:solidFill>
          </w14:textFill>
        </w:rPr>
        <w:t>弹</w:t>
      </w:r>
      <w:r>
        <w:rPr>
          <w:rFonts w:hint="eastAsia" w:cs="MS Mincho" w:asciiTheme="minorEastAsia" w:hAnsiTheme="minorEastAsia"/>
          <w:color w:val="000000" w:themeColor="text1"/>
          <w:kern w:val="0"/>
          <w:szCs w:val="21"/>
          <w14:textFill>
            <w14:solidFill>
              <w14:schemeClr w14:val="tx1"/>
            </w14:solidFill>
          </w14:textFill>
        </w:rPr>
        <w:t>性</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w:t>
      </w:r>
      <w:r>
        <w:rPr>
          <w:rFonts w:hint="eastAsia" w:cs="HiddenHorzOCR" w:asciiTheme="minorEastAsia" w:hAnsiTheme="minorEastAsia"/>
          <w:color w:val="000000" w:themeColor="text1"/>
          <w:kern w:val="0"/>
          <w:szCs w:val="21"/>
          <w14:textFill>
            <w14:solidFill>
              <w14:schemeClr w14:val="tx1"/>
            </w14:solidFill>
          </w14:textFill>
        </w:rPr>
        <w:t>；此</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，需考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扭</w:t>
      </w:r>
      <w:r>
        <w:rPr>
          <w:rFonts w:hint="eastAsia" w:cs="宋体" w:asciiTheme="minorEastAsia" w:hAnsiTheme="minorEastAsia"/>
          <w:color w:val="000000" w:themeColor="text1"/>
          <w:kern w:val="0"/>
          <w:szCs w:val="21"/>
          <w14:textFill>
            <w14:solidFill>
              <w14:schemeClr w14:val="tx1"/>
            </w14:solidFill>
          </w14:textFill>
        </w:rPr>
        <w:t>转</w:t>
      </w:r>
      <w:r>
        <w:rPr>
          <w:rFonts w:hint="eastAsia" w:cs="MS Mincho" w:asciiTheme="minorEastAsia" w:hAnsiTheme="minorEastAsia"/>
          <w:color w:val="000000" w:themeColor="text1"/>
          <w:kern w:val="0"/>
          <w:szCs w:val="21"/>
          <w14:textFill>
            <w14:solidFill>
              <w14:schemeClr w14:val="tx1"/>
            </w14:solidFill>
          </w14:textFill>
        </w:rPr>
        <w:t>影响</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屋盖（楼盖）可</w:t>
      </w:r>
      <w:r>
        <w:rPr>
          <w:rFonts w:hint="eastAsia" w:cs="宋体" w:asciiTheme="minorEastAsia" w:hAnsiTheme="minorEastAsia"/>
          <w:color w:val="000000" w:themeColor="text1"/>
          <w:kern w:val="0"/>
          <w:szCs w:val="21"/>
          <w14:textFill>
            <w14:solidFill>
              <w14:schemeClr w14:val="tx1"/>
            </w14:solidFill>
          </w14:textFill>
        </w:rPr>
        <w:t>仅</w:t>
      </w:r>
      <w:r>
        <w:rPr>
          <w:rFonts w:hint="eastAsia" w:cs="MS Mincho" w:asciiTheme="minorEastAsia" w:hAnsiTheme="minorEastAsia"/>
          <w:color w:val="000000" w:themeColor="text1"/>
          <w:kern w:val="0"/>
          <w:szCs w:val="21"/>
          <w14:textFill>
            <w14:solidFill>
              <w14:schemeClr w14:val="tx1"/>
            </w14:solidFill>
          </w14:textFill>
        </w:rPr>
        <w:t>取两个沿结构</w:t>
      </w:r>
      <w:r>
        <w:rPr>
          <w:rFonts w:hint="eastAsia" w:cs="HiddenHorzOCR" w:asciiTheme="minorEastAsia" w:hAnsiTheme="minorEastAsia"/>
          <w:color w:val="000000" w:themeColor="text1"/>
          <w:kern w:val="0"/>
          <w:szCs w:val="21"/>
          <w14:textFill>
            <w14:solidFill>
              <w14:schemeClr w14:val="tx1"/>
            </w14:solidFill>
          </w14:textFill>
        </w:rPr>
        <w:t>横向和</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向正交的水平移</w:t>
      </w:r>
      <w:r>
        <w:rPr>
          <w:rFonts w:hint="eastAsia" w:cs="宋体" w:asciiTheme="minorEastAsia" w:hAnsiTheme="minorEastAsia"/>
          <w:color w:val="000000" w:themeColor="text1"/>
          <w:kern w:val="0"/>
          <w:szCs w:val="21"/>
          <w14:textFill>
            <w14:solidFill>
              <w14:schemeClr w14:val="tx1"/>
            </w14:solidFill>
          </w14:textFill>
        </w:rPr>
        <w:t>动</w:t>
      </w:r>
      <w:r>
        <w:rPr>
          <w:rFonts w:hint="eastAsia" w:cs="MS Mincho" w:asciiTheme="minorEastAsia" w:hAnsiTheme="minorEastAsia"/>
          <w:color w:val="000000" w:themeColor="text1"/>
          <w:kern w:val="0"/>
          <w:szCs w:val="21"/>
          <w14:textFill>
            <w14:solidFill>
              <w14:schemeClr w14:val="tx1"/>
            </w14:solidFill>
          </w14:textFill>
        </w:rPr>
        <w:t>和一个</w:t>
      </w:r>
      <w:r>
        <w:rPr>
          <w:rFonts w:hint="eastAsia" w:cs="宋体" w:asciiTheme="minorEastAsia" w:hAnsiTheme="minorEastAsia"/>
          <w:color w:val="000000" w:themeColor="text1"/>
          <w:kern w:val="0"/>
          <w:szCs w:val="21"/>
          <w14:textFill>
            <w14:solidFill>
              <w14:schemeClr w14:val="tx1"/>
            </w14:solidFill>
          </w14:textFill>
        </w:rPr>
        <w:t>转</w:t>
      </w:r>
      <w:r>
        <w:rPr>
          <w:rFonts w:hint="eastAsia" w:cs="MS Mincho" w:asciiTheme="minorEastAsia" w:hAnsiTheme="minorEastAsia"/>
          <w:color w:val="000000" w:themeColor="text1"/>
          <w:kern w:val="0"/>
          <w:szCs w:val="21"/>
          <w14:textFill>
            <w14:solidFill>
              <w14:schemeClr w14:val="tx1"/>
            </w14:solidFill>
          </w14:textFill>
        </w:rPr>
        <w:t>角共</w:t>
      </w:r>
      <w:r>
        <w:rPr>
          <w:rFonts w:cs="HiddenHorzOCR" w:asciiTheme="minorEastAsia" w:hAnsiTheme="minorEastAsia"/>
          <w:color w:val="000000" w:themeColor="text1"/>
          <w:kern w:val="0"/>
          <w:szCs w:val="21"/>
          <w14:textFill>
            <w14:solidFill>
              <w14:schemeClr w14:val="tx1"/>
            </w14:solidFill>
          </w14:textFill>
        </w:rPr>
        <w:t>3</w:t>
      </w:r>
      <w:r>
        <w:rPr>
          <w:rFonts w:hint="eastAsia" w:cs="HiddenHorzOCR" w:asciiTheme="minorEastAsia" w:hAnsiTheme="minorEastAsia"/>
          <w:color w:val="000000" w:themeColor="text1"/>
          <w:kern w:val="0"/>
          <w:szCs w:val="21"/>
          <w14:textFill>
            <w14:solidFill>
              <w14:schemeClr w14:val="tx1"/>
            </w14:solidFill>
          </w14:textFill>
        </w:rPr>
        <w:t>个自由度</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行地震</w:t>
      </w:r>
      <w:r>
        <w:rPr>
          <w:rFonts w:hint="eastAsia" w:cs="HiddenHorzOCR" w:asciiTheme="minorEastAsia" w:hAnsiTheme="minorEastAsia"/>
          <w:color w:val="000000" w:themeColor="text1"/>
          <w:kern w:val="0"/>
          <w:szCs w:val="21"/>
          <w14:textFill>
            <w14:solidFill>
              <w14:schemeClr w14:val="tx1"/>
            </w14:solidFill>
          </w14:textFill>
        </w:rPr>
        <w:t>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cs="HiddenHorzOCR" w:asciiTheme="minorEastAsia" w:hAnsiTheme="minorEastAsia"/>
          <w:color w:val="000000" w:themeColor="text1"/>
          <w:kern w:val="0"/>
          <w:szCs w:val="21"/>
          <w14:textFill>
            <w14:solidFill>
              <w14:schemeClr w14:val="tx1"/>
            </w14:solidFill>
          </w14:textFill>
        </w:rPr>
        <w:t>j</w:t>
      </w:r>
      <w:r>
        <w:rPr>
          <w:rFonts w:hint="eastAsia" w:cs="HiddenHorzOCR" w:asciiTheme="minorEastAsia" w:hAnsiTheme="minorEastAsia"/>
          <w:color w:val="000000" w:themeColor="text1"/>
          <w:kern w:val="0"/>
          <w:szCs w:val="21"/>
          <w14:textFill>
            <w14:solidFill>
              <w14:schemeClr w14:val="tx1"/>
            </w14:solidFill>
          </w14:textFill>
        </w:rPr>
        <w:t>振型</w:t>
      </w:r>
      <w:r>
        <w:rPr>
          <w:rFonts w:cs="HiddenHorzOCR" w:asciiTheme="minorEastAsia" w:hAnsiTheme="minorEastAsia"/>
          <w:color w:val="000000" w:themeColor="text1"/>
          <w:kern w:val="0"/>
          <w:szCs w:val="21"/>
          <w14:textFill>
            <w14:solidFill>
              <w14:schemeClr w14:val="tx1"/>
            </w14:solidFill>
          </w14:textFill>
        </w:rPr>
        <w:t>i</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的水平地震作用</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按下列公式确定</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bookmarkStart w:id="70" w:name="_Hlk20416008"/>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x</m:t>
              </m:r>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r</m:t>
              </m:r>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w:bookmarkEnd w:id="70"/>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 xml:space="preserve">            </m:t>
          </m:r>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i=1,2,…,n;j=1,2,…,m</m:t>
              </m:r>
              <m:ctrlPr>
                <w:rPr>
                  <w:rFonts w:ascii="Cambria Math" w:hAnsi="Cambria Math" w:cs="HiddenHorzOCR"/>
                  <w:color w:val="000000" w:themeColor="text1"/>
                  <w:kern w:val="0"/>
                  <w:szCs w:val="21"/>
                  <w14:textFill>
                    <w14:solidFill>
                      <w14:schemeClr w14:val="tx1"/>
                    </w14:solidFill>
                  </w14:textFill>
                </w:rPr>
              </m:ctrlPr>
            </m:e>
          </m:d>
          <m:r>
            <w:rPr>
              <w:rFonts w:ascii="Cambria Math" w:hAnsi="Cambria Math" w:cs="HiddenHorzOCR"/>
              <w:color w:val="000000" w:themeColor="text1"/>
              <w:kern w:val="0"/>
              <w:szCs w:val="21"/>
              <w14:textFill>
                <w14:solidFill>
                  <w14:schemeClr w14:val="tx1"/>
                </w14:solidFill>
              </w14:textFill>
            </w:rPr>
            <m:t xml:space="preserve">            (4.</m:t>
          </m:r>
          <m:r>
            <w:rPr>
              <w:rFonts w:hint="eastAsia" w:ascii="Cambria Math" w:hAnsi="Cambria Math" w:cs="HiddenHorzOCR"/>
              <w:color w:val="000000" w:themeColor="text1"/>
              <w:kern w:val="0"/>
              <w:szCs w:val="21"/>
              <w14:textFill>
                <w14:solidFill>
                  <w14:schemeClr w14:val="tx1"/>
                </w14:solidFill>
              </w14:textFill>
            </w:rPr>
            <m:t>3</m:t>
          </m:r>
          <m:r>
            <w:rPr>
              <w:rFonts w:ascii="Cambria Math" w:hAnsi="Cambria Math" w:cs="HiddenHorzOCR"/>
              <w:color w:val="000000" w:themeColor="text1"/>
              <w:kern w:val="0"/>
              <w:szCs w:val="21"/>
              <w14:textFill>
                <w14:solidFill>
                  <w14:schemeClr w14:val="tx1"/>
                </w14:solidFill>
              </w14:textFill>
            </w:rPr>
            <m:t>.</m:t>
          </m:r>
          <m:r>
            <w:rPr>
              <w:rFonts w:hint="eastAsia" w:ascii="Cambria Math" w:hAnsi="Cambria Math" w:cs="HiddenHorzOCR"/>
              <w:color w:val="000000" w:themeColor="text1"/>
              <w:kern w:val="0"/>
              <w:szCs w:val="21"/>
              <w14:textFill>
                <w14:solidFill>
                  <w14:schemeClr w14:val="tx1"/>
                </w14:solidFill>
              </w14:textFill>
            </w:rPr>
            <m:t>6</m:t>
          </m:r>
          <m:r>
            <w:rPr>
              <w:rFonts w:ascii="Cambria Math" w:hAnsi="Cambria Math" w:cs="HiddenHorzOCR"/>
              <w:color w:val="000000" w:themeColor="text1"/>
              <w:kern w:val="0"/>
              <w:szCs w:val="21"/>
              <w14:textFill>
                <w14:solidFill>
                  <w14:schemeClr w14:val="tx1"/>
                </w14:solidFill>
              </w14:textFill>
            </w:rPr>
            <m:t>-1)</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w:bookmarkStart w:id="71" w:name="_Hlk20414958"/>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yji</m:t>
              </m:r>
              <w:bookmarkEnd w:id="71"/>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w:bookmarkStart w:id="72" w:name="_Hlk20415081"/>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rj</m:t>
              </m:r>
              <w:bookmarkEnd w:id="72"/>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 xml:space="preserve">            (</m:t>
          </m:r>
          <w:bookmarkStart w:id="73" w:name="_Hlk20416075"/>
          <m:r>
            <m:rPr>
              <m:sty m:val="p"/>
            </m:rPr>
            <w:rPr>
              <w:rFonts w:ascii="Cambria Math" w:hAnsi="Cambria Math" w:cs="HiddenHorzOCR"/>
              <w:color w:val="000000" w:themeColor="text1"/>
              <w:kern w:val="0"/>
              <w:szCs w:val="21"/>
              <w14:textFill>
                <w14:solidFill>
                  <w14:schemeClr w14:val="tx1"/>
                </w14:solidFill>
              </w14:textFill>
            </w:rPr>
            <m:t>i=1,2,…,n;j=1,2,…,m)</m:t>
          </m:r>
          <w:bookmarkEnd w:id="73"/>
          <w:bookmarkStart w:id="74" w:name="_Hlk20414794"/>
          <m:r>
            <m:rPr>
              <m:sty m:val="p"/>
            </m:rPr>
            <w:rPr>
              <w:rFonts w:ascii="Cambria Math" w:hAnsi="Cambria Math" w:cs="HiddenHorzOCR"/>
              <w:color w:val="000000" w:themeColor="text1"/>
              <w:kern w:val="0"/>
              <w:szCs w:val="21"/>
              <w14:textFill>
                <w14:solidFill>
                  <w14:schemeClr w14:val="tx1"/>
                </w14:solidFill>
              </w14:textFill>
            </w:rPr>
            <m:t xml:space="preserve">            (4.</m:t>
          </m:r>
          <m:r>
            <m:rPr>
              <m:sty m:val="p"/>
            </m:rPr>
            <w:rPr>
              <w:rFonts w:hint="eastAsia" w:ascii="Cambria Math" w:hAnsi="Cambria Math" w:cs="HiddenHorzOCR"/>
              <w:color w:val="000000" w:themeColor="text1"/>
              <w:kern w:val="0"/>
              <w:szCs w:val="21"/>
              <w14:textFill>
                <w14:solidFill>
                  <w14:schemeClr w14:val="tx1"/>
                </w14:solidFill>
              </w14:textFill>
            </w:rPr>
            <m:t>3</m:t>
          </m:r>
          <m:r>
            <m:rPr>
              <m:sty m:val="p"/>
            </m:rPr>
            <w:rPr>
              <w:rFonts w:ascii="Cambria Math" w:hAnsi="Cambria Math" w:cs="HiddenHorzOCR"/>
              <w:color w:val="000000" w:themeColor="text1"/>
              <w:kern w:val="0"/>
              <w:szCs w:val="21"/>
              <w14:textFill>
                <w14:solidFill>
                  <w14:schemeClr w14:val="tx1"/>
                </w14:solidFill>
              </w14:textFill>
            </w:rPr>
            <m:t>.</m:t>
          </m:r>
          <m:r>
            <m:rPr>
              <m:sty m:val="p"/>
            </m:rPr>
            <w:rPr>
              <w:rFonts w:hint="eastAsia" w:ascii="Cambria Math" w:hAnsi="Cambria Math" w:cs="HiddenHorzOCR"/>
              <w:color w:val="000000" w:themeColor="text1"/>
              <w:kern w:val="0"/>
              <w:szCs w:val="21"/>
              <w14:textFill>
                <w14:solidFill>
                  <w14:schemeClr w14:val="tx1"/>
                </w14:solidFill>
              </w14:textFill>
            </w:rPr>
            <m:t>6</m:t>
          </m:r>
          <m:r>
            <m:rPr>
              <m:sty m:val="p"/>
            </m:rPr>
            <w:rPr>
              <w:rFonts w:ascii="Cambria Math" w:hAnsi="Cambria Math" w:cs="HiddenHorzOCR"/>
              <w:color w:val="000000" w:themeColor="text1"/>
              <w:kern w:val="0"/>
              <w:szCs w:val="21"/>
              <w14:textFill>
                <w14:solidFill>
                  <w14:schemeClr w14:val="tx1"/>
                </w14:solidFill>
              </w14:textFill>
            </w:rPr>
            <m:t>-2)</m:t>
          </m:r>
        </m:oMath>
      </m:oMathPara>
    </w:p>
    <w:bookmarkEnd w:id="74"/>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color w:val="000000" w:themeColor="text1"/>
                  <w:kern w:val="0"/>
                  <w:szCs w:val="21"/>
                  <w14:textFill>
                    <w14:solidFill>
                      <w14:schemeClr w14:val="tx1"/>
                    </w14:solidFill>
                  </w14:textFill>
                </w:rPr>
              </m:ctrlPr>
            </m:sSubPr>
            <w:bookmarkStart w:id="75" w:name="_Hlk20414972"/>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t</m:t>
              </m:r>
              <m:r>
                <m:rPr>
                  <m:sty m:val="p"/>
                </m:rPr>
                <w:rPr>
                  <w:rFonts w:ascii="Cambria Math" w:hAnsi="Cambria Math" w:cs="HiddenHorzOCR"/>
                  <w:color w:val="000000" w:themeColor="text1"/>
                  <w:kern w:val="0"/>
                  <w:szCs w:val="21"/>
                  <w14:textFill>
                    <w14:solidFill>
                      <w14:schemeClr w14:val="tx1"/>
                    </w14:solidFill>
                  </w14:textFill>
                </w:rPr>
                <m:t>ji</m:t>
              </m:r>
              <w:bookmarkEnd w:id="75"/>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rj</m:t>
              </m:r>
              <m:ctrlPr>
                <w:rPr>
                  <w:rFonts w:ascii="Cambria Math" w:hAnsi="Cambria Math" w:cs="HiddenHorzOCR"/>
                  <w:color w:val="000000" w:themeColor="text1"/>
                  <w:kern w:val="0"/>
                  <w:szCs w:val="21"/>
                  <w14:textFill>
                    <w14:solidFill>
                      <w14:schemeClr w14:val="tx1"/>
                    </w14:solidFill>
                  </w14:textFill>
                </w:rPr>
              </m:ctrlPr>
            </m:sub>
          </m:sSub>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r</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sSub>
            <m:sSubPr>
              <m:ctrlPr>
                <w:rPr>
                  <w:rFonts w:ascii="Cambria Math" w:hAnsi="Cambria Math" w:cs="HiddenHorzOCR"/>
                  <w:color w:val="000000" w:themeColor="text1"/>
                  <w:kern w:val="0"/>
                  <w:szCs w:val="21"/>
                  <w14:textFill>
                    <w14:solidFill>
                      <w14:schemeClr w14:val="tx1"/>
                    </w14:solidFill>
                  </w14:textFill>
                </w:rPr>
              </m:ctrlPr>
            </m:sSubPr>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φ</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 xml:space="preserve">        </m:t>
          </m:r>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i=1,2,…,n;j=1,2,…,m</m:t>
              </m:r>
              <m:ctrlPr>
                <w:rPr>
                  <w:rFonts w:ascii="Cambria Math" w:hAnsi="Cambria Math" w:cs="HiddenHorzOCR"/>
                  <w:color w:val="000000" w:themeColor="text1"/>
                  <w:kern w:val="0"/>
                  <w:szCs w:val="21"/>
                  <w14:textFill>
                    <w14:solidFill>
                      <w14:schemeClr w14:val="tx1"/>
                    </w14:solidFill>
                  </w14:textFill>
                </w:rPr>
              </m:ctrlPr>
            </m:e>
          </m:d>
          <m:r>
            <w:rPr>
              <w:rFonts w:ascii="Cambria Math" w:hAnsi="Cambria Math" w:cs="HiddenHorzOCR"/>
              <w:color w:val="000000" w:themeColor="text1"/>
              <w:kern w:val="0"/>
              <w:szCs w:val="21"/>
              <w14:textFill>
                <w14:solidFill>
                  <w14:schemeClr w14:val="tx1"/>
                </w14:solidFill>
              </w14:textFill>
            </w:rPr>
            <m:t xml:space="preserve">            (4.</m:t>
          </m:r>
          <m:r>
            <w:rPr>
              <w:rFonts w:hint="eastAsia" w:ascii="Cambria Math" w:hAnsi="Cambria Math" w:cs="HiddenHorzOCR"/>
              <w:color w:val="000000" w:themeColor="text1"/>
              <w:kern w:val="0"/>
              <w:szCs w:val="21"/>
              <w14:textFill>
                <w14:solidFill>
                  <w14:schemeClr w14:val="tx1"/>
                </w14:solidFill>
              </w14:textFill>
            </w:rPr>
            <m:t>3</m:t>
          </m:r>
          <m:r>
            <w:rPr>
              <w:rFonts w:ascii="Cambria Math" w:hAnsi="Cambria Math" w:cs="HiddenHorzOCR"/>
              <w:color w:val="000000" w:themeColor="text1"/>
              <w:kern w:val="0"/>
              <w:szCs w:val="21"/>
              <w14:textFill>
                <w14:solidFill>
                  <w14:schemeClr w14:val="tx1"/>
                </w14:solidFill>
              </w14:textFill>
            </w:rPr>
            <m:t>.</m:t>
          </m:r>
          <m:r>
            <w:rPr>
              <w:rFonts w:hint="eastAsia" w:ascii="Cambria Math" w:hAnsi="Cambria Math" w:cs="HiddenHorzOCR"/>
              <w:color w:val="000000" w:themeColor="text1"/>
              <w:kern w:val="0"/>
              <w:szCs w:val="21"/>
              <w14:textFill>
                <w14:solidFill>
                  <w14:schemeClr w14:val="tx1"/>
                </w14:solidFill>
              </w14:textFill>
            </w:rPr>
            <m:t>6</m:t>
          </m:r>
          <m:r>
            <w:rPr>
              <w:rFonts w:ascii="Cambria Math" w:hAnsi="Cambria Math" w:cs="HiddenHorzOCR"/>
              <w:color w:val="000000" w:themeColor="text1"/>
              <w:kern w:val="0"/>
              <w:szCs w:val="21"/>
              <w14:textFill>
                <w14:solidFill>
                  <w14:schemeClr w14:val="tx1"/>
                </w14:solidFill>
              </w14:textFill>
            </w:rPr>
            <m:t>-3)</m:t>
          </m:r>
        </m:oMath>
      </m:oMathPara>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x</m:t>
            </m:r>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yji</m:t>
            </m:r>
            <m:ctrlPr>
              <w:rPr>
                <w:rFonts w:ascii="Cambria Math" w:hAnsi="Cambria Math" w:cs="HiddenHorzOCR"/>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t</m:t>
            </m:r>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——分别为j振型i层的x方向、y方向和转角方向的地震作用标准值；</w:t>
      </w:r>
    </w:p>
    <w:p>
      <w:pPr>
        <w:autoSpaceDE w:val="0"/>
        <w:autoSpaceDN w:val="0"/>
        <w:spacing w:line="360" w:lineRule="auto"/>
        <w:ind w:left="1260" w:leftChars="300" w:hanging="630" w:hanging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rj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——刚性楼、屋盖厂房考虑扭转的j振型参与系数，可按式(4.2.</w:t>
      </w:r>
      <w:r>
        <w:rPr>
          <w:rFonts w:cs="HiddenHorzOCR" w:asciiTheme="minorEastAsia" w:hAnsiTheme="minorEastAsia"/>
          <w:color w:val="000000" w:themeColor="text1"/>
          <w:kern w:val="0"/>
          <w:szCs w:val="21"/>
          <w14:textFill>
            <w14:solidFill>
              <w14:schemeClr w14:val="tx1"/>
            </w14:solidFill>
          </w14:textFill>
        </w:rPr>
        <w:t>8</w:t>
      </w:r>
      <w:r>
        <w:rPr>
          <w:rFonts w:hint="eastAsia" w:cs="HiddenHorzOCR" w:asciiTheme="minorEastAsia" w:hAnsiTheme="minorEastAsia"/>
          <w:color w:val="000000" w:themeColor="text1"/>
          <w:kern w:val="0"/>
          <w:szCs w:val="21"/>
          <w14:textFill>
            <w14:solidFill>
              <w14:schemeClr w14:val="tx1"/>
            </w14:solidFill>
          </w14:textFill>
        </w:rPr>
        <w:t>-4)或式（4.2.8-5）确定；</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——分别为j振型i层质心在x和y方向的水平相对位移；</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r</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——i层转动半径，可取i层绕质心的转动惯量除以该层质量的商的正二次方根；</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φ</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——j振型i层的相对扭转角。</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 xml:space="preserve">2 </w:t>
      </w:r>
      <w:r>
        <w:rPr>
          <w:rFonts w:hint="eastAsia" w:cs="宋体" w:asciiTheme="minorEastAsia" w:hAnsiTheme="minorEastAsia"/>
          <w:color w:val="000000" w:themeColor="text1"/>
          <w:kern w:val="0"/>
          <w:szCs w:val="21"/>
          <w14:textFill>
            <w14:solidFill>
              <w14:schemeClr w14:val="tx1"/>
            </w14:solidFill>
          </w14:textFill>
        </w:rPr>
        <w:t>仅</w:t>
      </w:r>
      <w:r>
        <w:rPr>
          <w:rFonts w:hint="eastAsia" w:cs="MS Mincho"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HiddenHorzOCR" w:asciiTheme="minorEastAsia" w:hAnsiTheme="minorEastAsia"/>
          <w:color w:val="000000" w:themeColor="text1"/>
          <w:kern w:val="0"/>
          <w:szCs w:val="21"/>
          <w14:textFill>
            <w14:solidFill>
              <w14:schemeClr w14:val="tx1"/>
            </w14:solidFill>
          </w14:textFill>
        </w:rPr>
        <w:t>x方向地震</w:t>
      </w:r>
      <w:r>
        <w:rPr>
          <w:rFonts w:hint="eastAsia" w:cs="宋体" w:asciiTheme="minorEastAsia" w:hAnsiTheme="minorEastAsia"/>
          <w:color w:val="000000" w:themeColor="text1"/>
          <w:kern w:val="0"/>
          <w:szCs w:val="21"/>
          <w14:textFill>
            <w14:solidFill>
              <w14:schemeClr w14:val="tx1"/>
            </w14:solidFill>
          </w14:textFill>
        </w:rPr>
        <w:t>输</w:t>
      </w:r>
      <w:r>
        <w:rPr>
          <w:rFonts w:hint="eastAsia" w:cs="MS Mincho" w:asciiTheme="minorEastAsia" w:hAnsiTheme="minorEastAsia"/>
          <w:color w:val="000000" w:themeColor="text1"/>
          <w:kern w:val="0"/>
          <w:szCs w:val="21"/>
          <w14:textFill>
            <w14:solidFill>
              <w14:schemeClr w14:val="tx1"/>
            </w14:solidFill>
          </w14:textFill>
        </w:rPr>
        <w:t>入</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，振型参与系数</w:t>
      </w:r>
      <m:oMath>
        <m:sSub>
          <m:sSubPr>
            <m:ctrlPr>
              <w:rPr>
                <w:rFonts w:ascii="Cambria Math" w:hAnsi="Cambria Math" w:cs="MS Mincho"/>
                <w:color w:val="000000" w:themeColor="text1"/>
                <w:kern w:val="0"/>
                <w:szCs w:val="21"/>
                <w14:textFill>
                  <w14:solidFill>
                    <w14:schemeClr w14:val="tx1"/>
                  </w14:solidFill>
                </w14:textFill>
              </w:rPr>
            </m:ctrlPr>
          </m:sSubPr>
          <m:e>
            <m:r>
              <m:rPr>
                <m:sty m:val="p"/>
              </m:rPr>
              <w:rPr>
                <w:rFonts w:ascii="Cambria Math" w:hAnsi="Cambria Math" w:cs="MS Mincho"/>
                <w:color w:val="000000" w:themeColor="text1"/>
                <w:kern w:val="0"/>
                <w:szCs w:val="21"/>
                <w14:textFill>
                  <w14:solidFill>
                    <w14:schemeClr w14:val="tx1"/>
                  </w14:solidFill>
                </w14:textFill>
              </w:rPr>
              <m:t>γ</m:t>
            </m:r>
            <m:ctrlPr>
              <w:rPr>
                <w:rFonts w:ascii="Cambria Math" w:hAnsi="Cambria Math" w:cs="MS Mincho"/>
                <w:color w:val="000000" w:themeColor="text1"/>
                <w:kern w:val="0"/>
                <w:szCs w:val="21"/>
                <w14:textFill>
                  <w14:solidFill>
                    <w14:schemeClr w14:val="tx1"/>
                  </w14:solidFill>
                </w14:textFill>
              </w:rPr>
            </m:ctrlPr>
          </m:e>
          <m:sub>
            <m:r>
              <m:rPr>
                <m:sty m:val="p"/>
              </m:rPr>
              <w:rPr>
                <w:rFonts w:hint="eastAsia" w:ascii="Cambria Math" w:hAnsi="Cambria Math" w:cs="MS Mincho"/>
                <w:color w:val="000000" w:themeColor="text1"/>
                <w:kern w:val="0"/>
                <w:szCs w:val="21"/>
                <w14:textFill>
                  <w14:solidFill>
                    <w14:schemeClr w14:val="tx1"/>
                  </w14:solidFill>
                </w14:textFill>
              </w:rPr>
              <m:t>rj</m:t>
            </m:r>
            <m:ctrlPr>
              <w:rPr>
                <w:rFonts w:ascii="Cambria Math" w:hAnsi="Cambria Math" w:cs="MS Mincho"/>
                <w:color w:val="000000" w:themeColor="text1"/>
                <w:kern w:val="0"/>
                <w:szCs w:val="21"/>
                <w14:textFill>
                  <w14:solidFill>
                    <w14:schemeClr w14:val="tx1"/>
                  </w14:solidFill>
                </w14:textFill>
              </w:rPr>
            </m:ctrlPr>
          </m:sub>
        </m:sSub>
      </m:oMath>
      <w:r>
        <w:rPr>
          <w:rFonts w:hint="eastAsia" w:cs="MS Mincho" w:asciiTheme="minorEastAsia" w:hAnsiTheme="minorEastAsia"/>
          <w:color w:val="000000" w:themeColor="text1"/>
          <w:kern w:val="0"/>
          <w:szCs w:val="21"/>
          <w14:textFill>
            <w14:solidFill>
              <w14:schemeClr w14:val="tx1"/>
            </w14:solidFill>
          </w14:textFill>
        </w:rPr>
        <w:t>可按下式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w:bookmarkStart w:id="76" w:name="_Hlk20415738"/>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r</m:t>
              </m:r>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num>
            <m:den>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d>
                    <m:dPr>
                      <m:ctrlPr>
                        <w:rPr>
                          <w:rFonts w:ascii="Cambria Math" w:hAnsi="Cambria Math" w:cs="HiddenHorzOCR"/>
                          <w:color w:val="000000" w:themeColor="text1"/>
                          <w:kern w:val="0"/>
                          <w:szCs w:val="21"/>
                          <w14:textFill>
                            <w14:solidFill>
                              <w14:schemeClr w14:val="tx1"/>
                            </w14:solidFill>
                          </w14:textFill>
                        </w:rPr>
                      </m:ctrlPr>
                    </m:dPr>
                    <m:e>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r>
                        <m:rPr>
                          <m:sty m:val="p"/>
                        </m:rPr>
                        <w:rPr>
                          <w:rFonts w:ascii="Cambria Math" w:hAnsi="Cambria Math" w:cs="HiddenHorzOCR"/>
                          <w:color w:val="000000" w:themeColor="text1"/>
                          <w:kern w:val="0"/>
                          <w:szCs w:val="21"/>
                          <w14:textFill>
                            <w14:solidFill>
                              <w14:schemeClr w14:val="tx1"/>
                            </w14:solidFill>
                          </w14:textFill>
                        </w:rPr>
                        <m:t>+</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r>
                        <m:rPr>
                          <m:sty m:val="p"/>
                        </m:rPr>
                        <w:rPr>
                          <w:rFonts w:ascii="Cambria Math" w:hAnsi="Cambria Math" w:cs="HiddenHorzOCR"/>
                          <w:color w:val="000000" w:themeColor="text1"/>
                          <w:kern w:val="0"/>
                          <w:szCs w:val="21"/>
                          <w14:textFill>
                            <w14:solidFill>
                              <w14:schemeClr w14:val="tx1"/>
                            </w14:solidFill>
                          </w14:textFill>
                        </w:rPr>
                        <m:t>+</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φ</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hint="eastAsia"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hint="eastAsia" w:ascii="Cambria Math" w:hAnsi="Cambria Math" w:cs="HiddenHorzOCR"/>
                              <w:color w:val="000000" w:themeColor="text1"/>
                              <w:kern w:val="0"/>
                              <w:szCs w:val="21"/>
                              <w14:textFill>
                                <w14:solidFill>
                                  <w14:schemeClr w14:val="tx1"/>
                                </w14:solidFill>
                              </w14:textFill>
                            </w:rPr>
                            <m:t>r</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den>
          </m:f>
          <m:r>
            <m:rPr>
              <m:sty m:val="p"/>
            </m:rPr>
            <w:rPr>
              <w:rFonts w:ascii="Cambria Math" w:hAnsi="Cambria Math" w:cs="HiddenHorzOCR"/>
              <w:color w:val="000000" w:themeColor="text1"/>
              <w:kern w:val="0"/>
              <w:szCs w:val="21"/>
              <w14:textFill>
                <w14:solidFill>
                  <w14:schemeClr w14:val="tx1"/>
                </w14:solidFill>
              </w14:textFill>
            </w:rPr>
            <m:t xml:space="preserve">               (4.</m:t>
          </m:r>
          <m:r>
            <m:rPr>
              <m:sty m:val="p"/>
            </m:rPr>
            <w:rPr>
              <w:rFonts w:hint="eastAsia" w:ascii="Cambria Math" w:hAnsi="Cambria Math" w:cs="HiddenHorzOCR"/>
              <w:color w:val="000000" w:themeColor="text1"/>
              <w:kern w:val="0"/>
              <w:szCs w:val="21"/>
              <w14:textFill>
                <w14:solidFill>
                  <w14:schemeClr w14:val="tx1"/>
                </w14:solidFill>
              </w14:textFill>
            </w:rPr>
            <m:t>3</m:t>
          </m:r>
          <m:r>
            <m:rPr>
              <m:sty m:val="p"/>
            </m:rPr>
            <w:rPr>
              <w:rFonts w:ascii="Cambria Math" w:hAnsi="Cambria Math" w:cs="HiddenHorzOCR"/>
              <w:color w:val="000000" w:themeColor="text1"/>
              <w:kern w:val="0"/>
              <w:szCs w:val="21"/>
              <w14:textFill>
                <w14:solidFill>
                  <w14:schemeClr w14:val="tx1"/>
                </w14:solidFill>
              </w14:textFill>
            </w:rPr>
            <m:t>.</m:t>
          </m:r>
          <m:r>
            <m:rPr>
              <m:sty m:val="p"/>
            </m:rPr>
            <w:rPr>
              <w:rFonts w:hint="eastAsia" w:ascii="Cambria Math" w:hAnsi="Cambria Math" w:cs="HiddenHorzOCR"/>
              <w:color w:val="000000" w:themeColor="text1"/>
              <w:kern w:val="0"/>
              <w:szCs w:val="21"/>
              <w14:textFill>
                <w14:solidFill>
                  <w14:schemeClr w14:val="tx1"/>
                </w14:solidFill>
              </w14:textFill>
            </w:rPr>
            <m:t>6</m:t>
          </m:r>
          <m:r>
            <m:rPr>
              <m:sty m:val="p"/>
            </m:rPr>
            <w:rPr>
              <w:rFonts w:ascii="Cambria Math" w:hAnsi="Cambria Math" w:cs="HiddenHorzOCR"/>
              <w:color w:val="000000" w:themeColor="text1"/>
              <w:kern w:val="0"/>
              <w:szCs w:val="21"/>
              <w14:textFill>
                <w14:solidFill>
                  <w14:schemeClr w14:val="tx1"/>
                </w14:solidFill>
              </w14:textFill>
            </w:rPr>
            <m:t>-4)</m:t>
          </m:r>
        </m:oMath>
      </m:oMathPara>
    </w:p>
    <w:bookmarkEnd w:id="76"/>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仅</w:t>
      </w:r>
      <w:r>
        <w:rPr>
          <w:rFonts w:hint="eastAsia" w:cs="MS Mincho"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HiddenHorzOCR" w:asciiTheme="minorEastAsia" w:hAnsiTheme="minorEastAsia"/>
          <w:color w:val="000000" w:themeColor="text1"/>
          <w:kern w:val="0"/>
          <w:szCs w:val="21"/>
          <w14:textFill>
            <w14:solidFill>
              <w14:schemeClr w14:val="tx1"/>
            </w14:solidFill>
          </w14:textFill>
        </w:rPr>
        <w:t>y方向地震</w:t>
      </w:r>
      <w:r>
        <w:rPr>
          <w:rFonts w:hint="eastAsia" w:cs="宋体" w:asciiTheme="minorEastAsia" w:hAnsiTheme="minorEastAsia"/>
          <w:color w:val="000000" w:themeColor="text1"/>
          <w:kern w:val="0"/>
          <w:szCs w:val="21"/>
          <w14:textFill>
            <w14:solidFill>
              <w14:schemeClr w14:val="tx1"/>
            </w14:solidFill>
          </w14:textFill>
        </w:rPr>
        <w:t>输</w:t>
      </w:r>
      <w:r>
        <w:rPr>
          <w:rFonts w:hint="eastAsia" w:cs="MS Mincho" w:asciiTheme="minorEastAsia" w:hAnsiTheme="minorEastAsia"/>
          <w:color w:val="000000" w:themeColor="text1"/>
          <w:kern w:val="0"/>
          <w:szCs w:val="21"/>
          <w14:textFill>
            <w14:solidFill>
              <w14:schemeClr w14:val="tx1"/>
            </w14:solidFill>
          </w14:textFill>
        </w:rPr>
        <w:t>入</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，振型参与系数</w:t>
      </w:r>
      <m:oMath>
        <m:sSub>
          <m:sSubPr>
            <m:ctrlPr>
              <w:rPr>
                <w:rFonts w:ascii="Cambria Math" w:hAnsi="Cambria Math" w:cs="MS Mincho"/>
                <w:color w:val="000000" w:themeColor="text1"/>
                <w:kern w:val="0"/>
                <w:szCs w:val="21"/>
                <w14:textFill>
                  <w14:solidFill>
                    <w14:schemeClr w14:val="tx1"/>
                  </w14:solidFill>
                </w14:textFill>
              </w:rPr>
            </m:ctrlPr>
          </m:sSubPr>
          <m:e>
            <m:r>
              <m:rPr>
                <m:sty m:val="p"/>
              </m:rPr>
              <w:rPr>
                <w:rFonts w:ascii="Cambria Math" w:hAnsi="Cambria Math" w:cs="MS Mincho"/>
                <w:color w:val="000000" w:themeColor="text1"/>
                <w:kern w:val="0"/>
                <w:szCs w:val="21"/>
                <w14:textFill>
                  <w14:solidFill>
                    <w14:schemeClr w14:val="tx1"/>
                  </w14:solidFill>
                </w14:textFill>
              </w:rPr>
              <m:t>γ</m:t>
            </m:r>
            <m:ctrlPr>
              <w:rPr>
                <w:rFonts w:ascii="Cambria Math" w:hAnsi="Cambria Math" w:cs="MS Mincho"/>
                <w:color w:val="000000" w:themeColor="text1"/>
                <w:kern w:val="0"/>
                <w:szCs w:val="21"/>
                <w14:textFill>
                  <w14:solidFill>
                    <w14:schemeClr w14:val="tx1"/>
                  </w14:solidFill>
                </w14:textFill>
              </w:rPr>
            </m:ctrlPr>
          </m:e>
          <m:sub>
            <m:r>
              <m:rPr>
                <m:sty m:val="p"/>
              </m:rPr>
              <w:rPr>
                <w:rFonts w:hint="eastAsia" w:ascii="Cambria Math" w:hAnsi="Cambria Math" w:cs="MS Mincho"/>
                <w:color w:val="000000" w:themeColor="text1"/>
                <w:kern w:val="0"/>
                <w:szCs w:val="21"/>
                <w14:textFill>
                  <w14:solidFill>
                    <w14:schemeClr w14:val="tx1"/>
                  </w14:solidFill>
                </w14:textFill>
              </w:rPr>
              <m:t>rj</m:t>
            </m:r>
            <m:ctrlPr>
              <w:rPr>
                <w:rFonts w:ascii="Cambria Math" w:hAnsi="Cambria Math" w:cs="MS Mincho"/>
                <w:color w:val="000000" w:themeColor="text1"/>
                <w:kern w:val="0"/>
                <w:szCs w:val="21"/>
                <w14:textFill>
                  <w14:solidFill>
                    <w14:schemeClr w14:val="tx1"/>
                  </w14:solidFill>
                </w14:textFill>
              </w:rPr>
            </m:ctrlPr>
          </m:sub>
        </m:sSub>
      </m:oMath>
      <w:r>
        <w:rPr>
          <w:rFonts w:hint="eastAsia" w:cs="MS Mincho" w:asciiTheme="minorEastAsia" w:hAnsiTheme="minorEastAsia"/>
          <w:color w:val="000000" w:themeColor="text1"/>
          <w:kern w:val="0"/>
          <w:szCs w:val="21"/>
          <w14:textFill>
            <w14:solidFill>
              <w14:schemeClr w14:val="tx1"/>
            </w14:solidFill>
          </w14:textFill>
        </w:rPr>
        <w:t>可按下式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r</m:t>
              </m:r>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num>
            <m:den>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i=1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sup>
                <m:e>
                  <m:d>
                    <m:dPr>
                      <m:ctrlPr>
                        <w:rPr>
                          <w:rFonts w:ascii="Cambria Math" w:hAnsi="Cambria Math" w:cs="HiddenHorzOCR"/>
                          <w:color w:val="000000" w:themeColor="text1"/>
                          <w:kern w:val="0"/>
                          <w:szCs w:val="21"/>
                          <w14:textFill>
                            <w14:solidFill>
                              <w14:schemeClr w14:val="tx1"/>
                            </w14:solidFill>
                          </w14:textFill>
                        </w:rPr>
                      </m:ctrlPr>
                    </m:dPr>
                    <m:e>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r>
                        <m:rPr>
                          <m:sty m:val="p"/>
                        </m:rPr>
                        <w:rPr>
                          <w:rFonts w:ascii="Cambria Math" w:hAnsi="Cambria Math" w:cs="HiddenHorzOCR"/>
                          <w:color w:val="000000" w:themeColor="text1"/>
                          <w:kern w:val="0"/>
                          <w:szCs w:val="21"/>
                          <w14:textFill>
                            <w14:solidFill>
                              <w14:schemeClr w14:val="tx1"/>
                            </w14:solidFill>
                          </w14:textFill>
                        </w:rPr>
                        <m:t>+</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r>
                        <m:rPr>
                          <m:sty m:val="p"/>
                        </m:rPr>
                        <w:rPr>
                          <w:rFonts w:ascii="Cambria Math" w:hAnsi="Cambria Math" w:cs="HiddenHorzOCR"/>
                          <w:color w:val="000000" w:themeColor="text1"/>
                          <w:kern w:val="0"/>
                          <w:szCs w:val="21"/>
                          <w14:textFill>
                            <w14:solidFill>
                              <w14:schemeClr w14:val="tx1"/>
                            </w14:solidFill>
                          </w14:textFill>
                        </w:rPr>
                        <m:t>+</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φ</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hint="eastAsia"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hint="eastAsia" w:ascii="Cambria Math" w:hAnsi="Cambria Math" w:cs="HiddenHorzOCR"/>
                              <w:color w:val="000000" w:themeColor="text1"/>
                              <w:kern w:val="0"/>
                              <w:szCs w:val="21"/>
                              <w14:textFill>
                                <w14:solidFill>
                                  <w14:schemeClr w14:val="tx1"/>
                                </w14:solidFill>
                              </w14:textFill>
                            </w:rPr>
                            <m:t>r</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den>
          </m:f>
          <m:r>
            <m:rPr>
              <m:sty m:val="p"/>
            </m:rPr>
            <w:rPr>
              <w:rFonts w:ascii="Cambria Math" w:hAnsi="Cambria Math" w:cs="HiddenHorzOCR"/>
              <w:color w:val="000000" w:themeColor="text1"/>
              <w:kern w:val="0"/>
              <w:szCs w:val="21"/>
              <w14:textFill>
                <w14:solidFill>
                  <w14:schemeClr w14:val="tx1"/>
                </w14:solidFill>
              </w14:textFill>
            </w:rPr>
            <m:t xml:space="preserve">              (4.</m:t>
          </m:r>
          <m:r>
            <m:rPr>
              <m:sty m:val="p"/>
            </m:rPr>
            <w:rPr>
              <w:rFonts w:hint="eastAsia" w:ascii="Cambria Math" w:hAnsi="Cambria Math" w:cs="HiddenHorzOCR"/>
              <w:color w:val="000000" w:themeColor="text1"/>
              <w:kern w:val="0"/>
              <w:szCs w:val="21"/>
              <w14:textFill>
                <w14:solidFill>
                  <w14:schemeClr w14:val="tx1"/>
                </w14:solidFill>
              </w14:textFill>
            </w:rPr>
            <m:t>3</m:t>
          </m:r>
          <m:r>
            <m:rPr>
              <m:sty m:val="p"/>
            </m:rPr>
            <w:rPr>
              <w:rFonts w:ascii="Cambria Math" w:hAnsi="Cambria Math" w:cs="HiddenHorzOCR"/>
              <w:color w:val="000000" w:themeColor="text1"/>
              <w:kern w:val="0"/>
              <w:szCs w:val="21"/>
              <w14:textFill>
                <w14:solidFill>
                  <w14:schemeClr w14:val="tx1"/>
                </w14:solidFill>
              </w14:textFill>
            </w:rPr>
            <m:t>.</m:t>
          </m:r>
          <m:r>
            <m:rPr>
              <m:sty m:val="p"/>
            </m:rPr>
            <w:rPr>
              <w:rFonts w:hint="eastAsia" w:ascii="Cambria Math" w:hAnsi="Cambria Math" w:cs="HiddenHorzOCR"/>
              <w:color w:val="000000" w:themeColor="text1"/>
              <w:kern w:val="0"/>
              <w:szCs w:val="21"/>
              <w14:textFill>
                <w14:solidFill>
                  <w14:schemeClr w14:val="tx1"/>
                </w14:solidFill>
              </w14:textFill>
            </w:rPr>
            <m:t>6</m:t>
          </m:r>
          <m:r>
            <m:rPr>
              <m:sty m:val="p"/>
            </m:rPr>
            <w:rPr>
              <w:rFonts w:ascii="Cambria Math" w:hAnsi="Cambria Math" w:cs="HiddenHorzOCR"/>
              <w:color w:val="000000" w:themeColor="text1"/>
              <w:kern w:val="0"/>
              <w:szCs w:val="21"/>
              <w14:textFill>
                <w14:solidFill>
                  <w14:schemeClr w14:val="tx1"/>
                </w14:solidFill>
              </w14:textFill>
            </w:rPr>
            <m:t>-5)</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水平地震作用效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按式(</w:t>
      </w:r>
      <w:r>
        <w:rPr>
          <w:rFonts w:cs="HiddenHorzOCR" w:asciiTheme="minorEastAsia" w:hAnsiTheme="minorEastAsia"/>
          <w:color w:val="000000" w:themeColor="text1"/>
          <w:kern w:val="0"/>
          <w:szCs w:val="21"/>
          <w14:textFill>
            <w14:solidFill>
              <w14:schemeClr w14:val="tx1"/>
            </w14:solidFill>
          </w14:textFill>
        </w:rPr>
        <w:t>4.</w:t>
      </w:r>
      <w:r>
        <w:rPr>
          <w:rFonts w:hint="eastAsia" w:cs="HiddenHorzOCR" w:asciiTheme="minorEastAsia" w:hAnsiTheme="minorEastAsia"/>
          <w:color w:val="000000" w:themeColor="text1"/>
          <w:kern w:val="0"/>
          <w:szCs w:val="21"/>
          <w14:textFill>
            <w14:solidFill>
              <w14:schemeClr w14:val="tx1"/>
            </w14:solidFill>
          </w14:textFill>
        </w:rPr>
        <w:t>3</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5</w:t>
      </w:r>
      <w:r>
        <w:rPr>
          <w:rFonts w:cs="HiddenHorzOCR" w:asciiTheme="minorEastAsia" w:hAnsiTheme="minorEastAsia"/>
          <w:color w:val="000000" w:themeColor="text1"/>
          <w:kern w:val="0"/>
          <w:szCs w:val="21"/>
          <w14:textFill>
            <w14:solidFill>
              <w14:schemeClr w14:val="tx1"/>
            </w14:solidFill>
          </w14:textFill>
        </w:rPr>
        <w:t>-5)</w:t>
      </w:r>
      <w:r>
        <w:rPr>
          <w:rFonts w:hint="eastAsia" w:cs="HiddenHorzOCR" w:asciiTheme="minorEastAsia" w:hAnsiTheme="minorEastAsia"/>
          <w:color w:val="000000" w:themeColor="text1"/>
          <w:kern w:val="0"/>
          <w:szCs w:val="21"/>
          <w14:textFill>
            <w14:solidFill>
              <w14:schemeClr w14:val="tx1"/>
            </w14:solidFill>
          </w14:textFill>
        </w:rPr>
        <w:t>、式(</w:t>
      </w:r>
      <w:r>
        <w:rPr>
          <w:rFonts w:cs="HiddenHorzOCR" w:asciiTheme="minorEastAsia" w:hAnsiTheme="minorEastAsia"/>
          <w:color w:val="000000" w:themeColor="text1"/>
          <w:kern w:val="0"/>
          <w:szCs w:val="21"/>
          <w14:textFill>
            <w14:solidFill>
              <w14:schemeClr w14:val="tx1"/>
            </w14:solidFill>
          </w14:textFill>
        </w:rPr>
        <w:t>4.</w:t>
      </w:r>
      <w:r>
        <w:rPr>
          <w:rFonts w:hint="eastAsia" w:cs="HiddenHorzOCR" w:asciiTheme="minorEastAsia" w:hAnsiTheme="minorEastAsia"/>
          <w:color w:val="000000" w:themeColor="text1"/>
          <w:kern w:val="0"/>
          <w:szCs w:val="21"/>
          <w14:textFill>
            <w14:solidFill>
              <w14:schemeClr w14:val="tx1"/>
            </w14:solidFill>
          </w14:textFill>
        </w:rPr>
        <w:t>3</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5</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6</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确定。</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4.3.7 </w:t>
      </w:r>
      <w:r>
        <w:rPr>
          <w:rFonts w:hint="eastAsia" w:cs="HiddenHorzOCR" w:asciiTheme="minorEastAsia" w:hAnsiTheme="minorEastAsia"/>
          <w:color w:val="000000" w:themeColor="text1"/>
          <w:kern w:val="0"/>
          <w:szCs w:val="21"/>
          <w14:textFill>
            <w14:solidFill>
              <w14:schemeClr w14:val="tx1"/>
            </w14:solidFill>
          </w14:textFill>
        </w:rPr>
        <w:t>在空</w:t>
      </w:r>
      <w:r>
        <w:rPr>
          <w:rFonts w:hint="eastAsia" w:cs="宋体" w:asciiTheme="minorEastAsia" w:hAnsiTheme="minorEastAsia"/>
          <w:color w:val="000000" w:themeColor="text1"/>
          <w:kern w:val="0"/>
          <w:szCs w:val="21"/>
          <w14:textFill>
            <w14:solidFill>
              <w14:schemeClr w14:val="tx1"/>
            </w14:solidFill>
          </w14:textFill>
        </w:rPr>
        <w:t>间结</w:t>
      </w:r>
      <w:r>
        <w:rPr>
          <w:rFonts w:hint="eastAsia" w:cs="MS Mincho" w:asciiTheme="minorEastAsia" w:hAnsiTheme="minorEastAsia"/>
          <w:color w:val="000000" w:themeColor="text1"/>
          <w:kern w:val="0"/>
          <w:szCs w:val="21"/>
          <w14:textFill>
            <w14:solidFill>
              <w14:schemeClr w14:val="tx1"/>
            </w14:solidFill>
          </w14:textFill>
        </w:rPr>
        <w:t>构的地震作用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算中，屋盖（楼盖）折算</w:t>
      </w:r>
      <w:r>
        <w:rPr>
          <w:rFonts w:hint="eastAsia" w:cs="宋体" w:asciiTheme="minorEastAsia" w:hAnsiTheme="minorEastAsia"/>
          <w:color w:val="000000" w:themeColor="text1"/>
          <w:kern w:val="0"/>
          <w:szCs w:val="21"/>
          <w14:textFill>
            <w14:solidFill>
              <w14:schemeClr w14:val="tx1"/>
            </w14:solidFill>
          </w14:textFill>
        </w:rPr>
        <w:t>刚</w:t>
      </w:r>
      <w:r>
        <w:rPr>
          <w:rFonts w:hint="eastAsia" w:cs="HiddenHorzOCR" w:asciiTheme="minorEastAsia" w:hAnsiTheme="minorEastAsia"/>
          <w:color w:val="000000" w:themeColor="text1"/>
          <w:kern w:val="0"/>
          <w:szCs w:val="21"/>
          <w14:textFill>
            <w14:solidFill>
              <w14:schemeClr w14:val="tx1"/>
            </w14:solidFill>
          </w14:textFill>
        </w:rPr>
        <w:t>度和</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体</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移</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度可按下列</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定采用</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型</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板等</w:t>
      </w:r>
      <w:r>
        <w:rPr>
          <w:rFonts w:hint="eastAsia" w:cs="宋体" w:asciiTheme="minorEastAsia" w:hAnsiTheme="minorEastAsia"/>
          <w:color w:val="000000" w:themeColor="text1"/>
          <w:kern w:val="0"/>
          <w:szCs w:val="21"/>
          <w14:textFill>
            <w14:solidFill>
              <w14:schemeClr w14:val="tx1"/>
            </w14:solidFill>
          </w14:textFill>
        </w:rPr>
        <w:t>轻</w:t>
      </w:r>
      <w:r>
        <w:rPr>
          <w:rFonts w:hint="eastAsia" w:cs="MS Mincho" w:asciiTheme="minorEastAsia" w:hAnsiTheme="minorEastAsia"/>
          <w:color w:val="000000" w:themeColor="text1"/>
          <w:kern w:val="0"/>
          <w:szCs w:val="21"/>
          <w14:textFill>
            <w14:solidFill>
              <w14:schemeClr w14:val="tx1"/>
            </w14:solidFill>
          </w14:textFill>
        </w:rPr>
        <w:t>型有檩屋面，可不考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板材的</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度，屋盖</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HiddenHorzOCR" w:asciiTheme="minorEastAsia" w:hAnsiTheme="minorEastAsia"/>
          <w:color w:val="000000" w:themeColor="text1"/>
          <w:kern w:val="0"/>
          <w:szCs w:val="21"/>
          <w14:textFill>
            <w14:solidFill>
              <w14:schemeClr w14:val="tx1"/>
            </w14:solidFill>
          </w14:textFill>
        </w:rPr>
        <w:t>为水平</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支撑系</w:t>
      </w:r>
      <w:r>
        <w:rPr>
          <w:rFonts w:hint="eastAsia" w:cs="宋体" w:asciiTheme="minorEastAsia" w:hAnsiTheme="minorEastAsia"/>
          <w:color w:val="000000" w:themeColor="text1"/>
          <w:kern w:val="0"/>
          <w:szCs w:val="21"/>
          <w14:textFill>
            <w14:solidFill>
              <w14:schemeClr w14:val="tx1"/>
            </w14:solidFill>
          </w14:textFill>
        </w:rPr>
        <w:t>统</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2 </w:t>
      </w:r>
      <w:r>
        <w:rPr>
          <w:rFonts w:hint="eastAsia" w:cs="宋体" w:asciiTheme="minorEastAsia" w:hAnsiTheme="minorEastAsia"/>
          <w:color w:val="000000" w:themeColor="text1"/>
          <w:kern w:val="0"/>
          <w:szCs w:val="21"/>
          <w14:textFill>
            <w14:solidFill>
              <w14:schemeClr w14:val="tx1"/>
            </w14:solidFill>
          </w14:textFill>
        </w:rPr>
        <w:t>轻</w:t>
      </w:r>
      <w:r>
        <w:rPr>
          <w:rFonts w:hint="eastAsia" w:cs="MS Mincho" w:asciiTheme="minorEastAsia" w:hAnsiTheme="minorEastAsia"/>
          <w:color w:val="000000" w:themeColor="text1"/>
          <w:kern w:val="0"/>
          <w:szCs w:val="21"/>
          <w14:textFill>
            <w14:solidFill>
              <w14:schemeClr w14:val="tx1"/>
            </w14:solidFill>
          </w14:textFill>
        </w:rPr>
        <w:t>型板材</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体以及与柱</w:t>
      </w:r>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柔性</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接的</w:t>
      </w:r>
      <w:r>
        <w:rPr>
          <w:rFonts w:hint="eastAsia" w:cs="HiddenHorzOCR" w:asciiTheme="minorEastAsia" w:hAnsiTheme="minorEastAsia"/>
          <w:color w:val="000000" w:themeColor="text1"/>
          <w:kern w:val="0"/>
          <w:szCs w:val="21"/>
          <w14:textFill>
            <w14:solidFill>
              <w14:schemeClr w14:val="tx1"/>
            </w14:solidFill>
          </w14:textFill>
        </w:rPr>
        <w:t>混凝土</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其</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量但不</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及其</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移</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p>
    <w:p>
      <w:pPr>
        <w:pStyle w:val="3"/>
      </w:pPr>
      <w:bookmarkStart w:id="77" w:name="_Toc48841022"/>
      <w:r>
        <w:rPr>
          <w:rFonts w:hint="eastAsia"/>
        </w:rPr>
        <w:t>竖向地震作用计算</w:t>
      </w:r>
      <w:bookmarkEnd w:id="77"/>
    </w:p>
    <w:p>
      <w:pPr>
        <w:autoSpaceDE w:val="0"/>
        <w:autoSpaceDN w:val="0"/>
        <w:spacing w:line="360" w:lineRule="auto"/>
        <w:ind w:firstLine="0" w:firstLineChars="0"/>
        <w:jc w:val="center"/>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.1 竖向地震作用可采用振型分解反应谱法计算。</w:t>
      </w:r>
    </w:p>
    <w:p>
      <w:pPr>
        <w:autoSpaceDE w:val="0"/>
        <w:autoSpaceDN w:val="0"/>
        <w:spacing w:line="360" w:lineRule="auto"/>
        <w:ind w:firstLine="420"/>
        <w:jc w:val="left"/>
        <w:rPr>
          <w:rFonts w:ascii="HiddenHorzOCR" w:eastAsia="HiddenHorzOCR" w:cs="HiddenHorzOCR"/>
          <w:color w:val="000000" w:themeColor="text1"/>
          <w:kern w:val="0"/>
          <w:sz w:val="18"/>
          <w:szCs w:val="18"/>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 反应谱采用</w:t>
      </w:r>
      <w:r>
        <w:rPr>
          <w:rFonts w:hint="eastAsia" w:cs="宋体" w:asciiTheme="minorEastAsia" w:hAnsiTheme="minorEastAsia"/>
          <w:color w:val="000000" w:themeColor="text1"/>
          <w:kern w:val="0"/>
          <w:szCs w:val="21"/>
          <w14:textFill>
            <w14:solidFill>
              <w14:schemeClr w14:val="tx1"/>
            </w14:solidFill>
          </w14:textFill>
        </w:rPr>
        <w:t>《建筑抗震设计规范》GB50011多遇地震下水平地震反应谱公式，</w:t>
      </w:r>
      <m:oMath>
        <m:sSub>
          <w:bookmarkStart w:id="78" w:name="_Hlk20415966"/>
          <m:sSubPr>
            <m:ctrlPr>
              <w:rPr>
                <w:rFonts w:ascii="Cambria Math" w:hAnsi="Cambria Math" w:cs="宋体"/>
                <w:color w:val="000000" w:themeColor="text1"/>
                <w:kern w:val="0"/>
                <w:szCs w:val="21"/>
                <w14:textFill>
                  <w14:solidFill>
                    <w14:schemeClr w14:val="tx1"/>
                  </w14:solidFill>
                </w14:textFill>
              </w:rPr>
            </m:ctrlPr>
          </m:sSubPr>
          <m:e>
            <m:r>
              <m:rPr>
                <m:sty m:val="p"/>
              </m:rPr>
              <w:rPr>
                <w:rFonts w:ascii="Cambria Math" w:hAnsi="Cambria Math" w:cs="宋体"/>
                <w:color w:val="000000" w:themeColor="text1"/>
                <w:kern w:val="0"/>
                <w:szCs w:val="21"/>
                <w14:textFill>
                  <w14:solidFill>
                    <w14:schemeClr w14:val="tx1"/>
                  </w14:solidFill>
                </w14:textFill>
              </w:rPr>
              <m:t>α</m:t>
            </m:r>
            <m:ctrlPr>
              <w:rPr>
                <w:rFonts w:ascii="Cambria Math" w:hAnsi="Cambria Math" w:cs="宋体"/>
                <w:color w:val="000000" w:themeColor="text1"/>
                <w:kern w:val="0"/>
                <w:szCs w:val="21"/>
                <w14:textFill>
                  <w14:solidFill>
                    <w14:schemeClr w14:val="tx1"/>
                  </w14:solidFill>
                </w14:textFill>
              </w:rPr>
            </m:ctrlPr>
          </m:e>
          <m:sub>
            <m:r>
              <m:rPr>
                <m:sty m:val="p"/>
              </m:rPr>
              <w:rPr>
                <w:rFonts w:hint="eastAsia" w:ascii="Cambria Math" w:hAnsi="Cambria Math" w:cs="宋体"/>
                <w:color w:val="000000" w:themeColor="text1"/>
                <w:kern w:val="0"/>
                <w:szCs w:val="21"/>
                <w14:textFill>
                  <w14:solidFill>
                    <w14:schemeClr w14:val="tx1"/>
                  </w14:solidFill>
                </w14:textFill>
              </w:rPr>
              <m:t>max</m:t>
            </m:r>
            <w:bookmarkEnd w:id="78"/>
            <m:ctrlPr>
              <w:rPr>
                <w:rFonts w:ascii="Cambria Math" w:hAnsi="Cambria Math" w:cs="宋体"/>
                <w:color w:val="000000" w:themeColor="text1"/>
                <w:kern w:val="0"/>
                <w:szCs w:val="21"/>
                <w14:textFill>
                  <w14:solidFill>
                    <w14:schemeClr w14:val="tx1"/>
                  </w14:solidFill>
                </w14:textFill>
              </w:rPr>
            </m:ctrlPr>
          </m:sub>
        </m:sSub>
      </m:oMath>
      <w:r>
        <w:rPr>
          <w:rFonts w:hint="eastAsia" w:cs="宋体" w:asciiTheme="minorEastAsia" w:hAnsiTheme="minorEastAsia"/>
          <w:color w:val="000000" w:themeColor="text1"/>
          <w:kern w:val="0"/>
          <w:szCs w:val="21"/>
          <w14:textFill>
            <w14:solidFill>
              <w14:schemeClr w14:val="tx1"/>
            </w14:solidFill>
          </w14:textFill>
        </w:rPr>
        <w:t>取水平地震影响系数的2/3，</w:t>
      </w:r>
      <w:r>
        <w:rPr>
          <w:rFonts w:hint="eastAsia" w:cs="HiddenHorzOCR" w:asciiTheme="minorEastAsia" w:hAnsiTheme="minorEastAsia"/>
          <w:color w:val="000000" w:themeColor="text1"/>
          <w:kern w:val="0"/>
          <w:szCs w:val="21"/>
          <w14:textFill>
            <w14:solidFill>
              <w14:schemeClr w14:val="tx1"/>
            </w14:solidFill>
          </w14:textFill>
        </w:rPr>
        <w:t>特征周期可均按</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第一</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2 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HiddenHorzOCR" w:asciiTheme="minorEastAsia" w:hAnsiTheme="minorEastAsia"/>
          <w:color w:val="000000" w:themeColor="text1"/>
          <w:kern w:val="0"/>
          <w:szCs w:val="21"/>
          <w14:textFill>
            <w14:solidFill>
              <w14:schemeClr w14:val="tx1"/>
            </w14:solidFill>
          </w14:textFill>
        </w:rPr>
        <w:t>j振型</w:t>
      </w:r>
      <w:r>
        <w:rPr>
          <w:rFonts w:cs="HiddenHorzOCR" w:asciiTheme="minorEastAsia" w:hAnsiTheme="minorEastAsia"/>
          <w:color w:val="000000" w:themeColor="text1"/>
          <w:kern w:val="0"/>
          <w:szCs w:val="21"/>
          <w14:textFill>
            <w14:solidFill>
              <w14:schemeClr w14:val="tx1"/>
            </w14:solidFill>
          </w14:textFill>
        </w:rPr>
        <w:t>i</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点的竖向地震作用</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准</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按下列公</w:t>
      </w:r>
      <w:r>
        <w:rPr>
          <w:rFonts w:hint="eastAsia" w:cs="HiddenHorzOCR" w:asciiTheme="minorEastAsia" w:hAnsiTheme="minorEastAsia"/>
          <w:color w:val="000000" w:themeColor="text1"/>
          <w:kern w:val="0"/>
          <w:szCs w:val="21"/>
          <w14:textFill>
            <w14:solidFill>
              <w14:schemeClr w14:val="tx1"/>
            </w14:solidFill>
          </w14:textFill>
        </w:rPr>
        <w:t>式确定：</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w:bookmarkStart w:id="79" w:name="_Hlk20416152"/>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w:bookmarkEnd w:id="79"/>
            <m:ctrlPr>
              <w:rPr>
                <w:rFonts w:ascii="Cambria Math" w:hAnsi="Cambria Math" w:cs="HiddenHorzOCR"/>
                <w:color w:val="000000" w:themeColor="text1"/>
                <w:kern w:val="0"/>
                <w:szCs w:val="21"/>
                <w14:textFill>
                  <w14:solidFill>
                    <w14:schemeClr w14:val="tx1"/>
                  </w14:solidFill>
                </w14:textFill>
              </w:rPr>
            </m:ctrlPr>
          </m:sub>
        </m:sSub>
        <w:bookmarkStart w:id="80" w:name="_Hlk20416172"/>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w:bookmarkEnd w:id="80"/>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 xml:space="preserve">              (i=1,2,…,n;j=1,2,…,m)</m:t>
        </m:r>
      </m:oMath>
      <w:r>
        <w:rPr>
          <w:rFonts w:hint="eastAsia" w:cs="HiddenHorzOCR" w:asciiTheme="minorEastAsia" w:hAnsiTheme="minorEastAsia"/>
          <w:color w:val="000000" w:themeColor="text1"/>
          <w:kern w:val="0"/>
          <w:szCs w:val="21"/>
          <w14:textFill>
            <w14:solidFill>
              <w14:schemeClr w14:val="tx1"/>
            </w14:solidFill>
          </w14:textFill>
        </w:rPr>
        <w:t xml:space="preserve"> </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（4.</w:t>
      </w:r>
      <w:r>
        <w:rPr>
          <w:rFonts w:cs="HiddenHorzOCR" w:asciiTheme="minorEastAsia" w:hAnsiTheme="minorEastAsia"/>
          <w:color w:val="000000" w:themeColor="text1"/>
          <w:kern w:val="0"/>
          <w:szCs w:val="21"/>
          <w14:textFill>
            <w14:solidFill>
              <w14:schemeClr w14:val="tx1"/>
            </w14:solidFill>
          </w14:textFill>
        </w:rPr>
        <w:t>4</w:t>
      </w:r>
      <w:r>
        <w:rPr>
          <w:rFonts w:hint="eastAsia" w:cs="HiddenHorzOCR" w:asciiTheme="minorEastAsia" w:hAnsiTheme="minorEastAsia"/>
          <w:color w:val="000000" w:themeColor="text1"/>
          <w:kern w:val="0"/>
          <w:szCs w:val="21"/>
          <w14:textFill>
            <w14:solidFill>
              <w14:schemeClr w14:val="tx1"/>
            </w14:solidFill>
          </w14:textFill>
        </w:rPr>
        <w:t>.1-1）</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nary>
                <m:naryPr>
                  <m:chr m:val="∑"/>
                  <m:limLoc m:val="undOvr"/>
                  <m:subHide m:val="1"/>
                  <m:supHide m:val="1"/>
                  <m:ctrlPr>
                    <w:rPr>
                      <w:rFonts w:ascii="Cambria Math" w:hAnsi="Cambria Math" w:cs="HiddenHorzOCR"/>
                      <w:color w:val="000000" w:themeColor="text1"/>
                      <w:kern w:val="0"/>
                      <w:szCs w:val="21"/>
                      <w14:textFill>
                        <w14:solidFill>
                          <w14:schemeClr w14:val="tx1"/>
                        </w14:solidFill>
                      </w14:textFill>
                    </w:rPr>
                  </m:ctrlPr>
                </m:naryPr>
                <m:sub>
                  <m:ctrlPr>
                    <w:rPr>
                      <w:rFonts w:ascii="Cambria Math" w:hAnsi="Cambria Math" w:cs="HiddenHorzOCR"/>
                      <w:color w:val="000000" w:themeColor="text1"/>
                      <w:kern w:val="0"/>
                      <w:szCs w:val="21"/>
                      <w14:textFill>
                        <w14:solidFill>
                          <w14:schemeClr w14:val="tx1"/>
                        </w14:solidFill>
                      </w14:textFill>
                    </w:rPr>
                  </m:ctrlPr>
                </m:sub>
                <m:sup>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w:bookmarkStart w:id="81" w:name="_Hlk20416226"/>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w:bookmarkEnd w:id="81"/>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num>
            <m:den>
              <m:nary>
                <m:naryPr>
                  <m:chr m:val="∑"/>
                  <m:limLoc m:val="undOvr"/>
                  <m:subHide m:val="1"/>
                  <m:supHide m:val="1"/>
                  <m:ctrlPr>
                    <w:rPr>
                      <w:rFonts w:ascii="Cambria Math" w:hAnsi="Cambria Math" w:cs="HiddenHorzOCR"/>
                      <w:color w:val="000000" w:themeColor="text1"/>
                      <w:kern w:val="0"/>
                      <w:szCs w:val="21"/>
                      <w14:textFill>
                        <w14:solidFill>
                          <w14:schemeClr w14:val="tx1"/>
                        </w14:solidFill>
                      </w14:textFill>
                    </w:rPr>
                  </m:ctrlPr>
                </m:naryPr>
                <m:sub>
                  <m:ctrlPr>
                    <w:rPr>
                      <w:rFonts w:ascii="Cambria Math" w:hAnsi="Cambria Math" w:cs="HiddenHorzOCR"/>
                      <w:color w:val="000000" w:themeColor="text1"/>
                      <w:kern w:val="0"/>
                      <w:szCs w:val="21"/>
                      <w14:textFill>
                        <w14:solidFill>
                          <w14:schemeClr w14:val="tx1"/>
                        </w14:solidFill>
                      </w14:textFill>
                    </w:rPr>
                  </m:ctrlPr>
                </m:sub>
                <m:sup>
                  <m:ctrlPr>
                    <w:rPr>
                      <w:rFonts w:ascii="Cambria Math" w:hAnsi="Cambria Math" w:cs="HiddenHorzOCR"/>
                      <w:color w:val="000000" w:themeColor="text1"/>
                      <w:kern w:val="0"/>
                      <w:szCs w:val="21"/>
                      <w14:textFill>
                        <w14:solidFill>
                          <w14:schemeClr w14:val="tx1"/>
                        </w14:solidFill>
                      </w14:textFill>
                    </w:rPr>
                  </m:ctrlPr>
                </m:sup>
                <m:e>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nary>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den>
          </m:f>
          <m:r>
            <m:rPr>
              <m:sty m:val="p"/>
            </m:rPr>
            <w:rPr>
              <w:rFonts w:ascii="Cambria Math" w:hAnsi="Cambria Math" w:cs="HiddenHorzOCR"/>
              <w:color w:val="000000" w:themeColor="text1"/>
              <w:kern w:val="0"/>
              <w:szCs w:val="21"/>
              <w14:textFill>
                <w14:solidFill>
                  <w14:schemeClr w14:val="tx1"/>
                </w14:solidFill>
              </w14:textFill>
            </w:rPr>
            <m:t xml:space="preserve">                         </m:t>
          </m:r>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i=1,2,…,n</m:t>
              </m:r>
              <m:ctrlPr>
                <w:rPr>
                  <w:rFonts w:ascii="Cambria Math" w:hAnsi="Cambria Math" w:cs="HiddenHorzOCR"/>
                  <w:color w:val="000000" w:themeColor="text1"/>
                  <w:kern w:val="0"/>
                  <w:szCs w:val="21"/>
                  <w14:textFill>
                    <w14:solidFill>
                      <w14:schemeClr w14:val="tx1"/>
                    </w14:solidFill>
                  </w14:textFill>
                </w:rPr>
              </m:ctrlPr>
            </m:e>
          </m:d>
          <m:r>
            <w:rPr>
              <w:rFonts w:ascii="Cambria Math" w:hAnsi="Cambria Math" w:cs="HiddenHorzOCR"/>
              <w:color w:val="000000" w:themeColor="text1"/>
              <w:kern w:val="0"/>
              <w:szCs w:val="21"/>
              <w14:textFill>
                <w14:solidFill>
                  <w14:schemeClr w14:val="tx1"/>
                </w14:solidFill>
              </w14:textFill>
            </w:rPr>
            <m:t xml:space="preserve">                                      (4.4.1-2)</m:t>
          </m:r>
        </m:oMath>
      </m:oMathPara>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——j振型i层的竖向地震作用标准值；</w:t>
      </w:r>
    </w:p>
    <w:p>
      <w:pPr>
        <w:autoSpaceDE w:val="0"/>
        <w:autoSpaceDN w:val="0"/>
        <w:spacing w:line="360" w:lineRule="auto"/>
        <w:ind w:left="1260" w:leftChars="300" w:hanging="630" w:hanging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α</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——j振型自振周期</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的地震影响系数，按《建筑抗震设计规范》G</w:t>
      </w:r>
      <w:r>
        <w:rPr>
          <w:rFonts w:cs="HiddenHorzOCR" w:asciiTheme="minorEastAsia" w:hAnsiTheme="minorEastAsia"/>
          <w:color w:val="000000" w:themeColor="text1"/>
          <w:kern w:val="0"/>
          <w:szCs w:val="21"/>
          <w14:textFill>
            <w14:solidFill>
              <w14:schemeClr w14:val="tx1"/>
            </w14:solidFill>
          </w14:textFill>
        </w:rPr>
        <w:t>B50011</w:t>
      </w:r>
      <w:r>
        <w:rPr>
          <w:rFonts w:hint="eastAsia" w:cs="HiddenHorzOCR" w:asciiTheme="minorEastAsia" w:hAnsiTheme="minorEastAsia"/>
          <w:color w:val="000000" w:themeColor="text1"/>
          <w:kern w:val="0"/>
          <w:szCs w:val="21"/>
          <w14:textFill>
            <w14:solidFill>
              <w14:schemeClr w14:val="tx1"/>
            </w14:solidFill>
          </w14:textFill>
        </w:rPr>
        <w:t>多遇地震采用；</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——j振型的参与系数；</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——j振型i层质点的竖向相对位移；</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——集中于i质点的重力荷载代表值；</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竖向地震作用效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按下列公式确</w:t>
      </w:r>
      <w:r>
        <w:rPr>
          <w:rFonts w:hint="eastAsia" w:cs="HiddenHorzOCR" w:asciiTheme="minorEastAsia" w:hAnsiTheme="minorEastAsia"/>
          <w:color w:val="000000" w:themeColor="text1"/>
          <w:kern w:val="0"/>
          <w:szCs w:val="21"/>
          <w14:textFill>
            <w14:solidFill>
              <w14:schemeClr w14:val="tx1"/>
            </w14:solidFill>
          </w14:textFill>
        </w:rPr>
        <w:t>定：</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r>
            <m:rPr>
              <m:sty m:val="p"/>
            </m:rPr>
            <w:rPr>
              <w:rFonts w:ascii="Cambria Math" w:hAnsi="Cambria Math" w:cs="HiddenHorzOCR"/>
              <w:color w:val="000000" w:themeColor="text1"/>
              <w:kern w:val="0"/>
              <w:szCs w:val="21"/>
              <w14:textFill>
                <w14:solidFill>
                  <w14:schemeClr w14:val="tx1"/>
                </w14:solidFill>
              </w14:textFill>
            </w:rPr>
            <m:t>S=</m:t>
          </m:r>
          <m:rad>
            <m:radPr>
              <m:degHide m:val="1"/>
              <m:ctrlPr>
                <w:rPr>
                  <w:rFonts w:ascii="Cambria Math" w:hAnsi="Cambria Math" w:cs="HiddenHorzOCR"/>
                  <w:color w:val="000000" w:themeColor="text1"/>
                  <w:kern w:val="0"/>
                  <w:szCs w:val="21"/>
                  <w14:textFill>
                    <w14:solidFill>
                      <w14:schemeClr w14:val="tx1"/>
                    </w14:solidFill>
                  </w14:textFill>
                </w:rPr>
              </m:ctrlPr>
            </m:radPr>
            <m:deg>
              <m:ctrlPr>
                <w:rPr>
                  <w:rFonts w:ascii="Cambria Math" w:hAnsi="Cambria Math" w:cs="HiddenHorzOCR"/>
                  <w:color w:val="000000" w:themeColor="text1"/>
                  <w:kern w:val="0"/>
                  <w:szCs w:val="21"/>
                  <w14:textFill>
                    <w14:solidFill>
                      <w14:schemeClr w14:val="tx1"/>
                    </w14:solidFill>
                  </w14:textFill>
                </w:rPr>
              </m:ctrlPr>
            </m:deg>
            <m:e>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j=1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color w:val="000000" w:themeColor="text1"/>
                      <w:kern w:val="0"/>
                      <w:szCs w:val="21"/>
                      <w14:textFill>
                        <w14:solidFill>
                          <w14:schemeClr w14:val="tx1"/>
                        </w14:solidFill>
                      </w14:textFill>
                    </w:rPr>
                  </m:ctrlPr>
                </m:sup>
                <m:e>
                  <m:nary>
                    <m:naryPr>
                      <m:chr m:val="∑"/>
                      <m:limLoc m:val="undOvr"/>
                      <m:ctrlPr>
                        <w:rPr>
                          <w:rFonts w:ascii="Cambria Math" w:hAnsi="Cambria Math" w:cs="HiddenHorzOCR"/>
                          <w:color w:val="000000" w:themeColor="text1"/>
                          <w:kern w:val="0"/>
                          <w:szCs w:val="21"/>
                          <w14:textFill>
                            <w14:solidFill>
                              <w14:schemeClr w14:val="tx1"/>
                            </w14:solidFill>
                          </w14:textFill>
                        </w:rPr>
                      </m:ctrlPr>
                    </m:naryPr>
                    <m:sub>
                      <m:r>
                        <m:rPr>
                          <m:sty m:val="p"/>
                        </m:rPr>
                        <w:rPr>
                          <w:rFonts w:ascii="Cambria Math" w:hAnsi="Cambria Math" w:cs="HiddenHorzOCR"/>
                          <w:color w:val="000000" w:themeColor="text1"/>
                          <w:kern w:val="0"/>
                          <w:szCs w:val="21"/>
                          <w14:textFill>
                            <w14:solidFill>
                              <w14:schemeClr w14:val="tx1"/>
                            </w14:solidFill>
                          </w14:textFill>
                        </w:rPr>
                        <m:t>k=1</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color w:val="000000" w:themeColor="text1"/>
                          <w:kern w:val="0"/>
                          <w:szCs w:val="21"/>
                          <w14:textFill>
                            <w14:solidFill>
                              <w14:schemeClr w14:val="tx1"/>
                            </w14:solidFill>
                          </w14:textFill>
                        </w:rPr>
                      </m:ctrlPr>
                    </m:sup>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ρ</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jk</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e>
              </m:nary>
              <m:ctrlPr>
                <w:rPr>
                  <w:rFonts w:ascii="Cambria Math" w:hAnsi="Cambria Math" w:cs="HiddenHorzOCR"/>
                  <w:color w:val="000000" w:themeColor="text1"/>
                  <w:kern w:val="0"/>
                  <w:szCs w:val="21"/>
                  <w14:textFill>
                    <w14:solidFill>
                      <w14:schemeClr w14:val="tx1"/>
                    </w14:solidFill>
                  </w14:textFill>
                </w:rPr>
              </m:ctrlPr>
            </m:e>
          </m:rad>
          <m:r>
            <w:rPr>
              <w:rFonts w:ascii="Cambria Math" w:hAnsi="Cambria Math" w:cs="HiddenHorzOCR"/>
              <w:color w:val="000000" w:themeColor="text1"/>
              <w:kern w:val="0"/>
              <w:szCs w:val="21"/>
              <w14:textFill>
                <w14:solidFill>
                  <w14:schemeClr w14:val="tx1"/>
                </w14:solidFill>
              </w14:textFill>
            </w:rPr>
            <m:t xml:space="preserve">                                                                    (4.4.1-3)</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ρ</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jk</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r>
                <m:rPr>
                  <m:sty m:val="p"/>
                </m:rPr>
                <w:rPr>
                  <w:rFonts w:ascii="Cambria Math" w:hAnsi="Cambria Math" w:cs="HiddenHorzOCR"/>
                  <w:color w:val="000000" w:themeColor="text1"/>
                  <w:kern w:val="0"/>
                  <w:szCs w:val="21"/>
                  <w14:textFill>
                    <w14:solidFill>
                      <w14:schemeClr w14:val="tx1"/>
                    </w14:solidFill>
                  </w14:textFill>
                </w:rPr>
                <m:t>8</m:t>
              </m:r>
              <m:rad>
                <m:radPr>
                  <m:degHide m:val="1"/>
                  <m:ctrlPr>
                    <w:rPr>
                      <w:rFonts w:ascii="Cambria Math" w:hAnsi="Cambria Math" w:cs="HiddenHorzOCR"/>
                      <w:color w:val="000000" w:themeColor="text1"/>
                      <w:kern w:val="0"/>
                      <w:szCs w:val="21"/>
                      <w14:textFill>
                        <w14:solidFill>
                          <w14:schemeClr w14:val="tx1"/>
                        </w14:solidFill>
                      </w14:textFill>
                    </w:rPr>
                  </m:ctrlPr>
                </m:radPr>
                <m:deg>
                  <m:ctrlPr>
                    <w:rPr>
                      <w:rFonts w:ascii="Cambria Math" w:hAnsi="Cambria Math" w:cs="HiddenHorzOCR"/>
                      <w:color w:val="000000" w:themeColor="text1"/>
                      <w:kern w:val="0"/>
                      <w:szCs w:val="21"/>
                      <w14:textFill>
                        <w14:solidFill>
                          <w14:schemeClr w14:val="tx1"/>
                        </w14:solidFill>
                      </w14:textFill>
                    </w:rPr>
                  </m:ctrlPr>
                </m:deg>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rad>
              <m:d>
                <m:dPr>
                  <m:ctrlPr>
                    <w:rPr>
                      <w:rFonts w:ascii="Cambria Math" w:hAnsi="Cambria Math" w:cs="HiddenHorzOCR"/>
                      <w:color w:val="000000" w:themeColor="text1"/>
                      <w:kern w:val="0"/>
                      <w:szCs w:val="21"/>
                      <w14:textFill>
                        <w14:solidFill>
                          <w14:schemeClr w14:val="tx1"/>
                        </w14:solidFill>
                      </w14:textFill>
                    </w:rPr>
                  </m:ctrlPr>
                </m:dPr>
                <m:e>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d>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1.5</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num>
            <m:den>
              <m:sSup>
                <m:sSupPr>
                  <m:ctrlPr>
                    <w:rPr>
                      <w:rFonts w:ascii="Cambria Math" w:hAnsi="Cambria Math" w:cs="HiddenHorzOCR"/>
                      <w:color w:val="000000" w:themeColor="text1"/>
                      <w:kern w:val="0"/>
                      <w:szCs w:val="21"/>
                      <w14:textFill>
                        <w14:solidFill>
                          <w14:schemeClr w14:val="tx1"/>
                        </w14:solidFill>
                      </w14:textFill>
                    </w:rPr>
                  </m:ctrlPr>
                </m:sSupPr>
                <m:e>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1-</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ctrlPr>
                    <w:rPr>
                      <w:rFonts w:ascii="Cambria Math" w:hAnsi="Cambria Math" w:cs="HiddenHorzOCR"/>
                      <w:color w:val="000000" w:themeColor="text1"/>
                      <w:kern w:val="0"/>
                      <w:szCs w:val="21"/>
                      <w14:textFill>
                        <w14:solidFill>
                          <w14:schemeClr w14:val="tx1"/>
                        </w14:solidFill>
                      </w14:textFill>
                    </w:rPr>
                  </m:ctrlPr>
                </m:e>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p>
              <m:r>
                <m:rPr>
                  <m:sty m:val="p"/>
                </m:rPr>
                <w:rPr>
                  <w:rFonts w:ascii="Cambria Math" w:hAnsi="Cambria Math" w:cs="HiddenHorzOCR"/>
                  <w:color w:val="000000" w:themeColor="text1"/>
                  <w:kern w:val="0"/>
                  <w:szCs w:val="21"/>
                  <w14:textFill>
                    <w14:solidFill>
                      <w14:schemeClr w14:val="tx1"/>
                    </w14:solidFill>
                  </w14:textFill>
                </w:rPr>
                <m:t>+4</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d>
                <m:dPr>
                  <m:ctrlPr>
                    <w:rPr>
                      <w:rFonts w:ascii="Cambria Math" w:hAnsi="Cambria Math" w:cs="HiddenHorzOCR"/>
                      <w:color w:val="000000" w:themeColor="text1"/>
                      <w:kern w:val="0"/>
                      <w:szCs w:val="21"/>
                      <w14:textFill>
                        <w14:solidFill>
                          <w14:schemeClr w14:val="tx1"/>
                        </w14:solidFill>
                      </w14:textFill>
                    </w:rPr>
                  </m:ctrlPr>
                </m:dPr>
                <m:e>
                  <m:r>
                    <m:rPr>
                      <m:sty m:val="p"/>
                    </m:rPr>
                    <w:rPr>
                      <w:rFonts w:ascii="Cambria Math" w:hAnsi="Cambria Math" w:cs="HiddenHorzOCR"/>
                      <w:color w:val="000000" w:themeColor="text1"/>
                      <w:kern w:val="0"/>
                      <w:szCs w:val="21"/>
                      <w14:textFill>
                        <w14:solidFill>
                          <w14:schemeClr w14:val="tx1"/>
                        </w14:solidFill>
                      </w14:textFill>
                    </w:rPr>
                    <m:t>1+</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+4</m:t>
              </m:r>
              <m:d>
                <m:dPr>
                  <m:ctrlPr>
                    <w:rPr>
                      <w:rFonts w:ascii="Cambria Math" w:hAnsi="Cambria Math" w:cs="HiddenHorzOCR"/>
                      <w:color w:val="000000" w:themeColor="text1"/>
                      <w:kern w:val="0"/>
                      <w:szCs w:val="21"/>
                      <w14:textFill>
                        <w14:solidFill>
                          <w14:schemeClr w14:val="tx1"/>
                        </w14:solidFill>
                      </w14:textFill>
                    </w:rPr>
                  </m:ctrlPr>
                </m:dPr>
                <m:e>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j</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r>
                    <m:rPr>
                      <m:sty m:val="p"/>
                    </m:rPr>
                    <w:rPr>
                      <w:rFonts w:ascii="Cambria Math" w:hAnsi="Cambria Math" w:cs="HiddenHorzOCR"/>
                      <w:color w:val="000000" w:themeColor="text1"/>
                      <w:kern w:val="0"/>
                      <w:szCs w:val="21"/>
                      <w14:textFill>
                        <w14:solidFill>
                          <w14:schemeClr w14:val="tx1"/>
                        </w14:solidFill>
                      </w14:textFill>
                    </w:rPr>
                    <m:t>+</m:t>
                  </m:r>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d>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λ</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 xml:space="preserve">           (4.4.1-4)</m:t>
          </m:r>
        </m:oMath>
      </m:oMathPara>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4.4.</w:t>
      </w: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cs="HiddenHorzOCR" w:asciiTheme="minorEastAsia" w:hAnsiTheme="minorEastAsia"/>
          <w:color w:val="000000" w:themeColor="text1"/>
          <w:kern w:val="0"/>
          <w:szCs w:val="21"/>
          <w14:textFill>
            <w14:solidFill>
              <w14:schemeClr w14:val="tx1"/>
            </w14:solidFill>
          </w14:textFill>
        </w:rPr>
        <w:t>8</w:t>
      </w:r>
      <w:r>
        <w:rPr>
          <w:rFonts w:hint="eastAsia" w:cs="HiddenHorzOCR" w:asciiTheme="minorEastAsia" w:hAnsiTheme="minorEastAsia"/>
          <w:color w:val="000000" w:themeColor="text1"/>
          <w:kern w:val="0"/>
          <w:szCs w:val="21"/>
          <w14:textFill>
            <w14:solidFill>
              <w14:schemeClr w14:val="tx1"/>
            </w14:solidFill>
          </w14:textFill>
        </w:rPr>
        <w:t>度及以上</w:t>
      </w:r>
      <w:r>
        <w:rPr>
          <w:rFonts w:hint="eastAsia" w:cs="宋体" w:asciiTheme="minorEastAsia" w:hAnsiTheme="minorEastAsia"/>
          <w:color w:val="000000" w:themeColor="text1"/>
          <w:kern w:val="0"/>
          <w:szCs w:val="21"/>
          <w14:textFill>
            <w14:solidFill>
              <w14:schemeClr w14:val="tx1"/>
            </w14:solidFill>
          </w14:textFill>
        </w:rPr>
        <w:t>时，</w:t>
      </w:r>
      <w:r>
        <w:rPr>
          <w:rFonts w:hint="eastAsia" w:cs="Times New Roman" w:asciiTheme="minorEastAsia" w:hAnsiTheme="minorEastAsia"/>
          <w:color w:val="000000" w:themeColor="text1"/>
          <w:kern w:val="0"/>
          <w:szCs w:val="21"/>
          <w14:textFill>
            <w14:solidFill>
              <w14:schemeClr w14:val="tx1"/>
            </w14:solidFill>
          </w14:textFill>
        </w:rPr>
        <w:t>下列情况应考虑竖向地震作用：</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MS Mincho" w:asciiTheme="minorEastAsia" w:hAnsiTheme="minorEastAsia"/>
          <w:color w:val="000000" w:themeColor="text1"/>
          <w:kern w:val="0"/>
          <w:szCs w:val="21"/>
          <w14:textFill>
            <w14:solidFill>
              <w14:schemeClr w14:val="tx1"/>
            </w14:solidFill>
          </w14:textFill>
        </w:rPr>
        <w:t>跨度大于</w:t>
      </w:r>
      <w:r>
        <w:rPr>
          <w:rFonts w:cs="HiddenHorzOCR" w:asciiTheme="minorEastAsia" w:hAnsiTheme="minorEastAsia"/>
          <w:color w:val="000000" w:themeColor="text1"/>
          <w:kern w:val="0"/>
          <w:szCs w:val="21"/>
          <w14:textFill>
            <w14:solidFill>
              <w14:schemeClr w14:val="tx1"/>
            </w14:solidFill>
          </w14:textFill>
        </w:rPr>
        <w:t>24m</w:t>
      </w:r>
      <w:r>
        <w:rPr>
          <w:rFonts w:hint="eastAsia" w:cs="HiddenHorzOCR" w:asciiTheme="minorEastAsia" w:hAnsiTheme="minorEastAsia"/>
          <w:color w:val="000000" w:themeColor="text1"/>
          <w:kern w:val="0"/>
          <w:szCs w:val="21"/>
          <w14:textFill>
            <w14:solidFill>
              <w14:schemeClr w14:val="tx1"/>
            </w14:solidFill>
          </w14:textFill>
        </w:rPr>
        <w:t>的屋盖和楼盖的桁架和梁、支承上述桁架和梁的托架和托梁、以及跨度大于</w:t>
      </w:r>
      <w:r>
        <w:rPr>
          <w:rFonts w:cs="HiddenHorzOCR" w:asciiTheme="minorEastAsia" w:hAnsiTheme="minorEastAsia"/>
          <w:color w:val="000000" w:themeColor="text1"/>
          <w:kern w:val="0"/>
          <w:szCs w:val="21"/>
          <w14:textFill>
            <w14:solidFill>
              <w14:schemeClr w14:val="tx1"/>
            </w14:solidFill>
          </w14:textFill>
        </w:rPr>
        <w:t>24m</w:t>
      </w:r>
      <w:r>
        <w:rPr>
          <w:rFonts w:hint="eastAsia" w:cs="HiddenHorzOCR" w:asciiTheme="minorEastAsia" w:hAnsiTheme="minorEastAsia"/>
          <w:color w:val="000000" w:themeColor="text1"/>
          <w:kern w:val="0"/>
          <w:szCs w:val="21"/>
          <w14:textFill>
            <w14:solidFill>
              <w14:schemeClr w14:val="tx1"/>
            </w14:solidFill>
          </w14:textFill>
        </w:rPr>
        <w:t>的托架和托梁；</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 各种跨度的平板型网架；</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3 长悬</w:t>
      </w:r>
      <w:r>
        <w:rPr>
          <w:rFonts w:hint="eastAsia" w:cs="MS Mincho" w:asciiTheme="minorEastAsia" w:hAnsiTheme="minorEastAsia"/>
          <w:color w:val="000000" w:themeColor="text1"/>
          <w:kern w:val="0"/>
          <w:szCs w:val="21"/>
          <w14:textFill>
            <w14:solidFill>
              <w14:schemeClr w14:val="tx1"/>
            </w14:solidFill>
          </w14:textFill>
        </w:rPr>
        <w:t>臂</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4 隔震结构。</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以上</w:t>
      </w:r>
      <w:r>
        <w:rPr>
          <w:rFonts w:hint="eastAsia" w:cs="宋体" w:asciiTheme="minorEastAsia" w:hAnsiTheme="minorEastAsia"/>
          <w:color w:val="000000" w:themeColor="text1"/>
          <w:kern w:val="0"/>
          <w:szCs w:val="21"/>
          <w14:textFill>
            <w14:solidFill>
              <w14:schemeClr w14:val="tx1"/>
            </w14:solidFill>
          </w14:textFill>
        </w:rPr>
        <w:t>竖</w:t>
      </w:r>
      <w:r>
        <w:rPr>
          <w:rFonts w:hint="eastAsia" w:cs="MS Mincho" w:asciiTheme="minorEastAsia" w:hAnsiTheme="minorEastAsia"/>
          <w:color w:val="000000" w:themeColor="text1"/>
          <w:kern w:val="0"/>
          <w:szCs w:val="21"/>
          <w14:textFill>
            <w14:solidFill>
              <w14:schemeClr w14:val="tx1"/>
            </w14:solidFill>
          </w14:textFill>
        </w:rPr>
        <w:t>向地震作用只由上述构件或</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构本身及其</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节</w:t>
      </w:r>
      <w:r>
        <w:rPr>
          <w:rFonts w:hint="eastAsia" w:cs="HiddenHorzOCR" w:asciiTheme="minorEastAsia" w:hAnsiTheme="minorEastAsia"/>
          <w:color w:val="000000" w:themeColor="text1"/>
          <w:kern w:val="0"/>
          <w:szCs w:val="21"/>
          <w14:textFill>
            <w14:solidFill>
              <w14:schemeClr w14:val="tx1"/>
            </w14:solidFill>
          </w14:textFill>
        </w:rPr>
        <w:t>点承受，不</w:t>
      </w:r>
      <w:r>
        <w:rPr>
          <w:rFonts w:hint="eastAsia" w:cs="宋体" w:asciiTheme="minorEastAsia" w:hAnsiTheme="minorEastAsia"/>
          <w:color w:val="000000" w:themeColor="text1"/>
          <w:kern w:val="0"/>
          <w:szCs w:val="21"/>
          <w14:textFill>
            <w14:solidFill>
              <w14:schemeClr w14:val="tx1"/>
            </w14:solidFill>
          </w14:textFill>
        </w:rPr>
        <w:t>传给</w:t>
      </w:r>
      <w:r>
        <w:rPr>
          <w:rFonts w:hint="eastAsia" w:cs="MS Mincho" w:asciiTheme="minorEastAsia" w:hAnsiTheme="minorEastAsia"/>
          <w:color w:val="000000" w:themeColor="text1"/>
          <w:kern w:val="0"/>
          <w:szCs w:val="21"/>
          <w14:textFill>
            <w14:solidFill>
              <w14:schemeClr w14:val="tx1"/>
            </w14:solidFill>
          </w14:textFill>
        </w:rPr>
        <w:t>支承它</w:t>
      </w:r>
      <w:r>
        <w:rPr>
          <w:rFonts w:hint="eastAsia" w:cs="宋体" w:asciiTheme="minorEastAsia" w:hAnsiTheme="minorEastAsia"/>
          <w:color w:val="000000" w:themeColor="text1"/>
          <w:kern w:val="0"/>
          <w:szCs w:val="21"/>
          <w14:textFill>
            <w14:solidFill>
              <w14:schemeClr w14:val="tx1"/>
            </w14:solidFill>
          </w14:textFill>
        </w:rPr>
        <w:t>们</w:t>
      </w:r>
      <w:r>
        <w:rPr>
          <w:rFonts w:hint="eastAsia" w:cs="MS Mincho" w:asciiTheme="minorEastAsia" w:hAnsiTheme="minorEastAsia"/>
          <w:color w:val="000000" w:themeColor="text1"/>
          <w:kern w:val="0"/>
          <w:szCs w:val="21"/>
          <w14:textFill>
            <w14:solidFill>
              <w14:schemeClr w14:val="tx1"/>
            </w14:solidFill>
          </w14:textFill>
        </w:rPr>
        <w:t>的其他构件或</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p>
    <w:p>
      <w:pPr>
        <w:pStyle w:val="3"/>
      </w:pPr>
      <w:bookmarkStart w:id="82" w:name="_Toc48841023"/>
      <w:r>
        <w:rPr>
          <w:rFonts w:hint="eastAsia"/>
        </w:rPr>
        <w:t>多维地震作用计算</w:t>
      </w:r>
      <w:bookmarkEnd w:id="82"/>
    </w:p>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5</w:t>
      </w:r>
      <w:r>
        <w:rPr>
          <w:rFonts w:hint="eastAsia" w:cs="Times New Roman" w:asciiTheme="minorEastAsia" w:hAnsiTheme="minorEastAsia"/>
          <w:color w:val="000000" w:themeColor="text1"/>
          <w:kern w:val="0"/>
          <w:szCs w:val="21"/>
          <w14:textFill>
            <w14:solidFill>
              <w14:schemeClr w14:val="tx1"/>
            </w14:solidFill>
          </w14:textFill>
        </w:rPr>
        <w:t>.1 双向水平地震</w:t>
      </w:r>
    </w:p>
    <w:p>
      <w:pPr>
        <w:autoSpaceDE w:val="0"/>
        <w:autoSpaceDN w:val="0"/>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双向水平地震作用</w:t>
      </w:r>
      <w:r>
        <w:rPr>
          <w:rFonts w:hint="eastAsia" w:cs="MS Mincho" w:asciiTheme="minorEastAsia" w:hAnsiTheme="minorEastAsia"/>
          <w:color w:val="000000" w:themeColor="text1"/>
          <w:kern w:val="0"/>
          <w:szCs w:val="21"/>
          <w14:textFill>
            <w14:solidFill>
              <w14:schemeClr w14:val="tx1"/>
            </w14:solidFill>
          </w14:textFill>
        </w:rPr>
        <w:t>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，可按下列公式</w:t>
      </w:r>
      <w:r>
        <w:rPr>
          <w:rFonts w:hint="eastAsia" w:cs="HiddenHorzOCR" w:asciiTheme="minorEastAsia" w:hAnsiTheme="minorEastAsia"/>
          <w:color w:val="000000" w:themeColor="text1"/>
          <w:kern w:val="0"/>
          <w:szCs w:val="21"/>
          <w14:textFill>
            <w14:solidFill>
              <w14:schemeClr w14:val="tx1"/>
            </w14:solidFill>
          </w14:textFill>
        </w:rPr>
        <w:t>中的</w:t>
      </w:r>
      <w:r>
        <w:rPr>
          <w:rFonts w:hint="eastAsia" w:cs="宋体" w:asciiTheme="minorEastAsia" w:hAnsiTheme="minorEastAsia"/>
          <w:color w:val="000000" w:themeColor="text1"/>
          <w:kern w:val="0"/>
          <w:szCs w:val="21"/>
          <w14:textFill>
            <w14:solidFill>
              <w14:schemeClr w14:val="tx1"/>
            </w14:solidFill>
          </w14:textFill>
        </w:rPr>
        <w:t>较</w:t>
      </w:r>
      <w:r>
        <w:rPr>
          <w:rFonts w:hint="eastAsia" w:cs="HiddenHorzOCR" w:asciiTheme="minorEastAsia" w:hAnsiTheme="minorEastAsia"/>
          <w:color w:val="000000" w:themeColor="text1"/>
          <w:kern w:val="0"/>
          <w:szCs w:val="21"/>
          <w14:textFill>
            <w14:solidFill>
              <w14:schemeClr w14:val="tx1"/>
            </w14:solidFill>
          </w14:textFill>
        </w:rPr>
        <w:t>大</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确定</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m:r>
                <m:rPr>
                  <m:sty m:val="p"/>
                </m:rPr>
                <w:rPr>
                  <w:rFonts w:hint="eastAsia"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rad>
            <m:radPr>
              <m:degHide m:val="1"/>
              <m:ctrlPr>
                <w:rPr>
                  <w:rFonts w:ascii="Cambria Math" w:hAnsi="Cambria Math" w:cs="HiddenHorzOCR"/>
                  <w:color w:val="000000" w:themeColor="text1"/>
                  <w:kern w:val="0"/>
                  <w:szCs w:val="21"/>
                  <w14:textFill>
                    <w14:solidFill>
                      <w14:schemeClr w14:val="tx1"/>
                    </w14:solidFill>
                  </w14:textFill>
                </w:rPr>
              </m:ctrlPr>
            </m:radPr>
            <m:deg>
              <m:ctrlPr>
                <w:rPr>
                  <w:rFonts w:ascii="Cambria Math" w:hAnsi="Cambria Math" w:cs="HiddenHorzOCR"/>
                  <w:color w:val="000000" w:themeColor="text1"/>
                  <w:kern w:val="0"/>
                  <w:szCs w:val="21"/>
                  <w14:textFill>
                    <w14:solidFill>
                      <w14:schemeClr w14:val="tx1"/>
                    </w14:solidFill>
                  </w14:textFill>
                </w:rPr>
              </m:ctrlPr>
            </m:deg>
            <m:e>
              <m:sSubSup>
                <m:sSubSupPr>
                  <m:ctrlPr>
                    <w:rPr>
                      <w:rFonts w:ascii="Cambria Math" w:hAnsi="Cambria Math" w:cs="HiddenHorzOCR"/>
                      <w:color w:val="000000" w:themeColor="text1"/>
                      <w:kern w:val="0"/>
                      <w:szCs w:val="21"/>
                      <w14:textFill>
                        <w14:solidFill>
                          <w14:schemeClr w14:val="tx1"/>
                        </w14:solidFill>
                      </w14:textFill>
                    </w:rPr>
                  </m:ctrlPr>
                </m:sSubSupPr>
                <m:e>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sub>
                    <m:sup>
                      <m:r>
                        <m:rPr>
                          <m:sty m:val="p"/>
                        </m:rPr>
                        <w:rPr>
                          <w:rFonts w:hint="eastAsia"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r>
                    <m:rPr>
                      <m:sty m:val="p"/>
                    </m:rPr>
                    <w:rPr>
                      <w:rFonts w:hint="eastAsia" w:ascii="Cambria Math" w:hAnsi="Cambria Math" w:cs="HiddenHorzOCR"/>
                      <w:color w:val="000000" w:themeColor="text1"/>
                      <w:kern w:val="0"/>
                      <w:szCs w:val="21"/>
                      <w14:textFill>
                        <w14:solidFill>
                          <w14:schemeClr w14:val="tx1"/>
                        </w14:solidFill>
                      </w14:textFill>
                    </w:rPr>
                    <m:t>+</m:t>
                  </m:r>
                  <m:sSup>
                    <m:sSupPr>
                      <m:ctrlPr>
                        <w:rPr>
                          <w:rFonts w:ascii="Cambria Math" w:hAnsi="Cambria Math" w:cs="HiddenHorzOCR"/>
                          <w:color w:val="000000" w:themeColor="text1"/>
                          <w:kern w:val="0"/>
                          <w:szCs w:val="21"/>
                          <w14:textFill>
                            <w14:solidFill>
                              <w14:schemeClr w14:val="tx1"/>
                            </w14:solidFill>
                          </w14:textFill>
                        </w:rPr>
                      </m:ctrlPr>
                    </m:sSupPr>
                    <m:e>
                      <m:d>
                        <m:dPr>
                          <m:ctrlPr>
                            <w:rPr>
                              <w:rFonts w:ascii="Cambria Math" w:hAnsi="Cambria Math" w:cs="HiddenHorzOCR"/>
                              <w:color w:val="000000" w:themeColor="text1"/>
                              <w:kern w:val="0"/>
                              <w:szCs w:val="21"/>
                              <w14:textFill>
                                <w14:solidFill>
                                  <w14:schemeClr w14:val="tx1"/>
                                </w14:solidFill>
                              </w14:textFill>
                            </w:rPr>
                          </m:ctrlPr>
                        </m:dPr>
                        <m:e>
                          <m:r>
                            <m:rPr>
                              <m:sty m:val="p"/>
                            </m:rPr>
                            <w:rPr>
                              <w:rFonts w:hint="eastAsia" w:ascii="Cambria Math" w:hAnsi="Cambria Math" w:cs="HiddenHorzOCR"/>
                              <w:color w:val="000000" w:themeColor="text1"/>
                              <w:kern w:val="0"/>
                              <w:szCs w:val="21"/>
                              <w14:textFill>
                                <w14:solidFill>
                                  <w14:schemeClr w14:val="tx1"/>
                                </w14:solidFill>
                              </w14:textFill>
                            </w:rPr>
                            <m:t>0.85</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hint="eastAsia"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d>
                      <m:ctrlPr>
                        <w:rPr>
                          <w:rFonts w:ascii="Cambria Math" w:hAnsi="Cambria Math" w:cs="HiddenHorzOCR"/>
                          <w:color w:val="000000" w:themeColor="text1"/>
                          <w:kern w:val="0"/>
                          <w:szCs w:val="21"/>
                          <w14:textFill>
                            <w14:solidFill>
                              <w14:schemeClr w14:val="tx1"/>
                            </w14:solidFill>
                          </w14:textFill>
                        </w:rPr>
                      </m:ctrlPr>
                    </m:e>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p>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 xml:space="preserve"> </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 xml:space="preserve"> </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rad>
          <m:r>
            <w:rPr>
              <w:rFonts w:ascii="Cambria Math" w:hAnsi="Cambria Math" w:cs="HiddenHorzOCR"/>
              <w:color w:val="000000" w:themeColor="text1"/>
              <w:kern w:val="0"/>
              <w:szCs w:val="21"/>
              <w14:textFill>
                <w14:solidFill>
                  <w14:schemeClr w14:val="tx1"/>
                </w14:solidFill>
              </w14:textFill>
            </w:rPr>
            <m:t xml:space="preserve">                        (4.5.1-1)</m:t>
          </m:r>
        </m:oMath>
      </m:oMathPara>
    </w:p>
    <w:p>
      <w:pPr>
        <w:autoSpaceDE w:val="0"/>
        <w:autoSpaceDN w:val="0"/>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E</m:t>
              </m:r>
              <m:r>
                <m:rPr>
                  <m:sty m:val="p"/>
                </m:rPr>
                <w:rPr>
                  <w:rFonts w:hint="eastAsia" w:ascii="Cambria Math" w:hAnsi="Cambria Math" w:cs="HiddenHorzOCR"/>
                  <w:color w:val="000000" w:themeColor="text1"/>
                  <w:kern w:val="0"/>
                  <w:szCs w:val="21"/>
                  <w14:textFill>
                    <w14:solidFill>
                      <w14:schemeClr w14:val="tx1"/>
                    </w14:solidFill>
                  </w14:textFill>
                </w:rPr>
                <m:t>k</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m:t>
          </m:r>
          <m:rad>
            <m:radPr>
              <m:degHide m:val="1"/>
              <m:ctrlPr>
                <w:rPr>
                  <w:rFonts w:ascii="Cambria Math" w:hAnsi="Cambria Math" w:cs="HiddenHorzOCR"/>
                  <w:color w:val="000000" w:themeColor="text1"/>
                  <w:kern w:val="0"/>
                  <w:szCs w:val="21"/>
                  <w14:textFill>
                    <w14:solidFill>
                      <w14:schemeClr w14:val="tx1"/>
                    </w14:solidFill>
                  </w14:textFill>
                </w:rPr>
              </m:ctrlPr>
            </m:radPr>
            <m:deg>
              <m:ctrlPr>
                <w:rPr>
                  <w:rFonts w:ascii="Cambria Math" w:hAnsi="Cambria Math" w:cs="HiddenHorzOCR"/>
                  <w:color w:val="000000" w:themeColor="text1"/>
                  <w:kern w:val="0"/>
                  <w:szCs w:val="21"/>
                  <w14:textFill>
                    <w14:solidFill>
                      <w14:schemeClr w14:val="tx1"/>
                    </w14:solidFill>
                  </w14:textFill>
                </w:rPr>
              </m:ctrlPr>
            </m:deg>
            <m:e>
              <m:sSubSup>
                <m:sSubSupPr>
                  <m:ctrlPr>
                    <w:rPr>
                      <w:rFonts w:ascii="Cambria Math" w:hAnsi="Cambria Math" w:cs="HiddenHorzOCR"/>
                      <w:color w:val="000000" w:themeColor="text1"/>
                      <w:kern w:val="0"/>
                      <w:szCs w:val="21"/>
                      <w14:textFill>
                        <w14:solidFill>
                          <w14:schemeClr w14:val="tx1"/>
                        </w14:solidFill>
                      </w14:textFill>
                    </w:rPr>
                  </m:ctrlPr>
                </m:sSubSupPr>
                <m:e>
                  <m:sSubSup>
                    <m:sSubSupPr>
                      <m:ctrlPr>
                        <w:rPr>
                          <w:rFonts w:ascii="Cambria Math" w:hAnsi="Cambria Math" w:cs="HiddenHorzOCR"/>
                          <w:color w:val="000000" w:themeColor="text1"/>
                          <w:kern w:val="0"/>
                          <w:szCs w:val="21"/>
                          <w14:textFill>
                            <w14:solidFill>
                              <w14:schemeClr w14:val="tx1"/>
                            </w14:solidFill>
                          </w14:textFill>
                        </w:rPr>
                      </m:ctrlPr>
                    </m:sSubSup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up>
                      <m:r>
                        <m:rPr>
                          <m:sty m:val="p"/>
                        </m:rPr>
                        <w:rPr>
                          <w:rFonts w:hint="eastAsia"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bSup>
                  <m:r>
                    <m:rPr>
                      <m:sty m:val="p"/>
                    </m:rPr>
                    <w:rPr>
                      <w:rFonts w:hint="eastAsia" w:ascii="Cambria Math" w:hAnsi="Cambria Math" w:cs="HiddenHorzOCR"/>
                      <w:color w:val="000000" w:themeColor="text1"/>
                      <w:kern w:val="0"/>
                      <w:szCs w:val="21"/>
                      <w14:textFill>
                        <w14:solidFill>
                          <w14:schemeClr w14:val="tx1"/>
                        </w14:solidFill>
                      </w14:textFill>
                    </w:rPr>
                    <m:t>+</m:t>
                  </m:r>
                  <m:sSup>
                    <m:sSupPr>
                      <m:ctrlPr>
                        <w:rPr>
                          <w:rFonts w:ascii="Cambria Math" w:hAnsi="Cambria Math" w:cs="HiddenHorzOCR"/>
                          <w:color w:val="000000" w:themeColor="text1"/>
                          <w:kern w:val="0"/>
                          <w:szCs w:val="21"/>
                          <w14:textFill>
                            <w14:solidFill>
                              <w14:schemeClr w14:val="tx1"/>
                            </w14:solidFill>
                          </w14:textFill>
                        </w:rPr>
                      </m:ctrlPr>
                    </m:sSupPr>
                    <m:e>
                      <m:d>
                        <m:dPr>
                          <m:ctrlPr>
                            <w:rPr>
                              <w:rFonts w:ascii="Cambria Math" w:hAnsi="Cambria Math" w:cs="HiddenHorzOCR"/>
                              <w:color w:val="000000" w:themeColor="text1"/>
                              <w:kern w:val="0"/>
                              <w:szCs w:val="21"/>
                              <w14:textFill>
                                <w14:solidFill>
                                  <w14:schemeClr w14:val="tx1"/>
                                </w14:solidFill>
                              </w14:textFill>
                            </w:rPr>
                          </m:ctrlPr>
                        </m:dPr>
                        <m:e>
                          <m:r>
                            <m:rPr>
                              <m:sty m:val="p"/>
                            </m:rPr>
                            <w:rPr>
                              <w:rFonts w:hint="eastAsia" w:ascii="Cambria Math" w:hAnsi="Cambria Math" w:cs="HiddenHorzOCR"/>
                              <w:color w:val="000000" w:themeColor="text1"/>
                              <w:kern w:val="0"/>
                              <w:szCs w:val="21"/>
                              <w14:textFill>
                                <w14:solidFill>
                                  <w14:schemeClr w14:val="tx1"/>
                                </w14:solidFill>
                              </w14:textFill>
                            </w:rPr>
                            <m:t>0.85</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x</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e>
                      </m:d>
                      <m:ctrlPr>
                        <w:rPr>
                          <w:rFonts w:ascii="Cambria Math" w:hAnsi="Cambria Math" w:cs="HiddenHorzOCR"/>
                          <w:color w:val="000000" w:themeColor="text1"/>
                          <w:kern w:val="0"/>
                          <w:szCs w:val="21"/>
                          <w14:textFill>
                            <w14:solidFill>
                              <w14:schemeClr w14:val="tx1"/>
                            </w14:solidFill>
                          </w14:textFill>
                        </w:rPr>
                      </m:ctrlPr>
                    </m:e>
                    <m:sup>
                      <m:r>
                        <m:rPr>
                          <m:sty m:val="p"/>
                        </m:rP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color w:val="000000" w:themeColor="text1"/>
                          <w:kern w:val="0"/>
                          <w:szCs w:val="21"/>
                          <w14:textFill>
                            <w14:solidFill>
                              <w14:schemeClr w14:val="tx1"/>
                            </w14:solidFill>
                          </w14:textFill>
                        </w:rPr>
                      </m:ctrlPr>
                    </m:sup>
                  </m:sSup>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 xml:space="preserve"> </m:t>
                  </m:r>
                  <m:ctrlPr>
                    <w:rPr>
                      <w:rFonts w:ascii="Cambria Math" w:hAnsi="Cambria Math" w:cs="HiddenHorzOCR"/>
                      <w:color w:val="000000" w:themeColor="text1"/>
                      <w:kern w:val="0"/>
                      <w:szCs w:val="21"/>
                      <w14:textFill>
                        <w14:solidFill>
                          <w14:schemeClr w14:val="tx1"/>
                        </w14:solidFill>
                      </w14:textFill>
                    </w:rPr>
                  </m:ctrlPr>
                </m:sub>
                <m:sup>
                  <m:r>
                    <m:rPr>
                      <m:sty m:val="p"/>
                    </m:rPr>
                    <w:rPr>
                      <w:rFonts w:ascii="Cambria Math" w:hAnsi="Cambria Math" w:cs="HiddenHorzOCR"/>
                      <w:color w:val="000000" w:themeColor="text1"/>
                      <w:kern w:val="0"/>
                      <w:szCs w:val="21"/>
                      <w14:textFill>
                        <w14:solidFill>
                          <w14:schemeClr w14:val="tx1"/>
                        </w14:solidFill>
                      </w14:textFill>
                    </w:rPr>
                    <m:t xml:space="preserve"> </m:t>
                  </m:r>
                  <m:ctrlPr>
                    <w:rPr>
                      <w:rFonts w:ascii="Cambria Math" w:hAnsi="Cambria Math" w:cs="HiddenHorzOCR"/>
                      <w:color w:val="000000" w:themeColor="text1"/>
                      <w:kern w:val="0"/>
                      <w:szCs w:val="21"/>
                      <w14:textFill>
                        <w14:solidFill>
                          <w14:schemeClr w14:val="tx1"/>
                        </w14:solidFill>
                      </w14:textFill>
                    </w:rPr>
                  </m:ctrlPr>
                </m:sup>
              </m:sSubSup>
              <m:ctrlPr>
                <w:rPr>
                  <w:rFonts w:ascii="Cambria Math" w:hAnsi="Cambria Math" w:cs="HiddenHorzOCR"/>
                  <w:color w:val="000000" w:themeColor="text1"/>
                  <w:kern w:val="0"/>
                  <w:szCs w:val="21"/>
                  <w14:textFill>
                    <w14:solidFill>
                      <w14:schemeClr w14:val="tx1"/>
                    </w14:solidFill>
                  </w14:textFill>
                </w:rPr>
              </m:ctrlPr>
            </m:e>
          </m:rad>
          <m:r>
            <w:rPr>
              <w:rFonts w:ascii="Cambria Math" w:hAnsi="Cambria Math" w:cs="HiddenHorzOCR"/>
              <w:color w:val="000000" w:themeColor="text1"/>
              <w:kern w:val="0"/>
              <w:szCs w:val="21"/>
              <w14:textFill>
                <w14:solidFill>
                  <w14:schemeClr w14:val="tx1"/>
                </w14:solidFill>
              </w14:textFill>
            </w:rPr>
            <m:t xml:space="preserve">                        (4.5.1-2)</m:t>
          </m:r>
        </m:oMath>
      </m:oMathPara>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5</w:t>
      </w:r>
      <w:r>
        <w:rPr>
          <w:rFonts w:hint="eastAsia" w:cs="Times New Roman" w:asciiTheme="minorEastAsia" w:hAnsiTheme="minorEastAsia"/>
          <w:color w:val="000000" w:themeColor="text1"/>
          <w:kern w:val="0"/>
          <w:szCs w:val="21"/>
          <w14:textFill>
            <w14:solidFill>
              <w14:schemeClr w14:val="tx1"/>
            </w14:solidFill>
          </w14:textFill>
        </w:rPr>
        <w:t>.2 双向水平和竖向三向地震</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可同时考虑两个水平方向和竖向的三向地震作用。考虑到三个方向结构反应一般不同时达到最大值，水平地震作用效应按第4.</w:t>
      </w:r>
      <w:r>
        <w:rPr>
          <w:rFonts w:cs="Times New Roman" w:asciiTheme="minorEastAsia" w:hAnsiTheme="minorEastAsia"/>
          <w:color w:val="000000" w:themeColor="text1"/>
          <w:kern w:val="0"/>
          <w:szCs w:val="21"/>
          <w14:textFill>
            <w14:solidFill>
              <w14:schemeClr w14:val="tx1"/>
            </w14:solidFill>
          </w14:textFill>
        </w:rPr>
        <w:t>5</w:t>
      </w:r>
      <w:r>
        <w:rPr>
          <w:rFonts w:hint="eastAsia" w:cs="Times New Roman" w:asciiTheme="minorEastAsia" w:hAnsiTheme="minorEastAsia"/>
          <w:color w:val="000000" w:themeColor="text1"/>
          <w:kern w:val="0"/>
          <w:szCs w:val="21"/>
          <w14:textFill>
            <w14:solidFill>
              <w14:schemeClr w14:val="tx1"/>
            </w14:solidFill>
          </w14:textFill>
        </w:rPr>
        <w:t>.1条的方法进行组合，水平与竖向地震作用效应的组合可按组合值系数0.4考虑，采用第4.</w:t>
      </w:r>
      <w:r>
        <w:rPr>
          <w:rFonts w:cs="Times New Roman" w:asciiTheme="minorEastAsia" w:hAnsiTheme="minorEastAsia"/>
          <w:color w:val="000000" w:themeColor="text1"/>
          <w:kern w:val="0"/>
          <w:szCs w:val="21"/>
          <w14:textFill>
            <w14:solidFill>
              <w14:schemeClr w14:val="tx1"/>
            </w14:solidFill>
          </w14:textFill>
        </w:rPr>
        <w:t>6</w:t>
      </w:r>
      <w:r>
        <w:rPr>
          <w:rFonts w:hint="eastAsia" w:cs="Times New Roman" w:asciiTheme="minorEastAsia" w:hAnsiTheme="minorEastAsia"/>
          <w:color w:val="000000" w:themeColor="text1"/>
          <w:kern w:val="0"/>
          <w:szCs w:val="21"/>
          <w14:textFill>
            <w14:solidFill>
              <w14:schemeClr w14:val="tx1"/>
            </w14:solidFill>
          </w14:textFill>
        </w:rPr>
        <w:t>.1条的方法进行计算。</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pStyle w:val="3"/>
      </w:pPr>
      <w:bookmarkStart w:id="83" w:name="_Toc48841024"/>
      <w:r>
        <w:rPr>
          <w:rFonts w:hint="eastAsia"/>
        </w:rPr>
        <w:t>截面抗震验算</w:t>
      </w:r>
      <w:bookmarkEnd w:id="83"/>
    </w:p>
    <w:p>
      <w:pPr>
        <w:autoSpaceDE w:val="0"/>
        <w:autoSpaceDN w:val="0"/>
        <w:spacing w:line="360" w:lineRule="auto"/>
        <w:ind w:firstLine="0" w:firstLineChars="0"/>
        <w:jc w:val="center"/>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6</w:t>
      </w:r>
      <w:r>
        <w:rPr>
          <w:rFonts w:hint="eastAsia" w:cs="Times New Roman" w:asciiTheme="minorEastAsia" w:hAnsiTheme="minorEastAsia"/>
          <w:color w:val="000000" w:themeColor="text1"/>
          <w:kern w:val="0"/>
          <w:szCs w:val="21"/>
          <w14:textFill>
            <w14:solidFill>
              <w14:schemeClr w14:val="tx1"/>
            </w14:solidFill>
          </w14:textFill>
        </w:rPr>
        <w:t>.1 结构构件的地震作用效应和其他荷载效应的基本组合，应按下列公式进行：</w:t>
      </w:r>
    </w:p>
    <w:p>
      <w:pPr>
        <w:autoSpaceDE w:val="0"/>
        <w:autoSpaceDN w:val="0"/>
        <w:spacing w:line="360" w:lineRule="auto"/>
        <w:ind w:firstLine="199" w:firstLineChars="95"/>
        <w:jc w:val="center"/>
        <w:rPr>
          <w:rFonts w:cs="Times New Roman" w:asciiTheme="minorEastAsia" w:hAnsiTheme="minorEastAsia"/>
          <w:color w:val="000000" w:themeColor="text1"/>
          <w:kern w:val="0"/>
          <w:szCs w:val="21"/>
          <w14:textFill>
            <w14:solidFill>
              <w14:schemeClr w14:val="tx1"/>
            </w14:solidFill>
          </w14:textFill>
        </w:rPr>
      </w:pPr>
      <m:oMath>
        <m:r>
          <m:rPr>
            <m:sty m:val="p"/>
          </m:rPr>
          <w:rPr>
            <w:rFonts w:ascii="Cambria Math" w:hAnsi="Cambria Math" w:cs="Times New Roman"/>
            <w:color w:val="000000" w:themeColor="text1"/>
            <w:kern w:val="0"/>
            <w:szCs w:val="21"/>
            <w14:textFill>
              <w14:solidFill>
                <w14:schemeClr w14:val="tx1"/>
              </w14:solidFill>
            </w14:textFill>
          </w:rPr>
          <m:t>S=</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G</m:t>
            </m:r>
            <m:ctrlPr>
              <w:rPr>
                <w:rFonts w:ascii="Cambria Math" w:hAnsi="Cambria Math" w:cs="Times New Roman"/>
                <w:color w:val="000000" w:themeColor="text1"/>
                <w:kern w:val="0"/>
                <w:szCs w:val="21"/>
                <w14:textFill>
                  <w14:solidFill>
                    <w14:schemeClr w14:val="tx1"/>
                  </w14:solidFill>
                </w14:textFill>
              </w:rPr>
            </m:ctrlPr>
          </m:sub>
        </m:sSub>
        <w:bookmarkStart w:id="84" w:name="_Hlk20476266"/>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GE</m:t>
            </m:r>
            <w:bookmarkEnd w:id="84"/>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w:bookmarkStart w:id="85" w:name="_Hlk20475962"/>
        <m:r>
          <m:rPr>
            <m:sty m:val="p"/>
          </m:rPr>
          <w:rPr>
            <w:rFonts w:ascii="Cambria Math" w:hAnsi="Cambria Math" w:cs="Times New Roman"/>
            <w:color w:val="000000" w:themeColor="text1"/>
            <w:kern w:val="0"/>
            <w:szCs w:val="21"/>
            <w14:textFill>
              <w14:solidFill>
                <w14:schemeClr w14:val="tx1"/>
              </w14:solidFill>
            </w14:textFill>
          </w:rPr>
          <m:t>q</m:t>
        </m:r>
        <w:bookmarkStart w:id="86" w:name="_Hlk20476177"/>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Eh</m:t>
            </m:r>
            <w:bookmarkEnd w:id="86"/>
            <m:ctrlPr>
              <w:rPr>
                <w:rFonts w:ascii="Cambria Math" w:hAnsi="Cambria Math" w:cs="Times New Roman"/>
                <w:color w:val="000000" w:themeColor="text1"/>
                <w:kern w:val="0"/>
                <w:szCs w:val="21"/>
                <w14:textFill>
                  <w14:solidFill>
                    <w14:schemeClr w14:val="tx1"/>
                  </w14:solidFill>
                </w14:textFill>
              </w:rPr>
            </m:ctrlPr>
          </m:sub>
        </m:sSub>
        <m:sSub>
          <w:bookmarkStart w:id="87" w:name="_Hlk20476281"/>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hint="eastAsia" w:ascii="Cambria Math" w:hAnsi="Cambria Math" w:eastAsia="MS Mincho" w:cs="MS Mincho"/>
                <w:color w:val="000000" w:themeColor="text1"/>
                <w:kern w:val="0"/>
                <w:szCs w:val="21"/>
                <w14:textFill>
                  <w14:solidFill>
                    <w14:schemeClr w14:val="tx1"/>
                  </w14:solidFill>
                </w14:textFill>
              </w:rPr>
              <m:t>h</m:t>
            </m:r>
            <w:bookmarkEnd w:id="85"/>
            <w:bookmarkEnd w:id="87"/>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+0.4</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q</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h</m:t>
            </m:r>
            <m:ctrlPr>
              <w:rPr>
                <w:rFonts w:ascii="Cambria Math" w:hAnsi="Cambria Math" w:cs="Times New Roman"/>
                <w:color w:val="000000" w:themeColor="text1"/>
                <w:kern w:val="0"/>
                <w:szCs w:val="21"/>
                <w14:textFill>
                  <w14:solidFill>
                    <w14:schemeClr w14:val="tx1"/>
                  </w14:solidFill>
                </w14:textFill>
              </w:rPr>
            </m:ctrlPr>
          </m:sub>
        </m:sSub>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Ev</m:t>
            </m:r>
            <m:ctrlPr>
              <w:rPr>
                <w:rFonts w:ascii="Cambria Math" w:hAnsi="Cambria Math" w:cs="Times New Roman"/>
                <w:color w:val="000000" w:themeColor="text1"/>
                <w:kern w:val="0"/>
                <w:szCs w:val="21"/>
                <w14:textFill>
                  <w14:solidFill>
                    <w14:schemeClr w14:val="tx1"/>
                  </w14:solidFill>
                </w14:textFill>
              </w:rPr>
            </m:ctrlPr>
          </m:sub>
        </m:sSub>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ascii="Cambria Math" w:hAnsi="Cambria Math" w:eastAsia="MS Mincho" w:cs="MS Mincho"/>
                <w:color w:val="000000" w:themeColor="text1"/>
                <w:kern w:val="0"/>
                <w:szCs w:val="21"/>
                <w14:textFill>
                  <w14:solidFill>
                    <w14:schemeClr w14:val="tx1"/>
                  </w14:solidFill>
                </w14:textFill>
              </w:rPr>
              <m:t>v</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w:bookmarkStart w:id="88" w:name="_Hlk20476317"/>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ψ</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m:t>
            </m:r>
            <w:bookmarkEnd w:id="88"/>
            <m:ctrlPr>
              <w:rPr>
                <w:rFonts w:ascii="Cambria Math" w:hAnsi="Cambria Math" w:cs="Times New Roman"/>
                <w:color w:val="000000" w:themeColor="text1"/>
                <w:kern w:val="0"/>
                <w:szCs w:val="21"/>
                <w14:textFill>
                  <w14:solidFill>
                    <w14:schemeClr w14:val="tx1"/>
                  </w14:solidFill>
                </w14:textFill>
              </w:rPr>
            </m:ctrlPr>
          </m:sub>
        </m:sSub>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m:t>
            </m:r>
            <m:ctrlPr>
              <w:rPr>
                <w:rFonts w:ascii="Cambria Math" w:hAnsi="Cambria Math" w:cs="Times New Roman"/>
                <w:color w:val="000000" w:themeColor="text1"/>
                <w:kern w:val="0"/>
                <w:szCs w:val="21"/>
                <w14:textFill>
                  <w14:solidFill>
                    <w14:schemeClr w14:val="tx1"/>
                  </w14:solidFill>
                </w14:textFill>
              </w:rPr>
            </m:ctrlPr>
          </m:sub>
        </m:sSub>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wk</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(4.6.1-1)</w:t>
      </w:r>
    </w:p>
    <w:p>
      <w:pPr>
        <w:autoSpaceDE w:val="0"/>
        <w:autoSpaceDN w:val="0"/>
        <w:spacing w:line="360" w:lineRule="auto"/>
        <w:ind w:firstLine="199" w:firstLineChars="95"/>
        <w:jc w:val="center"/>
        <w:rPr>
          <w:rFonts w:cs="Times New Roman" w:asciiTheme="minorEastAsia" w:hAnsiTheme="minorEastAsia"/>
          <w:color w:val="000000" w:themeColor="text1"/>
          <w:kern w:val="0"/>
          <w:szCs w:val="21"/>
          <w14:textFill>
            <w14:solidFill>
              <w14:schemeClr w14:val="tx1"/>
            </w14:solidFill>
          </w14:textFill>
        </w:rPr>
      </w:pPr>
      <m:oMath>
        <m:r>
          <m:rPr>
            <m:sty m:val="p"/>
          </m:rPr>
          <w:rPr>
            <w:rFonts w:ascii="Cambria Math" w:hAnsi="Cambria Math" w:cs="Times New Roman"/>
            <w:color w:val="000000" w:themeColor="text1"/>
            <w:kern w:val="0"/>
            <w:szCs w:val="21"/>
            <w14:textFill>
              <w14:solidFill>
                <w14:schemeClr w14:val="tx1"/>
              </w14:solidFill>
            </w14:textFill>
          </w:rPr>
          <m:t>S=</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G</m:t>
            </m:r>
            <m:ctrlPr>
              <w:rPr>
                <w:rFonts w:ascii="Cambria Math" w:hAnsi="Cambria Math" w:cs="Times New Roman"/>
                <w:color w:val="000000" w:themeColor="text1"/>
                <w:kern w:val="0"/>
                <w:szCs w:val="21"/>
                <w14:textFill>
                  <w14:solidFill>
                    <w14:schemeClr w14:val="tx1"/>
                  </w14:solidFill>
                </w14:textFill>
              </w:rPr>
            </m:ctrlPr>
          </m:sub>
        </m:sSub>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GE</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+0.4q</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Eh</m:t>
            </m:r>
            <m:ctrlPr>
              <w:rPr>
                <w:rFonts w:ascii="Cambria Math" w:hAnsi="Cambria Math" w:cs="Times New Roman"/>
                <w:color w:val="000000" w:themeColor="text1"/>
                <w:kern w:val="0"/>
                <w:szCs w:val="21"/>
                <w14:textFill>
                  <w14:solidFill>
                    <w14:schemeClr w14:val="tx1"/>
                  </w14:solidFill>
                </w14:textFill>
              </w:rPr>
            </m:ctrlPr>
          </m:sub>
        </m:sSub>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hint="eastAsia" w:ascii="Cambria Math" w:hAnsi="Cambria Math" w:eastAsia="MS Mincho" w:cs="MS Mincho"/>
                <w:color w:val="000000" w:themeColor="text1"/>
                <w:kern w:val="0"/>
                <w:szCs w:val="21"/>
                <w14:textFill>
                  <w14:solidFill>
                    <w14:schemeClr w14:val="tx1"/>
                  </w14:solidFill>
                </w14:textFill>
              </w:rPr>
              <m:t>h</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sSub>
          <w:bookmarkStart w:id="89" w:name="_Hlk20476232"/>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q</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h</m:t>
            </m:r>
            <w:bookmarkEnd w:id="89"/>
            <m:ctrlPr>
              <w:rPr>
                <w:rFonts w:ascii="Cambria Math" w:hAnsi="Cambria Math" w:cs="Times New Roman"/>
                <w:color w:val="000000" w:themeColor="text1"/>
                <w:kern w:val="0"/>
                <w:szCs w:val="21"/>
                <w14:textFill>
                  <w14:solidFill>
                    <w14:schemeClr w14:val="tx1"/>
                  </w14:solidFill>
                </w14:textFill>
              </w:rPr>
            </m:ctrlPr>
          </m:sub>
        </m:sSub>
        <m:sSub>
          <w:bookmarkStart w:id="90" w:name="_Hlk20476217"/>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Ev</m:t>
            </m:r>
            <w:bookmarkEnd w:id="90"/>
            <m:ctrlPr>
              <w:rPr>
                <w:rFonts w:ascii="Cambria Math" w:hAnsi="Cambria Math" w:cs="Times New Roman"/>
                <w:color w:val="000000" w:themeColor="text1"/>
                <w:kern w:val="0"/>
                <w:szCs w:val="21"/>
                <w14:textFill>
                  <w14:solidFill>
                    <w14:schemeClr w14:val="tx1"/>
                  </w14:solidFill>
                </w14:textFill>
              </w:rPr>
            </m:ctrlPr>
          </m:sub>
        </m:sSub>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ascii="Cambria Math" w:hAnsi="Cambria Math" w:eastAsia="MS Mincho" w:cs="MS Mincho"/>
                <w:color w:val="000000" w:themeColor="text1"/>
                <w:kern w:val="0"/>
                <w:szCs w:val="21"/>
                <w14:textFill>
                  <w14:solidFill>
                    <w14:schemeClr w14:val="tx1"/>
                  </w14:solidFill>
                </w14:textFill>
              </w:rPr>
              <m:t>v</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ψ</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m:t>
            </m:r>
            <m:ctrlPr>
              <w:rPr>
                <w:rFonts w:ascii="Cambria Math" w:hAnsi="Cambria Math" w:cs="Times New Roman"/>
                <w:color w:val="000000" w:themeColor="text1"/>
                <w:kern w:val="0"/>
                <w:szCs w:val="21"/>
                <w14:textFill>
                  <w14:solidFill>
                    <w14:schemeClr w14:val="tx1"/>
                  </w14:solidFill>
                </w14:textFill>
              </w:rPr>
            </m:ctrlPr>
          </m:sub>
        </m:sSub>
        <m:sSub>
          <w:bookmarkStart w:id="91" w:name="_Hlk20476336"/>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m:t>
            </m:r>
            <w:bookmarkEnd w:id="91"/>
            <m:ctrlPr>
              <w:rPr>
                <w:rFonts w:ascii="Cambria Math" w:hAnsi="Cambria Math" w:cs="Times New Roman"/>
                <w:color w:val="000000" w:themeColor="text1"/>
                <w:kern w:val="0"/>
                <w:szCs w:val="21"/>
                <w14:textFill>
                  <w14:solidFill>
                    <w14:schemeClr w14:val="tx1"/>
                  </w14:solidFill>
                </w14:textFill>
              </w:rPr>
            </m:ctrlPr>
          </m:sub>
        </m:sSub>
        <m:sSub>
          <w:bookmarkStart w:id="92" w:name="_Hlk20476351"/>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wk</m:t>
            </m:r>
            <w:bookmarkEnd w:id="92"/>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(4.6.1-2)</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color w:val="000000" w:themeColor="text1"/>
                <w:kern w:val="0"/>
                <w:szCs w:val="21"/>
                <w14:textFill>
                  <w14:solidFill>
                    <w14:schemeClr w14:val="tx1"/>
                  </w14:solidFill>
                </w14:textFill>
              </w:rPr>
            </m:ctrlPr>
          </m:sub>
        </m:sSub>
      </m:oMath>
      <w:bookmarkStart w:id="93" w:name="_Hlk20476195"/>
      <w:r>
        <w:rPr>
          <w:rFonts w:hint="eastAsia" w:cs="HiddenHorzOCR" w:asciiTheme="minorEastAsia" w:hAnsiTheme="minorEastAsia"/>
          <w:color w:val="000000" w:themeColor="text1"/>
          <w:kern w:val="0"/>
          <w:szCs w:val="21"/>
          <w14:textFill>
            <w14:solidFill>
              <w14:schemeClr w14:val="tx1"/>
            </w14:solidFill>
          </w14:textFill>
        </w:rPr>
        <w:t>——</w:t>
      </w:r>
      <w:bookmarkEnd w:id="93"/>
      <w:r>
        <w:rPr>
          <w:rFonts w:hint="eastAsia" w:cs="HiddenHorzOCR" w:asciiTheme="minorEastAsia" w:hAnsiTheme="minorEastAsia"/>
          <w:color w:val="000000" w:themeColor="text1"/>
          <w:kern w:val="0"/>
          <w:szCs w:val="21"/>
          <w14:textFill>
            <w14:solidFill>
              <w14:schemeClr w14:val="tx1"/>
            </w14:solidFill>
          </w14:textFill>
        </w:rPr>
        <w:t>重力荷载分项系数，一般取1.3，当重力荷载有利时，取1.0；</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——水平地震分项系数，一般取1.4，当水平地震有利时，取1.0；</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Ev</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——竖向地震分项系数，一般取1.4，当竖向地震有利时，取1.0；</w:t>
      </w:r>
    </w:p>
    <w:p>
      <w:pPr>
        <w:autoSpaceDE w:val="0"/>
        <w:autoSpaceDN w:val="0"/>
        <w:spacing w:line="360" w:lineRule="auto"/>
        <w:ind w:firstLine="420"/>
        <w:jc w:val="left"/>
        <w:rPr>
          <w:rFonts w:cs="Times New Roman" w:asciiTheme="minorEastAsia" w:hAnsiTheme="minorEastAsia"/>
          <w:color w:val="000000" w:themeColor="text1"/>
          <w:szCs w:val="21"/>
          <w14:textFill>
            <w14:solidFill>
              <w14:schemeClr w14:val="tx1"/>
            </w14:solidFill>
          </w14:textFill>
        </w:rPr>
      </w:pPr>
      <m:oMath>
        <m:r>
          <m:rPr>
            <m:sty m:val="p"/>
          </m:rPr>
          <w:rPr>
            <w:rFonts w:hint="eastAsia" w:ascii="Cambria Math" w:hAnsi="Cambria Math" w:cs="Times New Roman"/>
            <w:color w:val="000000" w:themeColor="text1"/>
            <w:szCs w:val="21"/>
            <w14:textFill>
              <w14:solidFill>
                <w14:schemeClr w14:val="tx1"/>
              </w14:solidFill>
            </w14:textFill>
          </w:rPr>
          <m:t>q</m:t>
        </m:r>
      </m:oMath>
      <w:r>
        <w:rPr>
          <w:rFonts w:hint="eastAsia" w:cs="Times New Roman" w:asciiTheme="minorEastAsia" w:hAnsiTheme="minorEastAsia"/>
          <w:color w:val="000000" w:themeColor="text1"/>
          <w:szCs w:val="21"/>
          <w14:textFill>
            <w14:solidFill>
              <w14:schemeClr w14:val="tx1"/>
            </w14:solidFill>
          </w14:textFill>
        </w:rPr>
        <w:t>——水平地震结构系数，按各章节规定选用；</w:t>
      </w:r>
    </w:p>
    <w:p>
      <w:pPr>
        <w:autoSpaceDE w:val="0"/>
        <w:autoSpaceDN w:val="0"/>
        <w:spacing w:line="360" w:lineRule="auto"/>
        <w:ind w:firstLine="420"/>
        <w:jc w:val="left"/>
        <w:rPr>
          <w:rFonts w:cs="Times New Roman" w:asciiTheme="minorEastAsia" w:hAnsiTheme="minorEastAsia"/>
          <w:color w:val="000000" w:themeColor="text1"/>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q</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szCs w:val="21"/>
          <w14:textFill>
            <w14:solidFill>
              <w14:schemeClr w14:val="tx1"/>
            </w14:solidFill>
          </w14:textFill>
        </w:rPr>
        <w:t>——竖向地震结构系数，取2.5；</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GE</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——重力荷载代表值的效应；</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hint="eastAsia" w:ascii="Cambria Math" w:hAnsi="Cambria Math" w:eastAsia="MS Mincho" w:cs="MS Mincho"/>
                <w:color w:val="000000" w:themeColor="text1"/>
                <w:kern w:val="0"/>
                <w:szCs w:val="21"/>
                <w14:textFill>
                  <w14:solidFill>
                    <w14:schemeClr w14:val="tx1"/>
                  </w14:solidFill>
                </w14:textFill>
              </w:rPr>
              <m:t>h</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——水平地震标准值的效应，尚应乘以相应的调整系数；</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r>
              <m:rPr>
                <m:sty m:val="p"/>
              </m:rPr>
              <w:rPr>
                <w:rFonts w:ascii="Cambria Math" w:hAnsi="MS Mincho" w:eastAsia="MS Mincho" w:cs="MS Mincho"/>
                <w:color w:val="000000" w:themeColor="text1"/>
                <w:kern w:val="0"/>
                <w:szCs w:val="21"/>
                <w14:textFill>
                  <w14:solidFill>
                    <w14:schemeClr w14:val="tx1"/>
                  </w14:solidFill>
                </w14:textFill>
              </w:rPr>
              <m:t>v</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——竖向地震标准值的效应，尚应乘以相应的调整系数；</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ψ</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——风荷载组合值系数，一般取0，风荷载起控制作用时可取0.2；</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——风荷载分项系数，一般取1.5，当风荷载有利时，取0；</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wk</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——风荷载效应标准值。</w:t>
      </w:r>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6</w:t>
      </w: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asciiTheme="minorEastAsia" w:hAnsiTheme="minorEastAsia"/>
          <w:color w:val="000000" w:themeColor="text1"/>
          <w:kern w:val="0"/>
          <w:szCs w:val="21"/>
          <w14:textFill>
            <w14:solidFill>
              <w14:schemeClr w14:val="tx1"/>
            </w14:solidFill>
          </w14:textFill>
        </w:rPr>
        <w:t>地震作用效应与其他荷载效应的基本组合，可参照第4.</w:t>
      </w:r>
      <w:r>
        <w:rPr>
          <w:rFonts w:cs="Times New Roman" w:asciiTheme="minorEastAsia" w:hAnsiTheme="minorEastAsia"/>
          <w:color w:val="000000" w:themeColor="text1"/>
          <w:kern w:val="0"/>
          <w:szCs w:val="21"/>
          <w14:textFill>
            <w14:solidFill>
              <w14:schemeClr w14:val="tx1"/>
            </w14:solidFill>
          </w14:textFill>
        </w:rPr>
        <w:t>6</w:t>
      </w:r>
      <w:r>
        <w:rPr>
          <w:rFonts w:hint="eastAsia" w:cs="Times New Roman" w:asciiTheme="minorEastAsia" w:hAnsiTheme="minorEastAsia"/>
          <w:color w:val="000000" w:themeColor="text1"/>
          <w:kern w:val="0"/>
          <w:szCs w:val="21"/>
          <w14:textFill>
            <w14:solidFill>
              <w14:schemeClr w14:val="tx1"/>
            </w14:solidFill>
          </w14:textFill>
        </w:rPr>
        <w:t>.1条进行。</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4.6.</w:t>
      </w:r>
      <w:r>
        <w:rPr>
          <w:rFonts w:hint="eastAsia" w:cs="HiddenHorzOCR" w:asciiTheme="minorEastAsia" w:hAnsiTheme="minorEastAsia"/>
          <w:color w:val="000000" w:themeColor="text1"/>
          <w:kern w:val="0"/>
          <w:szCs w:val="21"/>
          <w14:textFill>
            <w14:solidFill>
              <w14:schemeClr w14:val="tx1"/>
            </w14:solidFill>
          </w14:textFill>
        </w:rPr>
        <w:t>3</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结构构件的截面抗震验算，应符合下列设计表达式的要求：</w:t>
      </w:r>
    </w:p>
    <w:p>
      <w:pPr>
        <w:autoSpaceDE w:val="0"/>
        <w:autoSpaceDN w:val="0"/>
        <w:spacing w:line="360" w:lineRule="auto"/>
        <w:ind w:firstLine="199" w:firstLineChars="95"/>
        <w:jc w:val="center"/>
        <w:rPr>
          <w:rFonts w:cs="HiddenHorzOCR" w:asciiTheme="minorEastAsia" w:hAnsiTheme="minorEastAsia"/>
          <w:color w:val="000000" w:themeColor="text1"/>
          <w:kern w:val="0"/>
          <w:szCs w:val="21"/>
          <w14:textFill>
            <w14:solidFill>
              <w14:schemeClr w14:val="tx1"/>
            </w14:solidFill>
          </w14:textFill>
        </w:rPr>
      </w:pPr>
      <m:oMath>
        <m:r>
          <m:rPr>
            <m:sty m:val="p"/>
          </m:rPr>
          <w:rPr>
            <w:rFonts w:ascii="Cambria Math" w:hAnsi="Cambria Math" w:cs="HiddenHorzOCR"/>
            <w:color w:val="000000" w:themeColor="text1"/>
            <w:kern w:val="0"/>
            <w:szCs w:val="21"/>
            <w14:textFill>
              <w14:solidFill>
                <w14:schemeClr w14:val="tx1"/>
              </w14:solidFill>
            </w14:textFill>
          </w:rPr>
          <m:t>S≤R</m:t>
        </m:r>
        <m:sSub>
          <w:bookmarkStart w:id="94" w:name="_Hlk42854836"/>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RE</m:t>
            </m:r>
            <w:bookmarkEnd w:id="94"/>
            <m:ctrlPr>
              <w:rPr>
                <w:rFonts w:ascii="Cambria Math" w:hAnsi="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 xml:space="preserve"> </w:t>
      </w:r>
      <w:r>
        <w:rPr>
          <w:rFonts w:cs="HiddenHorzOCR" w:asciiTheme="minorEastAsia" w:hAnsiTheme="minorEastAsia"/>
          <w:color w:val="000000" w:themeColor="text1"/>
          <w:kern w:val="0"/>
          <w:szCs w:val="21"/>
          <w14:textFill>
            <w14:solidFill>
              <w14:schemeClr w14:val="tx1"/>
            </w14:solidFill>
          </w14:textFill>
        </w:rPr>
        <w:t xml:space="preserve">            (4.6.3-1)</w:t>
      </w:r>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式中：</w:t>
      </w:r>
      <w:r>
        <w:rPr>
          <w:rFonts w:cs="Times New Roman" w:asciiTheme="minorEastAsia" w:hAnsiTheme="minorEastAsia"/>
          <w:color w:val="000000" w:themeColor="text1"/>
          <w:kern w:val="0"/>
          <w:szCs w:val="21"/>
          <w14:textFill>
            <w14:solidFill>
              <w14:schemeClr w14:val="tx1"/>
            </w14:solidFill>
          </w14:textFill>
        </w:rPr>
        <w:t>S</w:t>
      </w:r>
      <w:r>
        <w:rPr>
          <w:rFonts w:hint="eastAsia" w:cs="Times New Roman" w:asciiTheme="minorEastAsia" w:hAnsiTheme="minorEastAsia"/>
          <w:color w:val="000000" w:themeColor="text1"/>
          <w:kern w:val="0"/>
          <w:szCs w:val="21"/>
          <w14:textFill>
            <w14:solidFill>
              <w14:schemeClr w14:val="tx1"/>
            </w14:solidFill>
          </w14:textFill>
        </w:rPr>
        <w:t xml:space="preserve">——结构构件内力组合的设计值； </w:t>
      </w:r>
    </w:p>
    <w:p>
      <w:pPr>
        <w:autoSpaceDE w:val="0"/>
        <w:autoSpaceDN w:val="0"/>
        <w:spacing w:line="360" w:lineRule="auto"/>
        <w:ind w:firstLine="630" w:firstLineChars="300"/>
        <w:jc w:val="left"/>
        <w:rPr>
          <w:rFonts w:cs="Times New Roman" w:asciiTheme="minorEastAsia" w:hAnsiTheme="minorEastAsia"/>
          <w:color w:val="000000" w:themeColor="text1"/>
          <w:kern w:val="0"/>
          <w:szCs w:val="21"/>
          <w14:textFill>
            <w14:solidFill>
              <w14:schemeClr w14:val="tx1"/>
            </w14:solidFill>
          </w14:textFill>
        </w:rPr>
      </w:pPr>
      <m:oMath>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RE</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kern w:val="0"/>
          <w:szCs w:val="21"/>
          <w14:textFill>
            <w14:solidFill>
              <w14:schemeClr w14:val="tx1"/>
            </w14:solidFill>
          </w14:textFill>
        </w:rPr>
        <w:t>——承载力抗震调整系数，按《建筑抗震设计规范》GB50011采用；</w:t>
      </w:r>
    </w:p>
    <w:p>
      <w:pPr>
        <w:autoSpaceDE w:val="0"/>
        <w:autoSpaceDN w:val="0"/>
        <w:spacing w:line="360" w:lineRule="auto"/>
        <w:ind w:firstLine="619" w:firstLineChars="295"/>
        <w:jc w:val="left"/>
        <w:rPr>
          <w:rFonts w:cs="Times New Roman"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R</w:t>
      </w:r>
      <w:r>
        <w:rPr>
          <w:rFonts w:hint="eastAsia" w:cs="Times New Roman" w:asciiTheme="minorEastAsia" w:hAnsiTheme="minorEastAsia"/>
          <w:color w:val="000000" w:themeColor="text1"/>
          <w:kern w:val="0"/>
          <w:szCs w:val="21"/>
          <w14:textFill>
            <w14:solidFill>
              <w14:schemeClr w14:val="tx1"/>
            </w14:solidFill>
          </w14:textFill>
        </w:rPr>
        <w:t>——结构构件承载力设计值。</w:t>
      </w:r>
    </w:p>
    <w:p>
      <w:pPr>
        <w:autoSpaceDE w:val="0"/>
        <w:autoSpaceDN w:val="0"/>
        <w:spacing w:line="360" w:lineRule="auto"/>
        <w:ind w:firstLine="619" w:firstLineChars="295"/>
        <w:jc w:val="left"/>
        <w:rPr>
          <w:rFonts w:cs="Times New Roman" w:asciiTheme="minorEastAsia" w:hAnsiTheme="minorEastAsia"/>
          <w:color w:val="000000" w:themeColor="text1"/>
          <w:kern w:val="0"/>
          <w:szCs w:val="21"/>
          <w14:textFill>
            <w14:solidFill>
              <w14:schemeClr w14:val="tx1"/>
            </w14:solidFill>
          </w14:textFill>
        </w:rPr>
      </w:pPr>
    </w:p>
    <w:p>
      <w:pPr>
        <w:pStyle w:val="3"/>
      </w:pPr>
      <w:bookmarkStart w:id="95" w:name="_Toc48841025"/>
      <w:r>
        <w:rPr>
          <w:rFonts w:hint="eastAsia"/>
        </w:rPr>
        <w:t>弹塑性抗震验算</w:t>
      </w:r>
      <w:bookmarkEnd w:id="95"/>
    </w:p>
    <w:p>
      <w:pPr>
        <w:autoSpaceDE w:val="0"/>
        <w:autoSpaceDN w:val="0"/>
        <w:spacing w:line="360" w:lineRule="auto"/>
        <w:ind w:firstLine="420"/>
        <w:jc w:val="center"/>
        <w:rPr>
          <w:rFonts w:cs="宋体"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4.7.1 一般规定</w:t>
      </w:r>
    </w:p>
    <w:p>
      <w:pPr>
        <w:autoSpaceDE w:val="0"/>
        <w:autoSpaceDN w:val="0"/>
        <w:spacing w:line="360" w:lineRule="auto"/>
        <w:ind w:firstLine="42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 构件性能取材料性能的标准值，也可采用平均值；</w:t>
      </w:r>
    </w:p>
    <w:p>
      <w:pPr>
        <w:autoSpaceDE w:val="0"/>
        <w:autoSpaceDN w:val="0"/>
        <w:spacing w:line="360" w:lineRule="auto"/>
        <w:ind w:firstLine="420"/>
        <w:rPr>
          <w:rFonts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2</w:t>
      </w:r>
      <w:r>
        <w:rPr>
          <w:rFonts w:hint="eastAsia" w:asciiTheme="minorEastAsia" w:hAnsiTheme="minorEastAsia"/>
          <w:color w:val="000000" w:themeColor="text1"/>
          <w:szCs w:val="21"/>
          <w14:textFill>
            <w14:solidFill>
              <w14:schemeClr w14:val="tx1"/>
            </w14:solidFill>
          </w14:textFill>
        </w:rPr>
        <w:t xml:space="preserve"> 计算模型考虑重力荷载；</w:t>
      </w:r>
    </w:p>
    <w:p>
      <w:pPr>
        <w:autoSpaceDE w:val="0"/>
        <w:autoSpaceDN w:val="0"/>
        <w:spacing w:line="360" w:lineRule="auto"/>
        <w:ind w:firstLine="420"/>
        <w:jc w:val="left"/>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 地面参数</w:t>
      </w:r>
      <w:r>
        <w:rPr>
          <w:rFonts w:hint="eastAsia" w:cs="HiddenHorzOCR" w:asciiTheme="minorEastAsia" w:hAnsiTheme="minorEastAsia"/>
          <w:color w:val="000000" w:themeColor="text1"/>
          <w:kern w:val="0"/>
          <w:szCs w:val="21"/>
          <w14:textFill>
            <w14:solidFill>
              <w14:schemeClr w14:val="tx1"/>
            </w14:solidFill>
          </w14:textFill>
        </w:rPr>
        <w:t>按《建筑抗震设计规范》G</w:t>
      </w:r>
      <w:r>
        <w:rPr>
          <w:rFonts w:cs="HiddenHorzOCR" w:asciiTheme="minorEastAsia" w:hAnsiTheme="minorEastAsia"/>
          <w:color w:val="000000" w:themeColor="text1"/>
          <w:kern w:val="0"/>
          <w:szCs w:val="21"/>
          <w14:textFill>
            <w14:solidFill>
              <w14:schemeClr w14:val="tx1"/>
            </w14:solidFill>
          </w14:textFill>
        </w:rPr>
        <w:t>B50011</w:t>
      </w:r>
      <w:r>
        <w:rPr>
          <w:rFonts w:hint="eastAsia" w:cs="HiddenHorzOCR" w:asciiTheme="minorEastAsia" w:hAnsiTheme="minorEastAsia"/>
          <w:color w:val="000000" w:themeColor="text1"/>
          <w:kern w:val="0"/>
          <w:szCs w:val="21"/>
          <w14:textFill>
            <w14:solidFill>
              <w14:schemeClr w14:val="tx1"/>
            </w14:solidFill>
          </w14:textFill>
        </w:rPr>
        <w:t>罕遇地震采用；</w:t>
      </w:r>
    </w:p>
    <w:p>
      <w:pPr>
        <w:autoSpaceDE w:val="0"/>
        <w:autoSpaceDN w:val="0"/>
        <w:spacing w:line="360" w:lineRule="auto"/>
        <w:ind w:firstLine="0" w:firstLineChars="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4.7.2 静力弹塑性方法（Pushover）</w:t>
      </w:r>
    </w:p>
    <w:p>
      <w:pPr>
        <w:autoSpaceDE w:val="0"/>
        <w:autoSpaceDN w:val="0"/>
        <w:spacing w:line="360" w:lineRule="auto"/>
        <w:ind w:firstLine="42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 加载模型可采用倒三角形或一阶位移模态；</w:t>
      </w:r>
    </w:p>
    <w:p>
      <w:pPr>
        <w:autoSpaceDE w:val="0"/>
        <w:autoSpaceDN w:val="0"/>
        <w:spacing w:line="360" w:lineRule="auto"/>
        <w:ind w:firstLine="42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2 双向水平地震下的结构效应组合可采用第4.5.1条的方法；</w:t>
      </w:r>
    </w:p>
    <w:p>
      <w:pPr>
        <w:autoSpaceDE w:val="0"/>
        <w:autoSpaceDN w:val="0"/>
        <w:spacing w:line="360" w:lineRule="auto"/>
        <w:ind w:firstLine="42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3 静力弹塑性法不考虑竖向地震。</w:t>
      </w:r>
    </w:p>
    <w:p>
      <w:pPr>
        <w:autoSpaceDE w:val="0"/>
        <w:autoSpaceDN w:val="0"/>
        <w:spacing w:line="360" w:lineRule="auto"/>
        <w:ind w:firstLine="0" w:firstLineChars="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4.7.2 动力时程弹塑性方法</w:t>
      </w:r>
    </w:p>
    <w:p>
      <w:pPr>
        <w:autoSpaceDE w:val="0"/>
        <w:autoSpaceDN w:val="0"/>
        <w:spacing w:line="360" w:lineRule="auto"/>
        <w:ind w:firstLine="420"/>
        <w:jc w:val="left"/>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1 地震作用效应计算采用七条地震计算结果波的平均值；</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 进行双向水平和竖向三向地震作用下结构效应的计算时，地面加速度峰值的比例按1：0.85：0.65采用。</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p>
      <w:pPr>
        <w:pStyle w:val="3"/>
      </w:pPr>
      <w:bookmarkStart w:id="96" w:name="_Toc48841026"/>
      <w:r>
        <w:rPr>
          <w:rFonts w:hint="eastAsia"/>
        </w:rPr>
        <w:t>结构抗震变形验算</w:t>
      </w:r>
      <w:bookmarkEnd w:id="96"/>
    </w:p>
    <w:p>
      <w:pPr>
        <w:autoSpaceDE w:val="0"/>
        <w:autoSpaceDN w:val="0"/>
        <w:spacing w:line="360" w:lineRule="auto"/>
        <w:ind w:firstLine="0" w:firstLineChars="0"/>
        <w:jc w:val="center"/>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4.</w:t>
      </w:r>
      <w:r>
        <w:rPr>
          <w:rFonts w:hint="eastAsia" w:cs="Times New Roman" w:asciiTheme="minorEastAsia" w:hAnsiTheme="minorEastAsia"/>
          <w:color w:val="000000" w:themeColor="text1"/>
          <w:kern w:val="0"/>
          <w:szCs w:val="21"/>
          <w14:textFill>
            <w14:solidFill>
              <w14:schemeClr w14:val="tx1"/>
            </w14:solidFill>
          </w14:textFill>
        </w:rPr>
        <w:t>8</w:t>
      </w: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有防腐要求的混凝土框架、框架—剪力</w:t>
      </w:r>
      <w:r>
        <w:rPr>
          <w:rFonts w:hint="eastAsia" w:cs="宋体" w:asciiTheme="minorEastAsia" w:hAnsiTheme="minorEastAsia"/>
          <w:color w:val="000000" w:themeColor="text1"/>
          <w:kern w:val="0"/>
          <w:szCs w:val="21"/>
          <w14:textFill>
            <w14:solidFill>
              <w14:schemeClr w14:val="tx1"/>
            </w14:solidFill>
          </w14:textFill>
        </w:rPr>
        <w:t>墙</w:t>
      </w:r>
      <w:r>
        <w:rPr>
          <w:rFonts w:hint="eastAsia" w:cs="HiddenHorzOCR" w:asciiTheme="minorEastAsia" w:hAnsiTheme="minorEastAsia"/>
          <w:color w:val="000000" w:themeColor="text1"/>
          <w:kern w:val="0"/>
          <w:szCs w:val="21"/>
          <w14:textFill>
            <w14:solidFill>
              <w14:schemeClr w14:val="tx1"/>
            </w14:solidFill>
          </w14:textFill>
        </w:rPr>
        <w:t>和钢框架</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构，宜</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行多遇水平地震作用下</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w:t>
      </w:r>
      <w:r>
        <w:rPr>
          <w:rFonts w:hint="eastAsia" w:cs="宋体" w:asciiTheme="minorEastAsia" w:hAnsiTheme="minorEastAsia"/>
          <w:color w:val="000000" w:themeColor="text1"/>
          <w:kern w:val="0"/>
          <w:szCs w:val="21"/>
          <w14:textFill>
            <w14:solidFill>
              <w14:schemeClr w14:val="tx1"/>
            </w14:solidFill>
          </w14:textFill>
        </w:rPr>
        <w:t>弹</w:t>
      </w:r>
      <w:r>
        <w:rPr>
          <w:rFonts w:hint="eastAsia" w:cs="MS Mincho" w:asciiTheme="minorEastAsia" w:hAnsiTheme="minorEastAsia"/>
          <w:color w:val="000000" w:themeColor="text1"/>
          <w:kern w:val="0"/>
          <w:szCs w:val="21"/>
          <w14:textFill>
            <w14:solidFill>
              <w14:schemeClr w14:val="tx1"/>
            </w14:solidFill>
          </w14:textFill>
        </w:rPr>
        <w:t>性</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此</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w:t>
      </w:r>
      <w:r>
        <w:rPr>
          <w:rFonts w:hint="eastAsia" w:cs="宋体" w:asciiTheme="minorEastAsia" w:hAnsiTheme="minorEastAsia"/>
          <w:color w:val="000000" w:themeColor="text1"/>
          <w:kern w:val="0"/>
          <w:szCs w:val="21"/>
          <w14:textFill>
            <w14:solidFill>
              <w14:schemeClr w14:val="tx1"/>
            </w14:solidFill>
          </w14:textFill>
        </w:rPr>
        <w:t>层间弹</w:t>
      </w:r>
      <w:r>
        <w:rPr>
          <w:rFonts w:hint="eastAsia" w:cs="MS Mincho" w:asciiTheme="minorEastAsia" w:hAnsiTheme="minorEastAsia"/>
          <w:color w:val="000000" w:themeColor="text1"/>
          <w:kern w:val="0"/>
          <w:szCs w:val="21"/>
          <w14:textFill>
            <w14:solidFill>
              <w14:schemeClr w14:val="tx1"/>
            </w14:solidFill>
          </w14:textFill>
        </w:rPr>
        <w:t>性位移</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符合下式要求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center"/>
        <w:rPr>
          <w:rFonts w:cs="Times New Roman" w:asciiTheme="minorEastAsia" w:hAnsiTheme="minorEastAsia"/>
          <w:color w:val="000000" w:themeColor="text1"/>
          <w:kern w:val="0"/>
          <w:szCs w:val="21"/>
          <w14:textFill>
            <w14:solidFill>
              <w14:schemeClr w14:val="tx1"/>
            </w14:solidFill>
          </w14:textFill>
        </w:rPr>
      </w:pPr>
      <m:oMath>
        <m:r>
          <m:rPr>
            <m:sty m:val="p"/>
          </m:rPr>
          <w:rPr>
            <w:rFonts w:ascii="Cambria Math" w:hAnsi="Cambria Math" w:cs="Times New Roman"/>
            <w:color w:val="000000" w:themeColor="text1"/>
            <w:kern w:val="0"/>
            <w:szCs w:val="21"/>
            <w14:textFill>
              <w14:solidFill>
                <w14:schemeClr w14:val="tx1"/>
              </w14:solidFill>
            </w14:textFill>
          </w:rPr>
          <m:t>Δ</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u</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ctrlPr>
              <w:rPr>
                <w:rFonts w:ascii="Cambria Math" w:hAnsi="Cambria Math" w:cs="Times New Roman"/>
                <w:color w:val="000000" w:themeColor="text1"/>
                <w:kern w:val="0"/>
                <w:szCs w:val="21"/>
                <w14:textFill>
                  <w14:solidFill>
                    <w14:schemeClr w14:val="tx1"/>
                  </w14:solidFill>
                </w14:textFill>
              </w:rPr>
            </m:ctrlPr>
          </m:sub>
        </m:sSub>
        <m:r>
          <m:rPr>
            <m:sty m:val="p"/>
          </m:rPr>
          <w:rPr>
            <w:rFonts w:ascii="Cambria Math" w:hAnsi="Cambria Math" w:cs="Times New Roman"/>
            <w:color w:val="000000" w:themeColor="text1"/>
            <w:kern w:val="0"/>
            <w:szCs w:val="21"/>
            <w14:textFill>
              <w14:solidFill>
                <w14:schemeClr w14:val="tx1"/>
              </w14:solidFill>
            </w14:textFill>
          </w:rPr>
          <m:t>≤</m:t>
        </m:r>
        <w:bookmarkStart w:id="97" w:name="_Hlk20476888"/>
        <m:d>
          <m:dPr>
            <m:begChr m:val="["/>
            <m:endChr m:val="]"/>
            <m:ctrlPr>
              <w:rPr>
                <w:rFonts w:ascii="Cambria Math" w:hAnsi="Cambria Math" w:cs="Times New Roman"/>
                <w:color w:val="000000" w:themeColor="text1"/>
                <w:kern w:val="0"/>
                <w:szCs w:val="21"/>
                <w14:textFill>
                  <w14:solidFill>
                    <w14:schemeClr w14:val="tx1"/>
                  </w14:solidFill>
                </w14:textFill>
              </w:rPr>
            </m:ctrlPr>
          </m:dPr>
          <m:e>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θ</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w:bookmarkEnd w:id="97"/>
                <m:ctrlPr>
                  <w:rPr>
                    <w:rFonts w:ascii="Cambria Math" w:hAnsi="Cambria Math" w:cs="Times New Roman"/>
                    <w:color w:val="000000" w:themeColor="text1"/>
                    <w:kern w:val="0"/>
                    <w:szCs w:val="21"/>
                    <w14:textFill>
                      <w14:solidFill>
                        <w14:schemeClr w14:val="tx1"/>
                      </w14:solidFill>
                    </w14:textFill>
                  </w:rPr>
                </m:ctrlPr>
              </m:sub>
            </m:sSub>
            <m:ctrlPr>
              <w:rPr>
                <w:rFonts w:ascii="Cambria Math" w:hAnsi="Cambria Math" w:cs="Times New Roman"/>
                <w:color w:val="000000" w:themeColor="text1"/>
                <w:kern w:val="0"/>
                <w:szCs w:val="21"/>
                <w14:textFill>
                  <w14:solidFill>
                    <w14:schemeClr w14:val="tx1"/>
                  </w14:solidFill>
                </w14:textFill>
              </w:rPr>
            </m:ctrlPr>
          </m:e>
        </m:d>
        <m:r>
          <m:rPr>
            <m:sty m:val="p"/>
          </m:rPr>
          <w:rPr>
            <w:rFonts w:hint="eastAsia" w:ascii="Cambria Math" w:hAnsi="Cambria Math" w:cs="Times New Roman"/>
            <w:color w:val="000000" w:themeColor="text1"/>
            <w:kern w:val="0"/>
            <w:szCs w:val="21"/>
            <w14:textFill>
              <w14:solidFill>
                <w14:schemeClr w14:val="tx1"/>
              </w14:solidFill>
            </w14:textFill>
          </w:rPr>
          <m:t>h</m:t>
        </m:r>
      </m:oMath>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asciiTheme="minorEastAsia" w:hAnsiTheme="minorEastAsia"/>
          <w:color w:val="000000" w:themeColor="text1"/>
          <w:kern w:val="0"/>
          <w:szCs w:val="21"/>
          <w14:textFill>
            <w14:solidFill>
              <w14:schemeClr w14:val="tx1"/>
            </w14:solidFill>
          </w14:textFill>
        </w:rPr>
        <w:t>（4.8.1-1）</w:t>
      </w:r>
    </w:p>
    <w:p>
      <w:pPr>
        <w:autoSpaceDE w:val="0"/>
        <w:autoSpaceDN w:val="0"/>
        <w:spacing w:line="360" w:lineRule="auto"/>
        <w:ind w:left="1470" w:hanging="1470" w:hangingChars="70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式中：</w:t>
      </w:r>
      <m:oMath>
        <m:r>
          <m:rPr>
            <m:sty m:val="p"/>
          </m:rPr>
          <w:rPr>
            <w:rFonts w:ascii="Cambria Math" w:hAnsi="Cambria Math" w:cs="Times New Roman"/>
            <w:color w:val="000000" w:themeColor="text1"/>
            <w:kern w:val="0"/>
            <w:szCs w:val="21"/>
            <w14:textFill>
              <w14:solidFill>
                <w14:schemeClr w14:val="tx1"/>
              </w14:solidFill>
            </w14:textFill>
          </w:rPr>
          <m:t>Δ</m:t>
        </m:r>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u</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ctrlPr>
              <w:rPr>
                <w:rFonts w:ascii="Cambria Math" w:hAnsi="Cambria Math" w:cs="Times New Roman"/>
                <w:color w:val="000000" w:themeColor="text1"/>
                <w:kern w:val="0"/>
                <w:szCs w:val="21"/>
                <w14:textFill>
                  <w14:solidFill>
                    <w14:schemeClr w14:val="tx1"/>
                  </w14:solidFill>
                </w14:textFill>
              </w:rPr>
            </m:ctrlPr>
          </m:sub>
        </m:sSub>
      </m:oMath>
      <w:r>
        <w:rPr>
          <w:rFonts w:hint="eastAsia" w:cs="Times New Roman" w:asciiTheme="minorEastAsia" w:hAnsiTheme="minorEastAsia"/>
          <w:color w:val="000000" w:themeColor="text1"/>
          <w:kern w:val="0"/>
          <w:szCs w:val="21"/>
          <w14:textFill>
            <w14:solidFill>
              <w14:schemeClr w14:val="tx1"/>
            </w14:solidFill>
          </w14:textFill>
        </w:rPr>
        <w:t>——多遇地震下结构所产生的层间弹性位移，可按结构力学方法计算。此时，荷载和作用的分项系数取1.0，混凝土和钢构件可按其弹性刚度；</w:t>
      </w:r>
    </w:p>
    <w:p>
      <w:pPr>
        <w:autoSpaceDE w:val="0"/>
        <w:autoSpaceDN w:val="0"/>
        <w:spacing w:line="360" w:lineRule="auto"/>
        <w:ind w:firstLine="630" w:firstLineChars="300"/>
        <w:jc w:val="left"/>
        <w:rPr>
          <w:rFonts w:cs="Times New Roman" w:asciiTheme="minorEastAsia" w:hAnsiTheme="minorEastAsia"/>
          <w:color w:val="000000" w:themeColor="text1"/>
          <w:kern w:val="0"/>
          <w:szCs w:val="21"/>
          <w14:textFill>
            <w14:solidFill>
              <w14:schemeClr w14:val="tx1"/>
            </w14:solidFill>
          </w14:textFill>
        </w:rPr>
      </w:pPr>
      <m:oMath>
        <m:d>
          <m:dPr>
            <m:begChr m:val="["/>
            <m:endChr m:val="]"/>
            <m:ctrlPr>
              <w:rPr>
                <w:rFonts w:ascii="Cambria Math" w:hAnsi="Cambria Math" w:cs="Times New Roman"/>
                <w:color w:val="000000" w:themeColor="text1"/>
                <w:kern w:val="0"/>
                <w:szCs w:val="21"/>
                <w14:textFill>
                  <w14:solidFill>
                    <w14:schemeClr w14:val="tx1"/>
                  </w14:solidFill>
                </w14:textFill>
              </w:rPr>
            </m:ctrlPr>
          </m:dPr>
          <m:e>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θ</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ctrlPr>
                  <w:rPr>
                    <w:rFonts w:ascii="Cambria Math" w:hAnsi="Cambria Math" w:cs="Times New Roman"/>
                    <w:color w:val="000000" w:themeColor="text1"/>
                    <w:kern w:val="0"/>
                    <w:szCs w:val="21"/>
                    <w14:textFill>
                      <w14:solidFill>
                        <w14:schemeClr w14:val="tx1"/>
                      </w14:solidFill>
                    </w14:textFill>
                  </w:rPr>
                </m:ctrlPr>
              </m:sub>
            </m:sSub>
            <m:ctrlPr>
              <w:rPr>
                <w:rFonts w:ascii="Cambria Math" w:hAnsi="Cambria Math" w:cs="Times New Roman"/>
                <w:color w:val="000000" w:themeColor="text1"/>
                <w:kern w:val="0"/>
                <w:szCs w:val="21"/>
                <w14:textFill>
                  <w14:solidFill>
                    <w14:schemeClr w14:val="tx1"/>
                  </w14:solidFill>
                </w14:textFill>
              </w:rPr>
            </m:ctrlPr>
          </m:e>
        </m:d>
      </m:oMath>
      <w:r>
        <w:rPr>
          <w:rFonts w:hint="eastAsia" w:cs="Times New Roman" w:asciiTheme="minorEastAsia" w:hAnsiTheme="minorEastAsia"/>
          <w:color w:val="000000" w:themeColor="text1"/>
          <w:kern w:val="0"/>
          <w:szCs w:val="21"/>
          <w14:textFill>
            <w14:solidFill>
              <w14:schemeClr w14:val="tx1"/>
            </w14:solidFill>
          </w14:textFill>
        </w:rPr>
        <w:t>——层间弹性位移角限值，可按表4.7.1-1采用；</w:t>
      </w:r>
    </w:p>
    <w:p>
      <w:pPr>
        <w:autoSpaceDE w:val="0"/>
        <w:autoSpaceDN w:val="0"/>
        <w:spacing w:line="360" w:lineRule="auto"/>
        <w:ind w:firstLine="630" w:firstLineChars="300"/>
        <w:jc w:val="left"/>
        <w:rPr>
          <w:rFonts w:cs="Times New Roman"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h</w:t>
      </w:r>
      <w:r>
        <w:rPr>
          <w:rFonts w:hint="eastAsia" w:cs="Times New Roman" w:asciiTheme="minorEastAsia" w:hAnsiTheme="minorEastAsia"/>
          <w:color w:val="000000" w:themeColor="text1"/>
          <w:kern w:val="0"/>
          <w:szCs w:val="21"/>
          <w14:textFill>
            <w14:solidFill>
              <w14:schemeClr w14:val="tx1"/>
            </w14:solidFill>
          </w14:textFill>
        </w:rPr>
        <w:t>——层高。</w:t>
      </w:r>
    </w:p>
    <w:p>
      <w:pPr>
        <w:autoSpaceDE w:val="0"/>
        <w:autoSpaceDN w:val="0"/>
        <w:spacing w:line="360" w:lineRule="auto"/>
        <w:ind w:firstLine="420"/>
        <w:jc w:val="center"/>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层间弹性位移角限值 </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asciiTheme="minorEastAsia" w:hAnsiTheme="minorEastAsia"/>
          <w:color w:val="000000" w:themeColor="text1"/>
          <w:kern w:val="0"/>
          <w:szCs w:val="21"/>
          <w14:textFill>
            <w14:solidFill>
              <w14:schemeClr w14:val="tx1"/>
            </w14:solidFill>
          </w14:textFill>
        </w:rPr>
        <w:t>表4.8.1-1</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结构类型</w:t>
            </w:r>
          </w:p>
        </w:tc>
        <w:tc>
          <w:tcPr>
            <w:tcW w:w="2765" w:type="dxa"/>
          </w:tcPr>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条件</w:t>
            </w:r>
          </w:p>
        </w:tc>
        <w:tc>
          <w:tcPr>
            <w:tcW w:w="2766" w:type="dxa"/>
          </w:tcPr>
          <w:p>
            <w:pPr>
              <w:autoSpaceDE w:val="0"/>
              <w:autoSpaceDN w:val="0"/>
              <w:spacing w:line="360" w:lineRule="auto"/>
              <w:ind w:firstLine="1050" w:firstLineChars="500"/>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 </w:t>
            </w:r>
            <m:oMath>
              <m:d>
                <m:dPr>
                  <m:begChr m:val="["/>
                  <m:endChr m:val="]"/>
                  <m:ctrlPr>
                    <w:rPr>
                      <w:rFonts w:ascii="Cambria Math" w:hAnsi="Cambria Math" w:cs="Times New Roman"/>
                      <w:color w:val="000000" w:themeColor="text1"/>
                      <w:kern w:val="0"/>
                      <w:szCs w:val="21"/>
                      <w14:textFill>
                        <w14:solidFill>
                          <w14:schemeClr w14:val="tx1"/>
                        </w14:solidFill>
                      </w14:textFill>
                    </w:rPr>
                  </m:ctrlPr>
                </m:dPr>
                <m:e>
                  <m:sSub>
                    <m:sSubPr>
                      <m:ctrlPr>
                        <w:rPr>
                          <w:rFonts w:ascii="Cambria Math" w:hAnsi="Cambria Math" w:cs="Times New Roman"/>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θ</m:t>
                      </m:r>
                      <m:ctrlPr>
                        <w:rPr>
                          <w:rFonts w:ascii="Cambria Math" w:hAnsi="Cambria Math" w:cs="Times New Roman"/>
                          <w:color w:val="000000" w:themeColor="text1"/>
                          <w:kern w:val="0"/>
                          <w:szCs w:val="21"/>
                          <w14:textFill>
                            <w14:solidFill>
                              <w14:schemeClr w14:val="tx1"/>
                            </w14:solidFill>
                          </w14:textFill>
                        </w:rPr>
                      </m:ctrlPr>
                    </m:e>
                    <m:sub>
                      <m:r>
                        <m:rPr>
                          <m:sty m:val="p"/>
                        </m:rPr>
                        <w:rPr>
                          <w:rFonts w:ascii="Cambria Math" w:hAnsi="Cambria Math" w:cs="Times New Roman"/>
                          <w:color w:val="000000" w:themeColor="text1"/>
                          <w:kern w:val="0"/>
                          <w:szCs w:val="21"/>
                          <w14:textFill>
                            <w14:solidFill>
                              <w14:schemeClr w14:val="tx1"/>
                            </w14:solidFill>
                          </w14:textFill>
                        </w:rPr>
                        <m:t>e</m:t>
                      </m:r>
                      <m:ctrlPr>
                        <w:rPr>
                          <w:rFonts w:ascii="Cambria Math" w:hAnsi="Cambria Math" w:cs="Times New Roman"/>
                          <w:color w:val="000000" w:themeColor="text1"/>
                          <w:kern w:val="0"/>
                          <w:szCs w:val="21"/>
                          <w14:textFill>
                            <w14:solidFill>
                              <w14:schemeClr w14:val="tx1"/>
                            </w14:solidFill>
                          </w14:textFill>
                        </w:rPr>
                      </m:ctrlPr>
                    </m:sub>
                  </m:sSub>
                  <m:ctrlPr>
                    <w:rPr>
                      <w:rFonts w:ascii="Cambria Math" w:hAnsi="Cambria Math" w:cs="Times New Roman"/>
                      <w:color w:val="000000" w:themeColor="text1"/>
                      <w:kern w:val="0"/>
                      <w:szCs w:val="21"/>
                      <w14:textFill>
                        <w14:solidFill>
                          <w14:schemeClr w14:val="tx1"/>
                        </w14:solidFill>
                      </w14:textFill>
                    </w:rPr>
                  </m:ctrlPr>
                </m:e>
              </m:d>
            </m:oMath>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钢筋混凝土框架</w:t>
            </w:r>
          </w:p>
        </w:tc>
        <w:tc>
          <w:tcPr>
            <w:tcW w:w="2765" w:type="dxa"/>
          </w:tcPr>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有腐蚀要求</w:t>
            </w:r>
          </w:p>
        </w:tc>
        <w:tc>
          <w:tcPr>
            <w:tcW w:w="2766" w:type="dxa"/>
          </w:tcPr>
          <w:p>
            <w:pPr>
              <w:autoSpaceDE w:val="0"/>
              <w:autoSpaceDN w:val="0"/>
              <w:spacing w:line="360" w:lineRule="auto"/>
              <w:ind w:firstLine="1050" w:firstLineChars="500"/>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钢筋混凝土框架-剪力墙</w:t>
            </w:r>
          </w:p>
        </w:tc>
        <w:tc>
          <w:tcPr>
            <w:tcW w:w="2765" w:type="dxa"/>
          </w:tcPr>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有腐蚀要求</w:t>
            </w:r>
          </w:p>
        </w:tc>
        <w:tc>
          <w:tcPr>
            <w:tcW w:w="2766" w:type="dxa"/>
          </w:tcPr>
          <w:p>
            <w:pPr>
              <w:autoSpaceDE w:val="0"/>
              <w:autoSpaceDN w:val="0"/>
              <w:spacing w:line="360" w:lineRule="auto"/>
              <w:ind w:firstLine="1050" w:firstLineChars="500"/>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2765" w:type="dxa"/>
          </w:tcPr>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钢框架(包括钢框架-支撑)</w:t>
            </w:r>
          </w:p>
        </w:tc>
        <w:tc>
          <w:tcPr>
            <w:tcW w:w="2765" w:type="dxa"/>
          </w:tcPr>
          <w:p>
            <w:pPr>
              <w:autoSpaceDE w:val="0"/>
              <w:autoSpaceDN w:val="0"/>
              <w:spacing w:line="360" w:lineRule="auto"/>
              <w:ind w:firstLine="420"/>
              <w:jc w:val="center"/>
              <w:rPr>
                <w:rFonts w:cs="Times New Roman" w:asciiTheme="minorEastAsia" w:hAnsiTheme="minorEastAsia"/>
                <w:color w:val="000000" w:themeColor="text1"/>
                <w:kern w:val="0"/>
                <w:szCs w:val="21"/>
                <w14:textFill>
                  <w14:solidFill>
                    <w14:schemeClr w14:val="tx1"/>
                  </w14:solidFill>
                </w14:textFill>
              </w:rPr>
            </w:pPr>
          </w:p>
        </w:tc>
        <w:tc>
          <w:tcPr>
            <w:tcW w:w="2766" w:type="dxa"/>
          </w:tcPr>
          <w:p>
            <w:pPr>
              <w:autoSpaceDE w:val="0"/>
              <w:autoSpaceDN w:val="0"/>
              <w:spacing w:line="360" w:lineRule="auto"/>
              <w:ind w:firstLine="1050" w:firstLineChars="500"/>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1/200</w:t>
            </w:r>
          </w:p>
        </w:tc>
      </w:tr>
    </w:tbl>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ascii="仿宋" w:hAnsi="仿宋" w:eastAsia="仿宋" w:cs="HiddenHorzOCR"/>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4.8.2 下列混凝土结构，宜进行高于设防烈度的预估的罕遇地震作用下薄弱层</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部位</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的弹塑性变形验算：</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cs="Times New Roman" w:asciiTheme="minorEastAsia" w:hAnsiTheme="minorEastAsia"/>
          <w:color w:val="000000" w:themeColor="text1"/>
          <w:kern w:val="0"/>
          <w:szCs w:val="21"/>
          <w14:textFill>
            <w14:solidFill>
              <w14:schemeClr w14:val="tx1"/>
            </w14:solidFill>
          </w14:textFill>
        </w:rPr>
        <w:t>8</w:t>
      </w:r>
      <w:r>
        <w:rPr>
          <w:rFonts w:hint="eastAsia" w:cs="Times New Roman" w:asciiTheme="minorEastAsia" w:hAnsiTheme="minorEastAsia"/>
          <w:color w:val="000000" w:themeColor="text1"/>
          <w:kern w:val="0"/>
          <w:szCs w:val="21"/>
          <w14:textFill>
            <w14:solidFill>
              <w14:schemeClr w14:val="tx1"/>
            </w14:solidFill>
          </w14:textFill>
        </w:rPr>
        <w:t>度Ⅲ、Ⅳ类场地和</w:t>
      </w:r>
      <w:r>
        <w:rPr>
          <w:rFonts w:cs="Times New Roman" w:asciiTheme="minorEastAsia" w:hAnsiTheme="minorEastAsia"/>
          <w:color w:val="000000" w:themeColor="text1"/>
          <w:kern w:val="0"/>
          <w:szCs w:val="21"/>
          <w14:textFill>
            <w14:solidFill>
              <w14:schemeClr w14:val="tx1"/>
            </w14:solidFill>
          </w14:textFill>
        </w:rPr>
        <w:t>9</w:t>
      </w:r>
      <w:r>
        <w:rPr>
          <w:rFonts w:hint="eastAsia" w:cs="Times New Roman" w:asciiTheme="minorEastAsia" w:hAnsiTheme="minorEastAsia"/>
          <w:color w:val="000000" w:themeColor="text1"/>
          <w:kern w:val="0"/>
          <w:szCs w:val="21"/>
          <w14:textFill>
            <w14:solidFill>
              <w14:schemeClr w14:val="tx1"/>
            </w14:solidFill>
          </w14:textFill>
        </w:rPr>
        <w:t>度时，竖向收进过大、或上部有重设备或储罐、料仓的框架结构、框架—支撑结构及框—排架结构。</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Times New Roman"/>
          <w:color w:val="000000" w:themeColor="text1"/>
          <w:kern w:val="0"/>
          <w:sz w:val="20"/>
          <w:szCs w:val="20"/>
          <w14:textFill>
            <w14:solidFill>
              <w14:schemeClr w14:val="tx1"/>
            </w14:solidFill>
          </w14:textFill>
        </w:rPr>
        <w:t xml:space="preserve"> </w:t>
      </w:r>
      <w:r>
        <w:rPr>
          <w:rFonts w:cs="Times New Roman" w:asciiTheme="minorEastAsia" w:hAnsiTheme="minorEastAsia"/>
          <w:color w:val="000000" w:themeColor="text1"/>
          <w:kern w:val="0"/>
          <w:szCs w:val="21"/>
          <w14:textFill>
            <w14:solidFill>
              <w14:schemeClr w14:val="tx1"/>
            </w14:solidFill>
          </w14:textFill>
        </w:rPr>
        <w:t>7</w:t>
      </w:r>
      <w:r>
        <w:rPr>
          <w:rFonts w:hint="eastAsia" w:cs="Times New Roman" w:asciiTheme="minorEastAsia" w:hAnsiTheme="minorEastAsia"/>
          <w:color w:val="000000" w:themeColor="text1"/>
          <w:kern w:val="0"/>
          <w:szCs w:val="21"/>
          <w14:textFill>
            <w14:solidFill>
              <w14:schemeClr w14:val="tx1"/>
            </w14:solidFill>
          </w14:textFill>
        </w:rPr>
        <w:t>～</w:t>
      </w:r>
      <w:r>
        <w:rPr>
          <w:rFonts w:cs="Times New Roman" w:asciiTheme="minorEastAsia" w:hAnsiTheme="minorEastAsia"/>
          <w:color w:val="000000" w:themeColor="text1"/>
          <w:kern w:val="0"/>
          <w:szCs w:val="21"/>
          <w14:textFill>
            <w14:solidFill>
              <w14:schemeClr w14:val="tx1"/>
            </w14:solidFill>
          </w14:textFill>
        </w:rPr>
        <w:t>9</w:t>
      </w:r>
      <w:r>
        <w:rPr>
          <w:rFonts w:hint="eastAsia" w:cs="Times New Roman" w:asciiTheme="minorEastAsia" w:hAnsiTheme="minorEastAsia"/>
          <w:color w:val="000000" w:themeColor="text1"/>
          <w:kern w:val="0"/>
          <w:szCs w:val="21"/>
          <w14:textFill>
            <w14:solidFill>
              <w14:schemeClr w14:val="tx1"/>
            </w14:solidFill>
          </w14:textFill>
        </w:rPr>
        <w:t>度时，楼层屈服强度系数小于</w:t>
      </w:r>
      <w:r>
        <w:rPr>
          <w:rFonts w:cs="Times New Roman" w:asciiTheme="minorEastAsia" w:hAnsiTheme="minorEastAsia"/>
          <w:color w:val="000000" w:themeColor="text1"/>
          <w:kern w:val="0"/>
          <w:szCs w:val="21"/>
          <w14:textFill>
            <w14:solidFill>
              <w14:schemeClr w14:val="tx1"/>
            </w14:solidFill>
          </w14:textFill>
        </w:rPr>
        <w:t>O.5</w:t>
      </w:r>
      <w:r>
        <w:rPr>
          <w:rFonts w:hint="eastAsia" w:cs="Times New Roman" w:asciiTheme="minorEastAsia" w:hAnsiTheme="minorEastAsia"/>
          <w:color w:val="000000" w:themeColor="text1"/>
          <w:kern w:val="0"/>
          <w:szCs w:val="21"/>
          <w14:textFill>
            <w14:solidFill>
              <w14:schemeClr w14:val="tx1"/>
            </w14:solidFill>
          </w14:textFill>
        </w:rPr>
        <w:t>的</w:t>
      </w:r>
      <w:bookmarkStart w:id="98" w:name="_Hlk42859459"/>
      <w:r>
        <w:rPr>
          <w:rFonts w:hint="eastAsia" w:cs="Times New Roman" w:asciiTheme="minorEastAsia" w:hAnsiTheme="minorEastAsia"/>
          <w:color w:val="000000" w:themeColor="text1"/>
          <w:kern w:val="0"/>
          <w:szCs w:val="21"/>
          <w14:textFill>
            <w14:solidFill>
              <w14:schemeClr w14:val="tx1"/>
            </w14:solidFill>
          </w14:textFill>
        </w:rPr>
        <w:t>混凝土框架结构</w:t>
      </w:r>
      <w:bookmarkEnd w:id="98"/>
      <w:r>
        <w:rPr>
          <w:rFonts w:hint="eastAsia" w:cs="Times New Roman" w:asciiTheme="minorEastAsia" w:hAnsiTheme="minorEastAsia"/>
          <w:color w:val="000000" w:themeColor="text1"/>
          <w:kern w:val="0"/>
          <w:szCs w:val="21"/>
          <w14:textFill>
            <w14:solidFill>
              <w14:schemeClr w14:val="tx1"/>
            </w14:solidFill>
          </w14:textFill>
        </w:rPr>
        <w:t>和混凝土框—排架结构；</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asciiTheme="minorEastAsia" w:hAnsiTheme="minorEastAsia"/>
          <w:color w:val="000000" w:themeColor="text1"/>
          <w:kern w:val="0"/>
          <w:szCs w:val="21"/>
          <w14:textFill>
            <w14:solidFill>
              <w14:schemeClr w14:val="tx1"/>
            </w14:solidFill>
          </w14:textFill>
        </w:rPr>
        <w:t>甲类建筑和8度及以上的乙类建筑；</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asciiTheme="minorEastAsia" w:hAnsiTheme="minorEastAsia"/>
          <w:color w:val="000000" w:themeColor="text1"/>
          <w:kern w:val="0"/>
          <w:szCs w:val="21"/>
          <w14:textFill>
            <w14:solidFill>
              <w14:schemeClr w14:val="tx1"/>
            </w14:solidFill>
          </w14:textFill>
        </w:rPr>
        <w:t>采用隔震和消能减震设计的结构。</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结构薄弱层（部位）弹塑性变形的验算方法和要求，应按照《建筑抗震设计规范》GB50011的规定进行。</w:t>
      </w:r>
    </w:p>
    <w:p>
      <w:pPr>
        <w:spacing w:line="360" w:lineRule="auto"/>
        <w:ind w:firstLine="0" w:firstLineChars="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widowControl/>
        <w:adjustRightInd/>
        <w:snapToGrid/>
        <w:ind w:firstLine="0" w:firstLineChars="0"/>
        <w:jc w:val="left"/>
        <w:rPr>
          <w:rFonts w:cs="Times New Roman"/>
          <w:b/>
          <w:color w:val="000000" w:themeColor="text1"/>
          <w:kern w:val="44"/>
          <w:sz w:val="30"/>
          <w:szCs w:val="20"/>
          <w:lang w:val="zh-CN"/>
          <w14:textFill>
            <w14:solidFill>
              <w14:schemeClr w14:val="tx1"/>
            </w14:solidFill>
          </w14:textFill>
        </w:rPr>
      </w:pPr>
      <w:r>
        <w:rPr>
          <w:color w:val="000000" w:themeColor="text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99" w:name="_Toc48841027"/>
      <w:r>
        <w:rPr>
          <w:rFonts w:hint="eastAsia"/>
          <w:color w:val="000000" w:themeColor="text1"/>
          <w14:textFill>
            <w14:solidFill>
              <w14:schemeClr w14:val="tx1"/>
            </w14:solidFill>
          </w14:textFill>
        </w:rPr>
        <w:t>场地、地基和基础</w:t>
      </w:r>
      <w:bookmarkEnd w:id="99"/>
    </w:p>
    <w:p>
      <w:pPr>
        <w:pStyle w:val="3"/>
      </w:pPr>
      <w:bookmarkStart w:id="100" w:name="_Toc48841028"/>
      <w:r>
        <w:rPr>
          <w:rFonts w:hint="eastAsia"/>
        </w:rPr>
        <w:t>一般规定</w:t>
      </w:r>
      <w:bookmarkEnd w:id="100"/>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5</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地基与基</w:t>
      </w:r>
      <w:r>
        <w:rPr>
          <w:rFonts w:hint="eastAsia" w:cs="宋体" w:asciiTheme="minorEastAsia" w:hAnsiTheme="minorEastAsia"/>
          <w:color w:val="000000" w:themeColor="text1"/>
          <w:kern w:val="0"/>
          <w:szCs w:val="21"/>
          <w14:textFill>
            <w14:solidFill>
              <w14:schemeClr w14:val="tx1"/>
            </w14:solidFill>
          </w14:textFill>
        </w:rPr>
        <w:t>础</w:t>
      </w:r>
      <w:r>
        <w:rPr>
          <w:rFonts w:hint="eastAsia" w:cs="MS Mincho" w:asciiTheme="minorEastAsia" w:hAnsiTheme="minorEastAsia"/>
          <w:color w:val="000000" w:themeColor="text1"/>
          <w:kern w:val="0"/>
          <w:szCs w:val="21"/>
          <w14:textFill>
            <w14:solidFill>
              <w14:schemeClr w14:val="tx1"/>
            </w14:solidFill>
          </w14:textFill>
        </w:rPr>
        <w:t>的抗震</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，宜符合下列要求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同一</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元不宜</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置在性</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截然不同的地基土上；</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同一</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元不宜部分采用天然地基、部分采用</w:t>
      </w:r>
      <w:r>
        <w:rPr>
          <w:rFonts w:hint="eastAsia" w:cs="宋体" w:asciiTheme="minorEastAsia" w:hAnsiTheme="minorEastAsia"/>
          <w:color w:val="000000" w:themeColor="text1"/>
          <w:kern w:val="0"/>
          <w:szCs w:val="21"/>
          <w14:textFill>
            <w14:solidFill>
              <w14:schemeClr w14:val="tx1"/>
            </w14:solidFill>
          </w14:textFill>
        </w:rPr>
        <w:t>桩</w:t>
      </w:r>
      <w:r>
        <w:rPr>
          <w:rFonts w:hint="eastAsia" w:cs="MS Mincho" w:asciiTheme="minorEastAsia" w:hAnsiTheme="minorEastAsia"/>
          <w:color w:val="000000" w:themeColor="text1"/>
          <w:kern w:val="0"/>
          <w:szCs w:val="21"/>
          <w14:textFill>
            <w14:solidFill>
              <w14:schemeClr w14:val="tx1"/>
            </w14:solidFill>
          </w14:textFill>
        </w:rPr>
        <w:t>基；</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同一</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元不宜局部做地下室</w:t>
      </w:r>
      <w:r>
        <w:rPr>
          <w:rFonts w:hint="eastAsia" w:cs="HiddenHorzOCR" w:asciiTheme="minorEastAsia" w:hAnsiTheme="minorEastAsia"/>
          <w:color w:val="000000" w:themeColor="text1"/>
          <w:kern w:val="0"/>
          <w:szCs w:val="21"/>
          <w14:textFill>
            <w14:solidFill>
              <w14:schemeClr w14:val="tx1"/>
            </w14:solidFill>
          </w14:textFill>
        </w:rPr>
        <w:t>；同一</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元基</w:t>
      </w:r>
      <w:r>
        <w:rPr>
          <w:rFonts w:hint="eastAsia" w:cs="宋体" w:asciiTheme="minorEastAsia" w:hAnsiTheme="minorEastAsia"/>
          <w:color w:val="000000" w:themeColor="text1"/>
          <w:kern w:val="0"/>
          <w:szCs w:val="21"/>
          <w14:textFill>
            <w14:solidFill>
              <w14:schemeClr w14:val="tx1"/>
            </w14:solidFill>
          </w14:textFill>
        </w:rPr>
        <w:t>础</w:t>
      </w:r>
      <w:r>
        <w:rPr>
          <w:rFonts w:hint="eastAsia" w:cs="HiddenHorzOCR" w:asciiTheme="minorEastAsia" w:hAnsiTheme="minorEastAsia"/>
          <w:color w:val="000000" w:themeColor="text1"/>
          <w:kern w:val="0"/>
          <w:szCs w:val="21"/>
          <w14:textFill>
            <w14:solidFill>
              <w14:schemeClr w14:val="tx1"/>
            </w14:solidFill>
          </w14:textFill>
        </w:rPr>
        <w:t>形式宜相同；</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4 </w:t>
      </w:r>
      <w:r>
        <w:rPr>
          <w:rFonts w:hint="eastAsia" w:cs="HiddenHorzOCR" w:asciiTheme="minorEastAsia" w:hAnsiTheme="minorEastAsia"/>
          <w:color w:val="000000" w:themeColor="text1"/>
          <w:kern w:val="0"/>
          <w:szCs w:val="21"/>
          <w14:textFill>
            <w14:solidFill>
              <w14:schemeClr w14:val="tx1"/>
            </w14:solidFill>
          </w14:textFill>
        </w:rPr>
        <w:t>地基有液化土、</w:t>
      </w:r>
      <w:r>
        <w:rPr>
          <w:rFonts w:hint="eastAsia" w:cs="宋体" w:asciiTheme="minorEastAsia" w:hAnsiTheme="minorEastAsia"/>
          <w:color w:val="000000" w:themeColor="text1"/>
          <w:kern w:val="0"/>
          <w:szCs w:val="21"/>
          <w14:textFill>
            <w14:solidFill>
              <w14:schemeClr w14:val="tx1"/>
            </w14:solidFill>
          </w14:textFill>
        </w:rPr>
        <w:t>软</w:t>
      </w:r>
      <w:r>
        <w:rPr>
          <w:rFonts w:hint="eastAsia" w:cs="MS Mincho" w:asciiTheme="minorEastAsia" w:hAnsiTheme="minorEastAsia"/>
          <w:color w:val="000000" w:themeColor="text1"/>
          <w:kern w:val="0"/>
          <w:szCs w:val="21"/>
          <w14:textFill>
            <w14:solidFill>
              <w14:schemeClr w14:val="tx1"/>
            </w14:solidFill>
          </w14:textFill>
        </w:rPr>
        <w:t>弱粘性土、新近填土或</w:t>
      </w:r>
      <w:r>
        <w:rPr>
          <w:rFonts w:hint="eastAsia" w:cs="宋体" w:asciiTheme="minorEastAsia" w:hAnsiTheme="minorEastAsia"/>
          <w:color w:val="000000" w:themeColor="text1"/>
          <w:kern w:val="0"/>
          <w:szCs w:val="21"/>
          <w14:textFill>
            <w14:solidFill>
              <w14:schemeClr w14:val="tx1"/>
            </w14:solidFill>
          </w14:textFill>
        </w:rPr>
        <w:t>严</w:t>
      </w:r>
      <w:r>
        <w:rPr>
          <w:rFonts w:hint="eastAsia" w:cs="MS Mincho" w:asciiTheme="minorEastAsia" w:hAnsiTheme="minorEastAsia"/>
          <w:color w:val="000000" w:themeColor="text1"/>
          <w:kern w:val="0"/>
          <w:szCs w:val="21"/>
          <w14:textFill>
            <w14:solidFill>
              <w14:schemeClr w14:val="tx1"/>
            </w14:solidFill>
          </w14:textFill>
        </w:rPr>
        <w:t>重不均匀</w:t>
      </w:r>
      <w:r>
        <w:rPr>
          <w:rFonts w:hint="eastAsia" w:cs="HiddenHorzOCR" w:asciiTheme="minorEastAsia" w:hAnsiTheme="minorEastAsia"/>
          <w:color w:val="000000" w:themeColor="text1"/>
          <w:kern w:val="0"/>
          <w:szCs w:val="21"/>
          <w14:textFill>
            <w14:solidFill>
              <w14:schemeClr w14:val="tx1"/>
            </w14:solidFill>
          </w14:textFill>
        </w:rPr>
        <w:t>的土</w:t>
      </w:r>
      <w:r>
        <w:rPr>
          <w:rFonts w:hint="eastAsia" w:cs="宋体" w:asciiTheme="minorEastAsia" w:hAnsiTheme="minorEastAsia"/>
          <w:color w:val="000000" w:themeColor="text1"/>
          <w:kern w:val="0"/>
          <w:szCs w:val="21"/>
          <w14:textFill>
            <w14:solidFill>
              <w14:schemeClr w14:val="tx1"/>
            </w14:solidFill>
          </w14:textFill>
        </w:rPr>
        <w:t>层时</w:t>
      </w:r>
      <w:r>
        <w:rPr>
          <w:rFonts w:hint="eastAsia" w:cs="MS Mincho" w:asciiTheme="minorEastAsia" w:hAnsiTheme="minorEastAsia"/>
          <w:color w:val="000000" w:themeColor="text1"/>
          <w:kern w:val="0"/>
          <w:szCs w:val="21"/>
          <w14:textFill>
            <w14:solidFill>
              <w14:schemeClr w14:val="tx1"/>
            </w14:solidFill>
          </w14:textFill>
        </w:rPr>
        <w:t>，宜采取措施加</w:t>
      </w:r>
      <w:r>
        <w:rPr>
          <w:rFonts w:hint="eastAsia" w:cs="宋体" w:asciiTheme="minorEastAsia" w:hAnsiTheme="minorEastAsia"/>
          <w:color w:val="000000" w:themeColor="text1"/>
          <w:kern w:val="0"/>
          <w:szCs w:val="21"/>
          <w14:textFill>
            <w14:solidFill>
              <w14:schemeClr w14:val="tx1"/>
            </w14:solidFill>
          </w14:textFill>
        </w:rPr>
        <w:t>强结</w:t>
      </w:r>
      <w:r>
        <w:rPr>
          <w:rFonts w:hint="eastAsia" w:cs="MS Mincho" w:asciiTheme="minorEastAsia" w:hAnsiTheme="minorEastAsia"/>
          <w:color w:val="000000" w:themeColor="text1"/>
          <w:kern w:val="0"/>
          <w:szCs w:val="21"/>
          <w14:textFill>
            <w14:solidFill>
              <w14:schemeClr w14:val="tx1"/>
            </w14:solidFill>
          </w14:textFill>
        </w:rPr>
        <w:t>构的整体性和</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度，使上部</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构有</w:t>
      </w:r>
      <w:r>
        <w:rPr>
          <w:rFonts w:hint="eastAsia" w:cs="HiddenHorzOCR" w:asciiTheme="minorEastAsia" w:hAnsiTheme="minorEastAsia"/>
          <w:color w:val="000000" w:themeColor="text1"/>
          <w:kern w:val="0"/>
          <w:szCs w:val="21"/>
          <w14:textFill>
            <w14:solidFill>
              <w14:schemeClr w14:val="tx1"/>
            </w14:solidFill>
          </w14:textFill>
        </w:rPr>
        <w:t>必要的适</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基</w:t>
      </w:r>
      <w:r>
        <w:rPr>
          <w:rFonts w:hint="eastAsia" w:cs="宋体" w:asciiTheme="minorEastAsia" w:hAnsiTheme="minorEastAsia"/>
          <w:color w:val="000000" w:themeColor="text1"/>
          <w:kern w:val="0"/>
          <w:szCs w:val="21"/>
          <w14:textFill>
            <w14:solidFill>
              <w14:schemeClr w14:val="tx1"/>
            </w14:solidFill>
          </w14:textFill>
        </w:rPr>
        <w:t>础</w:t>
      </w:r>
      <w:r>
        <w:rPr>
          <w:rFonts w:hint="eastAsia" w:cs="MS Mincho" w:asciiTheme="minorEastAsia" w:hAnsiTheme="minorEastAsia"/>
          <w:color w:val="000000" w:themeColor="text1"/>
          <w:kern w:val="0"/>
          <w:szCs w:val="21"/>
          <w14:textFill>
            <w14:solidFill>
              <w14:schemeClr w14:val="tx1"/>
            </w14:solidFill>
          </w14:textFill>
        </w:rPr>
        <w:t>不均匀沉降及</w:t>
      </w:r>
      <w:r>
        <w:rPr>
          <w:rFonts w:hint="eastAsia" w:cs="宋体" w:asciiTheme="minorEastAsia" w:hAnsiTheme="minorEastAsia"/>
          <w:color w:val="000000" w:themeColor="text1"/>
          <w:kern w:val="0"/>
          <w:szCs w:val="21"/>
          <w14:textFill>
            <w14:solidFill>
              <w14:schemeClr w14:val="tx1"/>
            </w14:solidFill>
          </w14:textFill>
        </w:rPr>
        <w:t>倾</w:t>
      </w:r>
      <w:r>
        <w:rPr>
          <w:rFonts w:hint="eastAsia" w:cs="MS Mincho" w:asciiTheme="minorEastAsia" w:hAnsiTheme="minorEastAsia"/>
          <w:color w:val="000000" w:themeColor="text1"/>
          <w:kern w:val="0"/>
          <w:szCs w:val="21"/>
          <w14:textFill>
            <w14:solidFill>
              <w14:schemeClr w14:val="tx1"/>
            </w14:solidFill>
          </w14:textFill>
        </w:rPr>
        <w:t>斜的能力。</w:t>
      </w:r>
    </w:p>
    <w:p>
      <w:pPr>
        <w:ind w:firstLine="360"/>
        <w:jc w:val="left"/>
        <w:rPr>
          <w:rFonts w:asciiTheme="minorEastAsia" w:hAnsiTheme="minorEastAsia"/>
          <w:bCs/>
          <w:color w:val="000000" w:themeColor="text1"/>
          <w:szCs w:val="21"/>
          <w14:textFill>
            <w14:solidFill>
              <w14:schemeClr w14:val="tx1"/>
            </w14:solidFill>
          </w14:textFill>
        </w:rPr>
      </w:pPr>
      <w:r>
        <w:rPr>
          <w:rFonts w:hint="eastAsia" w:cs="HiddenHorzOCR" w:asciiTheme="minorEastAsia" w:hAnsiTheme="minorEastAsia"/>
          <w:color w:val="000000" w:themeColor="text1"/>
          <w:kern w:val="0"/>
          <w:sz w:val="18"/>
          <w:szCs w:val="18"/>
          <w14:textFill>
            <w14:solidFill>
              <w14:schemeClr w14:val="tx1"/>
            </w14:solidFill>
          </w14:textFill>
        </w:rPr>
        <w:t>注：1 同一</w:t>
      </w:r>
      <w:r>
        <w:rPr>
          <w:rFonts w:hint="eastAsia" w:cs="宋体" w:asciiTheme="minorEastAsia" w:hAnsiTheme="minorEastAsia"/>
          <w:color w:val="000000" w:themeColor="text1"/>
          <w:kern w:val="0"/>
          <w:sz w:val="18"/>
          <w:szCs w:val="18"/>
          <w14:textFill>
            <w14:solidFill>
              <w14:schemeClr w14:val="tx1"/>
            </w14:solidFill>
          </w14:textFill>
        </w:rPr>
        <w:t>结</w:t>
      </w:r>
      <w:r>
        <w:rPr>
          <w:rFonts w:hint="eastAsia" w:cs="MS Mincho" w:asciiTheme="minorEastAsia" w:hAnsiTheme="minorEastAsia"/>
          <w:color w:val="000000" w:themeColor="text1"/>
          <w:kern w:val="0"/>
          <w:sz w:val="18"/>
          <w:szCs w:val="18"/>
          <w14:textFill>
            <w14:solidFill>
              <w14:schemeClr w14:val="tx1"/>
            </w14:solidFill>
          </w14:textFill>
        </w:rPr>
        <w:t>构</w:t>
      </w:r>
      <w:r>
        <w:rPr>
          <w:rFonts w:hint="eastAsia" w:cs="宋体" w:asciiTheme="minorEastAsia" w:hAnsiTheme="minorEastAsia"/>
          <w:color w:val="000000" w:themeColor="text1"/>
          <w:kern w:val="0"/>
          <w:sz w:val="18"/>
          <w:szCs w:val="18"/>
          <w14:textFill>
            <w14:solidFill>
              <w14:schemeClr w14:val="tx1"/>
            </w14:solidFill>
          </w14:textFill>
        </w:rPr>
        <w:t>单</w:t>
      </w:r>
      <w:r>
        <w:rPr>
          <w:rFonts w:hint="eastAsia" w:cs="MS Mincho" w:asciiTheme="minorEastAsia" w:hAnsiTheme="minorEastAsia"/>
          <w:color w:val="000000" w:themeColor="text1"/>
          <w:kern w:val="0"/>
          <w:sz w:val="18"/>
          <w:szCs w:val="18"/>
          <w14:textFill>
            <w14:solidFill>
              <w14:schemeClr w14:val="tx1"/>
            </w14:solidFill>
          </w14:textFill>
        </w:rPr>
        <w:t>元是指用沉降</w:t>
      </w:r>
      <w:r>
        <w:rPr>
          <w:rFonts w:hint="eastAsia" w:cs="宋体" w:asciiTheme="minorEastAsia" w:hAnsiTheme="minorEastAsia"/>
          <w:color w:val="000000" w:themeColor="text1"/>
          <w:kern w:val="0"/>
          <w:sz w:val="18"/>
          <w:szCs w:val="18"/>
          <w14:textFill>
            <w14:solidFill>
              <w14:schemeClr w14:val="tx1"/>
            </w14:solidFill>
          </w14:textFill>
        </w:rPr>
        <w:t>缝</w:t>
      </w:r>
      <w:r>
        <w:rPr>
          <w:rFonts w:hint="eastAsia" w:cs="MS Mincho" w:asciiTheme="minorEastAsia" w:hAnsiTheme="minorEastAsia"/>
          <w:color w:val="000000" w:themeColor="text1"/>
          <w:kern w:val="0"/>
          <w:sz w:val="18"/>
          <w:szCs w:val="18"/>
          <w14:textFill>
            <w14:solidFill>
              <w14:schemeClr w14:val="tx1"/>
            </w14:solidFill>
          </w14:textFill>
        </w:rPr>
        <w:t>分开的结构各独立部分。</w:t>
      </w:r>
    </w:p>
    <w:p>
      <w:pPr>
        <w:pStyle w:val="3"/>
      </w:pPr>
      <w:bookmarkStart w:id="101" w:name="_Toc48841029"/>
      <w:r>
        <w:rPr>
          <w:rFonts w:hint="eastAsia"/>
        </w:rPr>
        <w:t>场地</w:t>
      </w:r>
      <w:bookmarkEnd w:id="101"/>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5.2.1 在场地详细勘察阶段，对于主厂房，测试土层剪切波速的钻孔数量不宜少于2个，测试数据变化较大时，可适量增加；对厂区中处于同一地质单元的其他附属厂房，测试土层剪切波速的钻孔数量可适当减少，抗震重点设防类厂房的钻孔数量不应少于</w:t>
      </w:r>
      <w:r>
        <w:rPr>
          <w:rFonts w:asciiTheme="minorEastAsia" w:hAnsiTheme="minorEastAsia"/>
          <w:bCs/>
          <w:color w:val="000000" w:themeColor="text1"/>
          <w:szCs w:val="21"/>
          <w14:textFill>
            <w14:solidFill>
              <w14:schemeClr w14:val="tx1"/>
            </w14:solidFill>
          </w14:textFill>
        </w:rPr>
        <w:t>1</w:t>
      </w:r>
      <w:r>
        <w:rPr>
          <w:rFonts w:hint="eastAsia" w:asciiTheme="minorEastAsia" w:hAnsiTheme="minorEastAsia"/>
          <w:bCs/>
          <w:color w:val="000000" w:themeColor="text1"/>
          <w:szCs w:val="21"/>
          <w14:textFill>
            <w14:solidFill>
              <w14:schemeClr w14:val="tx1"/>
            </w14:solidFill>
          </w14:textFill>
        </w:rPr>
        <w:t>个，其他附属厂房可根据岩土类别和性状，再利用当地经验按《建筑抗震设计规范》</w:t>
      </w:r>
      <w:r>
        <w:rPr>
          <w:rFonts w:cs="Times New Roman"/>
          <w:bCs/>
          <w:color w:val="000000" w:themeColor="text1"/>
          <w:szCs w:val="21"/>
          <w14:textFill>
            <w14:solidFill>
              <w14:schemeClr w14:val="tx1"/>
            </w14:solidFill>
          </w14:textFill>
        </w:rPr>
        <w:t>GB</w:t>
      </w:r>
      <w:r>
        <w:rPr>
          <w:rFonts w:asciiTheme="minorEastAsia" w:hAnsiTheme="minorEastAsia"/>
          <w:bCs/>
          <w:color w:val="000000" w:themeColor="text1"/>
          <w:szCs w:val="21"/>
          <w14:textFill>
            <w14:solidFill>
              <w14:schemeClr w14:val="tx1"/>
            </w14:solidFill>
          </w14:textFill>
        </w:rPr>
        <w:t xml:space="preserve"> 50011</w:t>
      </w:r>
      <w:r>
        <w:rPr>
          <w:rFonts w:hint="eastAsia" w:asciiTheme="minorEastAsia" w:hAnsiTheme="minorEastAsia"/>
          <w:bCs/>
          <w:color w:val="000000" w:themeColor="text1"/>
          <w:szCs w:val="21"/>
          <w14:textFill>
            <w14:solidFill>
              <w14:schemeClr w14:val="tx1"/>
            </w14:solidFill>
          </w14:textFill>
        </w:rPr>
        <w:t>估算各土层的剪切波速。</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5.2.2 建筑场地选择原则、建筑场地覆盖层厚度确定原则、土层的等效剪切波速计算方法及建筑场地类别划分原则等，同《建筑抗震设计规范》</w:t>
      </w:r>
      <w:r>
        <w:rPr>
          <w:rFonts w:cs="Times New Roman"/>
          <w:bCs/>
          <w:color w:val="000000" w:themeColor="text1"/>
          <w:szCs w:val="21"/>
          <w14:textFill>
            <w14:solidFill>
              <w14:schemeClr w14:val="tx1"/>
            </w14:solidFill>
          </w14:textFill>
        </w:rPr>
        <w:t>GB</w:t>
      </w:r>
      <w:r>
        <w:rPr>
          <w:rFonts w:hint="eastAsia" w:asciiTheme="minorEastAsia" w:hAnsiTheme="minorEastAsia"/>
          <w:bCs/>
          <w:color w:val="000000" w:themeColor="text1"/>
          <w:szCs w:val="21"/>
          <w14:textFill>
            <w14:solidFill>
              <w14:schemeClr w14:val="tx1"/>
            </w14:solidFill>
          </w14:textFill>
        </w:rPr>
        <w:t xml:space="preserve"> 50011。</w:t>
      </w:r>
    </w:p>
    <w:p>
      <w:pPr>
        <w:pStyle w:val="3"/>
      </w:pPr>
      <w:bookmarkStart w:id="102" w:name="_Toc48841030"/>
      <w:r>
        <w:rPr>
          <w:rFonts w:hint="eastAsia"/>
        </w:rPr>
        <w:t>天然地基、处理地基和基础</w:t>
      </w:r>
      <w:bookmarkEnd w:id="102"/>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5.3.1 下列建筑可不进行天然地基、处理地基及基础的抗震承载力验算：</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 本标准规定可不进行上部结构抗震验算的厂房。</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2 地基主要受力层范围内不存在软弱黏性土层的下列厂房：</w:t>
      </w:r>
    </w:p>
    <w:p>
      <w:pPr>
        <w:spacing w:line="360" w:lineRule="auto"/>
        <w:ind w:firstLine="840" w:firstLineChars="40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1）单层厂房；</w:t>
      </w:r>
    </w:p>
    <w:p>
      <w:pPr>
        <w:spacing w:line="360" w:lineRule="auto"/>
        <w:ind w:firstLine="840" w:firstLineChars="40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2）不超过8层且高度在24</w:t>
      </w:r>
      <w:r>
        <w:rPr>
          <w:rFonts w:cs="Times New Roman"/>
          <w:bCs/>
          <w:color w:val="000000" w:themeColor="text1"/>
          <w:szCs w:val="21"/>
          <w14:textFill>
            <w14:solidFill>
              <w14:schemeClr w14:val="tx1"/>
            </w14:solidFill>
          </w14:textFill>
        </w:rPr>
        <w:t>m</w:t>
      </w:r>
      <w:r>
        <w:rPr>
          <w:rFonts w:hint="eastAsia" w:asciiTheme="minorEastAsia" w:hAnsiTheme="minorEastAsia"/>
          <w:bCs/>
          <w:color w:val="000000" w:themeColor="text1"/>
          <w:szCs w:val="21"/>
          <w14:textFill>
            <w14:solidFill>
              <w14:schemeClr w14:val="tx1"/>
            </w14:solidFill>
          </w14:textFill>
        </w:rPr>
        <w:t>以下的多层框架厂房和多层混凝土抗震墙厂房。</w:t>
      </w:r>
    </w:p>
    <w:p>
      <w:pPr>
        <w:spacing w:line="360" w:lineRule="auto"/>
        <w:ind w:left="1317" w:leftChars="370" w:hanging="540" w:hangingChars="300"/>
        <w:rPr>
          <w:rFonts w:asciiTheme="minorEastAsia" w:hAnsiTheme="minorEastAsia"/>
          <w:bCs/>
          <w:color w:val="000000" w:themeColor="text1"/>
          <w:sz w:val="18"/>
          <w:szCs w:val="18"/>
          <w14:textFill>
            <w14:solidFill>
              <w14:schemeClr w14:val="tx1"/>
            </w14:solidFill>
          </w14:textFill>
        </w:rPr>
      </w:pPr>
      <w:r>
        <w:rPr>
          <w:rFonts w:hint="eastAsia" w:asciiTheme="minorEastAsia" w:hAnsiTheme="minorEastAsia"/>
          <w:bCs/>
          <w:color w:val="000000" w:themeColor="text1"/>
          <w:sz w:val="18"/>
          <w:szCs w:val="18"/>
          <w14:textFill>
            <w14:solidFill>
              <w14:schemeClr w14:val="tx1"/>
            </w14:solidFill>
          </w14:textFill>
        </w:rPr>
        <w:t>注：1 软弱黏性土层指7度、8度、9度时，地基承载力特征值分别小于80</w:t>
      </w:r>
      <w:r>
        <w:rPr>
          <w:rFonts w:cs="Times New Roman"/>
          <w:bCs/>
          <w:color w:val="000000" w:themeColor="text1"/>
          <w:sz w:val="18"/>
          <w:szCs w:val="18"/>
          <w14:textFill>
            <w14:solidFill>
              <w14:schemeClr w14:val="tx1"/>
            </w14:solidFill>
          </w14:textFill>
        </w:rPr>
        <w:t>kPa</w:t>
      </w:r>
      <w:r>
        <w:rPr>
          <w:rFonts w:hint="eastAsia" w:asciiTheme="minorEastAsia" w:hAnsiTheme="minorEastAsia"/>
          <w:bCs/>
          <w:color w:val="000000" w:themeColor="text1"/>
          <w:sz w:val="18"/>
          <w:szCs w:val="18"/>
          <w14:textFill>
            <w14:solidFill>
              <w14:schemeClr w14:val="tx1"/>
            </w14:solidFill>
          </w14:textFill>
        </w:rPr>
        <w:t>、100</w:t>
      </w:r>
      <w:r>
        <w:rPr>
          <w:rFonts w:cs="Times New Roman"/>
          <w:bCs/>
          <w:color w:val="000000" w:themeColor="text1"/>
          <w:sz w:val="18"/>
          <w:szCs w:val="18"/>
          <w14:textFill>
            <w14:solidFill>
              <w14:schemeClr w14:val="tx1"/>
            </w14:solidFill>
          </w14:textFill>
        </w:rPr>
        <w:t>kPa</w:t>
      </w:r>
      <w:r>
        <w:rPr>
          <w:rFonts w:hint="eastAsia" w:asciiTheme="minorEastAsia" w:hAnsiTheme="minorEastAsia"/>
          <w:bCs/>
          <w:color w:val="000000" w:themeColor="text1"/>
          <w:sz w:val="18"/>
          <w:szCs w:val="18"/>
          <w14:textFill>
            <w14:solidFill>
              <w14:schemeClr w14:val="tx1"/>
            </w14:solidFill>
          </w14:textFill>
        </w:rPr>
        <w:t>和120</w:t>
      </w:r>
      <w:r>
        <w:rPr>
          <w:rFonts w:cs="Times New Roman"/>
          <w:bCs/>
          <w:color w:val="000000" w:themeColor="text1"/>
          <w:sz w:val="18"/>
          <w:szCs w:val="18"/>
          <w14:textFill>
            <w14:solidFill>
              <w14:schemeClr w14:val="tx1"/>
            </w14:solidFill>
          </w14:textFill>
        </w:rPr>
        <w:t>kPa</w:t>
      </w:r>
      <w:r>
        <w:rPr>
          <w:rFonts w:hint="eastAsia" w:asciiTheme="minorEastAsia" w:hAnsiTheme="minorEastAsia"/>
          <w:bCs/>
          <w:color w:val="000000" w:themeColor="text1"/>
          <w:sz w:val="18"/>
          <w:szCs w:val="18"/>
          <w14:textFill>
            <w14:solidFill>
              <w14:schemeClr w14:val="tx1"/>
            </w14:solidFill>
          </w14:textFill>
        </w:rPr>
        <w:t>的土层。</w:t>
      </w:r>
    </w:p>
    <w:p>
      <w:pPr>
        <w:spacing w:line="360" w:lineRule="auto"/>
        <w:ind w:firstLine="0" w:firstLineChars="0"/>
        <w:rPr>
          <w:rFonts w:cs="Times New Roman" w:asciiTheme="minorEastAsia" w:hAnsiTheme="minorEastAsia"/>
          <w:bCs/>
          <w:color w:val="000000" w:themeColor="text1"/>
          <w:szCs w:val="21"/>
          <w14:textFill>
            <w14:solidFill>
              <w14:schemeClr w14:val="tx1"/>
            </w14:solidFill>
          </w14:textFill>
        </w:rPr>
      </w:pPr>
      <w:r>
        <w:rPr>
          <w:rFonts w:cs="Times New Roman" w:asciiTheme="minorEastAsia" w:hAnsiTheme="minorEastAsia"/>
          <w:bCs/>
          <w:color w:val="000000" w:themeColor="text1"/>
          <w:szCs w:val="21"/>
          <w14:textFill>
            <w14:solidFill>
              <w14:schemeClr w14:val="tx1"/>
            </w14:solidFill>
          </w14:textFill>
        </w:rPr>
        <w:t>5.</w:t>
      </w:r>
      <w:r>
        <w:rPr>
          <w:rFonts w:hint="eastAsia" w:cs="Times New Roman" w:asciiTheme="minorEastAsia" w:hAnsiTheme="minorEastAsia"/>
          <w:bCs/>
          <w:color w:val="000000" w:themeColor="text1"/>
          <w:szCs w:val="21"/>
          <w14:textFill>
            <w14:solidFill>
              <w14:schemeClr w14:val="tx1"/>
            </w14:solidFill>
          </w14:textFill>
        </w:rPr>
        <w:t>3</w:t>
      </w:r>
      <w:r>
        <w:rPr>
          <w:rFonts w:cs="Times New Roman" w:asciiTheme="minorEastAsia" w:hAnsiTheme="minorEastAsia"/>
          <w:bCs/>
          <w:color w:val="000000" w:themeColor="text1"/>
          <w:szCs w:val="21"/>
          <w14:textFill>
            <w14:solidFill>
              <w14:schemeClr w14:val="tx1"/>
            </w14:solidFill>
          </w14:textFill>
        </w:rPr>
        <w:t>.2 天然地基、复合地基抗震承载力验算</w:t>
      </w:r>
      <w:r>
        <w:rPr>
          <w:rFonts w:hint="eastAsia" w:cs="Times New Roman" w:asciiTheme="minorEastAsia" w:hAnsiTheme="minorEastAsia"/>
          <w:bCs/>
          <w:color w:val="000000" w:themeColor="text1"/>
          <w:szCs w:val="21"/>
          <w14:textFill>
            <w14:solidFill>
              <w14:schemeClr w14:val="tx1"/>
            </w14:solidFill>
          </w14:textFill>
        </w:rPr>
        <w:t>时，应采用地震作用标准组合的效应，且地基抗震承载力应取地基承载力特征值乘以地基抗震承载力调整系数计算。</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5.3.3  地基抗震承载力按下式计算：</w:t>
      </w:r>
    </w:p>
    <w:p>
      <w:pPr>
        <w:spacing w:line="360" w:lineRule="auto"/>
        <w:ind w:firstLine="3360" w:firstLineChars="1600"/>
        <w:rPr>
          <w:rFonts w:cs="Times New Roman" w:asciiTheme="minorEastAsia" w:hAnsiTheme="minorEastAsia"/>
          <w:bCs/>
          <w:color w:val="000000" w:themeColor="text1"/>
          <w:szCs w:val="21"/>
          <w14:textFill>
            <w14:solidFill>
              <w14:schemeClr w14:val="tx1"/>
            </w14:solidFill>
          </w14:textFill>
        </w:rPr>
      </w:pPr>
      <w:r>
        <w:rPr>
          <w:rFonts w:cs="Times New Roman"/>
          <w:bCs/>
          <w:i/>
          <w:color w:val="000000" w:themeColor="text1"/>
          <w:szCs w:val="21"/>
          <w14:textFill>
            <w14:solidFill>
              <w14:schemeClr w14:val="tx1"/>
            </w14:solidFill>
          </w14:textFill>
        </w:rPr>
        <w:t>f</w:t>
      </w:r>
      <w:r>
        <w:rPr>
          <w:rFonts w:cs="Times New Roman"/>
          <w:bCs/>
          <w:color w:val="000000" w:themeColor="text1"/>
          <w:szCs w:val="21"/>
          <w:vertAlign w:val="subscript"/>
          <w14:textFill>
            <w14:solidFill>
              <w14:schemeClr w14:val="tx1"/>
            </w14:solidFill>
          </w14:textFill>
        </w:rPr>
        <w:t>aE</w:t>
      </w:r>
      <w:r>
        <w:rPr>
          <w:rFonts w:hint="eastAsia" w:asciiTheme="minorEastAsia" w:hAnsiTheme="minorEastAsia"/>
          <w:bCs/>
          <w:color w:val="000000" w:themeColor="text1"/>
          <w:szCs w:val="21"/>
          <w14:textFill>
            <w14:solidFill>
              <w14:schemeClr w14:val="tx1"/>
            </w14:solidFill>
          </w14:textFill>
        </w:rPr>
        <w:t>＝</w:t>
      </w:r>
      <w:r>
        <w:rPr>
          <w:rFonts w:cs="Times New Roman"/>
          <w:bCs/>
          <w:i/>
          <w:color w:val="000000" w:themeColor="text1"/>
          <w:szCs w:val="21"/>
          <w14:textFill>
            <w14:solidFill>
              <w14:schemeClr w14:val="tx1"/>
            </w14:solidFill>
          </w14:textFill>
        </w:rPr>
        <w:t>ζ</w:t>
      </w:r>
      <w:r>
        <w:rPr>
          <w:rFonts w:cs="Times New Roman"/>
          <w:bCs/>
          <w:color w:val="000000" w:themeColor="text1"/>
          <w:szCs w:val="21"/>
          <w:vertAlign w:val="subscript"/>
          <w14:textFill>
            <w14:solidFill>
              <w14:schemeClr w14:val="tx1"/>
            </w14:solidFill>
          </w14:textFill>
        </w:rPr>
        <w:t>a</w:t>
      </w:r>
      <w:r>
        <w:rPr>
          <w:rFonts w:cs="Times New Roman"/>
          <w:bCs/>
          <w:i/>
          <w:color w:val="000000" w:themeColor="text1"/>
          <w:szCs w:val="21"/>
          <w14:textFill>
            <w14:solidFill>
              <w14:schemeClr w14:val="tx1"/>
            </w14:solidFill>
          </w14:textFill>
        </w:rPr>
        <w:t>f</w:t>
      </w:r>
      <w:r>
        <w:rPr>
          <w:rFonts w:cs="Times New Roman"/>
          <w:bCs/>
          <w:color w:val="000000" w:themeColor="text1"/>
          <w:szCs w:val="21"/>
          <w:vertAlign w:val="subscript"/>
          <w14:textFill>
            <w14:solidFill>
              <w14:schemeClr w14:val="tx1"/>
            </w14:solidFill>
          </w14:textFill>
        </w:rPr>
        <w:t>a</w:t>
      </w:r>
      <w:r>
        <w:rPr>
          <w:rFonts w:hint="eastAsia" w:cs="Times New Roman"/>
          <w:bCs/>
          <w:color w:val="000000" w:themeColor="text1"/>
          <w:szCs w:val="21"/>
          <w:vertAlign w:val="subscript"/>
          <w14:textFill>
            <w14:solidFill>
              <w14:schemeClr w14:val="tx1"/>
            </w14:solidFill>
          </w14:textFill>
        </w:rPr>
        <w:t xml:space="preserve">               </w:t>
      </w:r>
      <w:r>
        <w:rPr>
          <w:rFonts w:hint="eastAsia" w:cs="Times New Roman" w:asciiTheme="minorEastAsia" w:hAnsiTheme="minorEastAsia"/>
          <w:bCs/>
          <w:color w:val="000000" w:themeColor="text1"/>
          <w:szCs w:val="21"/>
          <w14:textFill>
            <w14:solidFill>
              <w14:schemeClr w14:val="tx1"/>
            </w14:solidFill>
          </w14:textFill>
        </w:rPr>
        <w:t>（5.3.3-1）</w:t>
      </w:r>
    </w:p>
    <w:p>
      <w:pPr>
        <w:spacing w:line="360" w:lineRule="auto"/>
        <w:ind w:firstLine="0" w:firstLineChars="0"/>
        <w:rPr>
          <w:rFonts w:cs="Times New Roman" w:asciiTheme="minorEastAsia" w:hAnsiTheme="minorEastAsia"/>
          <w:bCs/>
          <w:color w:val="000000" w:themeColor="text1"/>
          <w:szCs w:val="21"/>
          <w14:textFill>
            <w14:solidFill>
              <w14:schemeClr w14:val="tx1"/>
            </w14:solidFill>
          </w14:textFill>
        </w:rPr>
      </w:pPr>
      <w:r>
        <w:rPr>
          <w:rFonts w:hint="eastAsia" w:cs="Times New Roman" w:asciiTheme="minorEastAsia" w:hAnsiTheme="minorEastAsia"/>
          <w:bCs/>
          <w:color w:val="000000" w:themeColor="text1"/>
          <w:szCs w:val="21"/>
          <w14:textFill>
            <w14:solidFill>
              <w14:schemeClr w14:val="tx1"/>
            </w14:solidFill>
          </w14:textFill>
        </w:rPr>
        <w:t>式中：</w:t>
      </w:r>
      <w:r>
        <w:rPr>
          <w:rFonts w:cs="Times New Roman"/>
          <w:bCs/>
          <w:i/>
          <w:color w:val="000000" w:themeColor="text1"/>
          <w:szCs w:val="21"/>
          <w14:textFill>
            <w14:solidFill>
              <w14:schemeClr w14:val="tx1"/>
            </w14:solidFill>
          </w14:textFill>
        </w:rPr>
        <w:t>f</w:t>
      </w:r>
      <w:r>
        <w:rPr>
          <w:rFonts w:cs="Times New Roman"/>
          <w:bCs/>
          <w:color w:val="000000" w:themeColor="text1"/>
          <w:szCs w:val="21"/>
          <w:vertAlign w:val="subscript"/>
          <w14:textFill>
            <w14:solidFill>
              <w14:schemeClr w14:val="tx1"/>
            </w14:solidFill>
          </w14:textFill>
        </w:rPr>
        <w:t>aE</w:t>
      </w:r>
      <w:r>
        <w:rPr>
          <w:rFonts w:hint="eastAsia" w:ascii="楷体" w:hAnsi="楷体" w:eastAsia="楷体" w:cs="Times New Roman"/>
          <w:bCs/>
          <w:color w:val="000000" w:themeColor="text1"/>
          <w:szCs w:val="21"/>
          <w14:textFill>
            <w14:solidFill>
              <w14:schemeClr w14:val="tx1"/>
            </w14:solidFill>
          </w14:textFill>
        </w:rPr>
        <w:t>——</w:t>
      </w:r>
      <w:r>
        <w:rPr>
          <w:rFonts w:hint="eastAsia" w:cs="Times New Roman" w:asciiTheme="minorEastAsia" w:hAnsiTheme="minorEastAsia"/>
          <w:bCs/>
          <w:color w:val="000000" w:themeColor="text1"/>
          <w:szCs w:val="21"/>
          <w14:textFill>
            <w14:solidFill>
              <w14:schemeClr w14:val="tx1"/>
            </w14:solidFill>
          </w14:textFill>
        </w:rPr>
        <w:t>调整后的地基抗震承载力；</w:t>
      </w:r>
    </w:p>
    <w:p>
      <w:pPr>
        <w:spacing w:line="360" w:lineRule="auto"/>
        <w:ind w:firstLine="630" w:firstLineChars="300"/>
        <w:rPr>
          <w:rFonts w:cs="Times New Roman" w:asciiTheme="minorEastAsia" w:hAnsiTheme="minorEastAsia"/>
          <w:bCs/>
          <w:color w:val="000000" w:themeColor="text1"/>
          <w:szCs w:val="21"/>
          <w14:textFill>
            <w14:solidFill>
              <w14:schemeClr w14:val="tx1"/>
            </w14:solidFill>
          </w14:textFill>
        </w:rPr>
      </w:pPr>
      <w:r>
        <w:rPr>
          <w:rFonts w:cs="Times New Roman" w:asciiTheme="minorEastAsia" w:hAnsiTheme="minorEastAsia"/>
          <w:bCs/>
          <w:i/>
          <w:color w:val="000000" w:themeColor="text1"/>
          <w:szCs w:val="21"/>
          <w14:textFill>
            <w14:solidFill>
              <w14:schemeClr w14:val="tx1"/>
            </w14:solidFill>
          </w14:textFill>
        </w:rPr>
        <w:t>ζ</w:t>
      </w:r>
      <w:r>
        <w:rPr>
          <w:rFonts w:cs="Times New Roman" w:asciiTheme="minorEastAsia" w:hAnsiTheme="minorEastAsia"/>
          <w:bCs/>
          <w:color w:val="000000" w:themeColor="text1"/>
          <w:szCs w:val="21"/>
          <w:vertAlign w:val="subscript"/>
          <w14:textFill>
            <w14:solidFill>
              <w14:schemeClr w14:val="tx1"/>
            </w14:solidFill>
          </w14:textFill>
        </w:rPr>
        <w:t>a</w:t>
      </w:r>
      <w:r>
        <w:rPr>
          <w:rFonts w:hint="eastAsia" w:ascii="楷体" w:hAnsi="楷体" w:eastAsia="楷体" w:cs="Times New Roman"/>
          <w:bCs/>
          <w:color w:val="000000" w:themeColor="text1"/>
          <w:szCs w:val="21"/>
          <w14:textFill>
            <w14:solidFill>
              <w14:schemeClr w14:val="tx1"/>
            </w14:solidFill>
          </w14:textFill>
        </w:rPr>
        <w:t>——</w:t>
      </w:r>
      <w:r>
        <w:rPr>
          <w:rFonts w:hint="eastAsia" w:cs="Times New Roman" w:asciiTheme="minorEastAsia" w:hAnsiTheme="minorEastAsia"/>
          <w:bCs/>
          <w:color w:val="000000" w:themeColor="text1"/>
          <w:szCs w:val="21"/>
          <w14:textFill>
            <w14:solidFill>
              <w14:schemeClr w14:val="tx1"/>
            </w14:solidFill>
          </w14:textFill>
        </w:rPr>
        <w:t>地基抗震承载力调整系数，按</w:t>
      </w:r>
      <w:r>
        <w:rPr>
          <w:rFonts w:hint="eastAsia" w:asciiTheme="minorEastAsia" w:hAnsiTheme="minorEastAsia"/>
          <w:bCs/>
          <w:color w:val="000000" w:themeColor="text1"/>
          <w:szCs w:val="21"/>
          <w14:textFill>
            <w14:solidFill>
              <w14:schemeClr w14:val="tx1"/>
            </w14:solidFill>
          </w14:textFill>
        </w:rPr>
        <w:t>《建筑抗震设计规范》</w:t>
      </w:r>
      <w:r>
        <w:rPr>
          <w:rFonts w:cs="Times New Roman"/>
          <w:bCs/>
          <w:color w:val="000000" w:themeColor="text1"/>
          <w:szCs w:val="21"/>
          <w14:textFill>
            <w14:solidFill>
              <w14:schemeClr w14:val="tx1"/>
            </w14:solidFill>
          </w14:textFill>
        </w:rPr>
        <w:t>GB</w:t>
      </w:r>
      <w:r>
        <w:rPr>
          <w:rFonts w:hint="eastAsia" w:asciiTheme="minorEastAsia" w:hAnsiTheme="minorEastAsia"/>
          <w:bCs/>
          <w:color w:val="000000" w:themeColor="text1"/>
          <w:szCs w:val="21"/>
          <w14:textFill>
            <w14:solidFill>
              <w14:schemeClr w14:val="tx1"/>
            </w14:solidFill>
          </w14:textFill>
        </w:rPr>
        <w:t xml:space="preserve"> 50011采用；</w:t>
      </w:r>
    </w:p>
    <w:p>
      <w:pPr>
        <w:spacing w:line="360" w:lineRule="auto"/>
        <w:ind w:left="1260" w:leftChars="300" w:hanging="630" w:hangingChars="300"/>
        <w:rPr>
          <w:rFonts w:asciiTheme="minorEastAsia" w:hAnsiTheme="minorEastAsia"/>
          <w:bCs/>
          <w:color w:val="000000" w:themeColor="text1"/>
          <w:szCs w:val="21"/>
          <w14:textFill>
            <w14:solidFill>
              <w14:schemeClr w14:val="tx1"/>
            </w14:solidFill>
          </w14:textFill>
        </w:rPr>
      </w:pPr>
      <w:r>
        <w:rPr>
          <w:rFonts w:cs="Times New Roman"/>
          <w:bCs/>
          <w:i/>
          <w:color w:val="000000" w:themeColor="text1"/>
          <w:szCs w:val="21"/>
          <w14:textFill>
            <w14:solidFill>
              <w14:schemeClr w14:val="tx1"/>
            </w14:solidFill>
          </w14:textFill>
        </w:rPr>
        <w:t>f</w:t>
      </w:r>
      <w:r>
        <w:rPr>
          <w:rFonts w:cs="Times New Roman"/>
          <w:bCs/>
          <w:color w:val="000000" w:themeColor="text1"/>
          <w:szCs w:val="21"/>
          <w:vertAlign w:val="subscript"/>
          <w14:textFill>
            <w14:solidFill>
              <w14:schemeClr w14:val="tx1"/>
            </w14:solidFill>
          </w14:textFill>
        </w:rPr>
        <w:t>a</w:t>
      </w:r>
      <w:r>
        <w:rPr>
          <w:rFonts w:hint="eastAsia" w:ascii="楷体" w:hAnsi="楷体" w:eastAsia="楷体" w:cs="Times New Roman"/>
          <w:bCs/>
          <w:color w:val="000000" w:themeColor="text1"/>
          <w:szCs w:val="21"/>
          <w14:textFill>
            <w14:solidFill>
              <w14:schemeClr w14:val="tx1"/>
            </w14:solidFill>
          </w14:textFill>
        </w:rPr>
        <w:t>——</w:t>
      </w:r>
      <w:r>
        <w:rPr>
          <w:rFonts w:hint="eastAsia" w:cs="Times New Roman" w:asciiTheme="minorEastAsia" w:hAnsiTheme="minorEastAsia"/>
          <w:bCs/>
          <w:color w:val="000000" w:themeColor="text1"/>
          <w:szCs w:val="21"/>
          <w14:textFill>
            <w14:solidFill>
              <w14:schemeClr w14:val="tx1"/>
            </w14:solidFill>
          </w14:textFill>
        </w:rPr>
        <w:t>基础宽度和埋置深度修正后的地基承载力特征值或基础埋置深度修正后的处理地基承载力特征值，按现行国家标准《建筑地基基础设计规范》</w:t>
      </w:r>
      <w:r>
        <w:rPr>
          <w:rFonts w:cs="Times New Roman"/>
          <w:bCs/>
          <w:color w:val="000000" w:themeColor="text1"/>
          <w:szCs w:val="21"/>
          <w14:textFill>
            <w14:solidFill>
              <w14:schemeClr w14:val="tx1"/>
            </w14:solidFill>
          </w14:textFill>
        </w:rPr>
        <w:t>GB</w:t>
      </w:r>
      <w:r>
        <w:rPr>
          <w:rFonts w:cs="Times New Roman" w:asciiTheme="minorEastAsia" w:hAnsiTheme="minorEastAsia"/>
          <w:bCs/>
          <w:color w:val="000000" w:themeColor="text1"/>
          <w:szCs w:val="21"/>
          <w14:textFill>
            <w14:solidFill>
              <w14:schemeClr w14:val="tx1"/>
            </w14:solidFill>
          </w14:textFill>
        </w:rPr>
        <w:t xml:space="preserve"> </w:t>
      </w:r>
      <w:r>
        <w:rPr>
          <w:rFonts w:hint="eastAsia" w:cs="Times New Roman" w:asciiTheme="minorEastAsia" w:hAnsiTheme="minorEastAsia"/>
          <w:bCs/>
          <w:color w:val="000000" w:themeColor="text1"/>
          <w:szCs w:val="21"/>
          <w14:textFill>
            <w14:solidFill>
              <w14:schemeClr w14:val="tx1"/>
            </w14:solidFill>
          </w14:textFill>
        </w:rPr>
        <w:t>50007和现行行业标准《建筑地基处理技术规范》</w:t>
      </w:r>
      <w:r>
        <w:rPr>
          <w:rFonts w:cs="Times New Roman"/>
          <w:bCs/>
          <w:color w:val="000000" w:themeColor="text1"/>
          <w:szCs w:val="21"/>
          <w14:textFill>
            <w14:solidFill>
              <w14:schemeClr w14:val="tx1"/>
            </w14:solidFill>
          </w14:textFill>
        </w:rPr>
        <w:t>JGJ</w:t>
      </w:r>
      <w:r>
        <w:rPr>
          <w:rFonts w:hint="eastAsia" w:cs="Times New Roman" w:asciiTheme="minorEastAsia" w:hAnsiTheme="minorEastAsia"/>
          <w:bCs/>
          <w:color w:val="000000" w:themeColor="text1"/>
          <w:szCs w:val="21"/>
          <w14:textFill>
            <w14:solidFill>
              <w14:schemeClr w14:val="tx1"/>
            </w14:solidFill>
          </w14:textFill>
        </w:rPr>
        <w:t xml:space="preserve"> 79采用。</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5.3.4 </w:t>
      </w:r>
      <w:r>
        <w:rPr>
          <w:rFonts w:hint="eastAsia" w:asciiTheme="minorEastAsia" w:hAnsiTheme="minorEastAsia"/>
          <w:color w:val="000000" w:themeColor="text1"/>
          <w:szCs w:val="21"/>
          <w14:textFill>
            <w14:solidFill>
              <w14:schemeClr w14:val="tx1"/>
            </w14:solidFill>
          </w14:textFill>
        </w:rPr>
        <w:t xml:space="preserve"> 验算天然地基和处理地基地震作用下的竖向承载力时，按地震作用标准组合的基础底面平均压力和边缘最大压力应符合下列各式要求：</w:t>
      </w:r>
    </w:p>
    <w:p>
      <w:pPr>
        <w:spacing w:line="360" w:lineRule="auto"/>
        <w:ind w:firstLine="3360" w:firstLineChars="1600"/>
        <w:rPr>
          <w:rFonts w:cs="Times New Roman" w:asciiTheme="minorEastAsia" w:hAnsiTheme="minorEastAsia"/>
          <w:color w:val="000000" w:themeColor="text1"/>
          <w:szCs w:val="21"/>
          <w14:textFill>
            <w14:solidFill>
              <w14:schemeClr w14:val="tx1"/>
            </w14:solidFill>
          </w14:textFill>
        </w:rPr>
      </w:pPr>
      <w:r>
        <w:rPr>
          <w:rFonts w:hint="eastAsia" w:cs="Times New Roman"/>
          <w:i/>
          <w:color w:val="000000" w:themeColor="text1"/>
          <w:szCs w:val="21"/>
          <w14:textFill>
            <w14:solidFill>
              <w14:schemeClr w14:val="tx1"/>
            </w14:solidFill>
          </w14:textFill>
        </w:rPr>
        <w:t>p</w:t>
      </w:r>
      <w:r>
        <w:rPr>
          <w:rFonts w:ascii="楷体" w:hAnsi="楷体" w:eastAsia="楷体" w:cs="Times New Roman"/>
          <w:color w:val="000000" w:themeColor="text1"/>
          <w:szCs w:val="21"/>
          <w14:textFill>
            <w14:solidFill>
              <w14:schemeClr w14:val="tx1"/>
            </w14:solidFill>
          </w14:textFill>
        </w:rPr>
        <w:t>≤</w:t>
      </w:r>
      <w:r>
        <w:rPr>
          <w:rFonts w:cs="Times New Roman"/>
          <w:i/>
          <w:color w:val="000000" w:themeColor="text1"/>
          <w:szCs w:val="21"/>
          <w14:textFill>
            <w14:solidFill>
              <w14:schemeClr w14:val="tx1"/>
            </w14:solidFill>
          </w14:textFill>
        </w:rPr>
        <w:t>f</w:t>
      </w:r>
      <w:r>
        <w:rPr>
          <w:rFonts w:cs="Times New Roman"/>
          <w:color w:val="000000" w:themeColor="text1"/>
          <w:szCs w:val="21"/>
          <w:vertAlign w:val="subscript"/>
          <w14:textFill>
            <w14:solidFill>
              <w14:schemeClr w14:val="tx1"/>
            </w14:solidFill>
          </w14:textFill>
        </w:rPr>
        <w:t>aE</w:t>
      </w:r>
      <w:r>
        <w:rPr>
          <w:rFonts w:hint="eastAsia" w:cs="Times New Roman"/>
          <w:color w:val="000000" w:themeColor="text1"/>
          <w:szCs w:val="21"/>
          <w:vertAlign w:val="subscript"/>
          <w14:textFill>
            <w14:solidFill>
              <w14:schemeClr w14:val="tx1"/>
            </w14:solidFill>
          </w14:textFill>
        </w:rPr>
        <w:t xml:space="preserve">                   </w:t>
      </w:r>
      <w:r>
        <w:rPr>
          <w:rFonts w:hint="eastAsia" w:cs="Times New Roman" w:asciiTheme="minorEastAsia" w:hAnsiTheme="minorEastAsia"/>
          <w:bCs/>
          <w:color w:val="000000" w:themeColor="text1"/>
          <w:szCs w:val="21"/>
          <w14:textFill>
            <w14:solidFill>
              <w14:schemeClr w14:val="tx1"/>
            </w14:solidFill>
          </w14:textFill>
        </w:rPr>
        <w:t>（5.3.4-1）</w:t>
      </w:r>
    </w:p>
    <w:p>
      <w:pPr>
        <w:spacing w:line="360" w:lineRule="auto"/>
        <w:ind w:firstLine="3360" w:firstLineChars="1600"/>
        <w:rPr>
          <w:rFonts w:cs="Times New Roman" w:asciiTheme="minorEastAsia" w:hAnsiTheme="minorEastAsia"/>
          <w:color w:val="000000" w:themeColor="text1"/>
          <w:szCs w:val="21"/>
          <w14:textFill>
            <w14:solidFill>
              <w14:schemeClr w14:val="tx1"/>
            </w14:solidFill>
          </w14:textFill>
        </w:rPr>
      </w:pPr>
      <w:r>
        <w:rPr>
          <w:rFonts w:hint="eastAsia" w:cs="Times New Roman"/>
          <w:i/>
          <w:color w:val="000000" w:themeColor="text1"/>
          <w:szCs w:val="21"/>
          <w14:textFill>
            <w14:solidFill>
              <w14:schemeClr w14:val="tx1"/>
            </w14:solidFill>
          </w14:textFill>
        </w:rPr>
        <w:t>p</w:t>
      </w:r>
      <w:r>
        <w:rPr>
          <w:rFonts w:hint="eastAsia" w:cs="Times New Roman"/>
          <w:color w:val="000000" w:themeColor="text1"/>
          <w:szCs w:val="21"/>
          <w:vertAlign w:val="subscript"/>
          <w14:textFill>
            <w14:solidFill>
              <w14:schemeClr w14:val="tx1"/>
            </w14:solidFill>
          </w14:textFill>
        </w:rPr>
        <w:t>max</w:t>
      </w:r>
      <w:r>
        <w:rPr>
          <w:rFonts w:hint="eastAsia" w:ascii="楷体" w:hAnsi="楷体" w:eastAsia="楷体" w:cs="Times New Roman"/>
          <w:color w:val="000000" w:themeColor="text1"/>
          <w:szCs w:val="21"/>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1.2</w:t>
      </w:r>
      <w:r>
        <w:rPr>
          <w:rFonts w:cs="Times New Roman"/>
          <w:i/>
          <w:color w:val="000000" w:themeColor="text1"/>
          <w:szCs w:val="21"/>
          <w14:textFill>
            <w14:solidFill>
              <w14:schemeClr w14:val="tx1"/>
            </w14:solidFill>
          </w14:textFill>
        </w:rPr>
        <w:t>f</w:t>
      </w:r>
      <w:r>
        <w:rPr>
          <w:rFonts w:cs="Times New Roman"/>
          <w:color w:val="000000" w:themeColor="text1"/>
          <w:szCs w:val="21"/>
          <w:vertAlign w:val="subscript"/>
          <w14:textFill>
            <w14:solidFill>
              <w14:schemeClr w14:val="tx1"/>
            </w14:solidFill>
          </w14:textFill>
        </w:rPr>
        <w:t>aE</w:t>
      </w:r>
      <w:r>
        <w:rPr>
          <w:rFonts w:hint="eastAsia" w:cs="Times New Roman"/>
          <w:color w:val="000000" w:themeColor="text1"/>
          <w:szCs w:val="21"/>
          <w:vertAlign w:val="subscript"/>
          <w14:textFill>
            <w14:solidFill>
              <w14:schemeClr w14:val="tx1"/>
            </w14:solidFill>
          </w14:textFill>
        </w:rPr>
        <w:t xml:space="preserve">         </w:t>
      </w:r>
      <w:r>
        <w:rPr>
          <w:rFonts w:hint="eastAsia" w:cs="Times New Roman" w:asciiTheme="minorEastAsia" w:hAnsiTheme="minorEastAsia"/>
          <w:bCs/>
          <w:color w:val="000000" w:themeColor="text1"/>
          <w:szCs w:val="21"/>
          <w14:textFill>
            <w14:solidFill>
              <w14:schemeClr w14:val="tx1"/>
            </w14:solidFill>
          </w14:textFill>
        </w:rPr>
        <w:t>（5.3.4-2）</w:t>
      </w:r>
      <w:r>
        <w:rPr>
          <w:rFonts w:hint="eastAsia" w:cs="Times New Roman"/>
          <w:color w:val="000000" w:themeColor="text1"/>
          <w:szCs w:val="21"/>
          <w:vertAlign w:val="subscript"/>
          <w14:textFill>
            <w14:solidFill>
              <w14:schemeClr w14:val="tx1"/>
            </w14:solidFill>
          </w14:textFill>
        </w:rPr>
        <w:t xml:space="preserve">             </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式中：</w:t>
      </w:r>
      <w:r>
        <w:rPr>
          <w:rFonts w:cs="Times New Roman"/>
          <w:i/>
          <w:color w:val="000000" w:themeColor="text1"/>
          <w:szCs w:val="21"/>
          <w14:textFill>
            <w14:solidFill>
              <w14:schemeClr w14:val="tx1"/>
            </w14:solidFill>
          </w14:textFill>
        </w:rPr>
        <w:t>p</w:t>
      </w:r>
      <w:r>
        <w:rPr>
          <w:rFonts w:hint="eastAsia" w:ascii="楷体" w:hAnsi="楷体" w:eastAsia="楷体"/>
          <w:color w:val="000000" w:themeColor="text1"/>
          <w:szCs w:val="21"/>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地震作用标准组合的基础底面平均压力；</w:t>
      </w:r>
    </w:p>
    <w:p>
      <w:pPr>
        <w:spacing w:line="360" w:lineRule="auto"/>
        <w:ind w:firstLine="630" w:firstLineChars="300"/>
        <w:rPr>
          <w:rFonts w:asciiTheme="minorEastAsia" w:hAnsiTheme="minorEastAsia"/>
          <w:color w:val="000000" w:themeColor="text1"/>
          <w:szCs w:val="21"/>
          <w14:textFill>
            <w14:solidFill>
              <w14:schemeClr w14:val="tx1"/>
            </w14:solidFill>
          </w14:textFill>
        </w:rPr>
      </w:pPr>
      <w:r>
        <w:rPr>
          <w:rFonts w:cs="Times New Roman"/>
          <w:i/>
          <w:color w:val="000000" w:themeColor="text1"/>
          <w:szCs w:val="21"/>
          <w14:textFill>
            <w14:solidFill>
              <w14:schemeClr w14:val="tx1"/>
            </w14:solidFill>
          </w14:textFill>
        </w:rPr>
        <w:t>p</w:t>
      </w:r>
      <w:r>
        <w:rPr>
          <w:rFonts w:cs="Times New Roman"/>
          <w:color w:val="000000" w:themeColor="text1"/>
          <w:szCs w:val="21"/>
          <w:vertAlign w:val="subscript"/>
          <w14:textFill>
            <w14:solidFill>
              <w14:schemeClr w14:val="tx1"/>
            </w14:solidFill>
          </w14:textFill>
        </w:rPr>
        <w:t>max</w:t>
      </w:r>
      <w:r>
        <w:rPr>
          <w:rFonts w:hint="eastAsia" w:ascii="楷体" w:hAnsi="楷体" w:eastAsia="楷体"/>
          <w:color w:val="000000" w:themeColor="text1"/>
          <w:szCs w:val="21"/>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地震作用标准组合的基础边缘最大压力。</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在地震作用下，基础底面的零应力区应符合下列规定：</w:t>
      </w:r>
    </w:p>
    <w:p>
      <w:pPr>
        <w:spacing w:line="360" w:lineRule="auto"/>
        <w:ind w:firstLine="840" w:firstLineChars="4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1）高宽比大于4的厂房及甲类和乙类厂房，基础底面不应出现零应力区；</w:t>
      </w:r>
    </w:p>
    <w:p>
      <w:pPr>
        <w:spacing w:line="360" w:lineRule="auto"/>
        <w:ind w:firstLine="840" w:firstLineChars="400"/>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2</w:t>
      </w:r>
      <w:r>
        <w:rPr>
          <w:rFonts w:hint="eastAsia" w:asciiTheme="minorEastAsia" w:hAnsiTheme="minorEastAsia"/>
          <w:color w:val="000000" w:themeColor="text1"/>
          <w:szCs w:val="21"/>
          <w14:textFill>
            <w14:solidFill>
              <w14:schemeClr w14:val="tx1"/>
            </w14:solidFill>
          </w14:textFill>
        </w:rPr>
        <w:t>）丙类和丁类且外形不规则的厂房，零应力区面积不应超过基础底面面积的15</w:t>
      </w:r>
      <w:r>
        <w:rPr>
          <w:rFonts w:cs="Times New Roman"/>
          <w:color w:val="000000" w:themeColor="text1"/>
          <w:szCs w:val="21"/>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w:t>
      </w:r>
    </w:p>
    <w:p>
      <w:pPr>
        <w:spacing w:line="360" w:lineRule="auto"/>
        <w:ind w:firstLine="840" w:firstLineChars="4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3）丙类和丁类且外形规则的厂房，零应力区面积不应超过基础底面面积的25</w:t>
      </w:r>
      <w:r>
        <w:rPr>
          <w:rFonts w:cs="Times New Roman"/>
          <w:color w:val="000000" w:themeColor="text1"/>
          <w:szCs w:val="21"/>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5.3.5  验算天然地基和处理地基上基础的水平抗震承载力时，可考虑基础底面和地基土间的摩擦力。当基础周围回填土的材料、密实度及范围满足设计要求时，可考虑基础正面填土的水平抗力，水平抗力可取被动土压力值的1/3。当基础底面摩擦力与基础正面填土的水平抗力不能满足水平地震作用要求时，可考虑混凝土刚性地坪的水平抗力作用。</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5.3.6  提高天然地基和处理地基对地震作用的水平抗力时，宜选取下列加强措施：</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  加强基础（柱、墙）附近的混凝土刚性地坪；</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2  基础底面以下局部换土和加强基础周围的回填土；</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3  加大基础埋置深度或在基础底面下增设抗滑键；</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4  加强基础拉梁。</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5.3.7  基础的抗震承载力计算应按承载力抗震调整系数</w:t>
      </w:r>
      <w:r>
        <w:rPr>
          <w:rFonts w:ascii="Cambria Math" w:hAnsi="Cambria Math" w:cs="Times New Roman"/>
          <w:bCs/>
          <w:i/>
          <w:color w:val="000000" w:themeColor="text1"/>
          <w:szCs w:val="21"/>
          <w14:textFill>
            <w14:solidFill>
              <w14:schemeClr w14:val="tx1"/>
            </w14:solidFill>
          </w14:textFill>
        </w:rPr>
        <w:t>γ</w:t>
      </w:r>
      <w:r>
        <w:rPr>
          <w:rFonts w:cs="Times New Roman"/>
          <w:bCs/>
          <w:color w:val="000000" w:themeColor="text1"/>
          <w:szCs w:val="21"/>
          <w:vertAlign w:val="subscript"/>
          <w14:textFill>
            <w14:solidFill>
              <w14:schemeClr w14:val="tx1"/>
            </w14:solidFill>
          </w14:textFill>
        </w:rPr>
        <w:t>RE</w:t>
      </w:r>
      <w:r>
        <w:rPr>
          <w:rFonts w:hint="eastAsia" w:asciiTheme="minorEastAsia" w:hAnsiTheme="minorEastAsia"/>
          <w:bCs/>
          <w:color w:val="000000" w:themeColor="text1"/>
          <w:szCs w:val="21"/>
          <w14:textFill>
            <w14:solidFill>
              <w14:schemeClr w14:val="tx1"/>
            </w14:solidFill>
          </w14:textFill>
        </w:rPr>
        <w:t>进行调整。基础受弯、受冲切和受剪的承载力抗震调整系数分别取0.75、0.85和0.85。</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5.3.8  当基础底面出现零应力区时，应在基础底板顶面配置受弯钢筋。</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5.3.9  框架独立基础有下列情况之一时，宜沿两个主轴方向设置拉梁：</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  一级框架和Ⅳ类场地的二级框架；</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2  各柱基础底面在重力荷载代表值作用下的压应力差别较大；</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3  基础埋置较深或各基础埋置深度差别较大；</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4  地基主要受力层范围内存在软弱粘性土层、液化土层或严重不均匀土层。</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5.3.10  </w:t>
      </w:r>
      <w:r>
        <w:rPr>
          <w:rFonts w:hint="eastAsia" w:asciiTheme="minorEastAsia" w:hAnsiTheme="minorEastAsia"/>
          <w:color w:val="000000" w:themeColor="text1"/>
          <w:szCs w:val="21"/>
          <w14:textFill>
            <w14:solidFill>
              <w14:schemeClr w14:val="tx1"/>
            </w14:solidFill>
          </w14:textFill>
        </w:rPr>
        <w:t>基础周围回填土应采用性能较好的材料并分层夯实，压实系数不应小于0.94。</w:t>
      </w:r>
    </w:p>
    <w:p>
      <w:pPr>
        <w:pStyle w:val="3"/>
      </w:pPr>
      <w:bookmarkStart w:id="103" w:name="_Toc48841031"/>
      <w:r>
        <w:rPr>
          <w:rFonts w:hint="eastAsia"/>
        </w:rPr>
        <w:t>液化土和抗液化措施</w:t>
      </w:r>
      <w:bookmarkEnd w:id="103"/>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5.4.1  土的液化判别和液化等级划分方法同《建筑抗震设计规范》</w:t>
      </w:r>
      <w:r>
        <w:rPr>
          <w:rFonts w:cs="Times New Roman"/>
          <w:bCs/>
          <w:color w:val="000000" w:themeColor="text1"/>
          <w:szCs w:val="21"/>
          <w14:textFill>
            <w14:solidFill>
              <w14:schemeClr w14:val="tx1"/>
            </w14:solidFill>
          </w14:textFill>
        </w:rPr>
        <w:t>GB</w:t>
      </w:r>
      <w:r>
        <w:rPr>
          <w:rFonts w:hint="eastAsia" w:asciiTheme="minorEastAsia" w:hAnsiTheme="minorEastAsia"/>
          <w:bCs/>
          <w:color w:val="000000" w:themeColor="text1"/>
          <w:szCs w:val="21"/>
          <w14:textFill>
            <w14:solidFill>
              <w14:schemeClr w14:val="tx1"/>
            </w14:solidFill>
          </w14:textFill>
        </w:rPr>
        <w:t xml:space="preserve"> 50011。</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5.4.2 </w:t>
      </w:r>
      <w:r>
        <w:rPr>
          <w:rFonts w:hint="eastAsia" w:asciiTheme="minorEastAsia" w:hAnsiTheme="minorEastAsia"/>
          <w:color w:val="000000" w:themeColor="text1"/>
          <w:szCs w:val="21"/>
          <w14:textFill>
            <w14:solidFill>
              <w14:schemeClr w14:val="tx1"/>
            </w14:solidFill>
          </w14:textFill>
        </w:rPr>
        <w:t xml:space="preserve"> 地基的抗液化措施原则同《建筑抗震设计规范》</w:t>
      </w:r>
      <w:r>
        <w:rPr>
          <w:rFonts w:cs="Times New Roman"/>
          <w:color w:val="000000" w:themeColor="text1"/>
          <w:szCs w:val="21"/>
          <w14:textFill>
            <w14:solidFill>
              <w14:schemeClr w14:val="tx1"/>
            </w14:solidFill>
          </w14:textFill>
        </w:rPr>
        <w:t>GB</w:t>
      </w:r>
      <w:r>
        <w:rPr>
          <w:rFonts w:hint="eastAsia" w:asciiTheme="minorEastAsia" w:hAnsiTheme="minorEastAsia"/>
          <w:color w:val="000000" w:themeColor="text1"/>
          <w:szCs w:val="21"/>
          <w14:textFill>
            <w14:solidFill>
              <w14:schemeClr w14:val="tx1"/>
            </w14:solidFill>
          </w14:textFill>
        </w:rPr>
        <w:t xml:space="preserve"> 50011。丙类主厂房采用独立基础时，地基液化等级为轻微时宜采取部分消除地基液化沉陷的措施，地基液化等级为中等时应采取部分消除液化沉陷措施，地基液化等级为严重时应采取全部消除液化沉陷的措施；乙类厂房地基液化等级为轻微时应采取部分消除液化沉陷措施，地基液化等级为中等和严重时应采取全部消除液化沉陷措施。</w:t>
      </w:r>
    </w:p>
    <w:p>
      <w:pPr>
        <w:pStyle w:val="3"/>
      </w:pPr>
      <w:bookmarkStart w:id="104" w:name="_Toc48841032"/>
      <w:r>
        <w:rPr>
          <w:rFonts w:hint="eastAsia"/>
        </w:rPr>
        <w:t>桩基</w:t>
      </w:r>
      <w:bookmarkEnd w:id="104"/>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5.5.1  承受竖向荷载为主的低承台桩基，当地面下无液化土层，且桩承台周围无淤泥、淤泥质土和地基承载力特征值不大于100</w:t>
      </w:r>
      <w:r>
        <w:rPr>
          <w:rFonts w:cs="Times New Roman"/>
          <w:bCs/>
          <w:color w:val="000000" w:themeColor="text1"/>
          <w:szCs w:val="21"/>
          <w14:textFill>
            <w14:solidFill>
              <w14:schemeClr w14:val="tx1"/>
            </w14:solidFill>
          </w14:textFill>
        </w:rPr>
        <w:t>kPa</w:t>
      </w:r>
      <w:r>
        <w:rPr>
          <w:rFonts w:hint="eastAsia" w:asciiTheme="minorEastAsia" w:hAnsiTheme="minorEastAsia"/>
          <w:bCs/>
          <w:color w:val="000000" w:themeColor="text1"/>
          <w:szCs w:val="21"/>
          <w14:textFill>
            <w14:solidFill>
              <w14:schemeClr w14:val="tx1"/>
            </w14:solidFill>
          </w14:textFill>
        </w:rPr>
        <w:t>的填土时，下列厂房可不进行桩基抗震承载力验算：</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asciiTheme="minorEastAsia" w:hAnsiTheme="minorEastAsia"/>
          <w:bCs/>
          <w:color w:val="000000" w:themeColor="text1"/>
          <w:szCs w:val="21"/>
          <w14:textFill>
            <w14:solidFill>
              <w14:schemeClr w14:val="tx1"/>
            </w14:solidFill>
          </w14:textFill>
        </w:rPr>
        <w:t xml:space="preserve">1  </w:t>
      </w:r>
      <w:r>
        <w:rPr>
          <w:rFonts w:hint="eastAsia" w:asciiTheme="minorEastAsia" w:hAnsiTheme="minorEastAsia"/>
          <w:bCs/>
          <w:color w:val="000000" w:themeColor="text1"/>
          <w:szCs w:val="21"/>
          <w14:textFill>
            <w14:solidFill>
              <w14:schemeClr w14:val="tx1"/>
            </w14:solidFill>
          </w14:textFill>
        </w:rPr>
        <w:t>本标准规定可不进行上部结构抗震验算的厂房。</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asciiTheme="minorEastAsia" w:hAnsiTheme="minorEastAsia"/>
          <w:bCs/>
          <w:color w:val="000000" w:themeColor="text1"/>
          <w:szCs w:val="21"/>
          <w14:textFill>
            <w14:solidFill>
              <w14:schemeClr w14:val="tx1"/>
            </w14:solidFill>
          </w14:textFill>
        </w:rPr>
        <w:t xml:space="preserve">2  </w:t>
      </w:r>
      <w:r>
        <w:rPr>
          <w:rFonts w:hint="eastAsia" w:asciiTheme="minorEastAsia" w:hAnsiTheme="minorEastAsia"/>
          <w:bCs/>
          <w:color w:val="000000" w:themeColor="text1"/>
          <w:szCs w:val="21"/>
          <w14:textFill>
            <w14:solidFill>
              <w14:schemeClr w14:val="tx1"/>
            </w14:solidFill>
          </w14:textFill>
        </w:rPr>
        <w:t>抗震设防烈度为7度和8度的单层厂房。</w:t>
      </w:r>
    </w:p>
    <w:p>
      <w:pPr>
        <w:spacing w:line="360" w:lineRule="auto"/>
        <w:ind w:firstLine="420"/>
        <w:jc w:val="left"/>
        <w:rPr>
          <w:rFonts w:asciiTheme="minorEastAsia" w:hAnsiTheme="minorEastAsia"/>
          <w:bCs/>
          <w:color w:val="000000" w:themeColor="text1"/>
          <w:szCs w:val="21"/>
          <w14:textFill>
            <w14:solidFill>
              <w14:schemeClr w14:val="tx1"/>
            </w14:solidFill>
          </w14:textFill>
        </w:rPr>
      </w:pPr>
      <w:r>
        <w:rPr>
          <w:rFonts w:asciiTheme="minorEastAsia" w:hAnsiTheme="minorEastAsia"/>
          <w:bCs/>
          <w:color w:val="000000" w:themeColor="text1"/>
          <w:szCs w:val="21"/>
          <w14:textFill>
            <w14:solidFill>
              <w14:schemeClr w14:val="tx1"/>
            </w14:solidFill>
          </w14:textFill>
        </w:rPr>
        <w:t xml:space="preserve">3  </w:t>
      </w:r>
      <w:r>
        <w:rPr>
          <w:rFonts w:hint="eastAsia" w:asciiTheme="minorEastAsia" w:hAnsiTheme="minorEastAsia"/>
          <w:bCs/>
          <w:color w:val="000000" w:themeColor="text1"/>
          <w:szCs w:val="21"/>
          <w14:textFill>
            <w14:solidFill>
              <w14:schemeClr w14:val="tx1"/>
            </w14:solidFill>
          </w14:textFill>
        </w:rPr>
        <w:t>抗震设防烈度为7度和8度时，不超过8层且高度在24</w:t>
      </w:r>
      <w:r>
        <w:rPr>
          <w:rFonts w:cs="Times New Roman"/>
          <w:bCs/>
          <w:color w:val="000000" w:themeColor="text1"/>
          <w:szCs w:val="21"/>
          <w14:textFill>
            <w14:solidFill>
              <w14:schemeClr w14:val="tx1"/>
            </w14:solidFill>
          </w14:textFill>
        </w:rPr>
        <w:t>m</w:t>
      </w:r>
      <w:r>
        <w:rPr>
          <w:rFonts w:hint="eastAsia" w:asciiTheme="minorEastAsia" w:hAnsiTheme="minorEastAsia"/>
          <w:bCs/>
          <w:color w:val="000000" w:themeColor="text1"/>
          <w:szCs w:val="21"/>
          <w14:textFill>
            <w14:solidFill>
              <w14:schemeClr w14:val="tx1"/>
            </w14:solidFill>
          </w14:textFill>
        </w:rPr>
        <w:t>以下的多层框架厂房和多层混凝土抗震墙厂房。</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5.5.2  用于抗震设防烈度为8度及以上地区时，或抗震设防烈度为7度但桩身范围内存在中等、严重液化土层时，不宜采用预应力混凝土管桩（</w:t>
      </w:r>
      <w:r>
        <w:rPr>
          <w:rFonts w:cs="Times New Roman"/>
          <w:bCs/>
          <w:color w:val="000000" w:themeColor="text1"/>
          <w:szCs w:val="21"/>
          <w14:textFill>
            <w14:solidFill>
              <w14:schemeClr w14:val="tx1"/>
            </w14:solidFill>
          </w14:textFill>
        </w:rPr>
        <w:t>PC</w:t>
      </w:r>
      <w:r>
        <w:rPr>
          <w:rFonts w:hint="eastAsia" w:asciiTheme="minorEastAsia" w:hAnsiTheme="minorEastAsia"/>
          <w:bCs/>
          <w:color w:val="000000" w:themeColor="text1"/>
          <w:szCs w:val="21"/>
          <w14:textFill>
            <w14:solidFill>
              <w14:schemeClr w14:val="tx1"/>
            </w14:solidFill>
          </w14:textFill>
        </w:rPr>
        <w:t>）和预应力混凝土空心方桩（</w:t>
      </w:r>
      <w:r>
        <w:rPr>
          <w:rFonts w:cs="Times New Roman"/>
          <w:bCs/>
          <w:color w:val="000000" w:themeColor="text1"/>
          <w:szCs w:val="21"/>
          <w14:textFill>
            <w14:solidFill>
              <w14:schemeClr w14:val="tx1"/>
            </w14:solidFill>
          </w14:textFill>
        </w:rPr>
        <w:t>PS</w:t>
      </w:r>
      <w:r>
        <w:rPr>
          <w:rFonts w:hint="eastAsia" w:asciiTheme="minorEastAsia" w:hAnsiTheme="minorEastAsia"/>
          <w:bCs/>
          <w:color w:val="000000" w:themeColor="text1"/>
          <w:szCs w:val="21"/>
          <w14:textFill>
            <w14:solidFill>
              <w14:schemeClr w14:val="tx1"/>
            </w14:solidFill>
          </w14:textFill>
        </w:rPr>
        <w:t>），采用预应力高强混凝土管桩（</w:t>
      </w:r>
      <w:r>
        <w:rPr>
          <w:rFonts w:cs="Times New Roman"/>
          <w:bCs/>
          <w:color w:val="000000" w:themeColor="text1"/>
          <w:szCs w:val="21"/>
          <w14:textFill>
            <w14:solidFill>
              <w14:schemeClr w14:val="tx1"/>
            </w14:solidFill>
          </w14:textFill>
        </w:rPr>
        <w:t>PHC</w:t>
      </w:r>
      <w:r>
        <w:rPr>
          <w:rFonts w:hint="eastAsia" w:asciiTheme="minorEastAsia" w:hAnsiTheme="minorEastAsia"/>
          <w:bCs/>
          <w:color w:val="000000" w:themeColor="text1"/>
          <w:szCs w:val="21"/>
          <w14:textFill>
            <w14:solidFill>
              <w14:schemeClr w14:val="tx1"/>
            </w14:solidFill>
          </w14:textFill>
        </w:rPr>
        <w:t>）和预应力混凝土空心方桩（</w:t>
      </w:r>
      <w:r>
        <w:rPr>
          <w:rFonts w:cs="Times New Roman"/>
          <w:bCs/>
          <w:color w:val="000000" w:themeColor="text1"/>
          <w:szCs w:val="21"/>
          <w14:textFill>
            <w14:solidFill>
              <w14:schemeClr w14:val="tx1"/>
            </w14:solidFill>
          </w14:textFill>
        </w:rPr>
        <w:t>PHS</w:t>
      </w:r>
      <w:r>
        <w:rPr>
          <w:rFonts w:hint="eastAsia" w:asciiTheme="minorEastAsia" w:hAnsiTheme="minorEastAsia"/>
          <w:bCs/>
          <w:color w:val="000000" w:themeColor="text1"/>
          <w:szCs w:val="21"/>
          <w14:textFill>
            <w14:solidFill>
              <w14:schemeClr w14:val="tx1"/>
            </w14:solidFill>
          </w14:textFill>
        </w:rPr>
        <w:t>）时，不应采用</w:t>
      </w:r>
      <w:r>
        <w:rPr>
          <w:rFonts w:cs="Times New Roman"/>
          <w:bCs/>
          <w:color w:val="000000" w:themeColor="text1"/>
          <w:szCs w:val="21"/>
          <w14:textFill>
            <w14:solidFill>
              <w14:schemeClr w14:val="tx1"/>
            </w14:solidFill>
          </w14:textFill>
        </w:rPr>
        <w:t>A</w:t>
      </w:r>
      <w:r>
        <w:rPr>
          <w:rFonts w:hint="eastAsia" w:asciiTheme="minorEastAsia" w:hAnsiTheme="minorEastAsia"/>
          <w:bCs/>
          <w:color w:val="000000" w:themeColor="text1"/>
          <w:szCs w:val="21"/>
          <w14:textFill>
            <w14:solidFill>
              <w14:schemeClr w14:val="tx1"/>
            </w14:solidFill>
          </w14:textFill>
        </w:rPr>
        <w:t>型桩。</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5.5.3 </w:t>
      </w:r>
      <w:r>
        <w:rPr>
          <w:rFonts w:hint="eastAsia" w:asciiTheme="minorEastAsia" w:hAnsiTheme="minorEastAsia"/>
          <w:color w:val="000000" w:themeColor="text1"/>
          <w:szCs w:val="21"/>
          <w14:textFill>
            <w14:solidFill>
              <w14:schemeClr w14:val="tx1"/>
            </w14:solidFill>
          </w14:textFill>
        </w:rPr>
        <w:t xml:space="preserve"> 非液化土中低承台桩基的抗震验算，当单桩承载力由岩土阻力控制时，应符合下列规定：</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  单桩的竖向抗震承载力特征值，可比非抗震设计时提高25%。</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单桩水平抗震计算时，承载力按表5.5.3-1选用：</w:t>
      </w:r>
    </w:p>
    <w:p>
      <w:pPr>
        <w:spacing w:line="360" w:lineRule="auto"/>
        <w:ind w:firstLine="420"/>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表5.4.3-1</w:t>
      </w:r>
      <w:r>
        <w:rPr>
          <w:rFonts w:asciiTheme="minorEastAsia" w:hAnsiTheme="minorEastAsia"/>
          <w:bCs/>
          <w:color w:val="000000" w:themeColor="text1"/>
          <w:szCs w:val="21"/>
          <w14:textFill>
            <w14:solidFill>
              <w14:schemeClr w14:val="tx1"/>
            </w14:solidFill>
          </w14:textFill>
        </w:rPr>
        <w:t xml:space="preserve"> </w:t>
      </w:r>
      <w:r>
        <w:rPr>
          <w:rFonts w:hint="eastAsia" w:asciiTheme="minorEastAsia" w:hAnsiTheme="minorEastAsia"/>
          <w:bCs/>
          <w:color w:val="000000" w:themeColor="text1"/>
          <w:szCs w:val="21"/>
          <w14:textFill>
            <w14:solidFill>
              <w14:schemeClr w14:val="tx1"/>
            </w14:solidFill>
          </w14:textFill>
        </w:rPr>
        <w:t xml:space="preserve">  单桩水平抗震承载力</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1017"/>
        <w:gridCol w:w="178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上部结构性能系数q</w:t>
            </w:r>
          </w:p>
        </w:tc>
        <w:tc>
          <w:tcPr>
            <w:tcW w:w="101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w:t>
            </w:r>
            <w:r>
              <w:rPr>
                <w:rFonts w:hint="eastAsia" w:asciiTheme="minorEastAsia" w:hAnsiTheme="minorEastAsia"/>
                <w:bCs/>
                <w:color w:val="000000" w:themeColor="text1"/>
                <w:szCs w:val="21"/>
                <w14:textFill>
                  <w14:solidFill>
                    <w14:schemeClr w14:val="tx1"/>
                  </w14:solidFill>
                </w14:textFill>
              </w:rPr>
              <w:t>1.0</w:t>
            </w:r>
          </w:p>
        </w:tc>
        <w:tc>
          <w:tcPr>
            <w:tcW w:w="1783"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1.5</w:t>
            </w:r>
          </w:p>
        </w:tc>
        <w:tc>
          <w:tcPr>
            <w:tcW w:w="173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等线" w:hAnsi="等线" w:eastAsia="等线"/>
                <w:bCs/>
                <w:color w:val="000000" w:themeColor="text1"/>
                <w:szCs w:val="21"/>
                <w14:textFill>
                  <w14:solidFill>
                    <w14:schemeClr w14:val="tx1"/>
                  </w14:solidFill>
                </w14:textFill>
              </w:rPr>
              <w:t>≥</w:t>
            </w:r>
            <w:r>
              <w:rPr>
                <w:rFonts w:hint="eastAsia" w:asciiTheme="minorEastAsia" w:hAnsiTheme="minorEastAsia"/>
                <w:bCs/>
                <w:color w:val="000000" w:themeColor="text1"/>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单桩水平抗震承载力</w:t>
            </w:r>
          </w:p>
        </w:tc>
        <w:tc>
          <w:tcPr>
            <w:tcW w:w="101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Cambria Math" w:hAnsi="Cambria Math"/>
                <w:bCs/>
                <w:color w:val="000000" w:themeColor="text1"/>
                <w:szCs w:val="21"/>
                <w14:textFill>
                  <w14:solidFill>
                    <w14:schemeClr w14:val="tx1"/>
                  </w14:solidFill>
                </w14:textFill>
              </w:rPr>
              <w:t>1.25</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R</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ha</m:t>
                  </m:r>
                  <m:ctrlPr>
                    <w:rPr>
                      <w:rFonts w:ascii="Cambria Math" w:hAnsi="Cambria Math"/>
                      <w:bCs/>
                      <w:i/>
                      <w:color w:val="000000" w:themeColor="text1"/>
                      <w:szCs w:val="21"/>
                      <w14:textFill>
                        <w14:solidFill>
                          <w14:schemeClr w14:val="tx1"/>
                        </w14:solidFill>
                      </w14:textFill>
                    </w:rPr>
                  </m:ctrlPr>
                </m:sub>
              </m:sSub>
            </m:oMath>
          </w:p>
        </w:tc>
        <w:tc>
          <w:tcPr>
            <w:tcW w:w="1783"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Cambria Math" w:hAnsi="Cambria Math"/>
                <w:bCs/>
                <w:color w:val="000000" w:themeColor="text1"/>
                <w:szCs w:val="21"/>
                <w14:textFill>
                  <w14:solidFill>
                    <w14:schemeClr w14:val="tx1"/>
                  </w14:solidFill>
                </w14:textFill>
              </w:rPr>
              <w:t>1.25</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R</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ha</m:t>
                  </m:r>
                  <m:ctrlPr>
                    <w:rPr>
                      <w:rFonts w:ascii="Cambria Math" w:hAnsi="Cambria Math"/>
                      <w:bCs/>
                      <w:i/>
                      <w:color w:val="000000" w:themeColor="text1"/>
                      <w:szCs w:val="21"/>
                      <w14:textFill>
                        <w14:solidFill>
                          <w14:schemeClr w14:val="tx1"/>
                        </w14:solidFill>
                      </w14:textFill>
                    </w:rPr>
                  </m:ctrlPr>
                </m:sub>
              </m:sSub>
            </m:oMath>
          </w:p>
        </w:tc>
        <w:tc>
          <w:tcPr>
            <w:tcW w:w="173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0.625</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H</m:t>
                  </m:r>
                  <m:ctrlPr>
                    <w:rPr>
                      <w:rFonts w:ascii="Cambria Math" w:hAnsi="Cambria Math"/>
                      <w:bCs/>
                      <w:i/>
                      <w:color w:val="000000" w:themeColor="text1"/>
                      <w:szCs w:val="21"/>
                      <w14:textFill>
                        <w14:solidFill>
                          <w14:schemeClr w14:val="tx1"/>
                        </w14:solidFill>
                      </w14:textFill>
                    </w:rPr>
                  </m:ctrlPr>
                </m:e>
                <m:sub>
                  <m:r>
                    <w:rPr>
                      <w:rFonts w:hint="eastAsia" w:ascii="Cambria Math" w:hAnsi="Cambria Math"/>
                      <w:color w:val="000000" w:themeColor="text1"/>
                      <w:szCs w:val="21"/>
                      <w14:textFill>
                        <w14:solidFill>
                          <w14:schemeClr w14:val="tx1"/>
                        </w14:solidFill>
                      </w14:textFill>
                    </w:rPr>
                    <m:t>u</m:t>
                  </m:r>
                  <m:ctrlPr>
                    <w:rPr>
                      <w:rFonts w:ascii="Cambria Math" w:hAnsi="Cambria Math"/>
                      <w:bCs/>
                      <w:i/>
                      <w:color w:val="000000" w:themeColor="text1"/>
                      <w:szCs w:val="21"/>
                      <w14:textFill>
                        <w14:solidFill>
                          <w14:schemeClr w14:val="tx1"/>
                        </w14:solidFill>
                      </w14:textFill>
                    </w:rPr>
                  </m:ctrlPr>
                </m:sub>
              </m:sSub>
            </m:oMath>
          </w:p>
        </w:tc>
      </w:tr>
    </w:tbl>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注：1</w:t>
      </w:r>
      <w:r>
        <w:rPr>
          <w:rFonts w:asciiTheme="minorEastAsia" w:hAnsiTheme="minorEastAsia"/>
          <w:bCs/>
          <w:color w:val="000000" w:themeColor="text1"/>
          <w:szCs w:val="21"/>
          <w14:textFill>
            <w14:solidFill>
              <w14:schemeClr w14:val="tx1"/>
            </w14:solidFill>
          </w14:textFill>
        </w:rPr>
        <w:t xml:space="preserve"> </w:t>
      </w:r>
      <m:oMath>
        <m:sSub>
          <w:bookmarkStart w:id="105" w:name="_Hlk47073270"/>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R</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ha</m:t>
            </m:r>
            <w:bookmarkEnd w:id="105"/>
            <m:ctrlPr>
              <w:rPr>
                <w:rFonts w:ascii="Cambria Math" w:hAnsi="Cambria Math"/>
                <w:bCs/>
                <w:i/>
                <w:color w:val="000000" w:themeColor="text1"/>
                <w:szCs w:val="21"/>
                <w14:textFill>
                  <w14:solidFill>
                    <w14:schemeClr w14:val="tx1"/>
                  </w14:solidFill>
                </w14:textFill>
              </w:rPr>
            </m:ctrlPr>
          </m:sub>
        </m:sSub>
      </m:oMath>
      <w:r>
        <w:rPr>
          <w:rFonts w:hint="eastAsia" w:asciiTheme="minorEastAsia" w:hAnsiTheme="minorEastAsia"/>
          <w:bCs/>
          <w:color w:val="000000" w:themeColor="text1"/>
          <w:szCs w:val="21"/>
          <w14:textFill>
            <w14:solidFill>
              <w14:schemeClr w14:val="tx1"/>
            </w14:solidFill>
          </w14:textFill>
        </w:rPr>
        <w:t>为非抗震设计时单桩水平承载力特征值，kN；</w:t>
      </w:r>
    </w:p>
    <w:p>
      <w:pPr>
        <w:spacing w:line="360" w:lineRule="auto"/>
        <w:ind w:firstLine="840" w:firstLineChars="40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2</w:t>
      </w:r>
      <w:bookmarkStart w:id="106" w:name="_Hlk47073360"/>
      <w:r>
        <w:rPr>
          <w:rFonts w:asciiTheme="minorEastAsia" w:hAnsiTheme="minorEastAsia"/>
          <w:bCs/>
          <w:color w:val="000000" w:themeColor="text1"/>
          <w:szCs w:val="21"/>
          <w14:textFill>
            <w14:solidFill>
              <w14:schemeClr w14:val="tx1"/>
            </w14:solidFill>
          </w14:textFill>
        </w:rPr>
        <w:t xml:space="preserve"> </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H</m:t>
            </m:r>
            <m:ctrlPr>
              <w:rPr>
                <w:rFonts w:ascii="Cambria Math" w:hAnsi="Cambria Math"/>
                <w:bCs/>
                <w:i/>
                <w:color w:val="000000" w:themeColor="text1"/>
                <w:szCs w:val="21"/>
                <w14:textFill>
                  <w14:solidFill>
                    <w14:schemeClr w14:val="tx1"/>
                  </w14:solidFill>
                </w14:textFill>
              </w:rPr>
            </m:ctrlPr>
          </m:e>
          <m:sub>
            <m:r>
              <w:rPr>
                <w:rFonts w:hint="eastAsia" w:ascii="Cambria Math" w:hAnsi="Cambria Math"/>
                <w:color w:val="000000" w:themeColor="text1"/>
                <w:szCs w:val="21"/>
                <w14:textFill>
                  <w14:solidFill>
                    <w14:schemeClr w14:val="tx1"/>
                  </w14:solidFill>
                </w14:textFill>
              </w:rPr>
              <m:t>u</m:t>
            </m:r>
            <m:ctrlPr>
              <w:rPr>
                <w:rFonts w:ascii="Cambria Math" w:hAnsi="Cambria Math"/>
                <w:bCs/>
                <w:i/>
                <w:color w:val="000000" w:themeColor="text1"/>
                <w:szCs w:val="21"/>
                <w14:textFill>
                  <w14:solidFill>
                    <w14:schemeClr w14:val="tx1"/>
                  </w14:solidFill>
                </w14:textFill>
              </w:rPr>
            </m:ctrlPr>
          </m:sub>
        </m:sSub>
      </m:oMath>
      <w:bookmarkEnd w:id="106"/>
      <w:r>
        <w:rPr>
          <w:rFonts w:hint="eastAsia" w:asciiTheme="minorEastAsia" w:hAnsiTheme="minorEastAsia"/>
          <w:bCs/>
          <w:color w:val="000000" w:themeColor="text1"/>
          <w:szCs w:val="21"/>
          <w14:textFill>
            <w14:solidFill>
              <w14:schemeClr w14:val="tx1"/>
            </w14:solidFill>
          </w14:textFill>
        </w:rPr>
        <w:t>为非抗震设计时单桩水平极限承载力，kN；</w:t>
      </w:r>
    </w:p>
    <w:p>
      <w:pPr>
        <w:spacing w:line="360" w:lineRule="auto"/>
        <w:ind w:firstLine="840" w:firstLineChars="40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3 表中当0.625</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H</m:t>
            </m:r>
            <m:ctrlPr>
              <w:rPr>
                <w:rFonts w:ascii="Cambria Math" w:hAnsi="Cambria Math"/>
                <w:bCs/>
                <w:i/>
                <w:color w:val="000000" w:themeColor="text1"/>
                <w:szCs w:val="21"/>
                <w14:textFill>
                  <w14:solidFill>
                    <w14:schemeClr w14:val="tx1"/>
                  </w14:solidFill>
                </w14:textFill>
              </w:rPr>
            </m:ctrlPr>
          </m:e>
          <m:sub>
            <m:r>
              <w:rPr>
                <w:rFonts w:hint="eastAsia" w:ascii="Cambria Math" w:hAnsi="Cambria Math"/>
                <w:color w:val="000000" w:themeColor="text1"/>
                <w:szCs w:val="21"/>
                <w14:textFill>
                  <w14:solidFill>
                    <w14:schemeClr w14:val="tx1"/>
                  </w14:solidFill>
                </w14:textFill>
              </w:rPr>
              <m:t>u</m:t>
            </m:r>
            <m:ctrlPr>
              <w:rPr>
                <w:rFonts w:ascii="Cambria Math" w:hAnsi="Cambria Math"/>
                <w:bCs/>
                <w:i/>
                <w:color w:val="000000" w:themeColor="text1"/>
                <w:szCs w:val="21"/>
                <w14:textFill>
                  <w14:solidFill>
                    <w14:schemeClr w14:val="tx1"/>
                  </w14:solidFill>
                </w14:textFill>
              </w:rPr>
            </m:ctrlPr>
          </m:sub>
        </m:sSub>
      </m:oMath>
      <w:r>
        <w:rPr>
          <w:rFonts w:hint="eastAsia" w:ascii="Cambria Math" w:hAnsi="Cambria Math"/>
          <w:bCs/>
          <w:color w:val="000000" w:themeColor="text1"/>
          <w:szCs w:val="21"/>
          <w14:textFill>
            <w14:solidFill>
              <w14:schemeClr w14:val="tx1"/>
            </w14:solidFill>
          </w14:textFill>
        </w:rPr>
        <w:t>小于1.25</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R</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ha</m:t>
            </m:r>
            <m:ctrlPr>
              <w:rPr>
                <w:rFonts w:ascii="Cambria Math" w:hAnsi="Cambria Math"/>
                <w:bCs/>
                <w:i/>
                <w:color w:val="000000" w:themeColor="text1"/>
                <w:szCs w:val="21"/>
                <w14:textFill>
                  <w14:solidFill>
                    <w14:schemeClr w14:val="tx1"/>
                  </w14:solidFill>
                </w14:textFill>
              </w:rPr>
            </m:ctrlPr>
          </m:sub>
        </m:sSub>
      </m:oMath>
      <w:r>
        <w:rPr>
          <w:rFonts w:hint="eastAsia" w:ascii="Cambria Math" w:hAnsi="Cambria Math"/>
          <w:bCs/>
          <w:color w:val="000000" w:themeColor="text1"/>
          <w:szCs w:val="21"/>
          <w14:textFill>
            <w14:solidFill>
              <w14:schemeClr w14:val="tx1"/>
            </w14:solidFill>
          </w14:textFill>
        </w:rPr>
        <w:t>时，</w:t>
      </w:r>
      <w:r>
        <w:rPr>
          <w:rFonts w:hint="eastAsia" w:asciiTheme="minorEastAsia" w:hAnsiTheme="minorEastAsia"/>
          <w:bCs/>
          <w:color w:val="000000" w:themeColor="text1"/>
          <w:szCs w:val="21"/>
          <w14:textFill>
            <w14:solidFill>
              <w14:schemeClr w14:val="tx1"/>
            </w14:solidFill>
          </w14:textFill>
        </w:rPr>
        <w:t>单桩水平抗震承载力取</w:t>
      </w:r>
      <w:r>
        <w:rPr>
          <w:rFonts w:hint="eastAsia" w:ascii="Cambria Math" w:hAnsi="Cambria Math"/>
          <w:bCs/>
          <w:color w:val="000000" w:themeColor="text1"/>
          <w:szCs w:val="21"/>
          <w14:textFill>
            <w14:solidFill>
              <w14:schemeClr w14:val="tx1"/>
            </w14:solidFill>
          </w14:textFill>
        </w:rPr>
        <w:t>1.25</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R</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ha</m:t>
            </m:r>
            <m:ctrlPr>
              <w:rPr>
                <w:rFonts w:ascii="Cambria Math" w:hAnsi="Cambria Math"/>
                <w:bCs/>
                <w:i/>
                <w:color w:val="000000" w:themeColor="text1"/>
                <w:szCs w:val="21"/>
                <w14:textFill>
                  <w14:solidFill>
                    <w14:schemeClr w14:val="tx1"/>
                  </w14:solidFill>
                </w14:textFill>
              </w:rPr>
            </m:ctrlPr>
          </m:sub>
        </m:sSub>
      </m:oMath>
      <w:r>
        <w:rPr>
          <w:rFonts w:hint="eastAsia" w:ascii="Cambria Math" w:hAnsi="Cambria Math"/>
          <w:bCs/>
          <w:color w:val="000000" w:themeColor="text1"/>
          <w:szCs w:val="21"/>
          <w14:textFill>
            <w14:solidFill>
              <w14:schemeClr w14:val="tx1"/>
            </w14:solidFill>
          </w14:textFill>
        </w:rPr>
        <w:t>。</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  当承台周围回填土的材料、密实度及范围满足设计要求时，可由承台正面填土与基桩共同承担水平地震作用，承台正面回填土的水平抗力可取被动土压力值的1/3。不考虑承台底面与地基土之间的摩擦力。</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5.5.4  存在液化土层的低承台桩基抗震验算同《建筑抗震设计规范》</w:t>
      </w:r>
      <w:r>
        <w:rPr>
          <w:rFonts w:cs="Times New Roman"/>
          <w:bCs/>
          <w:color w:val="000000" w:themeColor="text1"/>
          <w:szCs w:val="21"/>
          <w14:textFill>
            <w14:solidFill>
              <w14:schemeClr w14:val="tx1"/>
            </w14:solidFill>
          </w14:textFill>
        </w:rPr>
        <w:t>GB</w:t>
      </w:r>
      <w:r>
        <w:rPr>
          <w:rFonts w:hint="eastAsia" w:asciiTheme="minorEastAsia" w:hAnsiTheme="minorEastAsia"/>
          <w:bCs/>
          <w:color w:val="000000" w:themeColor="text1"/>
          <w:szCs w:val="21"/>
          <w14:textFill>
            <w14:solidFill>
              <w14:schemeClr w14:val="tx1"/>
            </w14:solidFill>
          </w14:textFill>
        </w:rPr>
        <w:t xml:space="preserve"> 50011。</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5.5.5   基桩的桩身抗震承载力验算应符合下列规定：</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  基桩桩顶采用地震作用基本组合的轴向力和剪力设计值。</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2  当承台所承受的水平地震作用由正面土体承担时，仅验算基桩轴心受压或轴心受拉承载力，抗震承载力调整系数</w:t>
      </w:r>
      <w:r>
        <w:rPr>
          <w:rFonts w:cs="Times New Roman"/>
          <w:bCs/>
          <w:i/>
          <w:color w:val="000000" w:themeColor="text1"/>
          <w:szCs w:val="21"/>
          <w14:textFill>
            <w14:solidFill>
              <w14:schemeClr w14:val="tx1"/>
            </w14:solidFill>
          </w14:textFill>
        </w:rPr>
        <w:t>γ</w:t>
      </w:r>
      <w:r>
        <w:rPr>
          <w:rFonts w:cs="Times New Roman"/>
          <w:bCs/>
          <w:color w:val="000000" w:themeColor="text1"/>
          <w:szCs w:val="21"/>
          <w:vertAlign w:val="subscript"/>
          <w14:textFill>
            <w14:solidFill>
              <w14:schemeClr w14:val="tx1"/>
            </w14:solidFill>
          </w14:textFill>
        </w:rPr>
        <w:t>RE</w:t>
      </w:r>
      <w:r>
        <w:rPr>
          <w:rFonts w:hint="eastAsia" w:asciiTheme="minorEastAsia" w:hAnsiTheme="minorEastAsia"/>
          <w:bCs/>
          <w:color w:val="000000" w:themeColor="text1"/>
          <w:szCs w:val="21"/>
          <w14:textFill>
            <w14:solidFill>
              <w14:schemeClr w14:val="tx1"/>
            </w14:solidFill>
          </w14:textFill>
        </w:rPr>
        <w:t>分别取0.8和0.85。</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3  当承台所承受的水平地震作用全部或部分由基桩承担时，应验算基桩的偏心受压或偏心受拉承载力，抗震承载力调整系数</w:t>
      </w:r>
      <w:r>
        <w:rPr>
          <w:rFonts w:cs="Times New Roman"/>
          <w:bCs/>
          <w:i/>
          <w:color w:val="000000" w:themeColor="text1"/>
          <w:szCs w:val="21"/>
          <w14:textFill>
            <w14:solidFill>
              <w14:schemeClr w14:val="tx1"/>
            </w14:solidFill>
          </w14:textFill>
        </w:rPr>
        <w:t>γ</w:t>
      </w:r>
      <w:r>
        <w:rPr>
          <w:rFonts w:cs="Times New Roman"/>
          <w:bCs/>
          <w:color w:val="000000" w:themeColor="text1"/>
          <w:szCs w:val="21"/>
          <w:vertAlign w:val="subscript"/>
          <w14:textFill>
            <w14:solidFill>
              <w14:schemeClr w14:val="tx1"/>
            </w14:solidFill>
          </w14:textFill>
        </w:rPr>
        <w:t>RE</w:t>
      </w:r>
      <w:r>
        <w:rPr>
          <w:rFonts w:hint="eastAsia" w:asciiTheme="minorEastAsia" w:hAnsiTheme="minorEastAsia"/>
          <w:bCs/>
          <w:color w:val="000000" w:themeColor="text1"/>
          <w:szCs w:val="21"/>
          <w14:textFill>
            <w14:solidFill>
              <w14:schemeClr w14:val="tx1"/>
            </w14:solidFill>
          </w14:textFill>
        </w:rPr>
        <w:t>分别取0.8和0.85。桩身的地震作用基本组合的弯矩设计值宜采用</w:t>
      </w:r>
      <w:r>
        <w:rPr>
          <w:rFonts w:cs="Times New Roman"/>
          <w:bCs/>
          <w:color w:val="000000" w:themeColor="text1"/>
          <w:szCs w:val="21"/>
          <w14:textFill>
            <w14:solidFill>
              <w14:schemeClr w14:val="tx1"/>
            </w14:solidFill>
          </w14:textFill>
        </w:rPr>
        <w:t>m</w:t>
      </w:r>
      <w:r>
        <w:rPr>
          <w:rFonts w:hint="eastAsia" w:asciiTheme="minorEastAsia" w:hAnsiTheme="minorEastAsia"/>
          <w:bCs/>
          <w:color w:val="000000" w:themeColor="text1"/>
          <w:szCs w:val="21"/>
          <w14:textFill>
            <w14:solidFill>
              <w14:schemeClr w14:val="tx1"/>
            </w14:solidFill>
          </w14:textFill>
        </w:rPr>
        <w:t>法计算。</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4  当承台所承受的水平地震作用全部或部分由基桩承担时，应验算桩身的受剪承载力，抗震承载力调整系数</w:t>
      </w:r>
      <w:r>
        <w:rPr>
          <w:rFonts w:cs="Times New Roman"/>
          <w:bCs/>
          <w:i/>
          <w:color w:val="000000" w:themeColor="text1"/>
          <w:szCs w:val="21"/>
          <w14:textFill>
            <w14:solidFill>
              <w14:schemeClr w14:val="tx1"/>
            </w14:solidFill>
          </w14:textFill>
        </w:rPr>
        <w:t>γ</w:t>
      </w:r>
      <w:r>
        <w:rPr>
          <w:rFonts w:cs="Times New Roman"/>
          <w:bCs/>
          <w:color w:val="000000" w:themeColor="text1"/>
          <w:szCs w:val="21"/>
          <w:vertAlign w:val="subscript"/>
          <w14:textFill>
            <w14:solidFill>
              <w14:schemeClr w14:val="tx1"/>
            </w14:solidFill>
          </w14:textFill>
        </w:rPr>
        <w:t>RE</w:t>
      </w:r>
      <w:r>
        <w:rPr>
          <w:rFonts w:hint="eastAsia" w:asciiTheme="minorEastAsia" w:hAnsiTheme="minorEastAsia"/>
          <w:bCs/>
          <w:color w:val="000000" w:themeColor="text1"/>
          <w:szCs w:val="21"/>
          <w14:textFill>
            <w14:solidFill>
              <w14:schemeClr w14:val="tx1"/>
            </w14:solidFill>
          </w14:textFill>
        </w:rPr>
        <w:t>取0.85。</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5.5.6</w:t>
      </w:r>
      <w:r>
        <w:rPr>
          <w:rFonts w:hint="eastAsia" w:asciiTheme="minorEastAsia" w:hAnsiTheme="minorEastAsia"/>
          <w:color w:val="000000" w:themeColor="text1"/>
          <w:szCs w:val="21"/>
          <w14:textFill>
            <w14:solidFill>
              <w14:schemeClr w14:val="tx1"/>
            </w14:solidFill>
          </w14:textFill>
        </w:rPr>
        <w:t xml:space="preserve">   桩基承台的抗震承载力验算应符合下列规定：</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  基桩竖向反力采用地震作用基本组合的反力设计值，不计承台及其上的土重。</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  上部结构柱（墙）对承台的竖向作用力采用地震作用基本组合的设计值。</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  应验算桩基承台的受弯、受剪和受冲切承载力，抗震承载力调整系数</w:t>
      </w:r>
      <w:r>
        <w:rPr>
          <w:rFonts w:cs="Times New Roman"/>
          <w:i/>
          <w:color w:val="000000" w:themeColor="text1"/>
          <w:szCs w:val="21"/>
          <w14:textFill>
            <w14:solidFill>
              <w14:schemeClr w14:val="tx1"/>
            </w14:solidFill>
          </w14:textFill>
        </w:rPr>
        <w:t>γ</w:t>
      </w:r>
      <w:r>
        <w:rPr>
          <w:rFonts w:cs="Times New Roman"/>
          <w:color w:val="000000" w:themeColor="text1"/>
          <w:szCs w:val="21"/>
          <w:vertAlign w:val="subscript"/>
          <w14:textFill>
            <w14:solidFill>
              <w14:schemeClr w14:val="tx1"/>
            </w14:solidFill>
          </w14:textFill>
        </w:rPr>
        <w:t>RE</w:t>
      </w:r>
      <w:r>
        <w:rPr>
          <w:rFonts w:hint="eastAsia" w:asciiTheme="minorEastAsia" w:hAnsiTheme="minorEastAsia"/>
          <w:color w:val="000000" w:themeColor="text1"/>
          <w:szCs w:val="21"/>
          <w14:textFill>
            <w14:solidFill>
              <w14:schemeClr w14:val="tx1"/>
            </w14:solidFill>
          </w14:textFill>
        </w:rPr>
        <w:t>分别取0.75、0.85和0.85。</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5.5.7  基</w:t>
      </w:r>
      <w:r>
        <w:rPr>
          <w:rFonts w:hint="eastAsia" w:asciiTheme="minorEastAsia" w:hAnsiTheme="minorEastAsia"/>
          <w:color w:val="000000" w:themeColor="text1"/>
          <w:szCs w:val="21"/>
          <w14:textFill>
            <w14:solidFill>
              <w14:schemeClr w14:val="tx1"/>
            </w14:solidFill>
          </w14:textFill>
        </w:rPr>
        <w:t>桩和承台应符合下列抗震构造要求：</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  对于地震作用下的抗拔灌注桩，桩身应采用通长配筋，桩纵向钢筋在承台内的锚固长度不应小于抗震锚固长度</w:t>
      </w:r>
      <w:r>
        <w:rPr>
          <w:rFonts w:cs="Times New Roman"/>
          <w:i/>
          <w:color w:val="000000" w:themeColor="text1"/>
          <w:szCs w:val="21"/>
          <w14:textFill>
            <w14:solidFill>
              <w14:schemeClr w14:val="tx1"/>
            </w14:solidFill>
          </w14:textFill>
        </w:rPr>
        <w:t>l</w:t>
      </w:r>
      <w:r>
        <w:rPr>
          <w:rFonts w:cs="Times New Roman"/>
          <w:color w:val="000000" w:themeColor="text1"/>
          <w:szCs w:val="21"/>
          <w:vertAlign w:val="subscript"/>
          <w14:textFill>
            <w14:solidFill>
              <w14:schemeClr w14:val="tx1"/>
            </w14:solidFill>
          </w14:textFill>
        </w:rPr>
        <w:t>aE</w:t>
      </w:r>
      <w:r>
        <w:rPr>
          <w:rFonts w:hint="eastAsia" w:asciiTheme="minorEastAsia" w:hAnsiTheme="minorEastAsia"/>
          <w:color w:val="000000" w:themeColor="text1"/>
          <w:szCs w:val="21"/>
          <w14:textFill>
            <w14:solidFill>
              <w14:schemeClr w14:val="tx1"/>
            </w14:solidFill>
          </w14:textFill>
        </w:rPr>
        <w:t>，抗震等级同上部结构。</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  抗震设防烈度为7度（Ⅲ、Ⅳ类场地）、8度和9度的灌注桩，桩身应通长配筋。</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  液化土和震陷软黏土中灌注桩的配筋范围，应为自桩顶至液化深度以下符合全部消除液化沉陷所要求的深度，其纵向钢筋应与桩顶部相同，箍筋应加大直径并加密。</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4  灌注桩螺旋式箍筋的直径不应小于6</w:t>
      </w:r>
      <w:r>
        <w:rPr>
          <w:rFonts w:cs="Times New Roman"/>
          <w:color w:val="000000" w:themeColor="text1"/>
          <w:szCs w:val="21"/>
          <w14:textFill>
            <w14:solidFill>
              <w14:schemeClr w14:val="tx1"/>
            </w14:solidFill>
          </w14:textFill>
        </w:rPr>
        <w:t>mm</w:t>
      </w:r>
      <w:r>
        <w:rPr>
          <w:rFonts w:hint="eastAsia" w:asciiTheme="minorEastAsia" w:hAnsiTheme="minorEastAsia"/>
          <w:color w:val="000000" w:themeColor="text1"/>
          <w:szCs w:val="21"/>
          <w14:textFill>
            <w14:solidFill>
              <w14:schemeClr w14:val="tx1"/>
            </w14:solidFill>
          </w14:textFill>
        </w:rPr>
        <w:t>（7度及以下）和8</w:t>
      </w:r>
      <w:r>
        <w:rPr>
          <w:rFonts w:cs="Times New Roman"/>
          <w:color w:val="000000" w:themeColor="text1"/>
          <w:szCs w:val="21"/>
          <w14:textFill>
            <w14:solidFill>
              <w14:schemeClr w14:val="tx1"/>
            </w14:solidFill>
          </w14:textFill>
        </w:rPr>
        <w:t>mm</w:t>
      </w:r>
      <w:r>
        <w:rPr>
          <w:rFonts w:hint="eastAsia" w:asciiTheme="minorEastAsia" w:hAnsiTheme="minorEastAsia"/>
          <w:color w:val="000000" w:themeColor="text1"/>
          <w:szCs w:val="21"/>
          <w14:textFill>
            <w14:solidFill>
              <w14:schemeClr w14:val="tx1"/>
            </w14:solidFill>
          </w14:textFill>
        </w:rPr>
        <w:t>（8度及以上）。灌注桩桩顶以下5</w:t>
      </w:r>
      <w:r>
        <w:rPr>
          <w:rFonts w:cs="Times New Roman"/>
          <w:i/>
          <w:color w:val="000000" w:themeColor="text1"/>
          <w:szCs w:val="21"/>
          <w14:textFill>
            <w14:solidFill>
              <w14:schemeClr w14:val="tx1"/>
            </w14:solidFill>
          </w14:textFill>
        </w:rPr>
        <w:t>d</w:t>
      </w:r>
      <w:r>
        <w:rPr>
          <w:rFonts w:hint="eastAsia" w:asciiTheme="minorEastAsia" w:hAnsiTheme="minorEastAsia"/>
          <w:color w:val="000000" w:themeColor="text1"/>
          <w:szCs w:val="21"/>
          <w14:textFill>
            <w14:solidFill>
              <w14:schemeClr w14:val="tx1"/>
            </w14:solidFill>
          </w14:textFill>
        </w:rPr>
        <w:t>（</w:t>
      </w:r>
      <w:r>
        <w:rPr>
          <w:rFonts w:cs="Times New Roman"/>
          <w:i/>
          <w:color w:val="000000" w:themeColor="text1"/>
          <w:szCs w:val="21"/>
          <w14:textFill>
            <w14:solidFill>
              <w14:schemeClr w14:val="tx1"/>
            </w14:solidFill>
          </w14:textFill>
        </w:rPr>
        <w:t>d</w:t>
      </w:r>
      <w:r>
        <w:rPr>
          <w:rFonts w:hint="eastAsia" w:asciiTheme="minorEastAsia" w:hAnsiTheme="minorEastAsia"/>
          <w:color w:val="000000" w:themeColor="text1"/>
          <w:szCs w:val="21"/>
          <w14:textFill>
            <w14:solidFill>
              <w14:schemeClr w14:val="tx1"/>
            </w14:solidFill>
          </w14:textFill>
        </w:rPr>
        <w:t>为桩径）范围内，箍筋间距不应大于100</w:t>
      </w:r>
      <w:r>
        <w:rPr>
          <w:rFonts w:cs="Times New Roman"/>
          <w:color w:val="000000" w:themeColor="text1"/>
          <w:szCs w:val="21"/>
          <w14:textFill>
            <w14:solidFill>
              <w14:schemeClr w14:val="tx1"/>
            </w14:solidFill>
          </w14:textFill>
        </w:rPr>
        <w:t>mm</w:t>
      </w:r>
      <w:r>
        <w:rPr>
          <w:rFonts w:hint="eastAsia" w:asciiTheme="minorEastAsia" w:hAnsiTheme="minorEastAsia"/>
          <w:color w:val="000000" w:themeColor="text1"/>
          <w:szCs w:val="21"/>
          <w14:textFill>
            <w14:solidFill>
              <w14:schemeClr w14:val="tx1"/>
            </w14:solidFill>
          </w14:textFill>
        </w:rPr>
        <w:t>。</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5  对于地震作用下的抗拔预应力混凝土管桩，端板应设置锚筋，填芯混凝土应采用不低于</w:t>
      </w:r>
      <w:r>
        <w:rPr>
          <w:rFonts w:cs="Times New Roman"/>
          <w:color w:val="000000" w:themeColor="text1"/>
          <w:szCs w:val="21"/>
          <w14:textFill>
            <w14:solidFill>
              <w14:schemeClr w14:val="tx1"/>
            </w14:solidFill>
          </w14:textFill>
        </w:rPr>
        <w:t>C</w:t>
      </w:r>
      <w:r>
        <w:rPr>
          <w:rFonts w:hint="eastAsia" w:asciiTheme="minorEastAsia" w:hAnsiTheme="minorEastAsia"/>
          <w:color w:val="000000" w:themeColor="text1"/>
          <w:szCs w:val="21"/>
          <w14:textFill>
            <w14:solidFill>
              <w14:schemeClr w14:val="tx1"/>
            </w14:solidFill>
          </w14:textFill>
        </w:rPr>
        <w:t>40的补偿收缩混凝土，填芯中设置的插筋在承台内的锚固长度不应小于抗震锚固长度</w:t>
      </w:r>
      <w:r>
        <w:rPr>
          <w:rFonts w:cs="Times New Roman"/>
          <w:i/>
          <w:color w:val="000000" w:themeColor="text1"/>
          <w:szCs w:val="21"/>
          <w14:textFill>
            <w14:solidFill>
              <w14:schemeClr w14:val="tx1"/>
            </w14:solidFill>
          </w14:textFill>
        </w:rPr>
        <w:t>l</w:t>
      </w:r>
      <w:r>
        <w:rPr>
          <w:rFonts w:cs="Times New Roman"/>
          <w:color w:val="000000" w:themeColor="text1"/>
          <w:szCs w:val="21"/>
          <w:vertAlign w:val="subscript"/>
          <w14:textFill>
            <w14:solidFill>
              <w14:schemeClr w14:val="tx1"/>
            </w14:solidFill>
          </w14:textFill>
        </w:rPr>
        <w:t>aE</w:t>
      </w:r>
      <w:r>
        <w:rPr>
          <w:rFonts w:hint="eastAsia" w:asciiTheme="minorEastAsia" w:hAnsiTheme="minorEastAsia"/>
          <w:color w:val="000000" w:themeColor="text1"/>
          <w:szCs w:val="21"/>
          <w14:textFill>
            <w14:solidFill>
              <w14:schemeClr w14:val="tx1"/>
            </w14:solidFill>
          </w14:textFill>
        </w:rPr>
        <w:t>。</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6  预应力混凝土管桩顶部应进行现浇混凝土填芯，填芯高度不应小于</w:t>
      </w:r>
      <w:r>
        <w:rPr>
          <w:rFonts w:asciiTheme="minorEastAsia" w:hAnsiTheme="minorEastAsia"/>
          <w:color w:val="000000" w:themeColor="text1"/>
          <w:szCs w:val="21"/>
          <w14:textFill>
            <w14:solidFill>
              <w14:schemeClr w14:val="tx1"/>
            </w14:solidFill>
          </w14:textFill>
        </w:rPr>
        <w:t>6</w:t>
      </w:r>
      <w:r>
        <w:rPr>
          <w:rFonts w:hint="eastAsia" w:asciiTheme="minorEastAsia" w:hAnsiTheme="minorEastAsia"/>
          <w:color w:val="000000" w:themeColor="text1"/>
          <w:szCs w:val="21"/>
          <w14:textFill>
            <w14:solidFill>
              <w14:schemeClr w14:val="tx1"/>
            </w14:solidFill>
          </w14:textFill>
        </w:rPr>
        <w:t>倍管桩外径和</w:t>
      </w:r>
      <w:r>
        <w:rPr>
          <w:rFonts w:asciiTheme="minorEastAsia" w:hAnsiTheme="minorEastAsia"/>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m</w:t>
      </w:r>
      <w:r>
        <w:rPr>
          <w:rFonts w:hint="eastAsia" w:asciiTheme="minorEastAsia" w:hAnsiTheme="minorEastAsia"/>
          <w:color w:val="000000" w:themeColor="text1"/>
          <w:szCs w:val="21"/>
          <w14:textFill>
            <w14:solidFill>
              <w14:schemeClr w14:val="tx1"/>
            </w14:solidFill>
          </w14:textFill>
        </w:rPr>
        <w:t>。</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7  当在地震作用下基桩出现拔力时，应在承台顶面配置受弯钢筋。</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8  承台周围回填土应采用性能较好的材料并分层夯实，压实系数不应小于0.94。</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9  一柱一桩时应在承台两个主轴方向上设置拉梁；两桩承台应在其短向设置拉梁；柱下独立承台宜沿两个主轴方向设置拉梁；单层厂房纵向应在柱间支撑处设置拉梁；当承台上的短柱高度较大时，应在承台拉梁之上的短柱顶面增设拉梁。</w:t>
      </w:r>
    </w:p>
    <w:p>
      <w:pPr>
        <w:spacing w:line="360" w:lineRule="auto"/>
        <w:ind w:firstLine="420"/>
        <w:rPr>
          <w:rFonts w:asciiTheme="minorEastAsia" w:hAnsiTheme="minorEastAsia"/>
          <w:color w:val="000000" w:themeColor="text1"/>
          <w:szCs w:val="21"/>
          <w14:textFill>
            <w14:solidFill>
              <w14:schemeClr w14:val="tx1"/>
            </w14:solidFill>
          </w14:textFill>
        </w:rPr>
      </w:pPr>
    </w:p>
    <w:p>
      <w:pPr>
        <w:pStyle w:val="3"/>
      </w:pPr>
      <w:bookmarkStart w:id="107" w:name="_Toc48841033"/>
      <w:r>
        <w:rPr>
          <w:rFonts w:hint="eastAsia"/>
        </w:rPr>
        <w:t>基础短柱、杯口和锚栓抗震措施</w:t>
      </w:r>
      <w:bookmarkEnd w:id="107"/>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5.6.1  基础和承台上的短柱满足《建筑地基基础设计规范》</w:t>
      </w:r>
      <w:r>
        <w:rPr>
          <w:rFonts w:cs="Times New Roman"/>
          <w:bCs/>
          <w:color w:val="000000" w:themeColor="text1"/>
          <w:szCs w:val="21"/>
          <w14:textFill>
            <w14:solidFill>
              <w14:schemeClr w14:val="tx1"/>
            </w14:solidFill>
          </w14:textFill>
        </w:rPr>
        <w:t>GB</w:t>
      </w:r>
      <w:r>
        <w:rPr>
          <w:rFonts w:asciiTheme="minorEastAsia" w:hAnsiTheme="minorEastAsia"/>
          <w:bCs/>
          <w:color w:val="000000" w:themeColor="text1"/>
          <w:szCs w:val="21"/>
          <w14:textFill>
            <w14:solidFill>
              <w14:schemeClr w14:val="tx1"/>
            </w14:solidFill>
          </w14:textFill>
        </w:rPr>
        <w:t xml:space="preserve"> 50007的要求时</w:t>
      </w:r>
      <w:r>
        <w:rPr>
          <w:rFonts w:hint="eastAsia" w:asciiTheme="minorEastAsia" w:hAnsiTheme="minorEastAsia"/>
          <w:bCs/>
          <w:color w:val="000000" w:themeColor="text1"/>
          <w:szCs w:val="21"/>
          <w14:textFill>
            <w14:solidFill>
              <w14:schemeClr w14:val="tx1"/>
            </w14:solidFill>
          </w14:textFill>
        </w:rPr>
        <w:t>，短柱顶面可作为上部结构柱的嵌固端。否则基础短柱应参与结构计算，嵌固端为基础或承台的顶面。</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5.6.2 </w:t>
      </w:r>
      <w:r>
        <w:rPr>
          <w:rFonts w:asciiTheme="minorEastAsia" w:hAnsiTheme="minorEastAsia"/>
          <w:bCs/>
          <w:color w:val="000000" w:themeColor="text1"/>
          <w:szCs w:val="21"/>
          <w14:textFill>
            <w14:solidFill>
              <w14:schemeClr w14:val="tx1"/>
            </w14:solidFill>
          </w14:textFill>
        </w:rPr>
        <w:t xml:space="preserve"> 参与结构计算的</w:t>
      </w:r>
      <w:r>
        <w:rPr>
          <w:rFonts w:hint="eastAsia" w:asciiTheme="minorEastAsia" w:hAnsiTheme="minorEastAsia"/>
          <w:bCs/>
          <w:color w:val="000000" w:themeColor="text1"/>
          <w:szCs w:val="21"/>
          <w14:textFill>
            <w14:solidFill>
              <w14:schemeClr w14:val="tx1"/>
            </w14:solidFill>
          </w14:textFill>
        </w:rPr>
        <w:t>短柱应进行抗震受剪承载力和偏心受压承载力验算，偏心受压承载力计算时可不考虑二阶效应。受剪承载力和偏心受压承载力的抗震调整系数分别取</w:t>
      </w:r>
      <w:r>
        <w:rPr>
          <w:rFonts w:cs="Times New Roman" w:asciiTheme="minorEastAsia" w:hAnsiTheme="minorEastAsia"/>
          <w:bCs/>
          <w:color w:val="000000" w:themeColor="text1"/>
          <w:szCs w:val="21"/>
          <w14:textFill>
            <w14:solidFill>
              <w14:schemeClr w14:val="tx1"/>
            </w14:solidFill>
          </w14:textFill>
        </w:rPr>
        <w:t>0.85</w:t>
      </w:r>
      <w:r>
        <w:rPr>
          <w:rFonts w:hint="eastAsia" w:asciiTheme="minorEastAsia" w:hAnsiTheme="minorEastAsia"/>
          <w:bCs/>
          <w:color w:val="000000" w:themeColor="text1"/>
          <w:szCs w:val="21"/>
          <w14:textFill>
            <w14:solidFill>
              <w14:schemeClr w14:val="tx1"/>
            </w14:solidFill>
          </w14:textFill>
        </w:rPr>
        <w:t>和</w:t>
      </w:r>
      <w:r>
        <w:rPr>
          <w:rFonts w:hint="eastAsia" w:cs="Times New Roman" w:asciiTheme="minorEastAsia" w:hAnsiTheme="minorEastAsia"/>
          <w:bCs/>
          <w:color w:val="000000" w:themeColor="text1"/>
          <w:szCs w:val="21"/>
          <w14:textFill>
            <w14:solidFill>
              <w14:schemeClr w14:val="tx1"/>
            </w14:solidFill>
          </w14:textFill>
        </w:rPr>
        <w:t>0.8</w:t>
      </w:r>
      <w:r>
        <w:rPr>
          <w:rFonts w:hint="eastAsia" w:asciiTheme="minorEastAsia" w:hAnsiTheme="minorEastAsia"/>
          <w:bCs/>
          <w:color w:val="000000" w:themeColor="text1"/>
          <w:szCs w:val="21"/>
          <w14:textFill>
            <w14:solidFill>
              <w14:schemeClr w14:val="tx1"/>
            </w14:solidFill>
          </w14:textFill>
        </w:rPr>
        <w:t>。</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5.6.3  短柱配</w:t>
      </w:r>
      <w:r>
        <w:rPr>
          <w:rFonts w:hint="eastAsia" w:asciiTheme="minorEastAsia" w:hAnsiTheme="minorEastAsia"/>
          <w:color w:val="000000" w:themeColor="text1"/>
          <w:szCs w:val="21"/>
          <w14:textFill>
            <w14:solidFill>
              <w14:schemeClr w14:val="tx1"/>
            </w14:solidFill>
          </w14:textFill>
        </w:rPr>
        <w:t>筋应符合下列要求：</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  短柱的全部纵向钢筋受拉承载力不应小于所有地脚锚栓的受拉承载力。</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w:t>
      </w:r>
      <w:r>
        <w:rPr>
          <w:rFonts w:asciiTheme="minorEastAsia" w:hAnsiTheme="minorEastAsia"/>
          <w:color w:val="000000" w:themeColor="text1"/>
          <w:szCs w:val="21"/>
          <w14:textFill>
            <w14:solidFill>
              <w14:schemeClr w14:val="tx1"/>
            </w14:solidFill>
          </w14:textFill>
        </w:rPr>
        <w:t xml:space="preserve">  短柱参与结构计算时</w:t>
      </w:r>
      <w:r>
        <w:rPr>
          <w:rFonts w:hint="eastAsia" w:asciiTheme="minorEastAsia" w:hAnsiTheme="minorEastAsia"/>
          <w:color w:val="000000" w:themeColor="text1"/>
          <w:szCs w:val="21"/>
          <w14:textFill>
            <w14:solidFill>
              <w14:schemeClr w14:val="tx1"/>
            </w14:solidFill>
          </w14:textFill>
        </w:rPr>
        <w:t>，</w:t>
      </w:r>
      <w:r>
        <w:rPr>
          <w:rFonts w:asciiTheme="minorEastAsia" w:hAnsiTheme="minorEastAsia"/>
          <w:color w:val="000000" w:themeColor="text1"/>
          <w:szCs w:val="21"/>
          <w14:textFill>
            <w14:solidFill>
              <w14:schemeClr w14:val="tx1"/>
            </w14:solidFill>
          </w14:textFill>
        </w:rPr>
        <w:t>垂直于地震作用方向的每一侧的纵向钢筋配筋率不应小于</w:t>
      </w:r>
      <w:r>
        <w:rPr>
          <w:rFonts w:hint="eastAsia" w:asciiTheme="minorEastAsia" w:hAnsiTheme="minorEastAsia"/>
          <w:color w:val="000000" w:themeColor="text1"/>
          <w:szCs w:val="21"/>
          <w14:textFill>
            <w14:solidFill>
              <w14:schemeClr w14:val="tx1"/>
            </w14:solidFill>
          </w14:textFill>
        </w:rPr>
        <w:t>0</w:t>
      </w:r>
      <w:r>
        <w:rPr>
          <w:rFonts w:asciiTheme="minorEastAsia" w:hAnsiTheme="minorEastAsia"/>
          <w:color w:val="000000" w:themeColor="text1"/>
          <w:szCs w:val="21"/>
          <w14:textFill>
            <w14:solidFill>
              <w14:schemeClr w14:val="tx1"/>
            </w14:solidFill>
          </w14:textFill>
        </w:rPr>
        <w:t>.2</w:t>
      </w:r>
      <w:r>
        <w:rPr>
          <w:rFonts w:cs="Times New Roman"/>
          <w:color w:val="000000" w:themeColor="text1"/>
          <w:szCs w:val="21"/>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 xml:space="preserve">2 </w:t>
      </w:r>
      <w:r>
        <w:rPr>
          <w:rFonts w:asciiTheme="minorEastAsia" w:hAnsiTheme="minorEastAsia"/>
          <w:color w:val="000000" w:themeColor="text1"/>
          <w:szCs w:val="21"/>
          <w14:textFill>
            <w14:solidFill>
              <w14:schemeClr w14:val="tx1"/>
            </w14:solidFill>
          </w14:textFill>
        </w:rPr>
        <w:t xml:space="preserve"> </w:t>
      </w:r>
      <w:r>
        <w:rPr>
          <w:rFonts w:hint="eastAsia" w:asciiTheme="minorEastAsia" w:hAnsiTheme="minorEastAsia"/>
          <w:color w:val="000000" w:themeColor="text1"/>
          <w:szCs w:val="21"/>
          <w14:textFill>
            <w14:solidFill>
              <w14:schemeClr w14:val="tx1"/>
            </w14:solidFill>
          </w14:textFill>
        </w:rPr>
        <w:t>纵向钢筋的直径不应小于1</w:t>
      </w:r>
      <w:r>
        <w:rPr>
          <w:rFonts w:asciiTheme="minorEastAsia" w:hAnsiTheme="minorEastAsia"/>
          <w:color w:val="000000" w:themeColor="text1"/>
          <w:szCs w:val="21"/>
          <w14:textFill>
            <w14:solidFill>
              <w14:schemeClr w14:val="tx1"/>
            </w14:solidFill>
          </w14:textFill>
        </w:rPr>
        <w:t>6</w:t>
      </w:r>
      <w:r>
        <w:rPr>
          <w:rFonts w:cs="Times New Roman"/>
          <w:color w:val="000000" w:themeColor="text1"/>
          <w:szCs w:val="21"/>
          <w14:textFill>
            <w14:solidFill>
              <w14:schemeClr w14:val="tx1"/>
            </w14:solidFill>
          </w14:textFill>
        </w:rPr>
        <w:t>mm</w:t>
      </w:r>
      <w:r>
        <w:rPr>
          <w:rFonts w:hint="eastAsia" w:asciiTheme="minorEastAsia" w:hAnsiTheme="minorEastAsia"/>
          <w:color w:val="000000" w:themeColor="text1"/>
          <w:szCs w:val="21"/>
          <w14:textFill>
            <w14:solidFill>
              <w14:schemeClr w14:val="tx1"/>
            </w14:solidFill>
          </w14:textFill>
        </w:rPr>
        <w:t>，间距不应大于200</w:t>
      </w:r>
      <w:r>
        <w:rPr>
          <w:rFonts w:cs="Times New Roman"/>
          <w:color w:val="000000" w:themeColor="text1"/>
          <w:szCs w:val="21"/>
          <w14:textFill>
            <w14:solidFill>
              <w14:schemeClr w14:val="tx1"/>
            </w14:solidFill>
          </w14:textFill>
        </w:rPr>
        <w:t>mm</w:t>
      </w:r>
      <w:r>
        <w:rPr>
          <w:rFonts w:hint="eastAsia" w:asciiTheme="minorEastAsia" w:hAnsiTheme="minorEastAsia"/>
          <w:color w:val="000000" w:themeColor="text1"/>
          <w:szCs w:val="21"/>
          <w14:textFill>
            <w14:solidFill>
              <w14:schemeClr w14:val="tx1"/>
            </w14:solidFill>
          </w14:textFill>
        </w:rPr>
        <w:t>，短柱箍筋（拉筋）的肢距不应大于纵向钢筋间距的2倍。</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  短柱的箍筋（拉筋）直径不应小于8</w:t>
      </w:r>
      <w:r>
        <w:rPr>
          <w:rFonts w:cs="Times New Roman"/>
          <w:color w:val="000000" w:themeColor="text1"/>
          <w:szCs w:val="21"/>
          <w14:textFill>
            <w14:solidFill>
              <w14:schemeClr w14:val="tx1"/>
            </w14:solidFill>
          </w14:textFill>
        </w:rPr>
        <w:t>mm</w:t>
      </w:r>
      <w:r>
        <w:rPr>
          <w:rFonts w:hint="eastAsia" w:asciiTheme="minorEastAsia" w:hAnsiTheme="minorEastAsia"/>
          <w:color w:val="000000" w:themeColor="text1"/>
          <w:szCs w:val="21"/>
          <w14:textFill>
            <w14:solidFill>
              <w14:schemeClr w14:val="tx1"/>
            </w14:solidFill>
          </w14:textFill>
        </w:rPr>
        <w:t>，间距不应大于300</w:t>
      </w:r>
      <w:r>
        <w:rPr>
          <w:rFonts w:cs="Times New Roman"/>
          <w:color w:val="000000" w:themeColor="text1"/>
          <w:szCs w:val="21"/>
          <w14:textFill>
            <w14:solidFill>
              <w14:schemeClr w14:val="tx1"/>
            </w14:solidFill>
          </w14:textFill>
        </w:rPr>
        <w:t>mm</w:t>
      </w:r>
      <w:r>
        <w:rPr>
          <w:rFonts w:hint="eastAsia" w:asciiTheme="minorEastAsia" w:hAnsiTheme="minorEastAsia"/>
          <w:color w:val="000000" w:themeColor="text1"/>
          <w:szCs w:val="21"/>
          <w14:textFill>
            <w14:solidFill>
              <w14:schemeClr w14:val="tx1"/>
            </w14:solidFill>
          </w14:textFill>
        </w:rPr>
        <w:t>；当抗震设防烈度为8度和9度时，箍筋（拉筋）间距不应大于150</w:t>
      </w:r>
      <w:r>
        <w:rPr>
          <w:rFonts w:cs="Times New Roman"/>
          <w:color w:val="000000" w:themeColor="text1"/>
          <w:szCs w:val="21"/>
          <w14:textFill>
            <w14:solidFill>
              <w14:schemeClr w14:val="tx1"/>
            </w14:solidFill>
          </w14:textFill>
        </w:rPr>
        <w:t>mm</w:t>
      </w:r>
      <w:r>
        <w:rPr>
          <w:rFonts w:hint="eastAsia" w:asciiTheme="minorEastAsia" w:hAnsiTheme="minorEastAsia"/>
          <w:color w:val="000000" w:themeColor="text1"/>
          <w:szCs w:val="21"/>
          <w14:textFill>
            <w14:solidFill>
              <w14:schemeClr w14:val="tx1"/>
            </w14:solidFill>
          </w14:textFill>
        </w:rPr>
        <w:t>。</w:t>
      </w: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5.6.4  杯口配筋应符合下列要求：</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1  杯口范围内的纵向钢筋同短柱纵向钢筋。</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2  杯口壁内沿剪力作用方向的横向钢筋，单杯口且柱外轮廓高度截面不大于1000</w:t>
      </w:r>
      <w:r>
        <w:rPr>
          <w:rFonts w:cs="Times New Roman"/>
          <w:bCs/>
          <w:color w:val="000000" w:themeColor="text1"/>
          <w:szCs w:val="21"/>
          <w14:textFill>
            <w14:solidFill>
              <w14:schemeClr w14:val="tx1"/>
            </w14:solidFill>
          </w14:textFill>
        </w:rPr>
        <w:t>mm</w:t>
      </w:r>
      <w:r>
        <w:rPr>
          <w:rFonts w:hint="eastAsia" w:asciiTheme="minorEastAsia" w:hAnsiTheme="minorEastAsia"/>
          <w:bCs/>
          <w:color w:val="000000" w:themeColor="text1"/>
          <w:szCs w:val="21"/>
          <w14:textFill>
            <w14:solidFill>
              <w14:schemeClr w14:val="tx1"/>
            </w14:solidFill>
          </w14:textFill>
        </w:rPr>
        <w:t>或双杯口时，可采用双肢箍形式；单杯口且柱截面高度大于1000</w:t>
      </w:r>
      <w:r>
        <w:rPr>
          <w:rFonts w:cs="Times New Roman"/>
          <w:bCs/>
          <w:color w:val="000000" w:themeColor="text1"/>
          <w:szCs w:val="21"/>
          <w14:textFill>
            <w14:solidFill>
              <w14:schemeClr w14:val="tx1"/>
            </w14:solidFill>
          </w14:textFill>
        </w:rPr>
        <w:t>mm</w:t>
      </w:r>
      <w:r>
        <w:rPr>
          <w:rFonts w:hint="eastAsia" w:asciiTheme="minorEastAsia" w:hAnsiTheme="minorEastAsia"/>
          <w:bCs/>
          <w:color w:val="000000" w:themeColor="text1"/>
          <w:szCs w:val="21"/>
          <w14:textFill>
            <w14:solidFill>
              <w14:schemeClr w14:val="tx1"/>
            </w14:solidFill>
          </w14:textFill>
        </w:rPr>
        <w:t>时，宜采用四肢箍形式。</w:t>
      </w:r>
    </w:p>
    <w:p>
      <w:pPr>
        <w:spacing w:line="360" w:lineRule="auto"/>
        <w:ind w:firstLine="420"/>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3  杯口壁内的横向钢筋直径同短柱箍筋，竖向间距不应大于150</w:t>
      </w:r>
      <w:r>
        <w:rPr>
          <w:rFonts w:cs="Times New Roman"/>
          <w:bCs/>
          <w:color w:val="000000" w:themeColor="text1"/>
          <w:szCs w:val="21"/>
          <w14:textFill>
            <w14:solidFill>
              <w14:schemeClr w14:val="tx1"/>
            </w14:solidFill>
          </w14:textFill>
        </w:rPr>
        <w:t>mm</w:t>
      </w:r>
      <w:r>
        <w:rPr>
          <w:rFonts w:hint="eastAsia" w:asciiTheme="minorEastAsia" w:hAnsiTheme="minorEastAsia"/>
          <w:bCs/>
          <w:color w:val="000000" w:themeColor="text1"/>
          <w:szCs w:val="21"/>
          <w14:textFill>
            <w14:solidFill>
              <w14:schemeClr w14:val="tx1"/>
            </w14:solidFill>
          </w14:textFill>
        </w:rPr>
        <w:t>。</w:t>
      </w:r>
    </w:p>
    <w:p>
      <w:pPr>
        <w:spacing w:line="360" w:lineRule="auto"/>
        <w:ind w:firstLine="0" w:firstLineChars="0"/>
        <w:rPr>
          <w:rFonts w:asciiTheme="minorEastAsia" w:hAnsiTheme="minorEastAsia"/>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5.6.5  基</w:t>
      </w:r>
      <w:r>
        <w:rPr>
          <w:rFonts w:hint="eastAsia" w:asciiTheme="minorEastAsia" w:hAnsiTheme="minorEastAsia"/>
          <w:color w:val="000000" w:themeColor="text1"/>
          <w:szCs w:val="21"/>
          <w14:textFill>
            <w14:solidFill>
              <w14:schemeClr w14:val="tx1"/>
            </w14:solidFill>
          </w14:textFill>
        </w:rPr>
        <w:t>础和承台的地脚锚栓应符合下列要求：</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  地脚锚栓应采用</w:t>
      </w:r>
      <w:r>
        <w:rPr>
          <w:rFonts w:cs="Times New Roman"/>
          <w:color w:val="000000" w:themeColor="text1"/>
          <w:szCs w:val="21"/>
          <w14:textFill>
            <w14:solidFill>
              <w14:schemeClr w14:val="tx1"/>
            </w14:solidFill>
          </w14:textFill>
        </w:rPr>
        <w:t>Q</w:t>
      </w:r>
      <w:r>
        <w:rPr>
          <w:rFonts w:hint="eastAsia" w:asciiTheme="minorEastAsia" w:hAnsiTheme="minorEastAsia"/>
          <w:color w:val="000000" w:themeColor="text1"/>
          <w:szCs w:val="21"/>
          <w14:textFill>
            <w14:solidFill>
              <w14:schemeClr w14:val="tx1"/>
            </w14:solidFill>
          </w14:textFill>
        </w:rPr>
        <w:t>235</w:t>
      </w:r>
      <w:r>
        <w:rPr>
          <w:rFonts w:hint="eastAsia" w:cs="Times New Roman" w:asciiTheme="minorEastAsia" w:hAnsiTheme="minorEastAsia"/>
          <w:color w:val="000000" w:themeColor="text1"/>
          <w:szCs w:val="21"/>
          <w14:textFill>
            <w14:solidFill>
              <w14:schemeClr w14:val="tx1"/>
            </w14:solidFill>
          </w14:textFill>
        </w:rPr>
        <w:t>B</w:t>
      </w:r>
      <w:r>
        <w:rPr>
          <w:rFonts w:hint="eastAsia" w:asciiTheme="minorEastAsia" w:hAnsiTheme="minorEastAsia"/>
          <w:color w:val="000000" w:themeColor="text1"/>
          <w:szCs w:val="21"/>
          <w14:textFill>
            <w14:solidFill>
              <w14:schemeClr w14:val="tx1"/>
            </w14:solidFill>
          </w14:textFill>
        </w:rPr>
        <w:t>或</w:t>
      </w:r>
      <w:r>
        <w:rPr>
          <w:rFonts w:hint="eastAsia" w:cs="Times New Roman"/>
          <w:color w:val="000000" w:themeColor="text1"/>
          <w:szCs w:val="21"/>
          <w14:textFill>
            <w14:solidFill>
              <w14:schemeClr w14:val="tx1"/>
            </w14:solidFill>
          </w14:textFill>
        </w:rPr>
        <w:t>Q</w:t>
      </w:r>
      <w:r>
        <w:rPr>
          <w:rFonts w:hint="eastAsia" w:asciiTheme="minorEastAsia" w:hAnsiTheme="minorEastAsia"/>
          <w:color w:val="000000" w:themeColor="text1"/>
          <w:szCs w:val="21"/>
          <w14:textFill>
            <w14:solidFill>
              <w14:schemeClr w14:val="tx1"/>
            </w14:solidFill>
          </w14:textFill>
        </w:rPr>
        <w:t>3</w:t>
      </w:r>
      <w:r>
        <w:rPr>
          <w:rFonts w:asciiTheme="minorEastAsia" w:hAnsiTheme="minorEastAsia"/>
          <w:color w:val="000000" w:themeColor="text1"/>
          <w:szCs w:val="21"/>
          <w14:textFill>
            <w14:solidFill>
              <w14:schemeClr w14:val="tx1"/>
            </w14:solidFill>
          </w14:textFill>
        </w:rPr>
        <w:t>5</w:t>
      </w:r>
      <w:r>
        <w:rPr>
          <w:rFonts w:hint="eastAsia" w:asciiTheme="minorEastAsia" w:hAnsiTheme="minorEastAsia"/>
          <w:color w:val="000000" w:themeColor="text1"/>
          <w:szCs w:val="21"/>
          <w14:textFill>
            <w14:solidFill>
              <w14:schemeClr w14:val="tx1"/>
            </w14:solidFill>
          </w14:textFill>
        </w:rPr>
        <w:t>5</w:t>
      </w:r>
      <w:r>
        <w:rPr>
          <w:rFonts w:hint="eastAsia" w:cs="Times New Roman" w:asciiTheme="minorEastAsia" w:hAnsiTheme="minorEastAsia"/>
          <w:color w:val="000000" w:themeColor="text1"/>
          <w:szCs w:val="21"/>
          <w14:textFill>
            <w14:solidFill>
              <w14:schemeClr w14:val="tx1"/>
            </w14:solidFill>
          </w14:textFill>
        </w:rPr>
        <w:t>B</w:t>
      </w:r>
      <w:r>
        <w:rPr>
          <w:rFonts w:hint="eastAsia" w:asciiTheme="minorEastAsia" w:hAnsiTheme="minorEastAsia"/>
          <w:color w:val="000000" w:themeColor="text1"/>
          <w:szCs w:val="21"/>
          <w14:textFill>
            <w14:solidFill>
              <w14:schemeClr w14:val="tx1"/>
            </w14:solidFill>
          </w14:textFill>
        </w:rPr>
        <w:t>钢制作，地脚锚栓直径不应小于</w:t>
      </w:r>
      <w:r>
        <w:rPr>
          <w:rFonts w:cs="Times New Roman"/>
          <w:color w:val="000000" w:themeColor="text1"/>
          <w:szCs w:val="21"/>
          <w14:textFill>
            <w14:solidFill>
              <w14:schemeClr w14:val="tx1"/>
            </w14:solidFill>
          </w14:textFill>
        </w:rPr>
        <w:t>M</w:t>
      </w:r>
      <w:r>
        <w:rPr>
          <w:rFonts w:hint="eastAsia" w:asciiTheme="minorEastAsia" w:hAnsiTheme="minorEastAsia"/>
          <w:color w:val="000000" w:themeColor="text1"/>
          <w:szCs w:val="21"/>
          <w14:textFill>
            <w14:solidFill>
              <w14:schemeClr w14:val="tx1"/>
            </w14:solidFill>
          </w14:textFill>
        </w:rPr>
        <w:t>20。</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  根据基础或承台及锚栓直径的情况，地脚锚栓可采用直埋式直钩锚栓（</w:t>
      </w:r>
      <w:r>
        <w:rPr>
          <w:rFonts w:hint="eastAsia" w:ascii="楷体" w:hAnsi="楷体" w:eastAsia="楷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M</w:t>
      </w:r>
      <w:r>
        <w:rPr>
          <w:rFonts w:hint="eastAsia" w:asciiTheme="minorEastAsia" w:hAnsiTheme="minorEastAsia"/>
          <w:color w:val="000000" w:themeColor="text1"/>
          <w:szCs w:val="21"/>
          <w14:textFill>
            <w14:solidFill>
              <w14:schemeClr w14:val="tx1"/>
            </w14:solidFill>
          </w14:textFill>
        </w:rPr>
        <w:t>39）、平板锚板锚栓（</w:t>
      </w:r>
      <w:r>
        <w:rPr>
          <w:rFonts w:hint="eastAsia" w:ascii="楷体" w:hAnsi="楷体" w:eastAsia="楷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M</w:t>
      </w:r>
      <w:r>
        <w:rPr>
          <w:rFonts w:hint="eastAsia" w:asciiTheme="minorEastAsia" w:hAnsiTheme="minorEastAsia"/>
          <w:color w:val="000000" w:themeColor="text1"/>
          <w:szCs w:val="21"/>
          <w14:textFill>
            <w14:solidFill>
              <w14:schemeClr w14:val="tx1"/>
            </w14:solidFill>
          </w14:textFill>
        </w:rPr>
        <w:t>42）和加劲锚板锚栓（</w:t>
      </w:r>
      <w:r>
        <w:rPr>
          <w:rFonts w:hint="eastAsia" w:ascii="楷体" w:hAnsi="楷体" w:eastAsia="楷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M</w:t>
      </w:r>
      <w:r>
        <w:rPr>
          <w:rFonts w:hint="eastAsia" w:asciiTheme="minorEastAsia" w:hAnsiTheme="minorEastAsia"/>
          <w:color w:val="000000" w:themeColor="text1"/>
          <w:szCs w:val="21"/>
          <w14:textFill>
            <w14:solidFill>
              <w14:schemeClr w14:val="tx1"/>
            </w14:solidFill>
          </w14:textFill>
        </w:rPr>
        <w:t>42）。</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  直钩锚栓和平板锚板锚栓在基础或承台内的投影锚固长度不应小于20</w:t>
      </w:r>
      <w:r>
        <w:rPr>
          <w:rFonts w:cs="Times New Roman"/>
          <w:i/>
          <w:color w:val="000000" w:themeColor="text1"/>
          <w:szCs w:val="21"/>
          <w14:textFill>
            <w14:solidFill>
              <w14:schemeClr w14:val="tx1"/>
            </w14:solidFill>
          </w14:textFill>
        </w:rPr>
        <w:t>d</w:t>
      </w:r>
      <w:r>
        <w:rPr>
          <w:rFonts w:hint="eastAsia" w:asciiTheme="minorEastAsia" w:hAnsiTheme="minorEastAsia"/>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Q</w:t>
      </w:r>
      <w:r>
        <w:rPr>
          <w:rFonts w:hint="eastAsia" w:asciiTheme="minorEastAsia" w:hAnsiTheme="minorEastAsia"/>
          <w:color w:val="000000" w:themeColor="text1"/>
          <w:szCs w:val="21"/>
          <w14:textFill>
            <w14:solidFill>
              <w14:schemeClr w14:val="tx1"/>
            </w14:solidFill>
          </w14:textFill>
        </w:rPr>
        <w:t>235）、25</w:t>
      </w:r>
      <w:r>
        <w:rPr>
          <w:rFonts w:cs="Times New Roman"/>
          <w:i/>
          <w:color w:val="000000" w:themeColor="text1"/>
          <w:szCs w:val="21"/>
          <w14:textFill>
            <w14:solidFill>
              <w14:schemeClr w14:val="tx1"/>
            </w14:solidFill>
          </w14:textFill>
        </w:rPr>
        <w:t>d</w:t>
      </w:r>
      <w:r>
        <w:rPr>
          <w:rFonts w:hint="eastAsia" w:asciiTheme="minorEastAsia" w:hAnsiTheme="minorEastAsia"/>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Q</w:t>
      </w:r>
      <w:r>
        <w:rPr>
          <w:rFonts w:hint="eastAsia" w:asciiTheme="minorEastAsia" w:hAnsiTheme="minorEastAsia"/>
          <w:color w:val="000000" w:themeColor="text1"/>
          <w:szCs w:val="21"/>
          <w14:textFill>
            <w14:solidFill>
              <w14:schemeClr w14:val="tx1"/>
            </w14:solidFill>
          </w14:textFill>
        </w:rPr>
        <w:t>3</w:t>
      </w:r>
      <w:r>
        <w:rPr>
          <w:rFonts w:asciiTheme="minorEastAsia" w:hAnsiTheme="minorEastAsia"/>
          <w:color w:val="000000" w:themeColor="text1"/>
          <w:szCs w:val="21"/>
          <w14:textFill>
            <w14:solidFill>
              <w14:schemeClr w14:val="tx1"/>
            </w14:solidFill>
          </w14:textFill>
        </w:rPr>
        <w:t>5</w:t>
      </w:r>
      <w:r>
        <w:rPr>
          <w:rFonts w:hint="eastAsia" w:asciiTheme="minorEastAsia" w:hAnsiTheme="minorEastAsia"/>
          <w:color w:val="000000" w:themeColor="text1"/>
          <w:szCs w:val="21"/>
          <w14:textFill>
            <w14:solidFill>
              <w14:schemeClr w14:val="tx1"/>
            </w14:solidFill>
          </w14:textFill>
        </w:rPr>
        <w:t>5）。加劲锚板锚栓的投影锚固长度不应小于12</w:t>
      </w:r>
      <w:r>
        <w:rPr>
          <w:rFonts w:cs="Times New Roman"/>
          <w:i/>
          <w:color w:val="000000" w:themeColor="text1"/>
          <w:szCs w:val="21"/>
          <w14:textFill>
            <w14:solidFill>
              <w14:schemeClr w14:val="tx1"/>
            </w14:solidFill>
          </w14:textFill>
        </w:rPr>
        <w:t>d</w:t>
      </w:r>
      <w:r>
        <w:rPr>
          <w:rFonts w:hint="eastAsia" w:asciiTheme="minorEastAsia" w:hAnsiTheme="minorEastAsia"/>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Q</w:t>
      </w:r>
      <w:r>
        <w:rPr>
          <w:rFonts w:hint="eastAsia" w:asciiTheme="minorEastAsia" w:hAnsiTheme="minorEastAsia"/>
          <w:color w:val="000000" w:themeColor="text1"/>
          <w:szCs w:val="21"/>
          <w14:textFill>
            <w14:solidFill>
              <w14:schemeClr w14:val="tx1"/>
            </w14:solidFill>
          </w14:textFill>
        </w:rPr>
        <w:t>235）、15</w:t>
      </w:r>
      <w:r>
        <w:rPr>
          <w:rFonts w:hint="eastAsia" w:cs="Times New Roman"/>
          <w:i/>
          <w:color w:val="000000" w:themeColor="text1"/>
          <w:szCs w:val="21"/>
          <w14:textFill>
            <w14:solidFill>
              <w14:schemeClr w14:val="tx1"/>
            </w14:solidFill>
          </w14:textFill>
        </w:rPr>
        <w:t>d</w:t>
      </w:r>
      <w:r>
        <w:rPr>
          <w:rFonts w:hint="eastAsia" w:asciiTheme="minorEastAsia" w:hAnsiTheme="minorEastAsia"/>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Q</w:t>
      </w:r>
      <w:r>
        <w:rPr>
          <w:rFonts w:hint="eastAsia" w:asciiTheme="minorEastAsia" w:hAnsiTheme="minorEastAsia"/>
          <w:color w:val="000000" w:themeColor="text1"/>
          <w:szCs w:val="21"/>
          <w14:textFill>
            <w14:solidFill>
              <w14:schemeClr w14:val="tx1"/>
            </w14:solidFill>
          </w14:textFill>
        </w:rPr>
        <w:t>345）。</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4  锚栓不应承受水平地震作用，应由柱脚底板与二次灌浆层之间的摩擦力或抗剪键承担。</w:t>
      </w:r>
    </w:p>
    <w:p>
      <w:pPr>
        <w:spacing w:line="360" w:lineRule="auto"/>
        <w:ind w:firstLine="42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5  锚栓应进行抗震受拉承载力验算，承载力抗震调整系数宜取1.0。</w:t>
      </w:r>
    </w:p>
    <w:p>
      <w:pPr>
        <w:spacing w:line="360" w:lineRule="auto"/>
        <w:ind w:firstLine="420"/>
        <w:rPr>
          <w:rFonts w:asciiTheme="minorEastAsia" w:hAnsiTheme="minorEastAsia"/>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widowControl/>
        <w:adjustRightInd/>
        <w:snapToGrid/>
        <w:ind w:firstLine="0" w:firstLineChars="0"/>
        <w:jc w:val="left"/>
        <w:rPr>
          <w:rFonts w:cs="Times New Roman"/>
          <w:b/>
          <w:color w:val="000000" w:themeColor="text1"/>
          <w:kern w:val="44"/>
          <w:sz w:val="30"/>
          <w:szCs w:val="20"/>
          <w:lang w:val="zh-CN"/>
          <w14:textFill>
            <w14:solidFill>
              <w14:schemeClr w14:val="tx1"/>
            </w14:solidFill>
          </w14:textFill>
        </w:rPr>
      </w:pPr>
      <w:r>
        <w:rPr>
          <w:color w:val="000000" w:themeColor="text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108" w:name="_Toc48841034"/>
      <w:r>
        <w:rPr>
          <w:rFonts w:hint="eastAsia"/>
          <w:color w:val="000000" w:themeColor="text1"/>
          <w14:textFill>
            <w14:solidFill>
              <w14:schemeClr w14:val="tx1"/>
            </w14:solidFill>
          </w14:textFill>
        </w:rPr>
        <w:t>混凝土结构基本要求</w:t>
      </w:r>
      <w:bookmarkEnd w:id="108"/>
    </w:p>
    <w:p>
      <w:pPr>
        <w:pStyle w:val="3"/>
      </w:pPr>
      <w:bookmarkStart w:id="109" w:name="_Toc48841035"/>
      <w:bookmarkStart w:id="110" w:name="_Hlk24661650"/>
      <w:r>
        <w:rPr>
          <w:rFonts w:hint="eastAsia"/>
        </w:rPr>
        <w:t>一般规定</w:t>
      </w:r>
      <w:bookmarkEnd w:id="109"/>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混凝土结构包括单层混凝土柱结构、多层混凝土结构和单-多层混凝土结构。</w:t>
      </w:r>
    </w:p>
    <w:bookmarkEnd w:id="110"/>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6.1.1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 xml:space="preserve">单层混凝土柱结构 </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沿结构横向，柱上端与屋架（屋面梁）铰接、下端与基础固接；沿结构纵向各柱与基础铰接，各柱列应按规定设置柱间支撑。</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有檩或无檩屋盖，均应按规定设有完整的屋盖支撑系统。</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单层混凝土柱结构的抗震设计要求见第7章。</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6.1.2 多层混凝土结构 </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 现浇框架结构包括框架、支撑框架和框架—支撑结构。</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2 现浇框架—剪力墙结构。 </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多层混凝土结构的抗震设计要求见第8章。</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6.1.3 单-多层混凝土结构 </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框-排架结构，排架为6.1.1，框架为6.1.2。</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单-多层混凝土结构的抗震设计要求参见第8、9章。</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6</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w:t>
      </w: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抗震</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构的材料</w:t>
      </w:r>
      <w:r>
        <w:rPr>
          <w:rFonts w:hint="eastAsia" w:cs="宋体" w:asciiTheme="minorEastAsia" w:hAnsiTheme="minorEastAsia"/>
          <w:color w:val="000000" w:themeColor="text1"/>
          <w:kern w:val="0"/>
          <w:szCs w:val="21"/>
          <w14:textFill>
            <w14:solidFill>
              <w14:schemeClr w14:val="tx1"/>
            </w14:solidFill>
          </w14:textFill>
        </w:rPr>
        <w:t>选</w:t>
      </w:r>
      <w:r>
        <w:rPr>
          <w:rFonts w:hint="eastAsia" w:cs="MS Mincho" w:asciiTheme="minorEastAsia" w:hAnsiTheme="minorEastAsia"/>
          <w:color w:val="000000" w:themeColor="text1"/>
          <w:kern w:val="0"/>
          <w:szCs w:val="21"/>
          <w14:textFill>
            <w14:solidFill>
              <w14:schemeClr w14:val="tx1"/>
            </w14:solidFill>
          </w14:textFill>
        </w:rPr>
        <w:t>用，</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混凝土的</w:t>
      </w:r>
      <w:r>
        <w:rPr>
          <w:rFonts w:hint="eastAsia" w:cs="宋体" w:asciiTheme="minorEastAsia" w:hAnsiTheme="minorEastAsia"/>
          <w:color w:val="000000" w:themeColor="text1"/>
          <w:kern w:val="0"/>
          <w:szCs w:val="21"/>
          <w14:textFill>
            <w14:solidFill>
              <w14:schemeClr w14:val="tx1"/>
            </w14:solidFill>
          </w14:textFill>
        </w:rPr>
        <w:t>强</w:t>
      </w:r>
      <w:r>
        <w:rPr>
          <w:rFonts w:hint="eastAsia" w:cs="HiddenHorzOCR" w:asciiTheme="minorEastAsia" w:hAnsiTheme="minorEastAsia"/>
          <w:color w:val="000000" w:themeColor="text1"/>
          <w:kern w:val="0"/>
          <w:szCs w:val="21"/>
          <w14:textFill>
            <w14:solidFill>
              <w14:schemeClr w14:val="tx1"/>
            </w14:solidFill>
          </w14:textFill>
        </w:rPr>
        <w:t>度等</w:t>
      </w:r>
      <w:r>
        <w:rPr>
          <w:rFonts w:hint="eastAsia" w:cs="宋体" w:asciiTheme="minorEastAsia" w:hAnsiTheme="minorEastAsia"/>
          <w:color w:val="000000" w:themeColor="text1"/>
          <w:kern w:val="0"/>
          <w:szCs w:val="21"/>
          <w14:textFill>
            <w14:solidFill>
              <w14:schemeClr w14:val="tx1"/>
            </w14:solidFill>
          </w14:textFill>
        </w:rPr>
        <w:t>级</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框架梁、柱</w:t>
      </w:r>
      <w:r>
        <w:rPr>
          <w:rFonts w:hint="eastAsia" w:cs="HiddenHorzOCR" w:asciiTheme="minorEastAsia" w:hAnsiTheme="minorEastAsia"/>
          <w:color w:val="000000" w:themeColor="text1"/>
          <w:kern w:val="0"/>
          <w:szCs w:val="21"/>
          <w14:textFill>
            <w14:solidFill>
              <w14:schemeClr w14:val="tx1"/>
            </w14:solidFill>
          </w14:textFill>
        </w:rPr>
        <w:t>和</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点不宜低于</w:t>
      </w:r>
      <w:r>
        <w:rPr>
          <w:rFonts w:cs="HiddenHorzOCR" w:asciiTheme="minorEastAsia" w:hAnsiTheme="minorEastAsia"/>
          <w:color w:val="000000" w:themeColor="text1"/>
          <w:kern w:val="0"/>
          <w:szCs w:val="21"/>
          <w14:textFill>
            <w14:solidFill>
              <w14:schemeClr w14:val="tx1"/>
            </w14:solidFill>
          </w14:textFill>
        </w:rPr>
        <w:t>C30</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基</w:t>
      </w:r>
      <w:r>
        <w:rPr>
          <w:rFonts w:hint="eastAsia" w:cs="宋体" w:asciiTheme="minorEastAsia" w:hAnsiTheme="minorEastAsia"/>
          <w:color w:val="000000" w:themeColor="text1"/>
          <w:kern w:val="0"/>
          <w:szCs w:val="21"/>
          <w14:textFill>
            <w14:solidFill>
              <w14:schemeClr w14:val="tx1"/>
            </w14:solidFill>
          </w14:textFill>
        </w:rPr>
        <w:t>础</w:t>
      </w:r>
      <w:r>
        <w:rPr>
          <w:rFonts w:hint="eastAsia" w:cs="MS Mincho" w:asciiTheme="minorEastAsia" w:hAnsiTheme="minorEastAsia"/>
          <w:color w:val="000000" w:themeColor="text1"/>
          <w:kern w:val="0"/>
          <w:szCs w:val="21"/>
          <w14:textFill>
            <w14:solidFill>
              <w14:schemeClr w14:val="tx1"/>
            </w14:solidFill>
          </w14:textFill>
        </w:rPr>
        <w:t>不宜低于</w:t>
      </w:r>
      <w:r>
        <w:rPr>
          <w:rFonts w:cs="HiddenHorzOCR" w:asciiTheme="minorEastAsia" w:hAnsiTheme="minorEastAsia"/>
          <w:color w:val="000000" w:themeColor="text1"/>
          <w:kern w:val="0"/>
          <w:szCs w:val="21"/>
          <w14:textFill>
            <w14:solidFill>
              <w14:schemeClr w14:val="tx1"/>
            </w14:solidFill>
          </w14:textFill>
        </w:rPr>
        <w:t>C15</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其他各</w:t>
      </w:r>
      <w:r>
        <w:rPr>
          <w:rFonts w:hint="eastAsia" w:cs="宋体" w:asciiTheme="minorEastAsia" w:hAnsiTheme="minorEastAsia"/>
          <w:color w:val="000000" w:themeColor="text1"/>
          <w:kern w:val="0"/>
          <w:szCs w:val="21"/>
          <w14:textFill>
            <w14:solidFill>
              <w14:schemeClr w14:val="tx1"/>
            </w14:solidFill>
          </w14:textFill>
        </w:rPr>
        <w:t>类</w:t>
      </w:r>
      <w:r>
        <w:rPr>
          <w:rFonts w:hint="eastAsia" w:cs="MS Mincho" w:asciiTheme="minorEastAsia" w:hAnsiTheme="minorEastAsia"/>
          <w:color w:val="000000" w:themeColor="text1"/>
          <w:kern w:val="0"/>
          <w:szCs w:val="21"/>
          <w14:textFill>
            <w14:solidFill>
              <w14:schemeClr w14:val="tx1"/>
            </w14:solidFill>
          </w14:textFill>
        </w:rPr>
        <w:t>构件不宜</w:t>
      </w:r>
      <w:r>
        <w:rPr>
          <w:rFonts w:hint="eastAsia" w:cs="HiddenHorzOCR" w:asciiTheme="minorEastAsia" w:hAnsiTheme="minorEastAsia"/>
          <w:color w:val="000000" w:themeColor="text1"/>
          <w:kern w:val="0"/>
          <w:szCs w:val="21"/>
          <w14:textFill>
            <w14:solidFill>
              <w14:schemeClr w14:val="tx1"/>
            </w14:solidFill>
          </w14:textFill>
        </w:rPr>
        <w:t>低于</w:t>
      </w:r>
      <w:r>
        <w:rPr>
          <w:rFonts w:cs="HiddenHorzOCR" w:asciiTheme="minorEastAsia" w:hAnsiTheme="minorEastAsia"/>
          <w:color w:val="000000" w:themeColor="text1"/>
          <w:kern w:val="0"/>
          <w:szCs w:val="21"/>
          <w14:textFill>
            <w14:solidFill>
              <w14:schemeClr w14:val="tx1"/>
            </w14:solidFill>
          </w14:textFill>
        </w:rPr>
        <w:t>C20</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对长</w:t>
      </w:r>
      <w:r>
        <w:rPr>
          <w:rFonts w:hint="eastAsia" w:cs="MS Mincho" w:asciiTheme="minorEastAsia" w:hAnsiTheme="minorEastAsia"/>
          <w:color w:val="000000" w:themeColor="text1"/>
          <w:kern w:val="0"/>
          <w:szCs w:val="21"/>
          <w14:textFill>
            <w14:solidFill>
              <w14:schemeClr w14:val="tx1"/>
            </w14:solidFill>
          </w14:textFill>
        </w:rPr>
        <w:t>期受</w:t>
      </w:r>
      <w:r>
        <w:rPr>
          <w:rFonts w:hint="eastAsia" w:cs="宋体" w:asciiTheme="minorEastAsia" w:hAnsiTheme="minorEastAsia"/>
          <w:color w:val="000000" w:themeColor="text1"/>
          <w:kern w:val="0"/>
          <w:szCs w:val="21"/>
          <w14:textFill>
            <w14:solidFill>
              <w14:schemeClr w14:val="tx1"/>
            </w14:solidFill>
          </w14:textFill>
        </w:rPr>
        <w:t>热</w:t>
      </w:r>
      <w:r>
        <w:rPr>
          <w:rFonts w:hint="eastAsia" w:cs="MS Mincho" w:asciiTheme="minorEastAsia" w:hAnsiTheme="minorEastAsia"/>
          <w:color w:val="000000" w:themeColor="text1"/>
          <w:kern w:val="0"/>
          <w:szCs w:val="21"/>
          <w14:textFill>
            <w14:solidFill>
              <w14:schemeClr w14:val="tx1"/>
            </w14:solidFill>
          </w14:textFill>
        </w:rPr>
        <w:t>和受腐</w:t>
      </w:r>
      <w:r>
        <w:rPr>
          <w:rFonts w:hint="eastAsia" w:cs="宋体" w:asciiTheme="minorEastAsia" w:hAnsiTheme="minorEastAsia"/>
          <w:color w:val="000000" w:themeColor="text1"/>
          <w:kern w:val="0"/>
          <w:szCs w:val="21"/>
          <w14:textFill>
            <w14:solidFill>
              <w14:schemeClr w14:val="tx1"/>
            </w14:solidFill>
          </w14:textFill>
        </w:rPr>
        <w:t>蚀</w:t>
      </w:r>
      <w:r>
        <w:rPr>
          <w:rFonts w:hint="eastAsia" w:cs="MS Mincho" w:asciiTheme="minorEastAsia" w:hAnsiTheme="minorEastAsia"/>
          <w:color w:val="000000" w:themeColor="text1"/>
          <w:kern w:val="0"/>
          <w:szCs w:val="21"/>
          <w14:textFill>
            <w14:solidFill>
              <w14:schemeClr w14:val="tx1"/>
            </w14:solidFill>
          </w14:textFill>
        </w:rPr>
        <w:t>的构件宜适当提高混凝土</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度等</w:t>
      </w:r>
      <w:r>
        <w:rPr>
          <w:rFonts w:hint="eastAsia" w:cs="宋体" w:asciiTheme="minorEastAsia" w:hAnsiTheme="minorEastAsia"/>
          <w:color w:val="000000" w:themeColor="text1"/>
          <w:kern w:val="0"/>
          <w:szCs w:val="21"/>
          <w14:textFill>
            <w14:solidFill>
              <w14:schemeClr w14:val="tx1"/>
            </w14:solidFill>
          </w14:textFill>
        </w:rPr>
        <w:t>级</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 xml:space="preserve">2 </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向受力普通</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筋和</w:t>
      </w:r>
      <w:r>
        <w:rPr>
          <w:rFonts w:hint="eastAsia" w:cs="HiddenHorzOCR" w:asciiTheme="minorEastAsia" w:hAnsiTheme="minorEastAsia"/>
          <w:color w:val="000000" w:themeColor="text1"/>
          <w:kern w:val="0"/>
          <w:szCs w:val="21"/>
          <w14:textFill>
            <w14:solidFill>
              <w14:schemeClr w14:val="tx1"/>
            </w14:solidFill>
          </w14:textFill>
        </w:rPr>
        <w:t>箍筋</w:t>
      </w:r>
      <w:r>
        <w:rPr>
          <w:rFonts w:hint="eastAsia" w:cs="MS Mincho" w:asciiTheme="minorEastAsia" w:hAnsiTheme="minorEastAsia"/>
          <w:color w:val="000000" w:themeColor="text1"/>
          <w:kern w:val="0"/>
          <w:szCs w:val="21"/>
          <w14:textFill>
            <w14:solidFill>
              <w14:schemeClr w14:val="tx1"/>
            </w14:solidFill>
          </w14:textFill>
        </w:rPr>
        <w:t>按《混凝土结构设计规范》GB50010的规定采用</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混凝土结构中的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筋，其</w:t>
      </w:r>
      <w:r>
        <w:rPr>
          <w:rFonts w:hint="eastAsia" w:cs="宋体" w:asciiTheme="minorEastAsia" w:hAnsiTheme="minorEastAsia"/>
          <w:color w:val="000000" w:themeColor="text1"/>
          <w:kern w:val="0"/>
          <w:szCs w:val="21"/>
          <w14:textFill>
            <w14:solidFill>
              <w14:schemeClr w14:val="tx1"/>
            </w14:solidFill>
          </w14:textFill>
        </w:rPr>
        <w:t>检验</w:t>
      </w:r>
      <w:r>
        <w:rPr>
          <w:rFonts w:hint="eastAsia" w:cs="MS Mincho" w:asciiTheme="minorEastAsia" w:hAnsiTheme="minorEastAsia"/>
          <w:color w:val="000000" w:themeColor="text1"/>
          <w:kern w:val="0"/>
          <w:szCs w:val="21"/>
          <w14:textFill>
            <w14:solidFill>
              <w14:schemeClr w14:val="tx1"/>
            </w14:solidFill>
          </w14:textFill>
        </w:rPr>
        <w:t>所得的</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实测值应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）抗拉</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实测值</w:t>
      </w:r>
      <w:r>
        <w:rPr>
          <w:rFonts w:hint="eastAsia" w:cs="MS Mincho" w:asciiTheme="minorEastAsia" w:hAnsiTheme="minorEastAsia"/>
          <w:color w:val="000000" w:themeColor="text1"/>
          <w:kern w:val="0"/>
          <w:szCs w:val="21"/>
          <w14:textFill>
            <w14:solidFill>
              <w14:schemeClr w14:val="tx1"/>
            </w14:solidFill>
          </w14:textFill>
        </w:rPr>
        <w:t>与屈服</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实测值</w:t>
      </w:r>
      <w:r>
        <w:rPr>
          <w:rFonts w:hint="eastAsia" w:cs="MS Mincho" w:asciiTheme="minorEastAsia" w:hAnsiTheme="minorEastAsia"/>
          <w:color w:val="000000" w:themeColor="text1"/>
          <w:kern w:val="0"/>
          <w:szCs w:val="21"/>
          <w14:textFill>
            <w14:solidFill>
              <w14:schemeClr w14:val="tx1"/>
            </w14:solidFill>
          </w14:textFill>
        </w:rPr>
        <w:t>的比</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小于1.25；</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2</w:t>
      </w:r>
      <w:r>
        <w:rPr>
          <w:rFonts w:hint="eastAsia" w:cs="HiddenHorzOCR" w:asciiTheme="minorEastAsia" w:hAnsiTheme="minorEastAsia"/>
          <w:color w:val="000000" w:themeColor="text1"/>
          <w:kern w:val="0"/>
          <w:szCs w:val="21"/>
          <w14:textFill>
            <w14:solidFill>
              <w14:schemeClr w14:val="tx1"/>
            </w14:solidFill>
          </w14:textFill>
        </w:rPr>
        <w:t>）屈服</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度的</w:t>
      </w:r>
      <w:r>
        <w:rPr>
          <w:rFonts w:hint="eastAsia" w:cs="宋体" w:asciiTheme="minorEastAsia" w:hAnsiTheme="minorEastAsia"/>
          <w:color w:val="000000" w:themeColor="text1"/>
          <w:kern w:val="0"/>
          <w:szCs w:val="21"/>
          <w14:textFill>
            <w14:solidFill>
              <w14:schemeClr w14:val="tx1"/>
            </w14:solidFill>
          </w14:textFill>
        </w:rPr>
        <w:t>实测值</w:t>
      </w:r>
      <w:r>
        <w:rPr>
          <w:rFonts w:hint="eastAsia" w:cs="MS Mincho" w:asciiTheme="minorEastAsia" w:hAnsiTheme="minorEastAsia"/>
          <w:color w:val="000000" w:themeColor="text1"/>
          <w:kern w:val="0"/>
          <w:szCs w:val="21"/>
          <w14:textFill>
            <w14:solidFill>
              <w14:schemeClr w14:val="tx1"/>
            </w14:solidFill>
          </w14:textFill>
        </w:rPr>
        <w:t>与</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准中所</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定的最小屈服点的</w:t>
      </w:r>
      <w:r>
        <w:rPr>
          <w:rFonts w:hint="eastAsia" w:cs="HiddenHorzOCR" w:asciiTheme="minorEastAsia" w:hAnsiTheme="minorEastAsia"/>
          <w:color w:val="000000" w:themeColor="text1"/>
          <w:kern w:val="0"/>
          <w:szCs w:val="21"/>
          <w14:textFill>
            <w14:solidFill>
              <w14:schemeClr w14:val="tx1"/>
            </w14:solidFill>
          </w14:textFill>
        </w:rPr>
        <w:t>比</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cs="HiddenHorzOCR" w:asciiTheme="minorEastAsia" w:hAnsiTheme="minorEastAsia"/>
          <w:color w:val="000000" w:themeColor="text1"/>
          <w:kern w:val="0"/>
          <w:szCs w:val="21"/>
          <w14:textFill>
            <w14:solidFill>
              <w14:schemeClr w14:val="tx1"/>
            </w14:solidFill>
          </w14:textFill>
        </w:rPr>
        <w:t>1.25</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构施工中，主要受力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筋不宜以比原</w:t>
      </w:r>
      <w:r>
        <w:rPr>
          <w:rFonts w:hint="eastAsia" w:cs="宋体" w:asciiTheme="minorEastAsia" w:hAnsiTheme="minorEastAsia"/>
          <w:color w:val="000000" w:themeColor="text1"/>
          <w:kern w:val="0"/>
          <w:szCs w:val="21"/>
          <w14:textFill>
            <w14:solidFill>
              <w14:schemeClr w14:val="tx1"/>
            </w14:solidFill>
          </w14:textFill>
        </w:rPr>
        <w:t>设计强</w:t>
      </w:r>
      <w:r>
        <w:rPr>
          <w:rFonts w:hint="eastAsia" w:cs="MS Mincho" w:asciiTheme="minorEastAsia" w:hAnsiTheme="minorEastAsia"/>
          <w:color w:val="000000" w:themeColor="text1"/>
          <w:kern w:val="0"/>
          <w:szCs w:val="21"/>
          <w14:textFill>
            <w14:solidFill>
              <w14:schemeClr w14:val="tx1"/>
            </w14:solidFill>
          </w14:textFill>
        </w:rPr>
        <w:t>度等</w:t>
      </w:r>
      <w:r>
        <w:rPr>
          <w:rFonts w:hint="eastAsia" w:cs="宋体" w:asciiTheme="minorEastAsia" w:hAnsiTheme="minorEastAsia"/>
          <w:color w:val="000000" w:themeColor="text1"/>
          <w:kern w:val="0"/>
          <w:szCs w:val="21"/>
          <w14:textFill>
            <w14:solidFill>
              <w14:schemeClr w14:val="tx1"/>
            </w14:solidFill>
          </w14:textFill>
        </w:rPr>
        <w:t>级</w:t>
      </w:r>
      <w:r>
        <w:rPr>
          <w:rFonts w:hint="eastAsia" w:cs="HiddenHorzOCR" w:asciiTheme="minorEastAsia" w:hAnsiTheme="minorEastAsia"/>
          <w:color w:val="000000" w:themeColor="text1"/>
          <w:kern w:val="0"/>
          <w:szCs w:val="21"/>
          <w14:textFill>
            <w14:solidFill>
              <w14:schemeClr w14:val="tx1"/>
            </w14:solidFill>
          </w14:textFill>
        </w:rPr>
        <w:t>高的</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筋代替</w:t>
      </w:r>
      <w:r>
        <w:rPr>
          <w:rFonts w:hint="eastAsia" w:cs="HiddenHorzOCR" w:asciiTheme="minorEastAsia" w:hAnsiTheme="minorEastAsia"/>
          <w:color w:val="000000" w:themeColor="text1"/>
          <w:kern w:val="0"/>
          <w:szCs w:val="21"/>
          <w14:textFill>
            <w14:solidFill>
              <w14:schemeClr w14:val="tx1"/>
            </w14:solidFill>
          </w14:textFill>
        </w:rPr>
        <w:t>；当需要替</w:t>
      </w:r>
      <w:r>
        <w:rPr>
          <w:rFonts w:hint="eastAsia" w:cs="宋体" w:asciiTheme="minorEastAsia" w:hAnsiTheme="minorEastAsia"/>
          <w:color w:val="000000" w:themeColor="text1"/>
          <w:kern w:val="0"/>
          <w:szCs w:val="21"/>
          <w14:textFill>
            <w14:solidFill>
              <w14:schemeClr w14:val="tx1"/>
            </w14:solidFill>
          </w14:textFill>
        </w:rPr>
        <w:t>换时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按照</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筋受拉承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设计值</w:t>
      </w:r>
      <w:r>
        <w:rPr>
          <w:rFonts w:hint="eastAsia" w:cs="MS Mincho" w:asciiTheme="minorEastAsia" w:hAnsiTheme="minorEastAsia"/>
          <w:color w:val="000000" w:themeColor="text1"/>
          <w:kern w:val="0"/>
          <w:szCs w:val="21"/>
          <w14:textFill>
            <w14:solidFill>
              <w14:schemeClr w14:val="tx1"/>
            </w14:solidFill>
          </w14:textFill>
        </w:rPr>
        <w:t>相</w:t>
      </w:r>
      <w:r>
        <w:rPr>
          <w:rFonts w:hint="eastAsia" w:cs="HiddenHorzOCR" w:asciiTheme="minorEastAsia" w:hAnsiTheme="minorEastAsia"/>
          <w:color w:val="000000" w:themeColor="text1"/>
          <w:kern w:val="0"/>
          <w:szCs w:val="21"/>
          <w14:textFill>
            <w14:solidFill>
              <w14:schemeClr w14:val="tx1"/>
            </w14:solidFill>
          </w14:textFill>
        </w:rPr>
        <w:t>等的原</w:t>
      </w:r>
      <w:r>
        <w:rPr>
          <w:rFonts w:hint="eastAsia" w:cs="宋体" w:asciiTheme="minorEastAsia" w:hAnsiTheme="minorEastAsia"/>
          <w:color w:val="000000" w:themeColor="text1"/>
          <w:kern w:val="0"/>
          <w:szCs w:val="21"/>
          <w14:textFill>
            <w14:solidFill>
              <w14:schemeClr w14:val="tx1"/>
            </w14:solidFill>
          </w14:textFill>
        </w:rPr>
        <w:t>则进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宋体" w:asciiTheme="minorEastAsia" w:hAnsiTheme="minorEastAsia"/>
          <w:color w:val="000000" w:themeColor="text1"/>
          <w:kern w:val="0"/>
          <w:szCs w:val="21"/>
          <w14:textFill>
            <w14:solidFill>
              <w14:schemeClr w14:val="tx1"/>
            </w14:solidFill>
          </w14:textFill>
        </w:rPr>
        <w:t>换</w:t>
      </w:r>
      <w:r>
        <w:rPr>
          <w:rFonts w:hint="eastAsia" w:cs="MS Mincho" w:asciiTheme="minorEastAsia" w:hAnsiTheme="minorEastAsia"/>
          <w:color w:val="000000" w:themeColor="text1"/>
          <w:kern w:val="0"/>
          <w:szCs w:val="21"/>
          <w14:textFill>
            <w14:solidFill>
              <w14:schemeClr w14:val="tx1"/>
            </w14:solidFill>
          </w14:textFill>
        </w:rPr>
        <w:t>算；</w:t>
      </w:r>
    </w:p>
    <w:p>
      <w:pPr>
        <w:pStyle w:val="3"/>
      </w:pPr>
      <w:bookmarkStart w:id="111" w:name="_Toc48841036"/>
      <w:r>
        <w:rPr>
          <w:rFonts w:hint="eastAsia"/>
        </w:rPr>
        <w:t>结构性能系数</w:t>
      </w:r>
      <w:bookmarkEnd w:id="111"/>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6.2.1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混凝土结构可选择塑性结构或弹性结构进行设计，其性能系数q见表6.2.1-1。</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表6.2.1-1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混凝土结构性能系数q</w:t>
      </w:r>
    </w:p>
    <w:tbl>
      <w:tblPr>
        <w:tblStyle w:val="32"/>
        <w:tblW w:w="0" w:type="auto"/>
        <w:jc w:val="center"/>
        <w:tblLayout w:type="autofit"/>
        <w:tblCellMar>
          <w:top w:w="0" w:type="dxa"/>
          <w:left w:w="108" w:type="dxa"/>
          <w:bottom w:w="0" w:type="dxa"/>
          <w:right w:w="108" w:type="dxa"/>
        </w:tblCellMar>
      </w:tblPr>
      <w:tblGrid>
        <w:gridCol w:w="1984"/>
        <w:gridCol w:w="1701"/>
        <w:gridCol w:w="1418"/>
        <w:gridCol w:w="1559"/>
      </w:tblGrid>
      <w:tr>
        <w:tblPrEx>
          <w:tblCellMar>
            <w:top w:w="0" w:type="dxa"/>
            <w:left w:w="108" w:type="dxa"/>
            <w:bottom w:w="0" w:type="dxa"/>
            <w:right w:w="108" w:type="dxa"/>
          </w:tblCellMar>
        </w:tblPrEx>
        <w:trPr>
          <w:tblHeader/>
          <w:jc w:val="center"/>
        </w:trPr>
        <w:tc>
          <w:tcPr>
            <w:tcW w:w="3685" w:type="dxa"/>
            <w:gridSpan w:val="2"/>
            <w:tcBorders>
              <w:top w:val="single" w:color="auto" w:sz="4" w:space="0"/>
              <w:left w:val="single" w:color="auto" w:sz="4" w:space="0"/>
              <w:bottom w:val="single" w:color="auto" w:sz="4" w:space="0"/>
              <w:right w:val="single" w:color="auto" w:sz="4" w:space="0"/>
            </w:tcBorders>
          </w:tcPr>
          <w:p>
            <w:pPr>
              <w:autoSpaceDE w:val="0"/>
              <w:autoSpaceDN w:val="0"/>
              <w:spacing w:line="360" w:lineRule="auto"/>
              <w:ind w:firstLine="1260" w:firstLineChars="60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结构类型</w:t>
            </w:r>
          </w:p>
        </w:tc>
        <w:tc>
          <w:tcPr>
            <w:tcW w:w="1418" w:type="dxa"/>
            <w:tcBorders>
              <w:top w:val="single" w:color="auto" w:sz="4" w:space="0"/>
              <w:left w:val="single" w:color="auto" w:sz="4" w:space="0"/>
              <w:bottom w:val="single" w:color="auto" w:sz="4" w:space="0"/>
              <w:right w:val="single" w:color="auto" w:sz="4" w:space="0"/>
            </w:tcBorders>
          </w:tcPr>
          <w:p>
            <w:pPr>
              <w:autoSpaceDE w:val="0"/>
              <w:autoSpaceDN w:val="0"/>
              <w:spacing w:line="360" w:lineRule="auto"/>
              <w:ind w:firstLine="210" w:firstLineChars="10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塑性结构</w:t>
            </w:r>
          </w:p>
        </w:tc>
        <w:tc>
          <w:tcPr>
            <w:tcW w:w="1559" w:type="dxa"/>
            <w:tcBorders>
              <w:top w:val="single" w:color="auto" w:sz="4" w:space="0"/>
              <w:left w:val="single" w:color="auto" w:sz="4" w:space="0"/>
              <w:bottom w:val="single" w:color="auto" w:sz="4" w:space="0"/>
              <w:right w:val="single" w:color="auto" w:sz="4" w:space="0"/>
            </w:tcBorders>
          </w:tcPr>
          <w:p>
            <w:pPr>
              <w:autoSpaceDE w:val="0"/>
              <w:autoSpaceDN w:val="0"/>
              <w:spacing w:line="360" w:lineRule="auto"/>
              <w:ind w:firstLine="199" w:firstLineChars="95"/>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弹性结构</w:t>
            </w:r>
          </w:p>
        </w:tc>
      </w:tr>
      <w:tr>
        <w:tblPrEx>
          <w:tblCellMar>
            <w:top w:w="0" w:type="dxa"/>
            <w:left w:w="108" w:type="dxa"/>
            <w:bottom w:w="0" w:type="dxa"/>
            <w:right w:w="108" w:type="dxa"/>
          </w:tblCellMar>
        </w:tblPrEx>
        <w:trPr>
          <w:jc w:val="center"/>
        </w:trPr>
        <w:tc>
          <w:tcPr>
            <w:tcW w:w="198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0" w:firstLineChars="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混凝土柱单层结构</w:t>
            </w: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柱</w:t>
            </w:r>
          </w:p>
        </w:tc>
        <w:tc>
          <w:tcPr>
            <w:tcW w:w="141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55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2.5</w:t>
            </w:r>
          </w:p>
        </w:tc>
      </w:tr>
      <w:tr>
        <w:tblPrEx>
          <w:tblCellMar>
            <w:top w:w="0" w:type="dxa"/>
            <w:left w:w="108" w:type="dxa"/>
            <w:bottom w:w="0" w:type="dxa"/>
            <w:right w:w="108" w:type="dxa"/>
          </w:tblCellMar>
        </w:tblPrEx>
        <w:trPr>
          <w:jc w:val="center"/>
        </w:trPr>
        <w:tc>
          <w:tcPr>
            <w:tcW w:w="198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630" w:firstLineChars="30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框架</w:t>
            </w: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梁、柱</w:t>
            </w:r>
          </w:p>
        </w:tc>
        <w:tc>
          <w:tcPr>
            <w:tcW w:w="141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55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2.5</w:t>
            </w:r>
          </w:p>
        </w:tc>
      </w:tr>
      <w:tr>
        <w:tblPrEx>
          <w:tblCellMar>
            <w:top w:w="0" w:type="dxa"/>
            <w:left w:w="108" w:type="dxa"/>
            <w:bottom w:w="0" w:type="dxa"/>
            <w:right w:w="108" w:type="dxa"/>
          </w:tblCellMar>
        </w:tblPrEx>
        <w:trPr>
          <w:trHeight w:val="233" w:hRule="atLeast"/>
          <w:jc w:val="center"/>
        </w:trPr>
        <w:tc>
          <w:tcPr>
            <w:tcW w:w="1984"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支撑框架</w:t>
            </w: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梁、柱</w:t>
            </w:r>
          </w:p>
        </w:tc>
        <w:tc>
          <w:tcPr>
            <w:tcW w:w="1418"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1.0</w:t>
            </w:r>
          </w:p>
        </w:tc>
        <w:tc>
          <w:tcPr>
            <w:tcW w:w="155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2.5</w:t>
            </w:r>
          </w:p>
        </w:tc>
      </w:tr>
      <w:tr>
        <w:tblPrEx>
          <w:tblCellMar>
            <w:top w:w="0" w:type="dxa"/>
            <w:left w:w="108" w:type="dxa"/>
            <w:bottom w:w="0" w:type="dxa"/>
            <w:right w:w="108" w:type="dxa"/>
          </w:tblCellMar>
        </w:tblPrEx>
        <w:trPr>
          <w:trHeight w:val="232"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HiddenHorzOCR" w:asciiTheme="minorEastAsia" w:hAnsiTheme="minorEastAsia"/>
                <w:color w:val="000000" w:themeColor="text1"/>
                <w:kern w:val="0"/>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支撑</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HiddenHorzOCR" w:asciiTheme="minorEastAsia" w:hAnsiTheme="minorEastAsia"/>
                <w:color w:val="000000" w:themeColor="text1"/>
                <w:kern w:val="0"/>
                <w:szCs w:val="21"/>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2.0</w:t>
            </w:r>
          </w:p>
        </w:tc>
      </w:tr>
    </w:tbl>
    <w:p>
      <w:pPr>
        <w:autoSpaceDE w:val="0"/>
        <w:autoSpaceDN w:val="0"/>
        <w:spacing w:line="360" w:lineRule="auto"/>
        <w:ind w:firstLine="360"/>
        <w:jc w:val="left"/>
        <w:rPr>
          <w:rFonts w:cs="HiddenHorzOCR" w:asciiTheme="minorEastAsia" w:hAnsiTheme="minorEastAsia"/>
          <w:color w:val="000000" w:themeColor="text1"/>
          <w:kern w:val="0"/>
          <w:sz w:val="18"/>
          <w:szCs w:val="18"/>
          <w14:textFill>
            <w14:solidFill>
              <w14:schemeClr w14:val="tx1"/>
            </w14:solidFill>
          </w14:textFill>
        </w:rPr>
      </w:pPr>
      <w:r>
        <w:rPr>
          <w:rFonts w:hint="eastAsia" w:cs="HiddenHorzOCR" w:asciiTheme="minorEastAsia" w:hAnsiTheme="minorEastAsia"/>
          <w:color w:val="000000" w:themeColor="text1"/>
          <w:kern w:val="0"/>
          <w:sz w:val="18"/>
          <w:szCs w:val="18"/>
          <w14:textFill>
            <w14:solidFill>
              <w14:schemeClr w14:val="tx1"/>
            </w14:solidFill>
          </w14:textFill>
        </w:rPr>
        <w:t>注：1 框架-支撑结构作为双重抗侧力体系，框架部分的性能系数取表中的框架结构，</w:t>
      </w:r>
    </w:p>
    <w:p>
      <w:pPr>
        <w:autoSpaceDE w:val="0"/>
        <w:autoSpaceDN w:val="0"/>
        <w:spacing w:line="360" w:lineRule="auto"/>
        <w:ind w:firstLine="900" w:firstLineChars="500"/>
        <w:jc w:val="left"/>
        <w:rPr>
          <w:rFonts w:cs="HiddenHorzOCR" w:asciiTheme="minorEastAsia" w:hAnsiTheme="minorEastAsia"/>
          <w:color w:val="000000" w:themeColor="text1"/>
          <w:kern w:val="0"/>
          <w:sz w:val="18"/>
          <w:szCs w:val="18"/>
          <w14:textFill>
            <w14:solidFill>
              <w14:schemeClr w14:val="tx1"/>
            </w14:solidFill>
          </w14:textFill>
        </w:rPr>
      </w:pPr>
      <w:r>
        <w:rPr>
          <w:rFonts w:hint="eastAsia" w:cs="HiddenHorzOCR" w:asciiTheme="minorEastAsia" w:hAnsiTheme="minorEastAsia"/>
          <w:color w:val="000000" w:themeColor="text1"/>
          <w:kern w:val="0"/>
          <w:sz w:val="18"/>
          <w:szCs w:val="18"/>
          <w14:textFill>
            <w14:solidFill>
              <w14:schemeClr w14:val="tx1"/>
            </w14:solidFill>
          </w14:textFill>
        </w:rPr>
        <w:t>支撑框架部分的性能系数取表中的支撑框架</w:t>
      </w:r>
      <w:r>
        <w:rPr>
          <w:rFonts w:hint="eastAsia" w:cs="HiddenHorzOCR" w:asciiTheme="minorEastAsia" w:hAnsiTheme="minorEastAsia"/>
          <w:color w:val="000000" w:themeColor="text1"/>
          <w:kern w:val="0"/>
          <w:szCs w:val="21"/>
          <w14:textFill>
            <w14:solidFill>
              <w14:schemeClr w14:val="tx1"/>
            </w14:solidFill>
          </w14:textFill>
        </w:rPr>
        <w:t>。</w:t>
      </w:r>
    </w:p>
    <w:p>
      <w:pPr>
        <w:spacing w:line="360" w:lineRule="auto"/>
        <w:ind w:firstLine="420"/>
        <w:rPr>
          <w:rFonts w:ascii="宋体"/>
          <w:color w:val="000000" w:themeColor="text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采用弹性结构时，</w:t>
      </w:r>
      <w:r>
        <w:rPr>
          <w:rFonts w:hint="eastAsia" w:ascii="宋体"/>
          <w:color w:val="000000" w:themeColor="text1"/>
          <w14:textFill>
            <w14:solidFill>
              <w14:schemeClr w14:val="tx1"/>
            </w14:solidFill>
          </w14:textFill>
        </w:rPr>
        <w:t>构件和节点抗震承载力验算及构造措施应符合</w:t>
      </w:r>
      <w:r>
        <w:rPr>
          <w:rFonts w:hint="eastAsia" w:cs="MS Mincho" w:asciiTheme="minorEastAsia" w:hAnsiTheme="minorEastAsia"/>
          <w:color w:val="000000" w:themeColor="text1"/>
          <w:kern w:val="0"/>
          <w:szCs w:val="21"/>
          <w14:textFill>
            <w14:solidFill>
              <w14:schemeClr w14:val="tx1"/>
            </w14:solidFill>
          </w14:textFill>
        </w:rPr>
        <w:t>《混凝土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》GB50010及《建筑抗震设计规范》GB50011抗震等级为四级的最低抗震设防要求。</w:t>
      </w:r>
    </w:p>
    <w:p>
      <w:pPr>
        <w:spacing w:line="360" w:lineRule="auto"/>
        <w:ind w:firstLine="420"/>
        <w:rPr>
          <w:rFonts w:cs="HiddenHorzOCR" w:asciiTheme="minorEastAsia" w:hAnsiTheme="minorEastAsia"/>
          <w:color w:val="000000" w:themeColor="text1"/>
          <w:kern w:val="0"/>
          <w:szCs w:val="21"/>
          <w14:textFill>
            <w14:solidFill>
              <w14:schemeClr w14:val="tx1"/>
            </w14:solidFill>
          </w14:textFill>
        </w:rPr>
      </w:pPr>
      <w:r>
        <w:rPr>
          <w:rFonts w:hint="eastAsia" w:ascii="宋体"/>
          <w:color w:val="000000" w:themeColor="text1"/>
          <w14:textFill>
            <w14:solidFill>
              <w14:schemeClr w14:val="tx1"/>
            </w14:solidFill>
          </w14:textFill>
        </w:rPr>
        <w:t>采用塑性结构时，构件和节点抗震承载力验算及构造措施应符合</w:t>
      </w:r>
      <w:r>
        <w:rPr>
          <w:rFonts w:hint="eastAsia" w:cs="MS Mincho" w:asciiTheme="minorEastAsia" w:hAnsiTheme="minorEastAsia"/>
          <w:color w:val="000000" w:themeColor="text1"/>
          <w:kern w:val="0"/>
          <w:szCs w:val="21"/>
          <w14:textFill>
            <w14:solidFill>
              <w14:schemeClr w14:val="tx1"/>
            </w14:solidFill>
          </w14:textFill>
        </w:rPr>
        <w:t>《混凝土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》GB50010及《建筑抗震设计规范》GB50011的要求。</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widowControl/>
        <w:adjustRightInd/>
        <w:snapToGrid/>
        <w:ind w:firstLine="0" w:firstLineChars="0"/>
        <w:jc w:val="left"/>
        <w:rPr>
          <w:rFonts w:cs="Times New Roman"/>
          <w:b/>
          <w:color w:val="000000" w:themeColor="text1"/>
          <w:kern w:val="44"/>
          <w:sz w:val="30"/>
          <w:szCs w:val="20"/>
          <w:lang w:val="zh-CN"/>
          <w14:textFill>
            <w14:solidFill>
              <w14:schemeClr w14:val="tx1"/>
            </w14:solidFill>
          </w14:textFill>
        </w:rPr>
      </w:pPr>
      <w:bookmarkStart w:id="112" w:name="_Hlk24684253"/>
      <w:r>
        <w:rPr>
          <w:color w:val="000000" w:themeColor="text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113" w:name="_Toc48841037"/>
      <w:r>
        <w:rPr>
          <w:rFonts w:hint="eastAsia"/>
          <w:color w:val="000000" w:themeColor="text1"/>
          <w14:textFill>
            <w14:solidFill>
              <w14:schemeClr w14:val="tx1"/>
            </w14:solidFill>
          </w14:textFill>
        </w:rPr>
        <w:t>单层混凝土柱结构</w:t>
      </w:r>
      <w:bookmarkEnd w:id="113"/>
    </w:p>
    <w:bookmarkEnd w:id="112"/>
    <w:p>
      <w:pPr>
        <w:pStyle w:val="3"/>
      </w:pPr>
      <w:bookmarkStart w:id="114" w:name="_Toc48841038"/>
      <w:r>
        <w:rPr>
          <w:rFonts w:hint="eastAsia"/>
        </w:rPr>
        <w:t>一般规定</w:t>
      </w:r>
      <w:bookmarkEnd w:id="114"/>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7.1.1 </w:t>
      </w:r>
      <w:r>
        <w:rPr>
          <w:rFonts w:hint="eastAsia" w:cs="HiddenHorzOCR" w:asciiTheme="minorEastAsia" w:hAnsiTheme="minorEastAsia"/>
          <w:color w:val="000000" w:themeColor="text1"/>
          <w:kern w:val="0"/>
          <w:szCs w:val="21"/>
          <w14:textFill>
            <w14:solidFill>
              <w14:schemeClr w14:val="tx1"/>
            </w14:solidFill>
          </w14:textFill>
        </w:rPr>
        <w:t>单层混</w:t>
      </w:r>
      <w:r>
        <w:rPr>
          <w:rFonts w:hint="eastAsia" w:cs="MS Mincho" w:asciiTheme="minorEastAsia" w:hAnsiTheme="minorEastAsia"/>
          <w:color w:val="000000" w:themeColor="text1"/>
          <w:kern w:val="0"/>
          <w:szCs w:val="21"/>
          <w14:textFill>
            <w14:solidFill>
              <w14:schemeClr w14:val="tx1"/>
            </w14:solidFill>
          </w14:textFill>
        </w:rPr>
        <w:t>凝土柱</w:t>
      </w:r>
      <w:r>
        <w:rPr>
          <w:rFonts w:hint="eastAsia" w:cs="宋体" w:asciiTheme="minorEastAsia" w:hAnsiTheme="minorEastAsia"/>
          <w:color w:val="000000" w:themeColor="text1"/>
          <w:kern w:val="0"/>
          <w:szCs w:val="21"/>
          <w14:textFill>
            <w14:solidFill>
              <w14:schemeClr w14:val="tx1"/>
            </w14:solidFill>
          </w14:textFill>
        </w:rPr>
        <w:t>结构</w:t>
      </w:r>
      <w:r>
        <w:rPr>
          <w:rFonts w:hint="eastAsia" w:cs="MS Mincho" w:asciiTheme="minorEastAsia" w:hAnsiTheme="minorEastAsia"/>
          <w:color w:val="000000" w:themeColor="text1"/>
          <w:kern w:val="0"/>
          <w:szCs w:val="21"/>
          <w14:textFill>
            <w14:solidFill>
              <w14:schemeClr w14:val="tx1"/>
            </w14:solidFill>
          </w14:textFill>
        </w:rPr>
        <w:t>的抗震</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着重保</w:t>
      </w:r>
      <w:r>
        <w:rPr>
          <w:rFonts w:hint="eastAsia" w:cs="宋体" w:asciiTheme="minorEastAsia" w:hAnsiTheme="minorEastAsia"/>
          <w:color w:val="000000" w:themeColor="text1"/>
          <w:kern w:val="0"/>
          <w:szCs w:val="21"/>
          <w14:textFill>
            <w14:solidFill>
              <w14:schemeClr w14:val="tx1"/>
            </w14:solidFill>
          </w14:textFill>
        </w:rPr>
        <w:t>证结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HiddenHorzOCR" w:asciiTheme="minorEastAsia" w:hAnsiTheme="minorEastAsia"/>
          <w:color w:val="000000" w:themeColor="text1"/>
          <w:kern w:val="0"/>
          <w:szCs w:val="21"/>
          <w14:textFill>
            <w14:solidFill>
              <w14:schemeClr w14:val="tx1"/>
            </w14:solidFill>
          </w14:textFill>
        </w:rPr>
        <w:t>的空</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整体性及水平地震作用</w:t>
      </w:r>
      <w:r>
        <w:rPr>
          <w:rFonts w:hint="eastAsia" w:cs="宋体" w:asciiTheme="minorEastAsia" w:hAnsiTheme="minorEastAsia"/>
          <w:color w:val="000000" w:themeColor="text1"/>
          <w:kern w:val="0"/>
          <w:szCs w:val="21"/>
          <w14:textFill>
            <w14:solidFill>
              <w14:schemeClr w14:val="tx1"/>
            </w14:solidFill>
          </w14:textFill>
        </w:rPr>
        <w:t>传递</w:t>
      </w:r>
      <w:r>
        <w:rPr>
          <w:rFonts w:hint="eastAsia" w:cs="MS Mincho" w:asciiTheme="minorEastAsia" w:hAnsiTheme="minorEastAsia"/>
          <w:color w:val="000000" w:themeColor="text1"/>
          <w:kern w:val="0"/>
          <w:szCs w:val="21"/>
          <w14:textFill>
            <w14:solidFill>
              <w14:schemeClr w14:val="tx1"/>
            </w14:solidFill>
          </w14:textFill>
        </w:rPr>
        <w:t>路</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连续</w:t>
      </w:r>
      <w:r>
        <w:rPr>
          <w:rFonts w:hint="eastAsia" w:cs="MS Mincho" w:asciiTheme="minorEastAsia" w:hAnsiTheme="minorEastAsia"/>
          <w:color w:val="000000" w:themeColor="text1"/>
          <w:kern w:val="0"/>
          <w:szCs w:val="21"/>
          <w14:textFill>
            <w14:solidFill>
              <w14:schemeClr w14:val="tx1"/>
            </w14:solidFill>
          </w14:textFill>
        </w:rPr>
        <w:t>性</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合理</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置屋</w:t>
      </w:r>
      <w:r>
        <w:rPr>
          <w:rFonts w:hint="eastAsia" w:cs="HiddenHorzOCR" w:asciiTheme="minorEastAsia" w:hAnsiTheme="minorEastAsia"/>
          <w:color w:val="000000" w:themeColor="text1"/>
          <w:kern w:val="0"/>
          <w:szCs w:val="21"/>
          <w14:textFill>
            <w14:solidFill>
              <w14:schemeClr w14:val="tx1"/>
            </w14:solidFill>
          </w14:textFill>
        </w:rPr>
        <w:t>盖支撑、柱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支撑，并保</w:t>
      </w:r>
      <w:r>
        <w:rPr>
          <w:rFonts w:hint="eastAsia" w:cs="宋体" w:asciiTheme="minorEastAsia" w:hAnsiTheme="minorEastAsia"/>
          <w:color w:val="000000" w:themeColor="text1"/>
          <w:kern w:val="0"/>
          <w:szCs w:val="21"/>
          <w14:textFill>
            <w14:solidFill>
              <w14:schemeClr w14:val="tx1"/>
            </w14:solidFill>
          </w14:textFill>
        </w:rPr>
        <w:t>证</w:t>
      </w:r>
      <w:r>
        <w:rPr>
          <w:rFonts w:hint="eastAsia" w:cs="MS Mincho" w:asciiTheme="minorEastAsia" w:hAnsiTheme="minorEastAsia"/>
          <w:color w:val="000000" w:themeColor="text1"/>
          <w:kern w:val="0"/>
          <w:szCs w:val="21"/>
          <w14:textFill>
            <w14:solidFill>
              <w14:schemeClr w14:val="tx1"/>
            </w14:solidFill>
          </w14:textFill>
        </w:rPr>
        <w:t>各受力</w:t>
      </w:r>
      <w:r>
        <w:rPr>
          <w:rFonts w:hint="eastAsia" w:cs="HiddenHorzOCR" w:asciiTheme="minorEastAsia" w:hAnsiTheme="minorEastAsia"/>
          <w:color w:val="000000" w:themeColor="text1"/>
          <w:kern w:val="0"/>
          <w:szCs w:val="21"/>
          <w14:textFill>
            <w14:solidFill>
              <w14:schemeClr w14:val="tx1"/>
            </w14:solidFill>
          </w14:textFill>
        </w:rPr>
        <w:t>构件之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7.1.2 单层混</w:t>
      </w:r>
      <w:r>
        <w:rPr>
          <w:rFonts w:hint="eastAsia" w:cs="MS Mincho" w:asciiTheme="minorEastAsia" w:hAnsiTheme="minorEastAsia"/>
          <w:color w:val="000000" w:themeColor="text1"/>
          <w:kern w:val="0"/>
          <w:szCs w:val="21"/>
          <w14:textFill>
            <w14:solidFill>
              <w14:schemeClr w14:val="tx1"/>
            </w14:solidFill>
          </w14:textFill>
        </w:rPr>
        <w:t>凝土柱</w:t>
      </w:r>
      <w:r>
        <w:rPr>
          <w:rFonts w:hint="eastAsia" w:cs="宋体" w:asciiTheme="minorEastAsia" w:hAnsiTheme="minorEastAsia"/>
          <w:color w:val="000000" w:themeColor="text1"/>
          <w:kern w:val="0"/>
          <w:szCs w:val="21"/>
          <w14:textFill>
            <w14:solidFill>
              <w14:schemeClr w14:val="tx1"/>
            </w14:solidFill>
          </w14:textFill>
        </w:rPr>
        <w:t>结构</w:t>
      </w:r>
      <w:r>
        <w:rPr>
          <w:rFonts w:hint="eastAsia" w:cs="HiddenHorzOCR" w:asciiTheme="minorEastAsia" w:hAnsiTheme="minorEastAsia"/>
          <w:color w:val="000000" w:themeColor="text1"/>
          <w:kern w:val="0"/>
          <w:szCs w:val="21"/>
          <w14:textFill>
            <w14:solidFill>
              <w14:schemeClr w14:val="tx1"/>
            </w14:solidFill>
          </w14:textFill>
        </w:rPr>
        <w:t xml:space="preserve">采用塑性结构或弹性结构进行设计时，结构和杆件应采用相应的性能系数进行内力和配筋计算。 </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7.1.3 天窗的配置，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宜采用高度</w:t>
      </w:r>
      <w:r>
        <w:rPr>
          <w:rFonts w:hint="eastAsia" w:cs="宋体" w:asciiTheme="minorEastAsia" w:hAnsiTheme="minorEastAsia"/>
          <w:color w:val="000000" w:themeColor="text1"/>
          <w:kern w:val="0"/>
          <w:szCs w:val="21"/>
          <w14:textFill>
            <w14:solidFill>
              <w14:schemeClr w14:val="tx1"/>
            </w14:solidFill>
          </w14:textFill>
        </w:rPr>
        <w:t>较</w:t>
      </w:r>
      <w:r>
        <w:rPr>
          <w:rFonts w:hint="eastAsia" w:cs="MS Mincho" w:asciiTheme="minorEastAsia" w:hAnsiTheme="minorEastAsia"/>
          <w:color w:val="000000" w:themeColor="text1"/>
          <w:kern w:val="0"/>
          <w:szCs w:val="21"/>
          <w14:textFill>
            <w14:solidFill>
              <w14:schemeClr w14:val="tx1"/>
            </w14:solidFill>
          </w14:textFill>
        </w:rPr>
        <w:t>小的天窗或采光屋面板等不突出屋面的</w:t>
      </w:r>
      <w:r>
        <w:rPr>
          <w:rFonts w:hint="eastAsia" w:cs="HiddenHorzOCR" w:asciiTheme="minorEastAsia" w:hAnsiTheme="minorEastAsia"/>
          <w:color w:val="000000" w:themeColor="text1"/>
          <w:kern w:val="0"/>
          <w:szCs w:val="21"/>
          <w14:textFill>
            <w14:solidFill>
              <w14:schemeClr w14:val="tx1"/>
            </w14:solidFill>
          </w14:textFill>
        </w:rPr>
        <w:t>天窗形式。</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宜采用</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天窗</w:t>
      </w:r>
      <w:r>
        <w:rPr>
          <w:rFonts w:hint="eastAsia" w:cs="HiddenHorzOCR" w:asciiTheme="minorEastAsia" w:hAnsiTheme="minorEastAsia"/>
          <w:color w:val="000000" w:themeColor="text1"/>
          <w:kern w:val="0"/>
          <w:szCs w:val="21"/>
          <w14:textFill>
            <w14:solidFill>
              <w14:schemeClr w14:val="tx1"/>
            </w14:solidFill>
          </w14:textFill>
        </w:rPr>
        <w:t>架。</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地震区不宜从厂房</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元端部第一个开</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开始</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置天窗</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，天窗宜从</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元端部算起第三个开</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开始</w:t>
      </w:r>
      <w:r>
        <w:rPr>
          <w:rFonts w:hint="eastAsia" w:cs="宋体" w:asciiTheme="minorEastAsia" w:hAnsiTheme="minorEastAsia"/>
          <w:color w:val="000000" w:themeColor="text1"/>
          <w:kern w:val="0"/>
          <w:szCs w:val="21"/>
          <w14:textFill>
            <w14:solidFill>
              <w14:schemeClr w14:val="tx1"/>
            </w14:solidFill>
          </w14:textFill>
        </w:rPr>
        <w:t>设</w:t>
      </w:r>
      <w:r>
        <w:rPr>
          <w:rFonts w:hint="eastAsia" w:cs="HiddenHorzOCR" w:asciiTheme="minorEastAsia" w:hAnsiTheme="minorEastAsia"/>
          <w:color w:val="000000" w:themeColor="text1"/>
          <w:kern w:val="0"/>
          <w:szCs w:val="21"/>
          <w14:textFill>
            <w14:solidFill>
              <w14:schemeClr w14:val="tx1"/>
            </w14:solidFill>
          </w14:textFill>
        </w:rPr>
        <w:t>置，中</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各跨可从第二个开</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开始</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w:t>
      </w:r>
      <w:r>
        <w:rPr>
          <w:rFonts w:hint="eastAsia" w:cs="HiddenHorzOCR" w:asciiTheme="minorEastAsia" w:hAnsiTheme="minorEastAsia"/>
          <w:color w:val="000000" w:themeColor="text1"/>
          <w:kern w:val="0"/>
          <w:szCs w:val="21"/>
          <w14:textFill>
            <w14:solidFill>
              <w14:schemeClr w14:val="tx1"/>
            </w14:solidFill>
          </w14:textFill>
        </w:rPr>
        <w:t>；否</w:t>
      </w:r>
      <w:r>
        <w:rPr>
          <w:rFonts w:hint="eastAsia" w:cs="宋体" w:asciiTheme="minorEastAsia" w:hAnsiTheme="minorEastAsia"/>
          <w:color w:val="000000" w:themeColor="text1"/>
          <w:kern w:val="0"/>
          <w:szCs w:val="21"/>
          <w14:textFill>
            <w14:solidFill>
              <w14:schemeClr w14:val="tx1"/>
            </w14:solidFill>
          </w14:textFill>
        </w:rPr>
        <w:t>则</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加</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洞口范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HiddenHorzOCR" w:asciiTheme="minorEastAsia" w:hAnsiTheme="minorEastAsia"/>
          <w:color w:val="000000" w:themeColor="text1"/>
          <w:kern w:val="0"/>
          <w:szCs w:val="21"/>
          <w14:textFill>
            <w14:solidFill>
              <w14:schemeClr w14:val="tx1"/>
            </w14:solidFill>
          </w14:textFill>
        </w:rPr>
        <w:t>两端局部的屋架上弦支撑。</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天窗端壁板与</w:t>
      </w:r>
      <w:r>
        <w:rPr>
          <w:rFonts w:hint="eastAsia" w:cs="宋体" w:asciiTheme="minorEastAsia" w:hAnsiTheme="minorEastAsia"/>
          <w:color w:val="000000" w:themeColor="text1"/>
          <w:kern w:val="0"/>
          <w:szCs w:val="21"/>
          <w14:textFill>
            <w14:solidFill>
              <w14:schemeClr w14:val="tx1"/>
            </w14:solidFill>
          </w14:textFill>
        </w:rPr>
        <w:t>挡风</w:t>
      </w:r>
      <w:r>
        <w:rPr>
          <w:rFonts w:hint="eastAsia" w:cs="MS Mincho" w:asciiTheme="minorEastAsia" w:hAnsiTheme="minorEastAsia"/>
          <w:color w:val="000000" w:themeColor="text1"/>
          <w:kern w:val="0"/>
          <w:szCs w:val="21"/>
          <w14:textFill>
            <w14:solidFill>
              <w14:schemeClr w14:val="tx1"/>
            </w14:solidFill>
          </w14:textFill>
        </w:rPr>
        <w:t>板宜采用</w:t>
      </w:r>
      <w:r>
        <w:rPr>
          <w:rFonts w:hint="eastAsia" w:cs="宋体" w:asciiTheme="minorEastAsia" w:hAnsiTheme="minorEastAsia"/>
          <w:color w:val="000000" w:themeColor="text1"/>
          <w:kern w:val="0"/>
          <w:szCs w:val="21"/>
          <w14:textFill>
            <w14:solidFill>
              <w14:schemeClr w14:val="tx1"/>
            </w14:solidFill>
          </w14:textFill>
        </w:rPr>
        <w:t>轻</w:t>
      </w:r>
      <w:r>
        <w:rPr>
          <w:rFonts w:hint="eastAsia" w:cs="MS Mincho" w:asciiTheme="minorEastAsia" w:hAnsiTheme="minorEastAsia"/>
          <w:color w:val="000000" w:themeColor="text1"/>
          <w:kern w:val="0"/>
          <w:szCs w:val="21"/>
          <w14:textFill>
            <w14:solidFill>
              <w14:schemeClr w14:val="tx1"/>
            </w14:solidFill>
          </w14:textFill>
        </w:rPr>
        <w:t>型板材，</w:t>
      </w:r>
      <w:r>
        <w:rPr>
          <w:rFonts w:hint="eastAsia" w:cs="宋体" w:asciiTheme="minorEastAsia" w:hAnsiTheme="minorEastAsia"/>
          <w:color w:val="000000" w:themeColor="text1"/>
          <w:kern w:val="0"/>
          <w:szCs w:val="21"/>
          <w14:textFill>
            <w14:solidFill>
              <w14:schemeClr w14:val="tx1"/>
            </w14:solidFill>
          </w14:textFill>
        </w:rPr>
        <w:t>挡风</w:t>
      </w:r>
      <w:r>
        <w:rPr>
          <w:rFonts w:hint="eastAsia" w:cs="MS Mincho" w:asciiTheme="minorEastAsia" w:hAnsiTheme="minorEastAsia"/>
          <w:color w:val="000000" w:themeColor="text1"/>
          <w:kern w:val="0"/>
          <w:szCs w:val="21"/>
          <w14:textFill>
            <w14:solidFill>
              <w14:schemeClr w14:val="tx1"/>
            </w14:solidFill>
          </w14:textFill>
        </w:rPr>
        <w:t>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钢结</w:t>
      </w:r>
      <w:r>
        <w:rPr>
          <w:rFonts w:hint="eastAsia" w:cs="MS Mincho" w:asciiTheme="minorEastAsia" w:hAnsiTheme="minorEastAsia"/>
          <w:color w:val="000000" w:themeColor="text1"/>
          <w:kern w:val="0"/>
          <w:szCs w:val="21"/>
          <w14:textFill>
            <w14:solidFill>
              <w14:schemeClr w14:val="tx1"/>
            </w14:solidFill>
          </w14:textFill>
        </w:rPr>
        <w:t>构。</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7.1.4 </w:t>
      </w:r>
      <w:r>
        <w:rPr>
          <w:rFonts w:hint="eastAsia" w:cs="HiddenHorzOCR" w:asciiTheme="minorEastAsia" w:hAnsiTheme="minorEastAsia"/>
          <w:color w:val="000000" w:themeColor="text1"/>
          <w:kern w:val="0"/>
          <w:szCs w:val="21"/>
          <w14:textFill>
            <w14:solidFill>
              <w14:schemeClr w14:val="tx1"/>
            </w14:solidFill>
          </w14:textFill>
        </w:rPr>
        <w:t>屋盖</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构材料的</w:t>
      </w:r>
      <w:r>
        <w:rPr>
          <w:rFonts w:hint="eastAsia" w:cs="宋体" w:asciiTheme="minorEastAsia" w:hAnsiTheme="minorEastAsia"/>
          <w:color w:val="000000" w:themeColor="text1"/>
          <w:kern w:val="0"/>
          <w:szCs w:val="21"/>
          <w14:textFill>
            <w14:solidFill>
              <w14:schemeClr w14:val="tx1"/>
            </w14:solidFill>
          </w14:textFill>
        </w:rPr>
        <w:t>选</w:t>
      </w:r>
      <w:r>
        <w:rPr>
          <w:rFonts w:hint="eastAsia" w:cs="MS Mincho" w:asciiTheme="minorEastAsia" w:hAnsiTheme="minorEastAsia"/>
          <w:color w:val="000000" w:themeColor="text1"/>
          <w:kern w:val="0"/>
          <w:szCs w:val="21"/>
          <w14:textFill>
            <w14:solidFill>
              <w14:schemeClr w14:val="tx1"/>
            </w14:solidFill>
          </w14:textFill>
        </w:rPr>
        <w:t>用，</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屋面宜采用</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型</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板等</w:t>
      </w:r>
      <w:r>
        <w:rPr>
          <w:rFonts w:hint="eastAsia" w:cs="宋体" w:asciiTheme="minorEastAsia" w:hAnsiTheme="minorEastAsia"/>
          <w:color w:val="000000" w:themeColor="text1"/>
          <w:kern w:val="0"/>
          <w:szCs w:val="21"/>
          <w14:textFill>
            <w14:solidFill>
              <w14:schemeClr w14:val="tx1"/>
            </w14:solidFill>
          </w14:textFill>
        </w:rPr>
        <w:t>轻</w:t>
      </w:r>
      <w:r>
        <w:rPr>
          <w:rFonts w:hint="eastAsia" w:cs="MS Mincho" w:asciiTheme="minorEastAsia" w:hAnsiTheme="minorEastAsia"/>
          <w:color w:val="000000" w:themeColor="text1"/>
          <w:kern w:val="0"/>
          <w:szCs w:val="21"/>
          <w14:textFill>
            <w14:solidFill>
              <w14:schemeClr w14:val="tx1"/>
            </w14:solidFill>
          </w14:textFill>
        </w:rPr>
        <w:t>型板材</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宜采用</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屋架。</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宜</w:t>
      </w:r>
      <w:r>
        <w:rPr>
          <w:rFonts w:hint="eastAsia" w:cs="MS Mincho"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托架。</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7.1.5 </w:t>
      </w:r>
      <w:r>
        <w:rPr>
          <w:rFonts w:hint="eastAsia" w:cs="HiddenHorzOCR" w:asciiTheme="minorEastAsia" w:hAnsiTheme="minorEastAsia"/>
          <w:color w:val="000000" w:themeColor="text1"/>
          <w:kern w:val="0"/>
          <w:szCs w:val="21"/>
          <w14:textFill>
            <w14:solidFill>
              <w14:schemeClr w14:val="tx1"/>
            </w14:solidFill>
          </w14:textFill>
        </w:rPr>
        <w:t>柱子形式的</w:t>
      </w:r>
      <w:r>
        <w:rPr>
          <w:rFonts w:hint="eastAsia" w:cs="宋体" w:asciiTheme="minorEastAsia" w:hAnsiTheme="minorEastAsia"/>
          <w:color w:val="000000" w:themeColor="text1"/>
          <w:kern w:val="0"/>
          <w:szCs w:val="21"/>
          <w14:textFill>
            <w14:solidFill>
              <w14:schemeClr w14:val="tx1"/>
            </w14:solidFill>
          </w14:textFill>
        </w:rPr>
        <w:t>选</w:t>
      </w:r>
      <w:r>
        <w:rPr>
          <w:rFonts w:hint="eastAsia" w:cs="MS Mincho" w:asciiTheme="minorEastAsia" w:hAnsiTheme="minorEastAsia"/>
          <w:color w:val="000000" w:themeColor="text1"/>
          <w:kern w:val="0"/>
          <w:szCs w:val="21"/>
          <w14:textFill>
            <w14:solidFill>
              <w14:schemeClr w14:val="tx1"/>
            </w14:solidFill>
          </w14:textFill>
        </w:rPr>
        <w:t>用，</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采用薄壁开孔或</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制腹板的工字形柱。</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，宜采用矩形截面柱和斜腹杆双肢</w:t>
      </w:r>
      <w:r>
        <w:rPr>
          <w:rFonts w:hint="eastAsia" w:cs="HiddenHorzOCR" w:asciiTheme="minorEastAsia" w:hAnsiTheme="minorEastAsia"/>
          <w:color w:val="000000" w:themeColor="text1"/>
          <w:kern w:val="0"/>
          <w:szCs w:val="21"/>
          <w14:textFill>
            <w14:solidFill>
              <w14:schemeClr w14:val="tx1"/>
            </w14:solidFill>
          </w14:textFill>
        </w:rPr>
        <w:t>柱；截面高度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600～1200mm、</w:t>
      </w:r>
      <w:r>
        <w:rPr>
          <w:rFonts w:hint="eastAsia" w:cs="宋体" w:asciiTheme="minorEastAsia" w:hAnsiTheme="minorEastAsia"/>
          <w:color w:val="000000" w:themeColor="text1"/>
          <w:kern w:val="0"/>
          <w:szCs w:val="21"/>
          <w14:textFill>
            <w14:solidFill>
              <w14:schemeClr w14:val="tx1"/>
            </w14:solidFill>
          </w14:textFill>
        </w:rPr>
        <w:t>轴压</w:t>
      </w:r>
      <w:r>
        <w:rPr>
          <w:rFonts w:hint="eastAsia" w:cs="MS Mincho" w:asciiTheme="minorEastAsia" w:hAnsiTheme="minorEastAsia"/>
          <w:color w:val="000000" w:themeColor="text1"/>
          <w:kern w:val="0"/>
          <w:szCs w:val="21"/>
          <w14:textFill>
            <w14:solidFill>
              <w14:schemeClr w14:val="tx1"/>
            </w14:solidFill>
          </w14:textFill>
        </w:rPr>
        <w:t>比在</w:t>
      </w:r>
      <w:r>
        <w:rPr>
          <w:rFonts w:hint="eastAsia" w:cs="HiddenHorzOCR" w:asciiTheme="minorEastAsia" w:hAnsiTheme="minorEastAsia"/>
          <w:color w:val="000000" w:themeColor="text1"/>
          <w:kern w:val="0"/>
          <w:szCs w:val="21"/>
          <w14:textFill>
            <w14:solidFill>
              <w14:schemeClr w14:val="tx1"/>
            </w14:solidFill>
          </w14:textFill>
        </w:rPr>
        <w:t>0.25以内</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，可采用工</w:t>
      </w:r>
      <w:r>
        <w:rPr>
          <w:rFonts w:hint="eastAsia" w:cs="HiddenHorzOCR" w:asciiTheme="minorEastAsia" w:hAnsiTheme="minorEastAsia"/>
          <w:color w:val="000000" w:themeColor="text1"/>
          <w:kern w:val="0"/>
          <w:szCs w:val="21"/>
          <w14:textFill>
            <w14:solidFill>
              <w14:schemeClr w14:val="tx1"/>
            </w14:solidFill>
          </w14:textFill>
        </w:rPr>
        <w:t>字形截面柱。</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工字形柱在柱底至地坪以上500mm范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MS Mincho" w:asciiTheme="minorEastAsia" w:hAnsiTheme="minorEastAsia"/>
          <w:color w:val="000000" w:themeColor="text1"/>
          <w:kern w:val="0"/>
          <w:szCs w:val="21"/>
          <w14:textFill>
            <w14:solidFill>
              <w14:schemeClr w14:val="tx1"/>
            </w14:solidFill>
          </w14:textFill>
        </w:rPr>
        <w:t>内和</w:t>
      </w:r>
      <w:r>
        <w:rPr>
          <w:rFonts w:hint="eastAsia" w:cs="宋体" w:asciiTheme="minorEastAsia" w:hAnsiTheme="minorEastAsia"/>
          <w:color w:val="000000" w:themeColor="text1"/>
          <w:kern w:val="0"/>
          <w:szCs w:val="21"/>
          <w14:textFill>
            <w14:solidFill>
              <w14:schemeClr w14:val="tx1"/>
            </w14:solidFill>
          </w14:textFill>
        </w:rPr>
        <w:t>阶</w:t>
      </w:r>
      <w:r>
        <w:rPr>
          <w:rFonts w:hint="eastAsia" w:cs="MS Mincho" w:asciiTheme="minorEastAsia" w:hAnsiTheme="minorEastAsia"/>
          <w:color w:val="000000" w:themeColor="text1"/>
          <w:kern w:val="0"/>
          <w:szCs w:val="21"/>
          <w14:textFill>
            <w14:solidFill>
              <w14:schemeClr w14:val="tx1"/>
            </w14:solidFill>
          </w14:textFill>
        </w:rPr>
        <w:t>形柱</w:t>
      </w:r>
      <w:r>
        <w:rPr>
          <w:rFonts w:hint="eastAsia" w:cs="HiddenHorzOCR" w:asciiTheme="minorEastAsia" w:hAnsiTheme="minorEastAsia"/>
          <w:color w:val="000000" w:themeColor="text1"/>
          <w:kern w:val="0"/>
          <w:szCs w:val="21"/>
          <w14:textFill>
            <w14:solidFill>
              <w14:schemeClr w14:val="tx1"/>
            </w14:solidFill>
          </w14:textFill>
        </w:rPr>
        <w:t>的上柱，宜采用矩形截面。</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4</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单层钢</w:t>
      </w:r>
      <w:r>
        <w:rPr>
          <w:rFonts w:hint="eastAsia" w:cs="MS Mincho" w:asciiTheme="minorEastAsia" w:hAnsiTheme="minorEastAsia"/>
          <w:color w:val="000000" w:themeColor="text1"/>
          <w:kern w:val="0"/>
          <w:szCs w:val="21"/>
          <w14:textFill>
            <w14:solidFill>
              <w14:schemeClr w14:val="tx1"/>
            </w14:solidFill>
          </w14:textFill>
        </w:rPr>
        <w:t>筋混凝土柱排架</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构，不宜采用无端排架的</w:t>
      </w:r>
      <w:r>
        <w:rPr>
          <w:rFonts w:hint="eastAsia" w:cs="HiddenHorzOCR" w:asciiTheme="minorEastAsia" w:hAnsiTheme="minorEastAsia"/>
          <w:color w:val="000000" w:themeColor="text1"/>
          <w:kern w:val="0"/>
          <w:szCs w:val="21"/>
          <w14:textFill>
            <w14:solidFill>
              <w14:schemeClr w14:val="tx1"/>
            </w14:solidFill>
          </w14:textFill>
        </w:rPr>
        <w:t>山</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承重</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构方案。</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5</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一般结构的山</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壁柱可采用混凝土柱，高大结构宜</w:t>
      </w:r>
      <w:r>
        <w:rPr>
          <w:rFonts w:hint="eastAsia" w:cs="HiddenHorzOCR"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壁柱。</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7.1.6 </w:t>
      </w:r>
      <w:r>
        <w:rPr>
          <w:rFonts w:hint="eastAsia" w:cs="宋体" w:asciiTheme="minorEastAsia" w:hAnsiTheme="minorEastAsia"/>
          <w:color w:val="000000" w:themeColor="text1"/>
          <w:kern w:val="0"/>
          <w:szCs w:val="21"/>
          <w14:textFill>
            <w14:solidFill>
              <w14:schemeClr w14:val="tx1"/>
            </w14:solidFill>
          </w14:textFill>
        </w:rPr>
        <w:t>围护墙</w:t>
      </w:r>
      <w:r>
        <w:rPr>
          <w:rFonts w:hint="eastAsia" w:cs="MS Mincho" w:asciiTheme="minorEastAsia" w:hAnsiTheme="minorEastAsia"/>
          <w:color w:val="000000" w:themeColor="text1"/>
          <w:kern w:val="0"/>
          <w:szCs w:val="21"/>
          <w14:textFill>
            <w14:solidFill>
              <w14:schemeClr w14:val="tx1"/>
            </w14:solidFill>
          </w14:textFill>
        </w:rPr>
        <w:t>体的配置，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围护</w:t>
      </w:r>
      <w:r>
        <w:rPr>
          <w:rFonts w:hint="eastAsia" w:cs="MS Mincho" w:asciiTheme="minorEastAsia" w:hAnsiTheme="minorEastAsia"/>
          <w:color w:val="000000" w:themeColor="text1"/>
          <w:kern w:val="0"/>
          <w:szCs w:val="21"/>
          <w14:textFill>
            <w14:solidFill>
              <w14:schemeClr w14:val="tx1"/>
            </w14:solidFill>
          </w14:textFill>
        </w:rPr>
        <w:t>外</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宜采用</w:t>
      </w:r>
      <w:r>
        <w:rPr>
          <w:rFonts w:hint="eastAsia" w:cs="宋体" w:asciiTheme="minorEastAsia" w:hAnsiTheme="minorEastAsia"/>
          <w:color w:val="000000" w:themeColor="text1"/>
          <w:kern w:val="0"/>
          <w:szCs w:val="21"/>
          <w14:textFill>
            <w14:solidFill>
              <w14:schemeClr w14:val="tx1"/>
            </w14:solidFill>
          </w14:textFill>
        </w:rPr>
        <w:t>轻</w:t>
      </w:r>
      <w:r>
        <w:rPr>
          <w:rFonts w:hint="eastAsia" w:cs="MS Mincho" w:asciiTheme="minorEastAsia" w:hAnsiTheme="minorEastAsia"/>
          <w:color w:val="000000" w:themeColor="text1"/>
          <w:kern w:val="0"/>
          <w:szCs w:val="21"/>
          <w14:textFill>
            <w14:solidFill>
              <w14:schemeClr w14:val="tx1"/>
            </w14:solidFill>
          </w14:textFill>
        </w:rPr>
        <w:t>型板材。</w:t>
      </w:r>
    </w:p>
    <w:p>
      <w:pPr>
        <w:spacing w:line="360" w:lineRule="auto"/>
        <w:ind w:firstLine="420"/>
        <w:rPr>
          <w:rFonts w:cs="MS Mincho"/>
          <w:color w:val="000000" w:themeColor="text1"/>
          <w:kern w:val="0"/>
          <w14:textFill>
            <w14:solidFill>
              <w14:schemeClr w14:val="tx1"/>
            </w14:solidFill>
          </w14:textFill>
        </w:rPr>
      </w:pPr>
      <w:r>
        <w:rPr>
          <w:rFonts w:hint="eastAsia" w:asciiTheme="minorEastAsia" w:hAnsiTheme="minorEastAsia"/>
          <w:color w:val="000000" w:themeColor="text1"/>
          <w:kern w:val="0"/>
          <w14:textFill>
            <w14:solidFill>
              <w14:schemeClr w14:val="tx1"/>
            </w14:solidFill>
          </w14:textFill>
        </w:rPr>
        <w:t>2</w:t>
      </w:r>
      <w:r>
        <w:rPr>
          <w:rFonts w:asciiTheme="minorEastAsia" w:hAnsiTheme="minorEastAsia"/>
          <w:color w:val="000000" w:themeColor="text1"/>
          <w:kern w:val="0"/>
          <w14:textFill>
            <w14:solidFill>
              <w14:schemeClr w14:val="tx1"/>
            </w14:solidFill>
          </w14:textFill>
        </w:rPr>
        <w:t xml:space="preserve"> </w:t>
      </w:r>
      <w:r>
        <w:rPr>
          <w:rFonts w:hint="eastAsia" w:cs="HiddenHorzOCR" w:asciiTheme="minorEastAsia" w:hAnsiTheme="minorEastAsia"/>
          <w:color w:val="000000" w:themeColor="text1"/>
          <w:kern w:val="0"/>
          <w14:textFill>
            <w14:solidFill>
              <w14:schemeClr w14:val="tx1"/>
            </w14:solidFill>
          </w14:textFill>
        </w:rPr>
        <w:t>非</w:t>
      </w:r>
      <w:r>
        <w:rPr>
          <w:rFonts w:hint="eastAsia" w:cs="HiddenHorzOCR"/>
          <w:color w:val="000000" w:themeColor="text1"/>
          <w:kern w:val="0"/>
          <w14:textFill>
            <w14:solidFill>
              <w14:schemeClr w14:val="tx1"/>
            </w14:solidFill>
          </w14:textFill>
        </w:rPr>
        <w:t>承重内</w:t>
      </w:r>
      <w:r>
        <w:rPr>
          <w:rFonts w:hint="eastAsia" w:cs="宋体"/>
          <w:color w:val="000000" w:themeColor="text1"/>
          <w:kern w:val="0"/>
          <w14:textFill>
            <w14:solidFill>
              <w14:schemeClr w14:val="tx1"/>
            </w14:solidFill>
          </w14:textFill>
        </w:rPr>
        <w:t>墙</w:t>
      </w:r>
      <w:r>
        <w:rPr>
          <w:rFonts w:hint="eastAsia" w:cs="MS Mincho"/>
          <w:color w:val="000000" w:themeColor="text1"/>
          <w:kern w:val="0"/>
          <w14:textFill>
            <w14:solidFill>
              <w14:schemeClr w14:val="tx1"/>
            </w14:solidFill>
          </w14:textFill>
        </w:rPr>
        <w:t>宜采用</w:t>
      </w:r>
      <w:r>
        <w:rPr>
          <w:rFonts w:hint="eastAsia" w:cs="宋体"/>
          <w:color w:val="000000" w:themeColor="text1"/>
          <w:kern w:val="0"/>
          <w14:textFill>
            <w14:solidFill>
              <w14:schemeClr w14:val="tx1"/>
            </w14:solidFill>
          </w14:textFill>
        </w:rPr>
        <w:t>轻</w:t>
      </w:r>
      <w:r>
        <w:rPr>
          <w:rFonts w:hint="eastAsia" w:cs="MS Mincho"/>
          <w:color w:val="000000" w:themeColor="text1"/>
          <w:kern w:val="0"/>
          <w14:textFill>
            <w14:solidFill>
              <w14:schemeClr w14:val="tx1"/>
            </w14:solidFill>
          </w14:textFill>
        </w:rPr>
        <w:t>型隔断</w:t>
      </w:r>
      <w:r>
        <w:rPr>
          <w:rFonts w:hint="eastAsia" w:cs="宋体"/>
          <w:color w:val="000000" w:themeColor="text1"/>
          <w:kern w:val="0"/>
          <w14:textFill>
            <w14:solidFill>
              <w14:schemeClr w14:val="tx1"/>
            </w14:solidFill>
          </w14:textFill>
        </w:rPr>
        <w:t>墙</w:t>
      </w:r>
      <w:r>
        <w:rPr>
          <w:rFonts w:hint="eastAsia" w:cs="MS Mincho"/>
          <w:color w:val="000000" w:themeColor="text1"/>
          <w:kern w:val="0"/>
          <w14:textFill>
            <w14:solidFill>
              <w14:schemeClr w14:val="tx1"/>
            </w14:solidFill>
          </w14:textFill>
        </w:rPr>
        <w:t>或</w:t>
      </w:r>
      <w:r>
        <w:rPr>
          <w:rFonts w:hint="eastAsia" w:cs="宋体"/>
          <w:color w:val="000000" w:themeColor="text1"/>
          <w:kern w:val="0"/>
          <w14:textFill>
            <w14:solidFill>
              <w14:schemeClr w14:val="tx1"/>
            </w14:solidFill>
          </w14:textFill>
        </w:rPr>
        <w:t>轻</w:t>
      </w:r>
      <w:r>
        <w:rPr>
          <w:rFonts w:hint="eastAsia" w:cs="MS Mincho"/>
          <w:color w:val="000000" w:themeColor="text1"/>
          <w:kern w:val="0"/>
          <w14:textFill>
            <w14:solidFill>
              <w14:schemeClr w14:val="tx1"/>
            </w14:solidFill>
          </w14:textFill>
        </w:rPr>
        <w:t>骨架</w:t>
      </w:r>
      <w:r>
        <w:rPr>
          <w:rFonts w:hint="eastAsia" w:cs="宋体"/>
          <w:color w:val="000000" w:themeColor="text1"/>
          <w:kern w:val="0"/>
          <w14:textFill>
            <w14:solidFill>
              <w14:schemeClr w14:val="tx1"/>
            </w14:solidFill>
          </w14:textFill>
        </w:rPr>
        <w:t>墙</w:t>
      </w:r>
      <w:r>
        <w:rPr>
          <w:rFonts w:hint="eastAsia" w:cs="MS Mincho"/>
          <w:color w:val="000000" w:themeColor="text1"/>
          <w:kern w:val="0"/>
          <w14:textFill>
            <w14:solidFill>
              <w14:schemeClr w14:val="tx1"/>
            </w14:solidFill>
          </w14:textFill>
        </w:rPr>
        <w:t>。</w:t>
      </w:r>
    </w:p>
    <w:p>
      <w:pPr>
        <w:spacing w:line="360" w:lineRule="auto"/>
        <w:ind w:firstLine="420"/>
        <w:rPr>
          <w:rFonts w:cs="MS Mincho"/>
          <w:color w:val="000000" w:themeColor="text1"/>
          <w:kern w:val="0"/>
          <w14:textFill>
            <w14:solidFill>
              <w14:schemeClr w14:val="tx1"/>
            </w14:solidFill>
          </w14:textFill>
        </w:rPr>
      </w:pPr>
    </w:p>
    <w:p>
      <w:pPr>
        <w:pStyle w:val="3"/>
      </w:pPr>
      <w:bookmarkStart w:id="115" w:name="_Toc48841039"/>
      <w:r>
        <w:rPr>
          <w:rFonts w:hint="eastAsia"/>
        </w:rPr>
        <w:t>抗震验算（1）——结构地震作用计算</w:t>
      </w:r>
      <w:bookmarkEnd w:id="115"/>
    </w:p>
    <w:p>
      <w:pPr>
        <w:autoSpaceDE w:val="0"/>
        <w:autoSpaceDN w:val="0"/>
        <w:spacing w:line="360" w:lineRule="auto"/>
        <w:ind w:firstLine="420"/>
        <w:jc w:val="center"/>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7.2.1 </w:t>
      </w:r>
      <w:r>
        <w:rPr>
          <w:rFonts w:hint="eastAsia" w:cs="HiddenHorzOCR" w:asciiTheme="minorEastAsia" w:hAnsiTheme="minorEastAsia"/>
          <w:color w:val="000000" w:themeColor="text1"/>
          <w:kern w:val="0"/>
          <w:szCs w:val="21"/>
          <w14:textFill>
            <w14:solidFill>
              <w14:schemeClr w14:val="tx1"/>
            </w14:solidFill>
          </w14:textFill>
        </w:rPr>
        <w:t>单层混</w:t>
      </w:r>
      <w:r>
        <w:rPr>
          <w:rFonts w:hint="eastAsia" w:cs="MS Mincho" w:asciiTheme="minorEastAsia" w:hAnsiTheme="minorEastAsia"/>
          <w:color w:val="000000" w:themeColor="text1"/>
          <w:kern w:val="0"/>
          <w:szCs w:val="21"/>
          <w14:textFill>
            <w14:solidFill>
              <w14:schemeClr w14:val="tx1"/>
            </w14:solidFill>
          </w14:textFill>
        </w:rPr>
        <w:t>凝土柱</w:t>
      </w:r>
      <w:r>
        <w:rPr>
          <w:rFonts w:hint="eastAsia" w:cs="宋体" w:asciiTheme="minorEastAsia" w:hAnsiTheme="minorEastAsia"/>
          <w:color w:val="000000" w:themeColor="text1"/>
          <w:kern w:val="0"/>
          <w:szCs w:val="21"/>
          <w14:textFill>
            <w14:solidFill>
              <w14:schemeClr w14:val="tx1"/>
            </w14:solidFill>
          </w14:textFill>
        </w:rPr>
        <w:t>结构</w:t>
      </w:r>
      <w:r>
        <w:rPr>
          <w:rFonts w:hint="eastAsia" w:cs="MS Mincho" w:asciiTheme="minorEastAsia" w:hAnsiTheme="minorEastAsia"/>
          <w:color w:val="000000" w:themeColor="text1"/>
          <w:kern w:val="0"/>
          <w:szCs w:val="21"/>
          <w14:textFill>
            <w14:solidFill>
              <w14:schemeClr w14:val="tx1"/>
            </w14:solidFill>
          </w14:textFill>
        </w:rPr>
        <w:t>的抗震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构在水平地震影响下的地震</w:t>
      </w:r>
      <w:r>
        <w:rPr>
          <w:rFonts w:hint="eastAsia" w:cs="HiddenHorzOCR" w:asciiTheme="minorEastAsia" w:hAnsiTheme="minorEastAsia"/>
          <w:color w:val="000000" w:themeColor="text1"/>
          <w:kern w:val="0"/>
          <w:szCs w:val="21"/>
          <w14:textFill>
            <w14:solidFill>
              <w14:schemeClr w14:val="tx1"/>
            </w14:solidFill>
          </w14:textFill>
        </w:rPr>
        <w:t>作用和作用效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，可按沿厂房横向和</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向分</w:t>
      </w:r>
      <w:r>
        <w:rPr>
          <w:rFonts w:hint="eastAsia" w:cs="宋体" w:asciiTheme="minorEastAsia" w:hAnsiTheme="minorEastAsia"/>
          <w:color w:val="000000" w:themeColor="text1"/>
          <w:kern w:val="0"/>
          <w:szCs w:val="21"/>
          <w14:textFill>
            <w14:solidFill>
              <w14:schemeClr w14:val="tx1"/>
            </w14:solidFill>
          </w14:textFill>
        </w:rPr>
        <w:t>别进</w:t>
      </w:r>
      <w:r>
        <w:rPr>
          <w:rFonts w:hint="eastAsia" w:cs="MS Mincho" w:asciiTheme="minorEastAsia" w:hAnsiTheme="minorEastAsia"/>
          <w:color w:val="000000" w:themeColor="text1"/>
          <w:kern w:val="0"/>
          <w:szCs w:val="21"/>
          <w14:textFill>
            <w14:solidFill>
              <w14:schemeClr w14:val="tx1"/>
            </w14:solidFill>
          </w14:textFill>
        </w:rPr>
        <w:t>行。</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行水平地震作用下</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构构件和</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HiddenHorzOCR" w:asciiTheme="minorEastAsia" w:hAnsiTheme="minorEastAsia"/>
          <w:color w:val="000000" w:themeColor="text1"/>
          <w:kern w:val="0"/>
          <w:szCs w:val="21"/>
          <w14:textFill>
            <w14:solidFill>
              <w14:schemeClr w14:val="tx1"/>
            </w14:solidFill>
          </w14:textFill>
        </w:rPr>
        <w:t>力抗震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7.2.2 </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构在地震下的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算模型，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w:t>
      </w:r>
      <w:r>
        <w:rPr>
          <w:rFonts w:hint="eastAsia" w:cs="HiddenHorzOCR" w:asciiTheme="minorEastAsia" w:hAnsiTheme="minorEastAsia"/>
          <w:color w:val="000000" w:themeColor="text1"/>
          <w:kern w:val="0"/>
          <w:szCs w:val="21"/>
          <w14:textFill>
            <w14:solidFill>
              <w14:schemeClr w14:val="tx1"/>
            </w14:solidFill>
          </w14:textFill>
        </w:rPr>
        <w:t>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各</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元的横、纵向地震作用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算，宜采用空</w:t>
      </w:r>
      <w:r>
        <w:rPr>
          <w:rFonts w:hint="eastAsia" w:cs="宋体" w:asciiTheme="minorEastAsia" w:hAnsiTheme="minorEastAsia"/>
          <w:color w:val="000000" w:themeColor="text1"/>
          <w:kern w:val="0"/>
          <w:szCs w:val="21"/>
          <w14:textFill>
            <w14:solidFill>
              <w14:schemeClr w14:val="tx1"/>
            </w14:solidFill>
          </w14:textFill>
        </w:rPr>
        <w:t>间结</w:t>
      </w:r>
      <w:r>
        <w:rPr>
          <w:rFonts w:hint="eastAsia" w:cs="HiddenHorzOCR"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算模型，并考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平</w:t>
      </w:r>
      <w:r>
        <w:rPr>
          <w:rFonts w:hint="eastAsia" w:cs="HiddenHorzOCR" w:asciiTheme="minorEastAsia" w:hAnsiTheme="minorEastAsia"/>
          <w:color w:val="000000" w:themeColor="text1"/>
          <w:kern w:val="0"/>
          <w:szCs w:val="21"/>
          <w14:textFill>
            <w14:solidFill>
              <w14:schemeClr w14:val="tx1"/>
            </w14:solidFill>
          </w14:textFill>
        </w:rPr>
        <w:t>-扭耦</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的地震反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屋盖支撑按本章第7.4</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采用考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屋盖</w:t>
      </w:r>
      <w:r>
        <w:rPr>
          <w:rFonts w:hint="eastAsia" w:cs="宋体" w:asciiTheme="minorEastAsia" w:hAnsiTheme="minorEastAsia"/>
          <w:color w:val="000000" w:themeColor="text1"/>
          <w:kern w:val="0"/>
          <w:szCs w:val="21"/>
          <w14:textFill>
            <w14:solidFill>
              <w14:schemeClr w14:val="tx1"/>
            </w14:solidFill>
          </w14:textFill>
        </w:rPr>
        <w:t>弹</w:t>
      </w:r>
      <w:r>
        <w:rPr>
          <w:rFonts w:hint="eastAsia" w:cs="HiddenHorzOCR" w:asciiTheme="minorEastAsia" w:hAnsiTheme="minorEastAsia"/>
          <w:color w:val="000000" w:themeColor="text1"/>
          <w:kern w:val="0"/>
          <w:szCs w:val="21"/>
          <w14:textFill>
            <w14:solidFill>
              <w14:schemeClr w14:val="tx1"/>
            </w14:solidFill>
          </w14:textFill>
        </w:rPr>
        <w:t>性</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形的空</w:t>
      </w:r>
      <w:r>
        <w:rPr>
          <w:rFonts w:hint="eastAsia" w:cs="宋体" w:asciiTheme="minorEastAsia" w:hAnsiTheme="minorEastAsia"/>
          <w:color w:val="000000" w:themeColor="text1"/>
          <w:kern w:val="0"/>
          <w:szCs w:val="21"/>
          <w14:textFill>
            <w14:solidFill>
              <w14:schemeClr w14:val="tx1"/>
            </w14:solidFill>
          </w14:textFill>
        </w:rPr>
        <w:t>间结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算模型，</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平-扭耦</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的地震作用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HiddenHorzOCR"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结构横向地震作用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算中可以忽略扭</w:t>
      </w:r>
      <w:r>
        <w:rPr>
          <w:rFonts w:hint="eastAsia" w:cs="宋体" w:asciiTheme="minorEastAsia" w:hAnsiTheme="minorEastAsia"/>
          <w:color w:val="000000" w:themeColor="text1"/>
          <w:kern w:val="0"/>
          <w:szCs w:val="21"/>
          <w14:textFill>
            <w14:solidFill>
              <w14:schemeClr w14:val="tx1"/>
            </w14:solidFill>
          </w14:textFill>
        </w:rPr>
        <w:t>转</w:t>
      </w:r>
      <w:r>
        <w:rPr>
          <w:rFonts w:hint="eastAsia" w:cs="MS Mincho" w:asciiTheme="minorEastAsia" w:hAnsiTheme="minorEastAsia"/>
          <w:color w:val="000000" w:themeColor="text1"/>
          <w:kern w:val="0"/>
          <w:szCs w:val="21"/>
          <w14:textFill>
            <w14:solidFill>
              <w14:schemeClr w14:val="tx1"/>
            </w14:solidFill>
          </w14:textFill>
        </w:rPr>
        <w:t>影响的</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HiddenHorzOCR" w:asciiTheme="minorEastAsia" w:hAnsiTheme="minorEastAsia"/>
          <w:color w:val="000000" w:themeColor="text1"/>
          <w:kern w:val="0"/>
          <w:szCs w:val="21"/>
          <w14:textFill>
            <w14:solidFill>
              <w14:schemeClr w14:val="tx1"/>
            </w14:solidFill>
          </w14:textFill>
        </w:rPr>
        <w:t>元，可取</w:t>
      </w:r>
      <w:r>
        <w:rPr>
          <w:rFonts w:hint="eastAsia" w:cs="宋体" w:asciiTheme="minorEastAsia" w:hAnsiTheme="minorEastAsia"/>
          <w:color w:val="000000" w:themeColor="text1"/>
          <w:kern w:val="0"/>
          <w:szCs w:val="21"/>
          <w14:textFill>
            <w14:solidFill>
              <w14:schemeClr w14:val="tx1"/>
            </w14:solidFill>
          </w14:textFill>
        </w:rPr>
        <w:t>较</w:t>
      </w:r>
      <w:r>
        <w:rPr>
          <w:rFonts w:hint="eastAsia" w:cs="MS Mincho" w:asciiTheme="minorEastAsia" w:hAnsiTheme="minorEastAsia"/>
          <w:color w:val="000000" w:themeColor="text1"/>
          <w:kern w:val="0"/>
          <w:szCs w:val="21"/>
          <w14:textFill>
            <w14:solidFill>
              <w14:schemeClr w14:val="tx1"/>
            </w14:solidFill>
          </w14:textFill>
        </w:rPr>
        <w:t>小的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元按平面模型</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结构各横向排架</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较</w:t>
      </w:r>
      <w:r>
        <w:rPr>
          <w:rFonts w:hint="eastAsia" w:cs="MS Mincho" w:asciiTheme="minorEastAsia" w:hAnsiTheme="minorEastAsia"/>
          <w:color w:val="000000" w:themeColor="text1"/>
          <w:kern w:val="0"/>
          <w:szCs w:val="21"/>
          <w14:textFill>
            <w14:solidFill>
              <w14:schemeClr w14:val="tx1"/>
            </w14:solidFill>
          </w14:textFill>
        </w:rPr>
        <w:t>均匀</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，可按平面排架</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算模型</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HiddenHorzOCR" w:asciiTheme="minorEastAsia" w:hAnsiTheme="minorEastAsia"/>
          <w:color w:val="000000" w:themeColor="text1"/>
          <w:kern w:val="0"/>
          <w:szCs w:val="21"/>
          <w14:textFill>
            <w14:solidFill>
              <w14:schemeClr w14:val="tx1"/>
            </w14:solidFill>
          </w14:textFill>
        </w:rPr>
        <w:t>沿结构横向的地震作用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因抽柱子而横向排架</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度不均匀的厂房可取</w:t>
      </w:r>
      <w:r>
        <w:rPr>
          <w:rFonts w:hint="eastAsia" w:cs="HiddenHorzOCR" w:asciiTheme="minorEastAsia" w:hAnsiTheme="minorEastAsia"/>
          <w:color w:val="000000" w:themeColor="text1"/>
          <w:kern w:val="0"/>
          <w:szCs w:val="21"/>
          <w14:textFill>
            <w14:solidFill>
              <w14:schemeClr w14:val="tx1"/>
            </w14:solidFill>
          </w14:textFill>
        </w:rPr>
        <w:t>横向</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元进行计算。各横向排架相连的柱</w:t>
      </w:r>
      <w:r>
        <w:rPr>
          <w:rFonts w:hint="eastAsia" w:cs="宋体" w:asciiTheme="minorEastAsia" w:hAnsiTheme="minorEastAsia"/>
          <w:color w:val="000000" w:themeColor="text1"/>
          <w:kern w:val="0"/>
          <w:szCs w:val="21"/>
          <w14:textFill>
            <w14:solidFill>
              <w14:schemeClr w14:val="tx1"/>
            </w14:solidFill>
          </w14:textFill>
        </w:rPr>
        <w:t>顶为</w:t>
      </w:r>
      <w:r>
        <w:rPr>
          <w:rFonts w:hint="eastAsia" w:cs="MS Mincho" w:asciiTheme="minorEastAsia" w:hAnsiTheme="minorEastAsia"/>
          <w:color w:val="000000" w:themeColor="text1"/>
          <w:kern w:val="0"/>
          <w:szCs w:val="21"/>
          <w14:textFill>
            <w14:solidFill>
              <w14:schemeClr w14:val="tx1"/>
            </w14:solidFill>
          </w14:textFill>
        </w:rPr>
        <w:t>等</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位，采用平</w:t>
      </w:r>
      <w:r>
        <w:rPr>
          <w:rFonts w:hint="eastAsia" w:cs="HiddenHorzOCR" w:asciiTheme="minorEastAsia" w:hAnsiTheme="minorEastAsia"/>
          <w:color w:val="000000" w:themeColor="text1"/>
          <w:kern w:val="0"/>
          <w:szCs w:val="21"/>
          <w14:textFill>
            <w14:solidFill>
              <w14:schemeClr w14:val="tx1"/>
            </w14:solidFill>
          </w14:textFill>
        </w:rPr>
        <w:t>面模型</w:t>
      </w:r>
      <w:r>
        <w:rPr>
          <w:rFonts w:hint="eastAsia" w:cs="宋体" w:asciiTheme="minorEastAsia" w:hAnsiTheme="minorEastAsia"/>
          <w:color w:val="000000" w:themeColor="text1"/>
          <w:kern w:val="0"/>
          <w:szCs w:val="21"/>
          <w14:textFill>
            <w14:solidFill>
              <w14:schemeClr w14:val="tx1"/>
            </w14:solidFill>
          </w14:textFill>
        </w:rPr>
        <w:t>计</w:t>
      </w:r>
      <w:r>
        <w:rPr>
          <w:rFonts w:hint="eastAsia" w:cs="HiddenHorzOCR" w:asciiTheme="minorEastAsia" w:hAnsiTheme="minorEastAsia"/>
          <w:color w:val="000000" w:themeColor="text1"/>
          <w:kern w:val="0"/>
          <w:szCs w:val="21"/>
          <w14:textFill>
            <w14:solidFill>
              <w14:schemeClr w14:val="tx1"/>
            </w14:solidFill>
          </w14:textFill>
        </w:rPr>
        <w:t>算沿结构横向的地震作用效</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3</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沿</w:t>
      </w:r>
      <w:r>
        <w:rPr>
          <w:rFonts w:hint="eastAsia" w:cs="HiddenHorzOCR" w:asciiTheme="minorEastAsia" w:hAnsiTheme="minorEastAsia"/>
          <w:color w:val="000000" w:themeColor="text1"/>
          <w:kern w:val="0"/>
          <w:szCs w:val="21"/>
          <w14:textFill>
            <w14:solidFill>
              <w14:schemeClr w14:val="tx1"/>
            </w14:solidFill>
          </w14:textFill>
        </w:rPr>
        <w:t>结构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向的地震作用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算可按柱列取平面</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算模型分</w:t>
      </w:r>
      <w:r>
        <w:rPr>
          <w:rFonts w:hint="eastAsia" w:cs="宋体" w:asciiTheme="minorEastAsia" w:hAnsiTheme="minorEastAsia"/>
          <w:color w:val="000000" w:themeColor="text1"/>
          <w:kern w:val="0"/>
          <w:szCs w:val="21"/>
          <w14:textFill>
            <w14:solidFill>
              <w14:schemeClr w14:val="tx1"/>
            </w14:solidFill>
          </w14:textFill>
        </w:rPr>
        <w:t>别进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宋体" w:asciiTheme="minorEastAsia" w:hAnsiTheme="minorEastAsia"/>
          <w:color w:val="000000" w:themeColor="text1"/>
          <w:kern w:val="0"/>
          <w:szCs w:val="21"/>
          <w14:textFill>
            <w14:solidFill>
              <w14:schemeClr w14:val="tx1"/>
            </w14:solidFill>
          </w14:textFill>
        </w:rPr>
        <w:t>计</w:t>
      </w:r>
      <w:r>
        <w:rPr>
          <w:rFonts w:hint="eastAsia" w:cs="HiddenHorzOCR" w:asciiTheme="minorEastAsia" w:hAnsiTheme="minorEastAsia"/>
          <w:color w:val="000000" w:themeColor="text1"/>
          <w:kern w:val="0"/>
          <w:szCs w:val="21"/>
          <w14:textFill>
            <w14:solidFill>
              <w14:schemeClr w14:val="tx1"/>
            </w14:solidFill>
          </w14:textFill>
        </w:rPr>
        <w:t>算。各屋盖</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量的一半分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集中于屋盖两</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的柱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7.2.3 </w:t>
      </w:r>
      <w:r>
        <w:rPr>
          <w:rFonts w:hint="eastAsia" w:cs="宋体" w:asciiTheme="minorEastAsia" w:hAnsiTheme="minorEastAsia"/>
          <w:color w:val="000000" w:themeColor="text1"/>
          <w:kern w:val="0"/>
          <w:szCs w:val="21"/>
          <w14:textFill>
            <w14:solidFill>
              <w14:schemeClr w14:val="tx1"/>
            </w14:solidFill>
          </w14:textFill>
        </w:rPr>
        <w:t>单层</w:t>
      </w:r>
      <w:r>
        <w:rPr>
          <w:rFonts w:hint="eastAsia" w:cs="MS Mincho" w:asciiTheme="minorEastAsia" w:hAnsiTheme="minorEastAsia"/>
          <w:color w:val="000000" w:themeColor="text1"/>
          <w:kern w:val="0"/>
          <w:szCs w:val="21"/>
          <w14:textFill>
            <w14:solidFill>
              <w14:schemeClr w14:val="tx1"/>
            </w14:solidFill>
          </w14:textFill>
        </w:rPr>
        <w:t>结构的横向</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元，可按下列</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定划分</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划分</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，假定</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元排架可独立</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形，不受</w:t>
      </w:r>
      <w:r>
        <w:rPr>
          <w:rFonts w:hint="eastAsia" w:cs="宋体" w:asciiTheme="minorEastAsia" w:hAnsiTheme="minorEastAsia"/>
          <w:color w:val="000000" w:themeColor="text1"/>
          <w:kern w:val="0"/>
          <w:szCs w:val="21"/>
          <w14:textFill>
            <w14:solidFill>
              <w14:schemeClr w14:val="tx1"/>
            </w14:solidFill>
          </w14:textFill>
        </w:rPr>
        <w:t>邻</w:t>
      </w:r>
      <w:r>
        <w:rPr>
          <w:rFonts w:hint="eastAsia" w:cs="MS Mincho" w:asciiTheme="minorEastAsia" w:hAnsiTheme="minorEastAsia"/>
          <w:color w:val="000000" w:themeColor="text1"/>
          <w:kern w:val="0"/>
          <w:szCs w:val="21"/>
          <w14:textFill>
            <w14:solidFill>
              <w14:schemeClr w14:val="tx1"/>
            </w14:solidFill>
          </w14:textFill>
        </w:rPr>
        <w:t>近</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元排架的</w:t>
      </w:r>
      <w:r>
        <w:rPr>
          <w:rFonts w:hint="eastAsia" w:cs="宋体" w:asciiTheme="minorEastAsia" w:hAnsiTheme="minorEastAsia"/>
          <w:color w:val="000000" w:themeColor="text1"/>
          <w:kern w:val="0"/>
          <w:szCs w:val="21"/>
          <w14:textFill>
            <w14:solidFill>
              <w14:schemeClr w14:val="tx1"/>
            </w14:solidFill>
          </w14:textFill>
        </w:rPr>
        <w:t>约</w:t>
      </w:r>
      <w:r>
        <w:rPr>
          <w:rFonts w:hint="eastAsia" w:cs="MS Mincho" w:asciiTheme="minorEastAsia" w:hAnsiTheme="minorEastAsia"/>
          <w:color w:val="000000" w:themeColor="text1"/>
          <w:kern w:val="0"/>
          <w:szCs w:val="21"/>
          <w14:textFill>
            <w14:solidFill>
              <w14:schemeClr w14:val="tx1"/>
            </w14:solidFill>
          </w14:textFill>
        </w:rPr>
        <w:t>束。</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各柱列柱距不等的</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构，划分</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使</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元的每一柱列最少有一根柱子，以形成</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构的排架</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7.2.4 双肢柱按双肢截面进行计算时，应考虑材料弹塑性变形的影响。此时，双肢柱刚度应乘以0.85的折减系数。</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7.2.5 </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行结构横向地震作用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，宜采用多</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点体系，</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点布置和</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量集中</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1</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行天窗架的横向抗震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，天窗屋盖</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量集中于</w:t>
      </w:r>
      <w:r>
        <w:rPr>
          <w:rFonts w:hint="eastAsia" w:cs="HiddenHorzOCR" w:asciiTheme="minorEastAsia" w:hAnsiTheme="minorEastAsia"/>
          <w:color w:val="000000" w:themeColor="text1"/>
          <w:kern w:val="0"/>
          <w:szCs w:val="21"/>
          <w14:textFill>
            <w14:solidFill>
              <w14:schemeClr w14:val="tx1"/>
            </w14:solidFill>
          </w14:textFill>
        </w:rPr>
        <w:t>屋盖横梁</w:t>
      </w:r>
      <w:r>
        <w:rPr>
          <w:rFonts w:hint="eastAsia" w:cs="宋体" w:asciiTheme="minorEastAsia" w:hAnsiTheme="minorEastAsia"/>
          <w:color w:val="000000" w:themeColor="text1"/>
          <w:kern w:val="0"/>
          <w:szCs w:val="21"/>
          <w14:textFill>
            <w14:solidFill>
              <w14:schemeClr w14:val="tx1"/>
            </w14:solidFill>
          </w14:textFill>
        </w:rPr>
        <w:t>处</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排架柱自重和</w:t>
      </w:r>
      <w:r>
        <w:rPr>
          <w:rFonts w:hint="eastAsia" w:cs="宋体" w:asciiTheme="minorEastAsia" w:hAnsiTheme="minorEastAsia"/>
          <w:color w:val="000000" w:themeColor="text1"/>
          <w:kern w:val="0"/>
          <w:szCs w:val="21"/>
          <w14:textFill>
            <w14:solidFill>
              <w14:schemeClr w14:val="tx1"/>
            </w14:solidFill>
          </w14:textFill>
        </w:rPr>
        <w:t>桥</w:t>
      </w:r>
      <w:r>
        <w:rPr>
          <w:rFonts w:hint="eastAsia" w:cs="MS Mincho" w:asciiTheme="minorEastAsia" w:hAnsiTheme="minorEastAsia"/>
          <w:color w:val="000000" w:themeColor="text1"/>
          <w:kern w:val="0"/>
          <w:szCs w:val="21"/>
          <w14:textFill>
            <w14:solidFill>
              <w14:schemeClr w14:val="tx1"/>
            </w14:solidFill>
          </w14:textFill>
        </w:rPr>
        <w:t>式吊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，可按下列方法</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量集</w:t>
      </w:r>
      <w:r>
        <w:rPr>
          <w:rFonts w:hint="eastAsia" w:cs="HiddenHorzOCR" w:asciiTheme="minorEastAsia" w:hAnsiTheme="minorEastAsia"/>
          <w:color w:val="000000" w:themeColor="text1"/>
          <w:kern w:val="0"/>
          <w:szCs w:val="21"/>
          <w14:textFill>
            <w14:solidFill>
              <w14:schemeClr w14:val="tx1"/>
            </w14:solidFill>
          </w14:textFill>
        </w:rPr>
        <w:t>中：</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1）柱子自重分到柱段的上下</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处</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MS Mincho"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梁自重及</w:t>
      </w:r>
      <w:r>
        <w:rPr>
          <w:rFonts w:hint="eastAsia" w:cs="宋体" w:asciiTheme="minorEastAsia" w:hAnsiTheme="minorEastAsia"/>
          <w:color w:val="000000" w:themeColor="text1"/>
          <w:kern w:val="0"/>
          <w:szCs w:val="21"/>
          <w14:textFill>
            <w14:solidFill>
              <w14:schemeClr w14:val="tx1"/>
            </w14:solidFill>
          </w14:textFill>
        </w:rPr>
        <w:t>桥</w:t>
      </w:r>
      <w:r>
        <w:rPr>
          <w:rFonts w:hint="eastAsia" w:cs="MS Mincho" w:asciiTheme="minorEastAsia" w:hAnsiTheme="minorEastAsia"/>
          <w:color w:val="000000" w:themeColor="text1"/>
          <w:kern w:val="0"/>
          <w:szCs w:val="21"/>
          <w14:textFill>
            <w14:solidFill>
              <w14:schemeClr w14:val="tx1"/>
            </w14:solidFill>
          </w14:textFill>
        </w:rPr>
        <w:t>式吊</w:t>
      </w:r>
      <w:r>
        <w:rPr>
          <w:rFonts w:hint="eastAsia" w:cs="宋体" w:asciiTheme="minorEastAsia" w:hAnsiTheme="minorEastAsia"/>
          <w:color w:val="000000" w:themeColor="text1"/>
          <w:kern w:val="0"/>
          <w:szCs w:val="21"/>
          <w14:textFill>
            <w14:solidFill>
              <w14:schemeClr w14:val="tx1"/>
            </w14:solidFill>
          </w14:textFill>
        </w:rPr>
        <w:t>车质</w:t>
      </w:r>
      <w:r>
        <w:rPr>
          <w:rFonts w:hint="eastAsia" w:cs="MS Mincho" w:asciiTheme="minorEastAsia" w:hAnsiTheme="minorEastAsia"/>
          <w:color w:val="000000" w:themeColor="text1"/>
          <w:kern w:val="0"/>
          <w:szCs w:val="21"/>
          <w14:textFill>
            <w14:solidFill>
              <w14:schemeClr w14:val="tx1"/>
            </w14:solidFill>
          </w14:textFill>
        </w:rPr>
        <w:t>量</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于下一</w:t>
      </w:r>
      <w:r>
        <w:rPr>
          <w:rFonts w:hint="eastAsia" w:cs="宋体" w:asciiTheme="minorEastAsia" w:hAnsiTheme="minorEastAsia"/>
          <w:color w:val="000000" w:themeColor="text1"/>
          <w:kern w:val="0"/>
          <w:szCs w:val="21"/>
          <w14:textFill>
            <w14:solidFill>
              <w14:schemeClr w14:val="tx1"/>
            </w14:solidFill>
          </w14:textFill>
        </w:rPr>
        <w:t>阶</w:t>
      </w:r>
      <w:r>
        <w:rPr>
          <w:rFonts w:hint="eastAsia" w:cs="MS Mincho" w:asciiTheme="minorEastAsia" w:hAnsiTheme="minorEastAsia"/>
          <w:color w:val="000000" w:themeColor="text1"/>
          <w:kern w:val="0"/>
          <w:szCs w:val="21"/>
          <w14:textFill>
            <w14:solidFill>
              <w14:schemeClr w14:val="tx1"/>
            </w14:solidFill>
          </w14:textFill>
        </w:rPr>
        <w:t>柱段的上</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7.2.6 进行</w:t>
      </w:r>
      <w:r>
        <w:rPr>
          <w:rFonts w:hint="eastAsia" w:cs="MS Mincho" w:asciiTheme="minorEastAsia" w:hAnsiTheme="minorEastAsia"/>
          <w:color w:val="000000" w:themeColor="text1"/>
          <w:kern w:val="0"/>
          <w:szCs w:val="21"/>
          <w14:textFill>
            <w14:solidFill>
              <w14:schemeClr w14:val="tx1"/>
            </w14:solidFill>
          </w14:textFill>
        </w:rPr>
        <w:t>结构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，各柱列</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移</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度的确</w:t>
      </w:r>
      <w:r>
        <w:rPr>
          <w:rFonts w:hint="eastAsia" w:cs="HiddenHorzOCR" w:asciiTheme="minorEastAsia" w:hAnsiTheme="minorEastAsia"/>
          <w:color w:val="000000" w:themeColor="text1"/>
          <w:kern w:val="0"/>
          <w:szCs w:val="21"/>
          <w14:textFill>
            <w14:solidFill>
              <w14:schemeClr w14:val="tx1"/>
            </w14:solidFill>
          </w14:textFill>
        </w:rPr>
        <w:t>定，</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屋架</w:t>
      </w:r>
      <w:r>
        <w:rPr>
          <w:rFonts w:hint="eastAsia" w:cs="HiddenHorzOCR" w:asciiTheme="minorEastAsia" w:hAnsiTheme="minorEastAsia"/>
          <w:color w:val="000000" w:themeColor="text1"/>
          <w:kern w:val="0"/>
          <w:szCs w:val="21"/>
          <w14:textFill>
            <w14:solidFill>
              <w14:schemeClr w14:val="tx1"/>
            </w14:solidFill>
          </w14:textFill>
        </w:rPr>
        <w:t>（屋面梁）端部垂直支撑的厂房，</w:t>
      </w:r>
      <w:r>
        <w:rPr>
          <w:rFonts w:hint="eastAsia" w:cs="MS Mincho" w:asciiTheme="minorEastAsia" w:hAnsiTheme="minorEastAsia"/>
          <w:color w:val="000000" w:themeColor="text1"/>
          <w:kern w:val="0"/>
          <w:szCs w:val="21"/>
          <w14:textFill>
            <w14:solidFill>
              <w14:schemeClr w14:val="tx1"/>
            </w14:solidFill>
          </w14:textFill>
        </w:rPr>
        <w:t>柱列</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度可假</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由柱和上、下柱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支撑共同提供，</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交叉形支撑当斜杆的</w:t>
      </w:r>
      <w:r>
        <w:rPr>
          <w:rFonts w:hint="eastAsia" w:cs="宋体" w:asciiTheme="minorEastAsia" w:hAnsiTheme="minorEastAsia"/>
          <w:color w:val="000000" w:themeColor="text1"/>
          <w:kern w:val="0"/>
          <w:szCs w:val="21"/>
          <w14:textFill>
            <w14:solidFill>
              <w14:schemeClr w14:val="tx1"/>
            </w14:solidFill>
          </w14:textFill>
        </w:rPr>
        <w:t>长细</w:t>
      </w:r>
      <w:r>
        <w:rPr>
          <w:rFonts w:hint="eastAsia" w:cs="MS Mincho" w:asciiTheme="minorEastAsia" w:hAnsiTheme="minorEastAsia"/>
          <w:color w:val="000000" w:themeColor="text1"/>
          <w:kern w:val="0"/>
          <w:szCs w:val="21"/>
          <w14:textFill>
            <w14:solidFill>
              <w14:schemeClr w14:val="tx1"/>
            </w14:solidFill>
          </w14:textFill>
        </w:rPr>
        <w:t>比不大于</w:t>
      </w:r>
      <w:r>
        <w:rPr>
          <w:rFonts w:hint="eastAsia" w:cs="HiddenHorzOCR" w:asciiTheme="minorEastAsia" w:hAnsiTheme="minorEastAsia"/>
          <w:color w:val="000000" w:themeColor="text1"/>
          <w:kern w:val="0"/>
          <w:szCs w:val="21"/>
          <w14:textFill>
            <w14:solidFill>
              <w14:schemeClr w14:val="tx1"/>
            </w14:solidFill>
          </w14:textFill>
        </w:rPr>
        <w:t>200</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w:t>
      </w:r>
      <w:r>
        <w:rPr>
          <w:rFonts w:hint="eastAsia" w:cs="HiddenHorzOCR"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虑压</w:t>
      </w:r>
      <w:r>
        <w:rPr>
          <w:rFonts w:hint="eastAsia" w:cs="MS Mincho" w:asciiTheme="minorEastAsia" w:hAnsiTheme="minorEastAsia"/>
          <w:color w:val="000000" w:themeColor="text1"/>
          <w:kern w:val="0"/>
          <w:szCs w:val="21"/>
          <w14:textFill>
            <w14:solidFill>
              <w14:schemeClr w14:val="tx1"/>
            </w14:solidFill>
          </w14:textFill>
        </w:rPr>
        <w:t>杆的</w:t>
      </w:r>
      <w:r>
        <w:rPr>
          <w:rFonts w:hint="eastAsia" w:cs="宋体" w:asciiTheme="minorEastAsia" w:hAnsiTheme="minorEastAsia"/>
          <w:color w:val="000000" w:themeColor="text1"/>
          <w:kern w:val="0"/>
          <w:szCs w:val="21"/>
          <w14:textFill>
            <w14:solidFill>
              <w14:schemeClr w14:val="tx1"/>
            </w14:solidFill>
          </w14:textFill>
        </w:rPr>
        <w:t>协</w:t>
      </w:r>
      <w:r>
        <w:rPr>
          <w:rFonts w:hint="eastAsia" w:cs="MS Mincho" w:asciiTheme="minorEastAsia" w:hAnsiTheme="minorEastAsia"/>
          <w:color w:val="000000" w:themeColor="text1"/>
          <w:kern w:val="0"/>
          <w:szCs w:val="21"/>
          <w14:textFill>
            <w14:solidFill>
              <w14:schemeClr w14:val="tx1"/>
            </w14:solidFill>
          </w14:textFill>
        </w:rPr>
        <w:t>同工作。</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屋架端部垂直支撑</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，在柱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HiddenHorzOCR" w:asciiTheme="minorEastAsia" w:hAnsiTheme="minorEastAsia"/>
          <w:color w:val="000000" w:themeColor="text1"/>
          <w:kern w:val="0"/>
          <w:szCs w:val="21"/>
          <w14:textFill>
            <w14:solidFill>
              <w14:schemeClr w14:val="tx1"/>
            </w14:solidFill>
          </w14:textFill>
        </w:rPr>
        <w:t>（不等高结构在支撑低跨屋盖的牛腿</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面</w:t>
      </w:r>
      <w:r>
        <w:rPr>
          <w:rFonts w:hint="eastAsia" w:cs="HiddenHorzOCR" w:asciiTheme="minorEastAsia" w:hAnsiTheme="minorEastAsia"/>
          <w:color w:val="000000" w:themeColor="text1"/>
          <w:kern w:val="0"/>
          <w:szCs w:val="21"/>
          <w14:textFill>
            <w14:solidFill>
              <w14:schemeClr w14:val="tx1"/>
            </w14:solidFill>
          </w14:textFill>
        </w:rPr>
        <w:t>）以上柱列的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度由屋架端部垂直支撑</w:t>
      </w:r>
      <w:r>
        <w:rPr>
          <w:rFonts w:hint="eastAsia" w:cs="宋体" w:asciiTheme="minorEastAsia" w:hAnsiTheme="minorEastAsia"/>
          <w:color w:val="000000" w:themeColor="text1"/>
          <w:kern w:val="0"/>
          <w:szCs w:val="21"/>
          <w14:textFill>
            <w14:solidFill>
              <w14:schemeClr w14:val="tx1"/>
            </w14:solidFill>
          </w14:textFill>
        </w:rPr>
        <w:t>提供</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7.2.7 </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行结构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点布置和</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量集中</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符合第7.2.5条</w:t>
      </w:r>
      <w:r>
        <w:rPr>
          <w:rFonts w:hint="eastAsia" w:cs="HiddenHorzOCR" w:asciiTheme="minorEastAsia" w:hAnsiTheme="minorEastAsia"/>
          <w:color w:val="000000" w:themeColor="text1"/>
          <w:kern w:val="0"/>
          <w:szCs w:val="21"/>
          <w14:textFill>
            <w14:solidFill>
              <w14:schemeClr w14:val="tx1"/>
            </w14:solidFill>
          </w14:textFill>
        </w:rPr>
        <w:t>的要求</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7.2.8 </w:t>
      </w:r>
      <w:r>
        <w:rPr>
          <w:rFonts w:hint="eastAsia" w:cs="宋体" w:asciiTheme="minorEastAsia" w:hAnsiTheme="minorEastAsia"/>
          <w:color w:val="000000" w:themeColor="text1"/>
          <w:kern w:val="0"/>
          <w:szCs w:val="21"/>
          <w14:textFill>
            <w14:solidFill>
              <w14:schemeClr w14:val="tx1"/>
            </w14:solidFill>
          </w14:textFill>
        </w:rPr>
        <w:t>单层</w:t>
      </w:r>
      <w:r>
        <w:rPr>
          <w:rFonts w:hint="eastAsia" w:cs="MS Mincho" w:asciiTheme="minorEastAsia" w:hAnsiTheme="minorEastAsia"/>
          <w:color w:val="000000" w:themeColor="text1"/>
          <w:kern w:val="0"/>
          <w:szCs w:val="21"/>
          <w14:textFill>
            <w14:solidFill>
              <w14:schemeClr w14:val="tx1"/>
            </w14:solidFill>
          </w14:textFill>
        </w:rPr>
        <w:t>结构中突出屋面的天窗架及其两</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垂直支撑的地震</w:t>
      </w:r>
      <w:r>
        <w:rPr>
          <w:rFonts w:hint="eastAsia" w:cs="HiddenHorzOCR" w:asciiTheme="minorEastAsia" w:hAnsiTheme="minorEastAsia"/>
          <w:color w:val="000000" w:themeColor="text1"/>
          <w:kern w:val="0"/>
          <w:szCs w:val="21"/>
          <w14:textFill>
            <w14:solidFill>
              <w14:schemeClr w14:val="tx1"/>
            </w14:solidFill>
          </w14:textFill>
        </w:rPr>
        <w:t>作用效</w:t>
      </w:r>
      <w:r>
        <w:rPr>
          <w:rFonts w:hint="eastAsia" w:cs="宋体" w:asciiTheme="minorEastAsia" w:hAnsiTheme="minorEastAsia"/>
          <w:color w:val="000000" w:themeColor="text1"/>
          <w:kern w:val="0"/>
          <w:szCs w:val="21"/>
          <w14:textFill>
            <w14:solidFill>
              <w14:schemeClr w14:val="tx1"/>
            </w14:solidFill>
          </w14:textFill>
        </w:rPr>
        <w:t>应计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将天窗架及其两</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垂直支撑作</w:t>
      </w:r>
      <w:r>
        <w:rPr>
          <w:rFonts w:hint="eastAsia" w:cs="宋体" w:asciiTheme="minorEastAsia" w:hAnsiTheme="minorEastAsia"/>
          <w:color w:val="000000" w:themeColor="text1"/>
          <w:kern w:val="0"/>
          <w:szCs w:val="21"/>
          <w14:textFill>
            <w14:solidFill>
              <w14:schemeClr w14:val="tx1"/>
            </w14:solidFill>
          </w14:textFill>
        </w:rPr>
        <w:t>为结</w:t>
      </w:r>
      <w:r>
        <w:rPr>
          <w:rFonts w:hint="eastAsia" w:cs="MS Mincho" w:asciiTheme="minorEastAsia" w:hAnsiTheme="minorEastAsia"/>
          <w:color w:val="000000" w:themeColor="text1"/>
          <w:kern w:val="0"/>
          <w:szCs w:val="21"/>
          <w14:textFill>
            <w14:solidFill>
              <w14:schemeClr w14:val="tx1"/>
            </w14:solidFill>
          </w14:textFill>
        </w:rPr>
        <w:t>构的</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成部分，</w:t>
      </w:r>
      <w:r>
        <w:rPr>
          <w:rFonts w:hint="eastAsia" w:cs="宋体" w:asciiTheme="minorEastAsia" w:hAnsiTheme="minorEastAsia"/>
          <w:color w:val="000000" w:themeColor="text1"/>
          <w:kern w:val="0"/>
          <w:szCs w:val="21"/>
          <w14:textFill>
            <w14:solidFill>
              <w14:schemeClr w14:val="tx1"/>
            </w14:solidFill>
          </w14:textFill>
        </w:rPr>
        <w:t>纳</w:t>
      </w:r>
      <w:r>
        <w:rPr>
          <w:rFonts w:hint="eastAsia" w:cs="MS Mincho" w:asciiTheme="minorEastAsia" w:hAnsiTheme="minorEastAsia"/>
          <w:color w:val="000000" w:themeColor="text1"/>
          <w:kern w:val="0"/>
          <w:szCs w:val="21"/>
          <w14:textFill>
            <w14:solidFill>
              <w14:schemeClr w14:val="tx1"/>
            </w14:solidFill>
          </w14:textFill>
        </w:rPr>
        <w:t>入</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构的</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算模型，参与结构的横向</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天窗架</w:t>
      </w:r>
      <w:r>
        <w:rPr>
          <w:rFonts w:hint="eastAsia" w:cs="HiddenHorzOCR" w:asciiTheme="minorEastAsia" w:hAnsiTheme="minorEastAsia"/>
          <w:color w:val="000000" w:themeColor="text1"/>
          <w:kern w:val="0"/>
          <w:szCs w:val="21"/>
          <w14:textFill>
            <w14:solidFill>
              <w14:schemeClr w14:val="tx1"/>
            </w14:solidFill>
          </w14:textFill>
        </w:rPr>
        <w:t>）和</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HiddenHorzOCR" w:asciiTheme="minorEastAsia" w:hAnsiTheme="minorEastAsia"/>
          <w:color w:val="000000" w:themeColor="text1"/>
          <w:kern w:val="0"/>
          <w:szCs w:val="21"/>
          <w14:textFill>
            <w14:solidFill>
              <w14:schemeClr w14:val="tx1"/>
            </w14:solidFill>
          </w14:textFill>
        </w:rPr>
        <w:t>其垂直支撑）地震作用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天窗横向抗震</w:t>
      </w:r>
      <w:r>
        <w:rPr>
          <w:rFonts w:hint="eastAsia" w:cs="宋体" w:asciiTheme="minorEastAsia" w:hAnsiTheme="minorEastAsia"/>
          <w:color w:val="000000" w:themeColor="text1"/>
          <w:kern w:val="0"/>
          <w:szCs w:val="21"/>
          <w14:textFill>
            <w14:solidFill>
              <w14:schemeClr w14:val="tx1"/>
            </w14:solidFill>
          </w14:textFill>
        </w:rPr>
        <w:t>简</w:t>
      </w:r>
      <w:r>
        <w:rPr>
          <w:rFonts w:hint="eastAsia" w:cs="MS Mincho" w:asciiTheme="minorEastAsia" w:hAnsiTheme="minorEastAsia"/>
          <w:color w:val="000000" w:themeColor="text1"/>
          <w:kern w:val="0"/>
          <w:szCs w:val="21"/>
          <w14:textFill>
            <w14:solidFill>
              <w14:schemeClr w14:val="tx1"/>
            </w14:solidFill>
          </w14:textFill>
        </w:rPr>
        <w:t>化</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MS Mincho"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1）结构横向抗震</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简图</w:t>
      </w:r>
      <w:r>
        <w:rPr>
          <w:rFonts w:hint="eastAsia" w:cs="MS Mincho" w:asciiTheme="minorEastAsia" w:hAnsiTheme="minorEastAsia"/>
          <w:color w:val="000000" w:themeColor="text1"/>
          <w:kern w:val="0"/>
          <w:szCs w:val="21"/>
          <w14:textFill>
            <w14:solidFill>
              <w14:schemeClr w14:val="tx1"/>
            </w14:solidFill>
          </w14:textFill>
        </w:rPr>
        <w:t>中，</w:t>
      </w:r>
      <w:r>
        <w:rPr>
          <w:rFonts w:hint="eastAsia" w:cs="宋体" w:asciiTheme="minorEastAsia" w:hAnsiTheme="minorEastAsia"/>
          <w:color w:val="000000" w:themeColor="text1"/>
          <w:kern w:val="0"/>
          <w:szCs w:val="21"/>
          <w14:textFill>
            <w14:solidFill>
              <w14:schemeClr w14:val="tx1"/>
            </w14:solidFill>
          </w14:textFill>
        </w:rPr>
        <w:t>带</w:t>
      </w:r>
      <w:r>
        <w:rPr>
          <w:rFonts w:hint="eastAsia" w:cs="MS Mincho" w:asciiTheme="minorEastAsia" w:hAnsiTheme="minorEastAsia"/>
          <w:color w:val="000000" w:themeColor="text1"/>
          <w:kern w:val="0"/>
          <w:szCs w:val="21"/>
          <w14:textFill>
            <w14:solidFill>
              <w14:schemeClr w14:val="tx1"/>
            </w14:solidFill>
          </w14:textFill>
        </w:rPr>
        <w:t>斜杆天窗架的横向</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远</w:t>
      </w:r>
      <w:r>
        <w:rPr>
          <w:rFonts w:hint="eastAsia" w:cs="HiddenHorzOCR" w:asciiTheme="minorEastAsia" w:hAnsiTheme="minorEastAsia"/>
          <w:color w:val="000000" w:themeColor="text1"/>
          <w:kern w:val="0"/>
          <w:szCs w:val="21"/>
          <w14:textFill>
            <w14:solidFill>
              <w14:schemeClr w14:val="tx1"/>
            </w14:solidFill>
          </w14:textFill>
        </w:rPr>
        <w:t>大于排架</w:t>
      </w:r>
      <w:r>
        <w:rPr>
          <w:rFonts w:hint="eastAsia" w:cs="宋体" w:asciiTheme="minorEastAsia" w:hAnsiTheme="minorEastAsia"/>
          <w:color w:val="000000" w:themeColor="text1"/>
          <w:kern w:val="0"/>
          <w:szCs w:val="21"/>
          <w14:textFill>
            <w14:solidFill>
              <w14:schemeClr w14:val="tx1"/>
            </w14:solidFill>
          </w14:textFill>
        </w:rPr>
        <w:t>刚</w:t>
      </w:r>
      <w:r>
        <w:rPr>
          <w:rFonts w:hint="eastAsia" w:cs="MS Mincho" w:asciiTheme="minorEastAsia" w:hAnsiTheme="minorEastAsia"/>
          <w:color w:val="000000" w:themeColor="text1"/>
          <w:kern w:val="0"/>
          <w:szCs w:val="21"/>
          <w14:textFill>
            <w14:solidFill>
              <w14:schemeClr w14:val="tx1"/>
            </w14:solidFill>
          </w14:textFill>
        </w:rPr>
        <w:t>度，天窗部分的</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量不必另</w:t>
      </w:r>
      <w:r>
        <w:rPr>
          <w:rFonts w:hint="eastAsia" w:cs="宋体" w:asciiTheme="minorEastAsia" w:hAnsiTheme="minorEastAsia"/>
          <w:color w:val="000000" w:themeColor="text1"/>
          <w:kern w:val="0"/>
          <w:szCs w:val="21"/>
          <w14:textFill>
            <w14:solidFill>
              <w14:schemeClr w14:val="tx1"/>
            </w14:solidFill>
          </w14:textFill>
        </w:rPr>
        <w:t>设质</w:t>
      </w:r>
      <w:r>
        <w:rPr>
          <w:rFonts w:hint="eastAsia" w:cs="MS Mincho" w:asciiTheme="minorEastAsia" w:hAnsiTheme="minorEastAsia"/>
          <w:color w:val="000000" w:themeColor="text1"/>
          <w:kern w:val="0"/>
          <w:szCs w:val="21"/>
          <w14:textFill>
            <w14:solidFill>
              <w14:schemeClr w14:val="tx1"/>
            </w14:solidFill>
          </w14:textFill>
        </w:rPr>
        <w:t>点，可以合并到</w:t>
      </w:r>
      <w:r>
        <w:rPr>
          <w:rFonts w:hint="eastAsia" w:cs="HiddenHorzOCR" w:asciiTheme="minorEastAsia" w:hAnsiTheme="minorEastAsia"/>
          <w:color w:val="000000" w:themeColor="text1"/>
          <w:kern w:val="0"/>
          <w:szCs w:val="21"/>
          <w14:textFill>
            <w14:solidFill>
              <w14:schemeClr w14:val="tx1"/>
            </w14:solidFill>
          </w14:textFill>
        </w:rPr>
        <w:t>屋盖</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点中。其突出屋面天窗架的横向水平地震作用</w:t>
      </w:r>
      <w:r>
        <w:rPr>
          <w:rFonts w:hint="eastAsia" w:cs="HiddenHorzOCR" w:asciiTheme="minorEastAsia" w:hAnsiTheme="minorEastAsia"/>
          <w:color w:val="000000" w:themeColor="text1"/>
          <w:kern w:val="0"/>
          <w:szCs w:val="21"/>
          <w14:textFill>
            <w14:solidFill>
              <w14:schemeClr w14:val="tx1"/>
            </w14:solidFill>
          </w14:textFill>
        </w:rPr>
        <w:t>F</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按</w:t>
      </w:r>
      <w:r>
        <w:rPr>
          <w:rFonts w:hint="eastAsia" w:cs="HiddenHorzOCR" w:asciiTheme="minorEastAsia" w:hAnsiTheme="minorEastAsia"/>
          <w:color w:val="000000" w:themeColor="text1"/>
          <w:kern w:val="0"/>
          <w:szCs w:val="21"/>
          <w14:textFill>
            <w14:solidFill>
              <w14:schemeClr w14:val="tx1"/>
            </w14:solidFill>
          </w14:textFill>
        </w:rPr>
        <w:t>式（7.2.8-1）</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r>
            <w:rPr>
              <w:rFonts w:ascii="Cambria Math" w:hAnsi="Cambria Math" w:cs="HiddenHorzOCR"/>
              <w:color w:val="000000" w:themeColor="text1"/>
              <w:kern w:val="0"/>
              <w:szCs w:val="21"/>
              <w14:textFill>
                <w14:solidFill>
                  <w14:schemeClr w14:val="tx1"/>
                </w14:solidFill>
              </w14:textFill>
            </w:rPr>
            <m:t>F=</m:t>
          </m:r>
          <m:f>
            <m:fPr>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den>
          </m:f>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 xml:space="preserve">                   (</m:t>
          </m:r>
          <m:r>
            <w:rPr>
              <w:rFonts w:hint="eastAsia" w:ascii="Cambria Math" w:hAnsi="Cambria Math" w:cs="HiddenHorzOCR"/>
              <w:color w:val="000000" w:themeColor="text1"/>
              <w:kern w:val="0"/>
              <w:szCs w:val="21"/>
              <w14:textFill>
                <w14:solidFill>
                  <w14:schemeClr w14:val="tx1"/>
                </w14:solidFill>
              </w14:textFill>
            </w:rPr>
            <m:t>7</m:t>
          </m:r>
          <m:r>
            <w:rPr>
              <w:rFonts w:ascii="Cambria Math" w:hAnsi="Cambria Math" w:cs="HiddenHorzOCR"/>
              <w:color w:val="000000" w:themeColor="text1"/>
              <w:kern w:val="0"/>
              <w:szCs w:val="21"/>
              <w14:textFill>
                <w14:solidFill>
                  <w14:schemeClr w14:val="tx1"/>
                </w14:solidFill>
              </w14:textFill>
            </w:rPr>
            <m:t>.2.</m:t>
          </m:r>
          <m:r>
            <w:rPr>
              <w:rFonts w:hint="eastAsia" w:ascii="Cambria Math" w:hAnsi="Cambria Math" w:cs="HiddenHorzOCR"/>
              <w:color w:val="000000" w:themeColor="text1"/>
              <w:kern w:val="0"/>
              <w:szCs w:val="21"/>
              <w14:textFill>
                <w14:solidFill>
                  <w14:schemeClr w14:val="tx1"/>
                </w14:solidFill>
              </w14:textFill>
            </w:rPr>
            <m:t>8</m:t>
          </m:r>
          <m:r>
            <w:rPr>
              <w:rFonts w:hint="eastAsia" w:ascii="微软雅黑" w:hAnsi="微软雅黑" w:eastAsia="微软雅黑" w:cs="微软雅黑"/>
              <w:color w:val="000000" w:themeColor="text1"/>
              <w:kern w:val="0"/>
              <w:szCs w:val="21"/>
              <w14:textFill>
                <w14:solidFill>
                  <w14:schemeClr w14:val="tx1"/>
                </w14:solidFill>
              </w14:textFill>
            </w:rPr>
            <m:t>-</m:t>
          </m:r>
          <m:r>
            <w:rPr>
              <w:rFonts w:hint="eastAsia" w:ascii="Cambria Math" w:hAnsi="Cambria Math" w:cs="HiddenHorzOCR"/>
              <w:color w:val="000000" w:themeColor="text1"/>
              <w:kern w:val="0"/>
              <w:szCs w:val="21"/>
              <w14:textFill>
                <w14:solidFill>
                  <w14:schemeClr w14:val="tx1"/>
                </w14:solidFill>
              </w14:textFill>
            </w:rPr>
            <m:t>1</m:t>
          </m:r>
          <m:r>
            <w:rPr>
              <w:rFonts w:ascii="Cambria Math" w:hAnsi="Cambria Math" w:cs="HiddenHorzOCR"/>
              <w:color w:val="000000" w:themeColor="text1"/>
              <w:kern w:val="0"/>
              <w:szCs w:val="21"/>
              <w14:textFill>
                <w14:solidFill>
                  <w14:schemeClr w14:val="tx1"/>
                </w14:solidFill>
              </w14:textFill>
            </w:rPr>
            <m:t>)</m:t>
          </m:r>
        </m:oMath>
      </m:oMathPara>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i/>
                <w:color w:val="000000" w:themeColor="text1"/>
                <w:kern w:val="0"/>
                <w:szCs w:val="21"/>
                <w14:textFill>
                  <w14:solidFill>
                    <w14:schemeClr w14:val="tx1"/>
                  </w14:solidFill>
                </w14:textFill>
              </w:rPr>
            </m:ctrlPr>
          </m:sub>
        </m:sSub>
        <m: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2</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天窗部分的质量和天窗标高处的高度；</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Cambria Math" w:hAnsi="Cambria Math" w:cs="HiddenHorzOCR"/>
                <w:color w:val="000000" w:themeColor="text1"/>
                <w:kern w:val="0"/>
                <w:szCs w:val="21"/>
                <w14:textFill>
                  <w14:solidFill>
                    <w14:schemeClr w14:val="tx1"/>
                  </w14:solidFill>
                </w14:textFill>
              </w:rPr>
              <m:t>、</m:t>
            </m:r>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屋盖的质量和屋盖标高处的高度；</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eastAsia="Cambria Math" w:cs="HiddenHorzOCR"/>
                <w:color w:val="000000" w:themeColor="text1"/>
                <w:kern w:val="0"/>
                <w:szCs w:val="21"/>
                <w14:textFill>
                  <w14:solidFill>
                    <w14:schemeClr w14:val="tx1"/>
                  </w14:solidFill>
                </w14:textFill>
              </w:rPr>
            </m:ctrlPr>
          </m:sSubPr>
          <m:e>
            <m:r>
              <m:rPr>
                <m:sty m:val="p"/>
              </m:rPr>
              <w:rPr>
                <w:rFonts w:ascii="Cambria Math" w:hAnsi="Cambria Math" w:eastAsia="Cambria Math" w:cs="HiddenHorzOCR"/>
                <w:color w:val="000000" w:themeColor="text1"/>
                <w:kern w:val="0"/>
                <w:szCs w:val="21"/>
                <w14:textFill>
                  <w14:solidFill>
                    <w14:schemeClr w14:val="tx1"/>
                  </w14:solidFill>
                </w14:textFill>
              </w:rPr>
              <m:t>F</m:t>
            </m:r>
            <m:ctrlPr>
              <w:rPr>
                <w:rFonts w:ascii="Cambria Math" w:hAnsi="Cambria Math" w:eastAsia="Cambria Math" w:cs="HiddenHorzOCR"/>
                <w:color w:val="000000" w:themeColor="text1"/>
                <w:kern w:val="0"/>
                <w:szCs w:val="21"/>
                <w14:textFill>
                  <w14:solidFill>
                    <w14:schemeClr w14:val="tx1"/>
                  </w14:solidFill>
                </w14:textFill>
              </w:rPr>
            </m:ctrlPr>
          </m:e>
          <m:sub>
            <m:r>
              <w:rPr>
                <w:rFonts w:ascii="Cambria Math" w:hAnsi="Cambria Math" w:eastAsia="Cambria Math" w:cs="HiddenHorzOCR"/>
                <w:color w:val="000000" w:themeColor="text1"/>
                <w:kern w:val="0"/>
                <w:szCs w:val="21"/>
                <w14:textFill>
                  <w14:solidFill>
                    <w14:schemeClr w14:val="tx1"/>
                  </w14:solidFill>
                </w14:textFill>
              </w:rPr>
              <m:t>0</m:t>
            </m:r>
            <m:ctrlPr>
              <w:rPr>
                <w:rFonts w:ascii="Cambria Math" w:hAnsi="Cambria Math" w:eastAsia="Cambria Math" w:cs="HiddenHorzOCR"/>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——该跨屋盖（含天窗）的横向水平地震作用设计值。</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9度或当天窗跨度大于9m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，按式（</w:t>
      </w:r>
      <w:r>
        <w:rPr>
          <w:rFonts w:hint="eastAsia" w:cs="HiddenHorzOCR" w:asciiTheme="minorEastAsia" w:hAnsiTheme="minorEastAsia"/>
          <w:color w:val="000000" w:themeColor="text1"/>
          <w:kern w:val="0"/>
          <w:szCs w:val="21"/>
          <w14:textFill>
            <w14:solidFill>
              <w14:schemeClr w14:val="tx1"/>
            </w14:solidFill>
          </w14:textFill>
        </w:rPr>
        <w:t>7.2.8-1）</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算的</w:t>
      </w:r>
      <w:r>
        <w:rPr>
          <w:rFonts w:hint="eastAsia" w:cs="HiddenHorzOCR" w:asciiTheme="minorEastAsia" w:hAnsiTheme="minorEastAsia"/>
          <w:color w:val="000000" w:themeColor="text1"/>
          <w:kern w:val="0"/>
          <w:szCs w:val="21"/>
          <w14:textFill>
            <w14:solidFill>
              <w14:schemeClr w14:val="tx1"/>
            </w14:solidFill>
          </w14:textFill>
        </w:rPr>
        <w:t>F</w:t>
      </w:r>
      <w:r>
        <w:rPr>
          <w:rFonts w:hint="eastAsia" w:cs="宋体" w:asciiTheme="minorEastAsia" w:hAnsiTheme="minorEastAsia"/>
          <w:color w:val="000000" w:themeColor="text1"/>
          <w:kern w:val="0"/>
          <w:szCs w:val="21"/>
          <w14:textFill>
            <w14:solidFill>
              <w14:schemeClr w14:val="tx1"/>
            </w14:solidFill>
          </w14:textFill>
        </w:rPr>
        <w:t>值应</w:t>
      </w:r>
      <w:r>
        <w:rPr>
          <w:rFonts w:hint="eastAsia" w:cs="MS Mincho" w:asciiTheme="minorEastAsia" w:hAnsiTheme="minorEastAsia"/>
          <w:color w:val="000000" w:themeColor="text1"/>
          <w:kern w:val="0"/>
          <w:szCs w:val="21"/>
          <w14:textFill>
            <w14:solidFill>
              <w14:schemeClr w14:val="tx1"/>
            </w14:solidFill>
          </w14:textFill>
        </w:rPr>
        <w:t>乘以</w:t>
      </w:r>
      <w:r>
        <w:rPr>
          <w:rFonts w:hint="eastAsia" w:cs="HiddenHorzOCR" w:asciiTheme="minorEastAsia" w:hAnsiTheme="minorEastAsia"/>
          <w:color w:val="000000" w:themeColor="text1"/>
          <w:kern w:val="0"/>
          <w:szCs w:val="21"/>
          <w14:textFill>
            <w14:solidFill>
              <w14:schemeClr w14:val="tx1"/>
            </w14:solidFill>
          </w14:textFill>
        </w:rPr>
        <w:t>增大系数1.5。</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7.2.9 </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8度和9度区的有檩屋盖</w:t>
      </w:r>
      <w:r>
        <w:rPr>
          <w:rFonts w:hint="eastAsia" w:cs="宋体" w:asciiTheme="minorEastAsia" w:hAnsiTheme="minorEastAsia"/>
          <w:color w:val="000000" w:themeColor="text1"/>
          <w:kern w:val="0"/>
          <w:szCs w:val="21"/>
          <w14:textFill>
            <w14:solidFill>
              <w14:schemeClr w14:val="tx1"/>
            </w14:solidFill>
          </w14:textFill>
        </w:rPr>
        <w:t>单层厂房</w:t>
      </w:r>
      <w:r>
        <w:rPr>
          <w:rFonts w:hint="eastAsia" w:cs="MS Mincho" w:asciiTheme="minorEastAsia" w:hAnsiTheme="minorEastAsia"/>
          <w:color w:val="000000" w:themeColor="text1"/>
          <w:kern w:val="0"/>
          <w:szCs w:val="21"/>
          <w14:textFill>
            <w14:solidFill>
              <w14:schemeClr w14:val="tx1"/>
            </w14:solidFill>
          </w14:textFill>
        </w:rPr>
        <w:t>结构，当结构跨度</w:t>
      </w:r>
      <w:r>
        <w:rPr>
          <w:rFonts w:hint="eastAsia" w:cs="HiddenHorzOCR" w:asciiTheme="minorEastAsia" w:hAnsiTheme="minorEastAsia"/>
          <w:color w:val="000000" w:themeColor="text1"/>
          <w:kern w:val="0"/>
          <w:szCs w:val="21"/>
          <w14:textFill>
            <w14:solidFill>
              <w14:schemeClr w14:val="tx1"/>
            </w14:solidFill>
          </w14:textFill>
        </w:rPr>
        <w:t>大于30m或端山</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壁柱</w:t>
      </w:r>
      <w:r>
        <w:rPr>
          <w:rFonts w:hint="eastAsia" w:cs="宋体" w:asciiTheme="minorEastAsia" w:hAnsiTheme="minorEastAsia"/>
          <w:color w:val="000000" w:themeColor="text1"/>
          <w:kern w:val="0"/>
          <w:szCs w:val="21"/>
          <w14:textFill>
            <w14:solidFill>
              <w14:schemeClr w14:val="tx1"/>
            </w14:solidFill>
          </w14:textFill>
        </w:rPr>
        <w:t>传给</w:t>
      </w:r>
      <w:r>
        <w:rPr>
          <w:rFonts w:hint="eastAsia" w:cs="MS Mincho" w:asciiTheme="minorEastAsia" w:hAnsiTheme="minorEastAsia"/>
          <w:color w:val="000000" w:themeColor="text1"/>
          <w:kern w:val="0"/>
          <w:szCs w:val="21"/>
          <w14:textFill>
            <w14:solidFill>
              <w14:schemeClr w14:val="tx1"/>
            </w14:solidFill>
          </w14:textFill>
        </w:rPr>
        <w:t>屋盖横向支撑的水平地震作用</w:t>
      </w:r>
      <w:r>
        <w:rPr>
          <w:rFonts w:hint="eastAsia" w:cs="宋体" w:asciiTheme="minorEastAsia" w:hAnsiTheme="minorEastAsia"/>
          <w:color w:val="000000" w:themeColor="text1"/>
          <w:kern w:val="0"/>
          <w:szCs w:val="21"/>
          <w14:textFill>
            <w14:solidFill>
              <w14:schemeClr w14:val="tx1"/>
            </w14:solidFill>
          </w14:textFill>
        </w:rPr>
        <w:t>较</w:t>
      </w:r>
      <w:r>
        <w:rPr>
          <w:rFonts w:hint="eastAsia" w:cs="MS Mincho" w:asciiTheme="minorEastAsia" w:hAnsiTheme="minorEastAsia"/>
          <w:color w:val="000000" w:themeColor="text1"/>
          <w:kern w:val="0"/>
          <w:szCs w:val="21"/>
          <w14:textFill>
            <w14:solidFill>
              <w14:schemeClr w14:val="tx1"/>
            </w14:solidFill>
          </w14:textFill>
        </w:rPr>
        <w:t>大</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向水平</w:t>
      </w:r>
      <w:r>
        <w:rPr>
          <w:rFonts w:hint="eastAsia" w:cs="HiddenHorzOCR" w:asciiTheme="minorEastAsia" w:hAnsiTheme="minorEastAsia"/>
          <w:color w:val="000000" w:themeColor="text1"/>
          <w:kern w:val="0"/>
          <w:szCs w:val="21"/>
          <w14:textFill>
            <w14:solidFill>
              <w14:schemeClr w14:val="tx1"/>
            </w14:solidFill>
          </w14:textFill>
        </w:rPr>
        <w:t>地震作用下屋架横向支撑的抗震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7.2.10 </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宋体" w:asciiTheme="minorEastAsia" w:hAnsiTheme="minorEastAsia"/>
          <w:color w:val="000000" w:themeColor="text1"/>
          <w:kern w:val="0"/>
          <w:szCs w:val="21"/>
          <w14:textFill>
            <w14:solidFill>
              <w14:schemeClr w14:val="tx1"/>
            </w14:solidFill>
          </w14:textFill>
        </w:rPr>
        <w:t>单层厂房</w:t>
      </w:r>
      <w:r>
        <w:rPr>
          <w:rFonts w:hint="eastAsia" w:cs="MS Mincho" w:asciiTheme="minorEastAsia" w:hAnsiTheme="minorEastAsia"/>
          <w:color w:val="000000" w:themeColor="text1"/>
          <w:kern w:val="0"/>
          <w:szCs w:val="21"/>
          <w14:textFill>
            <w14:solidFill>
              <w14:schemeClr w14:val="tx1"/>
            </w14:solidFill>
          </w14:textFill>
        </w:rPr>
        <w:t>结构地震作用</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应对结</w:t>
      </w:r>
      <w:r>
        <w:rPr>
          <w:rFonts w:hint="eastAsia" w:cs="MS Mincho" w:asciiTheme="minorEastAsia" w:hAnsiTheme="minorEastAsia"/>
          <w:color w:val="000000" w:themeColor="text1"/>
          <w:kern w:val="0"/>
          <w:szCs w:val="21"/>
          <w14:textFill>
            <w14:solidFill>
              <w14:schemeClr w14:val="tx1"/>
            </w14:solidFill>
          </w14:textFill>
        </w:rPr>
        <w:t>构的自振周期</w:t>
      </w:r>
      <w:r>
        <w:rPr>
          <w:rFonts w:hint="eastAsia" w:cs="宋体" w:asciiTheme="minorEastAsia" w:hAnsiTheme="minorEastAsia"/>
          <w:color w:val="000000" w:themeColor="text1"/>
          <w:kern w:val="0"/>
          <w:szCs w:val="21"/>
          <w14:textFill>
            <w14:solidFill>
              <w14:schemeClr w14:val="tx1"/>
            </w14:solidFill>
          </w14:textFill>
        </w:rPr>
        <w:t>进</w:t>
      </w:r>
      <w:r>
        <w:rPr>
          <w:rFonts w:hint="eastAsia" w:cs="HiddenHorzOCR" w:asciiTheme="minorEastAsia" w:hAnsiTheme="minorEastAsia"/>
          <w:color w:val="000000" w:themeColor="text1"/>
          <w:kern w:val="0"/>
          <w:szCs w:val="21"/>
          <w14:textFill>
            <w14:solidFill>
              <w14:schemeClr w14:val="tx1"/>
            </w14:solidFill>
          </w14:textFill>
        </w:rPr>
        <w:t>行折减，折减系数可取0.8。</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pStyle w:val="3"/>
      </w:pPr>
      <w:bookmarkStart w:id="116" w:name="_Toc48841040"/>
      <w:r>
        <w:rPr>
          <w:rFonts w:hint="eastAsia"/>
        </w:rPr>
        <w:t>抗震验算（2）——结构构件、节点和连接件抗震承载力验算</w:t>
      </w:r>
      <w:bookmarkEnd w:id="116"/>
    </w:p>
    <w:p>
      <w:pPr>
        <w:autoSpaceDE w:val="0"/>
        <w:autoSpaceDN w:val="0"/>
        <w:spacing w:line="360" w:lineRule="auto"/>
        <w:ind w:firstLine="0" w:firstLineChars="0"/>
        <w:jc w:val="center"/>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7.3.1 </w:t>
      </w:r>
      <w:r>
        <w:rPr>
          <w:rFonts w:hint="eastAsia" w:cs="HiddenHorzOCR"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地震作用效</w:t>
      </w:r>
      <w:r>
        <w:rPr>
          <w:rFonts w:hint="eastAsia" w:cs="宋体" w:asciiTheme="minorEastAsia" w:hAnsiTheme="minorEastAsia"/>
          <w:color w:val="000000" w:themeColor="text1"/>
          <w:kern w:val="0"/>
          <w:szCs w:val="21"/>
          <w14:textFill>
            <w14:solidFill>
              <w14:schemeClr w14:val="tx1"/>
            </w14:solidFill>
          </w14:textFill>
        </w:rPr>
        <w:t>应组</w:t>
      </w:r>
      <w:r>
        <w:rPr>
          <w:rFonts w:hint="eastAsia" w:cs="MS Mincho" w:asciiTheme="minorEastAsia" w:hAnsiTheme="minorEastAsia"/>
          <w:color w:val="000000" w:themeColor="text1"/>
          <w:kern w:val="0"/>
          <w:szCs w:val="21"/>
          <w14:textFill>
            <w14:solidFill>
              <w14:schemeClr w14:val="tx1"/>
            </w14:solidFill>
          </w14:textFill>
        </w:rPr>
        <w:t>合的混凝土矩</w:t>
      </w:r>
      <w:r>
        <w:rPr>
          <w:rFonts w:hint="eastAsia" w:cs="HiddenHorzOCR" w:asciiTheme="minorEastAsia" w:hAnsiTheme="minorEastAsia"/>
          <w:color w:val="000000" w:themeColor="text1"/>
          <w:kern w:val="0"/>
          <w:szCs w:val="21"/>
          <w14:textFill>
            <w14:solidFill>
              <w14:schemeClr w14:val="tx1"/>
            </w14:solidFill>
          </w14:textFill>
        </w:rPr>
        <w:t>形和工字形柱的截面抗震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偏心受</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或受拉柱，其正截面受弯承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力、受剪截面条件、斜截面受剪承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排架柱考虑二阶效应的弯矩设计值按</w:t>
      </w:r>
      <w:r>
        <w:rPr>
          <w:rFonts w:hint="eastAsia" w:cs="MS Mincho" w:asciiTheme="minorEastAsia" w:hAnsiTheme="minorEastAsia"/>
          <w:color w:val="000000" w:themeColor="text1"/>
          <w:kern w:val="0"/>
          <w:szCs w:val="21"/>
          <w14:textFill>
            <w14:solidFill>
              <w14:schemeClr w14:val="tx1"/>
            </w14:solidFill>
          </w14:textFill>
        </w:rPr>
        <w:t>《混凝土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B.0.4的规定计算。</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2 </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避免下柱柱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支撑开</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的下</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斜杆与柱的交点位</w:t>
      </w:r>
      <w:r>
        <w:rPr>
          <w:rFonts w:hint="eastAsia" w:cs="HiddenHorzOCR" w:asciiTheme="minorEastAsia" w:hAnsiTheme="minorEastAsia"/>
          <w:color w:val="000000" w:themeColor="text1"/>
          <w:kern w:val="0"/>
          <w:szCs w:val="21"/>
          <w14:textFill>
            <w14:solidFill>
              <w14:schemeClr w14:val="tx1"/>
            </w14:solidFill>
          </w14:textFill>
        </w:rPr>
        <w:t>于基</w:t>
      </w:r>
      <w:r>
        <w:rPr>
          <w:rFonts w:hint="eastAsia" w:cs="宋体" w:asciiTheme="minorEastAsia" w:hAnsiTheme="minorEastAsia"/>
          <w:color w:val="000000" w:themeColor="text1"/>
          <w:kern w:val="0"/>
          <w:szCs w:val="21"/>
          <w14:textFill>
            <w14:solidFill>
              <w14:schemeClr w14:val="tx1"/>
            </w14:solidFill>
          </w14:textFill>
        </w:rPr>
        <w:t>础顶</w:t>
      </w:r>
      <w:r>
        <w:rPr>
          <w:rFonts w:hint="eastAsia" w:cs="MS Mincho" w:asciiTheme="minorEastAsia" w:hAnsiTheme="minorEastAsia"/>
          <w:color w:val="000000" w:themeColor="text1"/>
          <w:kern w:val="0"/>
          <w:szCs w:val="21"/>
          <w14:textFill>
            <w14:solidFill>
              <w14:schemeClr w14:val="tx1"/>
            </w14:solidFill>
          </w14:textFill>
        </w:rPr>
        <w:t>面以上，以造成在</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向水</w:t>
      </w:r>
      <w:r>
        <w:rPr>
          <w:rFonts w:hint="eastAsia" w:cs="HiddenHorzOCR" w:asciiTheme="minorEastAsia" w:hAnsiTheme="minorEastAsia"/>
          <w:color w:val="000000" w:themeColor="text1"/>
          <w:kern w:val="0"/>
          <w:szCs w:val="21"/>
          <w14:textFill>
            <w14:solidFill>
              <w14:schemeClr w14:val="tx1"/>
            </w14:solidFill>
          </w14:textFill>
        </w:rPr>
        <w:t>平地震作用下交接</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点至基</w:t>
      </w:r>
      <w:r>
        <w:rPr>
          <w:rFonts w:hint="eastAsia" w:cs="宋体" w:asciiTheme="minorEastAsia" w:hAnsiTheme="minorEastAsia"/>
          <w:color w:val="000000" w:themeColor="text1"/>
          <w:kern w:val="0"/>
          <w:szCs w:val="21"/>
          <w14:textFill>
            <w14:solidFill>
              <w14:schemeClr w14:val="tx1"/>
            </w14:solidFill>
          </w14:textFill>
        </w:rPr>
        <w:t>础顶</w:t>
      </w:r>
      <w:r>
        <w:rPr>
          <w:rFonts w:hint="eastAsia" w:cs="HiddenHorzOCR" w:asciiTheme="minorEastAsia" w:hAnsiTheme="minorEastAsia"/>
          <w:color w:val="000000" w:themeColor="text1"/>
          <w:kern w:val="0"/>
          <w:szCs w:val="21"/>
          <w14:textFill>
            <w14:solidFill>
              <w14:schemeClr w14:val="tx1"/>
            </w14:solidFill>
          </w14:textFill>
        </w:rPr>
        <w:t>面之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柱段</w:t>
      </w:r>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偏心受力且受剪构</w:t>
      </w:r>
      <w:r>
        <w:rPr>
          <w:rFonts w:hint="eastAsia" w:cs="HiddenHorzOCR" w:asciiTheme="minorEastAsia" w:hAnsiTheme="minorEastAsia"/>
          <w:color w:val="000000" w:themeColor="text1"/>
          <w:kern w:val="0"/>
          <w:szCs w:val="21"/>
          <w14:textFill>
            <w14:solidFill>
              <w14:schemeClr w14:val="tx1"/>
            </w14:solidFill>
          </w14:textFill>
        </w:rPr>
        <w:t>件；当</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无法避免</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，沿结构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向，排架柱应按《混凝土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定验算斜截面受剪承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7.3.2 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地震作用效</w:t>
      </w:r>
      <w:r>
        <w:rPr>
          <w:rFonts w:hint="eastAsia" w:cs="宋体" w:asciiTheme="minorEastAsia" w:hAnsiTheme="minorEastAsia"/>
          <w:color w:val="000000" w:themeColor="text1"/>
          <w:kern w:val="0"/>
          <w:szCs w:val="21"/>
          <w14:textFill>
            <w14:solidFill>
              <w14:schemeClr w14:val="tx1"/>
            </w14:solidFill>
          </w14:textFill>
        </w:rPr>
        <w:t>应组</w:t>
      </w:r>
      <w:r>
        <w:rPr>
          <w:rFonts w:hint="eastAsia" w:cs="MS Mincho" w:asciiTheme="minorEastAsia" w:hAnsiTheme="minorEastAsia"/>
          <w:color w:val="000000" w:themeColor="text1"/>
          <w:kern w:val="0"/>
          <w:szCs w:val="21"/>
          <w14:textFill>
            <w14:solidFill>
              <w14:schemeClr w14:val="tx1"/>
            </w14:solidFill>
          </w14:textFill>
        </w:rPr>
        <w:t>合的平腹杆双肢柱肢杆的截面</w:t>
      </w:r>
      <w:r>
        <w:rPr>
          <w:rFonts w:hint="eastAsia" w:cs="HiddenHorzOCR" w:asciiTheme="minorEastAsia" w:hAnsiTheme="minorEastAsia"/>
          <w:color w:val="000000" w:themeColor="text1"/>
          <w:kern w:val="0"/>
          <w:szCs w:val="21"/>
          <w14:textFill>
            <w14:solidFill>
              <w14:schemeClr w14:val="tx1"/>
            </w14:solidFill>
          </w14:textFill>
        </w:rPr>
        <w:t>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肢杆正截面偏心受</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或受拉的抗弯承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HiddenHorzOCR"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 GB50010的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定计算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受压肢考虑二阶效应的弯矩设计值按</w:t>
      </w:r>
      <w:r>
        <w:rPr>
          <w:rFonts w:hint="eastAsia" w:cs="MS Mincho" w:asciiTheme="minorEastAsia" w:hAnsiTheme="minorEastAsia"/>
          <w:color w:val="000000" w:themeColor="text1"/>
          <w:kern w:val="0"/>
          <w:szCs w:val="21"/>
          <w14:textFill>
            <w14:solidFill>
              <w14:schemeClr w14:val="tx1"/>
            </w14:solidFill>
          </w14:textFill>
        </w:rPr>
        <w:t>《混凝土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B.0.4的规定计算。此时，</w:t>
      </w:r>
      <w:bookmarkStart w:id="117" w:name="_Hlk24673276"/>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w:bookmarkEnd w:id="117"/>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取</w:t>
      </w:r>
      <w:r>
        <w:rPr>
          <w:rFonts w:cs="HiddenHorzOCR" w:asciiTheme="minorEastAsia" w:hAnsiTheme="minorEastAsia"/>
          <w:color w:val="000000" w:themeColor="text1"/>
          <w:kern w:val="0"/>
          <w:szCs w:val="21"/>
          <w14:textFill>
            <w14:solidFill>
              <w14:schemeClr w14:val="tx1"/>
            </w14:solidFill>
          </w14:textFill>
        </w:rPr>
        <w:t>1.0</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i/>
          <w:iCs/>
          <w:color w:val="000000" w:themeColor="text1"/>
          <w:kern w:val="0"/>
          <w:szCs w:val="21"/>
          <w14:textFill>
            <w14:solidFill>
              <w14:schemeClr w14:val="tx1"/>
            </w14:solidFill>
          </w14:textFill>
        </w:rPr>
        <w:t>h、</w:t>
      </w:r>
      <m:oMath>
        <m:sSub>
          <m:sSubPr>
            <m:ctrlPr>
              <w:rPr>
                <w:rFonts w:ascii="Cambria Math" w:hAnsi="Cambria Math" w:cs="HiddenHorzOCR"/>
                <w:i/>
                <w:iCs/>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iCs/>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iCs/>
                <w:color w:val="000000" w:themeColor="text1"/>
                <w:kern w:val="0"/>
                <w:szCs w:val="21"/>
                <w14:textFill>
                  <w14:solidFill>
                    <w14:schemeClr w14:val="tx1"/>
                  </w14:solidFill>
                </w14:textFill>
              </w:rPr>
            </m:ctrlPr>
          </m:sub>
        </m:sSub>
      </m:oMath>
      <w:r>
        <w:rPr>
          <w:rFonts w:hint="eastAsia" w:cs="HiddenHorzOCR" w:asciiTheme="minorEastAsia" w:hAnsiTheme="minorEastAsia"/>
          <w:i/>
          <w:iCs/>
          <w:color w:val="000000" w:themeColor="text1"/>
          <w:kern w:val="0"/>
          <w:szCs w:val="21"/>
          <w14:textFill>
            <w14:solidFill>
              <w14:schemeClr w14:val="tx1"/>
            </w14:solidFill>
          </w14:textFill>
        </w:rPr>
        <w:t>、A</w:t>
      </w:r>
      <w:r>
        <w:rPr>
          <w:rFonts w:hint="eastAsia" w:cs="HiddenHorzOCR" w:asciiTheme="minorEastAsia" w:hAnsiTheme="minorEastAsia"/>
          <w:color w:val="000000" w:themeColor="text1"/>
          <w:kern w:val="0"/>
          <w:szCs w:val="21"/>
          <w14:textFill>
            <w14:solidFill>
              <w14:schemeClr w14:val="tx1"/>
            </w14:solidFill>
          </w14:textFill>
        </w:rPr>
        <w:t>均按单肢截面取值，</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、N均取压肢内力值。</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 受</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和受拉肢的受剪截面条件，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HiddenHorzOCR"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》GB50010的规定。</w:t>
      </w:r>
    </w:p>
    <w:p>
      <w:pPr>
        <w:autoSpaceDE w:val="0"/>
        <w:autoSpaceDN w:val="0"/>
        <w:spacing w:line="360" w:lineRule="auto"/>
        <w:ind w:firstLine="409" w:firstLineChars="195"/>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肢的斜截面受剪承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按下列公式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i/>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w:t>
      </w:r>
      <w:bookmarkStart w:id="118" w:name="_Hlk24677435"/>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η</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c</m:t>
            </m:r>
            <w:bookmarkEnd w:id="118"/>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≤0.7</m:t>
        </m:r>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Para>
        <m:oMathParaPr>
          <m:jc m:val="center"/>
        </m:oMathParaPr>
        <m:oMath>
          <m:sSubSup>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m:ctrlPr>
                <w:rPr>
                  <w:rFonts w:ascii="Cambria Math" w:hAnsi="Cambria Math" w:cs="HiddenHorzOCR"/>
                  <w:i/>
                  <w:color w:val="000000" w:themeColor="text1"/>
                  <w:kern w:val="0"/>
                  <w:szCs w:val="21"/>
                  <w14:textFill>
                    <w14:solidFill>
                      <w14:schemeClr w14:val="tx1"/>
                    </w14:solidFill>
                  </w14:textFill>
                </w:rPr>
              </m:ctrlPr>
            </m:sup>
          </m:sSubSup>
          <m:r>
            <w:rPr>
              <w:rFonts w:ascii="Cambria Math" w:hAnsi="Cambria Math" w:cs="HiddenHorzOCR"/>
              <w:color w:val="000000" w:themeColor="text1"/>
              <w:kern w:val="0"/>
              <w:szCs w:val="21"/>
              <w14:textFill>
                <w14:solidFill>
                  <w14:schemeClr w14:val="tx1"/>
                </w14:solidFill>
              </w14:textFill>
            </w:rPr>
            <m:t>≤</m:t>
          </m:r>
          <m:f>
            <m:fPr>
              <m:type m:val="lin"/>
              <m:ctrlPr>
                <w:rPr>
                  <w:rFonts w:ascii="Cambria Math" w:hAnsi="Cambria Math" w:cs="HiddenHorzOCR"/>
                  <w:i/>
                  <w:color w:val="000000" w:themeColor="text1"/>
                  <w:kern w:val="0"/>
                  <w:szCs w:val="21"/>
                  <w14:textFill>
                    <w14:solidFill>
                      <w14:schemeClr w14:val="tx1"/>
                    </w14:solidFill>
                  </w14:textFill>
                </w:rPr>
              </m:ctrlPr>
            </m:fPr>
            <m:num>
              <m:d>
                <m:dPr>
                  <m:begChr m:val="["/>
                  <m:endChr m:val="]"/>
                  <m:ctrlPr>
                    <w:rPr>
                      <w:rFonts w:ascii="Cambria Math" w:hAnsi="Cambria Math" w:cs="HiddenHorzOCR"/>
                      <w:i/>
                      <w:color w:val="000000" w:themeColor="text1"/>
                      <w:kern w:val="0"/>
                      <w:szCs w:val="21"/>
                      <w14:textFill>
                        <w14:solidFill>
                          <w14:schemeClr w14:val="tx1"/>
                        </w14:solidFill>
                      </w14:textFill>
                    </w:rPr>
                  </m:ctrlPr>
                </m:dPr>
                <m:e>
                  <m:f>
                    <m:fPr>
                      <m:type m:val="lin"/>
                      <m:ctrlPr>
                        <w:rPr>
                          <w:rFonts w:ascii="Cambria Math" w:hAnsi="Cambria Math" w:cs="HiddenHorzOCR"/>
                          <w:i/>
                          <w:color w:val="000000" w:themeColor="text1"/>
                          <w:kern w:val="0"/>
                          <w:szCs w:val="21"/>
                          <w14:textFill>
                            <w14:solidFill>
                              <w14:schemeClr w14:val="tx1"/>
                            </w14:solidFill>
                          </w14:textFill>
                        </w:rPr>
                      </m:ctrlPr>
                    </m:fPr>
                    <m:num>
                      <m:r>
                        <w:rPr>
                          <w:rFonts w:ascii="Cambria Math" w:hAnsi="Cambria Math" w:cs="HiddenHorzOCR"/>
                          <w:color w:val="000000" w:themeColor="text1"/>
                          <w:kern w:val="0"/>
                          <w:szCs w:val="21"/>
                          <w14:textFill>
                            <w14:solidFill>
                              <w14:schemeClr w14:val="tx1"/>
                            </w14:solidFill>
                          </w14:textFill>
                        </w:rPr>
                        <m:t>1.05</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b</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d>
                        <m:dPr>
                          <m:ctrlPr>
                            <w:rPr>
                              <w:rFonts w:ascii="Cambria Math" w:hAnsi="Cambria Math" w:cs="HiddenHorzOCR"/>
                              <w:i/>
                              <w:color w:val="000000" w:themeColor="text1"/>
                              <w:kern w:val="0"/>
                              <w:szCs w:val="21"/>
                              <w14:textFill>
                                <w14:solidFill>
                                  <w14:schemeClr w14:val="tx1"/>
                                </w14:solidFill>
                              </w14:textFill>
                            </w:rPr>
                          </m:ctrlPr>
                        </m:dPr>
                        <m:e>
                          <m:r>
                            <w:rPr>
                              <w:rFonts w:ascii="Cambria Math" w:hAnsi="Cambria Math" w:cs="HiddenHorzOCR"/>
                              <w:color w:val="000000" w:themeColor="text1"/>
                              <w:kern w:val="0"/>
                              <w:szCs w:val="21"/>
                              <w14:textFill>
                                <w14:solidFill>
                                  <w14:schemeClr w14:val="tx1"/>
                                </w14:solidFill>
                              </w14:textFill>
                            </w:rPr>
                            <m:t>λ+1</m:t>
                          </m:r>
                          <m:ctrlPr>
                            <w:rPr>
                              <w:rFonts w:ascii="Cambria Math" w:hAnsi="Cambria Math" w:cs="HiddenHorzOCR"/>
                              <w:i/>
                              <w:color w:val="000000" w:themeColor="text1"/>
                              <w:kern w:val="0"/>
                              <w:szCs w:val="21"/>
                              <w14:textFill>
                                <w14:solidFill>
                                  <w14:schemeClr w14:val="tx1"/>
                                </w14:solidFill>
                              </w14:textFill>
                            </w:rPr>
                          </m:ctrlPr>
                        </m:e>
                      </m:d>
                      <m:r>
                        <w:rPr>
                          <w:rFonts w:ascii="Cambria Math" w:hAnsi="Cambria Math" w:cs="HiddenHorzOCR"/>
                          <w:color w:val="000000" w:themeColor="text1"/>
                          <w:kern w:val="0"/>
                          <w:szCs w:val="21"/>
                          <w14:textFill>
                            <w14:solidFill>
                              <w14:schemeClr w14:val="tx1"/>
                            </w14:solidFill>
                          </w14:textFill>
                        </w:rPr>
                        <m:t>+</m:t>
                      </m:r>
                      <m:f>
                        <m:fPr>
                          <m:type m:val="lin"/>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yv</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sv</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r>
                            <w:rPr>
                              <w:rFonts w:ascii="Cambria Math" w:hAnsi="Cambria Math" w:cs="HiddenHorzOCR"/>
                              <w:color w:val="000000" w:themeColor="text1"/>
                              <w:kern w:val="0"/>
                              <w:szCs w:val="21"/>
                              <w14:textFill>
                                <w14:solidFill>
                                  <w14:schemeClr w14:val="tx1"/>
                                </w14:solidFill>
                              </w14:textFill>
                            </w:rPr>
                            <m:t>s+0.056</m:t>
                          </m:r>
                          <m:sSubSup>
                            <w:bookmarkStart w:id="119" w:name="_Hlk24677456"/>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w:bookmarkEnd w:id="119"/>
                              <m:ctrlPr>
                                <w:rPr>
                                  <w:rFonts w:ascii="Cambria Math" w:hAnsi="Cambria Math" w:cs="HiddenHorzOCR"/>
                                  <w:i/>
                                  <w:color w:val="000000" w:themeColor="text1"/>
                                  <w:kern w:val="0"/>
                                  <w:szCs w:val="21"/>
                                  <w14:textFill>
                                    <w14:solidFill>
                                      <w14:schemeClr w14:val="tx1"/>
                                    </w14:solidFill>
                                  </w14:textFill>
                                </w:rPr>
                              </m:ctrlPr>
                            </m:sup>
                          </m:sSubSup>
                          <m:ctrlPr>
                            <w:rPr>
                              <w:rFonts w:ascii="Cambria Math" w:hAnsi="Cambria Math" w:cs="HiddenHorzOCR"/>
                              <w:i/>
                              <w:color w:val="000000" w:themeColor="text1"/>
                              <w:kern w:val="0"/>
                              <w:szCs w:val="21"/>
                              <w14:textFill>
                                <w14:solidFill>
                                  <w14:schemeClr w14:val="tx1"/>
                                </w14:solidFill>
                              </w14:textFill>
                            </w:rPr>
                          </m:ctrlPr>
                        </m:den>
                      </m:f>
                      <m:ctrlPr>
                        <w:rPr>
                          <w:rFonts w:ascii="Cambria Math" w:hAnsi="Cambria Math" w:cs="HiddenHorzOCR"/>
                          <w:i/>
                          <w:color w:val="000000" w:themeColor="text1"/>
                          <w:kern w:val="0"/>
                          <w:szCs w:val="21"/>
                          <w14:textFill>
                            <w14:solidFill>
                              <w14:schemeClr w14:val="tx1"/>
                            </w14:solidFill>
                          </w14:textFill>
                        </w:rPr>
                      </m:ctrlPr>
                    </m:den>
                  </m:f>
                  <m:ctrlPr>
                    <w:rPr>
                      <w:rFonts w:ascii="Cambria Math" w:hAnsi="Cambria Math" w:cs="HiddenHorzOCR"/>
                      <w:i/>
                      <w:color w:val="000000" w:themeColor="text1"/>
                      <w:kern w:val="0"/>
                      <w:szCs w:val="21"/>
                      <w14:textFill>
                        <w14:solidFill>
                          <w14:schemeClr w14:val="tx1"/>
                        </w14:solidFill>
                      </w14:textFill>
                    </w:rPr>
                  </m:ctrlPr>
                </m:e>
              </m:d>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RE</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 xml:space="preserve">           (7.3.2-1)</m:t>
          </m:r>
        </m:oMath>
      </m:oMathPara>
    </w:p>
    <w:p>
      <w:pPr>
        <w:autoSpaceDE w:val="0"/>
        <w:autoSpaceDN w:val="0"/>
        <w:spacing w:line="360" w:lineRule="auto"/>
        <w:ind w:firstLine="840" w:firstLineChars="400"/>
        <w:jc w:val="left"/>
        <w:rPr>
          <w:rFonts w:cs="HiddenHorzOCR" w:asciiTheme="minorEastAsia" w:hAnsiTheme="minorEastAsia"/>
          <w:i/>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η</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&gt;0.7</m:t>
        </m:r>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i/>
          <w:color w:val="000000" w:themeColor="text1"/>
          <w:kern w:val="0"/>
          <w:szCs w:val="21"/>
          <w14:textFill>
            <w14:solidFill>
              <w14:schemeClr w14:val="tx1"/>
            </w14:solidFill>
          </w14:textFill>
        </w:rPr>
      </w:pPr>
      <m:oMathPara>
        <m:oMath>
          <m:sSubSup>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m:ctrlPr>
                <w:rPr>
                  <w:rFonts w:ascii="Cambria Math" w:hAnsi="Cambria Math" w:cs="HiddenHorzOCR"/>
                  <w:i/>
                  <w:color w:val="000000" w:themeColor="text1"/>
                  <w:kern w:val="0"/>
                  <w:szCs w:val="21"/>
                  <w14:textFill>
                    <w14:solidFill>
                      <w14:schemeClr w14:val="tx1"/>
                    </w14:solidFill>
                  </w14:textFill>
                </w:rPr>
              </m:ctrlPr>
            </m:sup>
          </m:sSubSup>
          <m:r>
            <w:rPr>
              <w:rFonts w:ascii="Cambria Math" w:hAnsi="Cambria Math" w:cs="HiddenHorzOCR"/>
              <w:color w:val="000000" w:themeColor="text1"/>
              <w:kern w:val="0"/>
              <w:szCs w:val="21"/>
              <w14:textFill>
                <w14:solidFill>
                  <w14:schemeClr w14:val="tx1"/>
                </w14:solidFill>
              </w14:textFill>
            </w:rPr>
            <m:t>≤</m:t>
          </m:r>
          <m:f>
            <m:fPr>
              <m:type m:val="lin"/>
              <m:ctrlPr>
                <w:rPr>
                  <w:rFonts w:ascii="Cambria Math" w:hAnsi="Cambria Math" w:cs="HiddenHorzOCR"/>
                  <w:i/>
                  <w:color w:val="000000" w:themeColor="text1"/>
                  <w:kern w:val="0"/>
                  <w:szCs w:val="21"/>
                  <w14:textFill>
                    <w14:solidFill>
                      <w14:schemeClr w14:val="tx1"/>
                    </w14:solidFill>
                  </w14:textFill>
                </w:rPr>
              </m:ctrlPr>
            </m:fPr>
            <m:num>
              <m:d>
                <m:dPr>
                  <m:begChr m:val="["/>
                  <m:endChr m:val="]"/>
                  <m:ctrlPr>
                    <w:rPr>
                      <w:rFonts w:ascii="Cambria Math" w:hAnsi="Cambria Math" w:cs="HiddenHorzOCR"/>
                      <w:i/>
                      <w:color w:val="000000" w:themeColor="text1"/>
                      <w:kern w:val="0"/>
                      <w:szCs w:val="21"/>
                      <w14:textFill>
                        <w14:solidFill>
                          <w14:schemeClr w14:val="tx1"/>
                        </w14:solidFill>
                      </w14:textFill>
                    </w:rPr>
                  </m:ctrlPr>
                </m:dPr>
                <m:e>
                  <m:f>
                    <m:fPr>
                      <m:type m:val="lin"/>
                      <m:ctrlPr>
                        <w:rPr>
                          <w:rFonts w:ascii="Cambria Math" w:hAnsi="Cambria Math" w:cs="HiddenHorzOCR"/>
                          <w:i/>
                          <w:color w:val="000000" w:themeColor="text1"/>
                          <w:kern w:val="0"/>
                          <w:szCs w:val="21"/>
                          <w14:textFill>
                            <w14:solidFill>
                              <w14:schemeClr w14:val="tx1"/>
                            </w14:solidFill>
                          </w14:textFill>
                        </w:rPr>
                      </m:ctrlPr>
                    </m:fPr>
                    <m:num>
                      <m:f>
                        <m:fPr>
                          <m:ctrlPr>
                            <w:rPr>
                              <w:rFonts w:ascii="Cambria Math" w:hAnsi="Cambria Math" w:cs="HiddenHorzOCR"/>
                              <w:i/>
                              <w:color w:val="000000" w:themeColor="text1"/>
                              <w:kern w:val="0"/>
                              <w:szCs w:val="21"/>
                              <w14:textFill>
                                <w14:solidFill>
                                  <w14:schemeClr w14:val="tx1"/>
                                </w14:solidFill>
                              </w14:textFill>
                            </w:rPr>
                          </m:ctrlPr>
                        </m:fPr>
                        <m:num>
                          <m:r>
                            <w:rPr>
                              <w:rFonts w:ascii="Cambria Math" w:hAnsi="Cambria Math" w:cs="HiddenHorzOCR"/>
                              <w:color w:val="000000" w:themeColor="text1"/>
                              <w:kern w:val="0"/>
                              <w:szCs w:val="21"/>
                              <w14:textFill>
                                <w14:solidFill>
                                  <w14:schemeClr w14:val="tx1"/>
                                </w14:solidFill>
                              </w14:textFill>
                            </w:rPr>
                            <m:t>0.5</m:t>
                          </m:r>
                          <m:ctrlPr>
                            <w:rPr>
                              <w:rFonts w:ascii="Cambria Math" w:hAnsi="Cambria Math" w:cs="HiddenHorzOCR"/>
                              <w:i/>
                              <w:color w:val="000000" w:themeColor="text1"/>
                              <w:kern w:val="0"/>
                              <w:szCs w:val="21"/>
                              <w14:textFill>
                                <w14:solidFill>
                                  <w14:schemeClr w14:val="tx1"/>
                                </w14:solidFill>
                              </w14:textFill>
                            </w:rPr>
                          </m:ctrlPr>
                        </m:num>
                        <m:den>
                          <m:d>
                            <m:dPr>
                              <m:ctrlPr>
                                <w:rPr>
                                  <w:rFonts w:ascii="Cambria Math" w:hAnsi="Cambria Math" w:cs="HiddenHorzOCR"/>
                                  <w:i/>
                                  <w:color w:val="000000" w:themeColor="text1"/>
                                  <w:kern w:val="0"/>
                                  <w:szCs w:val="21"/>
                                  <w14:textFill>
                                    <w14:solidFill>
                                      <w14:schemeClr w14:val="tx1"/>
                                    </w14:solidFill>
                                  </w14:textFill>
                                </w:rPr>
                              </m:ctrlPr>
                            </m:dPr>
                            <m:e>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η</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-0.2</m:t>
                              </m:r>
                              <m:ctrlPr>
                                <w:rPr>
                                  <w:rFonts w:ascii="Cambria Math" w:hAnsi="Cambria Math" w:cs="HiddenHorzOCR"/>
                                  <w:i/>
                                  <w:color w:val="000000" w:themeColor="text1"/>
                                  <w:kern w:val="0"/>
                                  <w:szCs w:val="21"/>
                                  <w14:textFill>
                                    <w14:solidFill>
                                      <w14:schemeClr w14:val="tx1"/>
                                    </w14:solidFill>
                                  </w14:textFill>
                                </w:rPr>
                              </m:ctrlPr>
                            </m:e>
                          </m:d>
                          <m:ctrlPr>
                            <w:rPr>
                              <w:rFonts w:ascii="Cambria Math" w:hAnsi="Cambria Math" w:cs="HiddenHorzOCR"/>
                              <w:i/>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1.05</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b</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d>
                        <m:dPr>
                          <m:ctrlPr>
                            <w:rPr>
                              <w:rFonts w:ascii="Cambria Math" w:hAnsi="Cambria Math" w:cs="HiddenHorzOCR"/>
                              <w:i/>
                              <w:color w:val="000000" w:themeColor="text1"/>
                              <w:kern w:val="0"/>
                              <w:szCs w:val="21"/>
                              <w14:textFill>
                                <w14:solidFill>
                                  <w14:schemeClr w14:val="tx1"/>
                                </w14:solidFill>
                              </w14:textFill>
                            </w:rPr>
                          </m:ctrlPr>
                        </m:dPr>
                        <m:e>
                          <m:r>
                            <w:rPr>
                              <w:rFonts w:ascii="Cambria Math" w:hAnsi="Cambria Math" w:cs="HiddenHorzOCR"/>
                              <w:color w:val="000000" w:themeColor="text1"/>
                              <w:kern w:val="0"/>
                              <w:szCs w:val="21"/>
                              <w14:textFill>
                                <w14:solidFill>
                                  <w14:schemeClr w14:val="tx1"/>
                                </w14:solidFill>
                              </w14:textFill>
                            </w:rPr>
                            <m:t>λ+1</m:t>
                          </m:r>
                          <m:ctrlPr>
                            <w:rPr>
                              <w:rFonts w:ascii="Cambria Math" w:hAnsi="Cambria Math" w:cs="HiddenHorzOCR"/>
                              <w:i/>
                              <w:color w:val="000000" w:themeColor="text1"/>
                              <w:kern w:val="0"/>
                              <w:szCs w:val="21"/>
                              <w14:textFill>
                                <w14:solidFill>
                                  <w14:schemeClr w14:val="tx1"/>
                                </w14:solidFill>
                              </w14:textFill>
                            </w:rPr>
                          </m:ctrlPr>
                        </m:e>
                      </m:d>
                      <m:r>
                        <w:rPr>
                          <w:rFonts w:ascii="Cambria Math" w:hAnsi="Cambria Math" w:cs="HiddenHorzOCR"/>
                          <w:color w:val="000000" w:themeColor="text1"/>
                          <w:kern w:val="0"/>
                          <w:szCs w:val="21"/>
                          <w14:textFill>
                            <w14:solidFill>
                              <w14:schemeClr w14:val="tx1"/>
                            </w14:solidFill>
                          </w14:textFill>
                        </w:rPr>
                        <m:t>+</m:t>
                      </m:r>
                      <m:f>
                        <m:fPr>
                          <m:type m:val="lin"/>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yv</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sv</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r>
                            <w:rPr>
                              <w:rFonts w:ascii="Cambria Math" w:hAnsi="Cambria Math" w:cs="HiddenHorzOCR"/>
                              <w:color w:val="000000" w:themeColor="text1"/>
                              <w:kern w:val="0"/>
                              <w:szCs w:val="21"/>
                              <w14:textFill>
                                <w14:solidFill>
                                  <w14:schemeClr w14:val="tx1"/>
                                </w14:solidFill>
                              </w14:textFill>
                            </w:rPr>
                            <m:t>s+</m:t>
                          </m:r>
                          <m:f>
                            <m:fPr>
                              <m:ctrlPr>
                                <w:rPr>
                                  <w:rFonts w:ascii="Cambria Math" w:hAnsi="Cambria Math" w:cs="HiddenHorzOCR"/>
                                  <w:i/>
                                  <w:color w:val="000000" w:themeColor="text1"/>
                                  <w:kern w:val="0"/>
                                  <w:szCs w:val="21"/>
                                  <w14:textFill>
                                    <w14:solidFill>
                                      <w14:schemeClr w14:val="tx1"/>
                                    </w14:solidFill>
                                  </w14:textFill>
                                </w:rPr>
                              </m:ctrlPr>
                            </m:fPr>
                            <m:num>
                              <m:r>
                                <w:rPr>
                                  <w:rFonts w:ascii="Cambria Math" w:hAnsi="Cambria Math" w:cs="HiddenHorzOCR"/>
                                  <w:color w:val="000000" w:themeColor="text1"/>
                                  <w:kern w:val="0"/>
                                  <w:szCs w:val="21"/>
                                  <w14:textFill>
                                    <w14:solidFill>
                                      <w14:schemeClr w14:val="tx1"/>
                                    </w14:solidFill>
                                  </w14:textFill>
                                </w:rPr>
                                <m:t>0.5</m:t>
                              </m:r>
                              <m:ctrlPr>
                                <w:rPr>
                                  <w:rFonts w:ascii="Cambria Math" w:hAnsi="Cambria Math" w:cs="HiddenHorzOCR"/>
                                  <w:i/>
                                  <w:color w:val="000000" w:themeColor="text1"/>
                                  <w:kern w:val="0"/>
                                  <w:szCs w:val="21"/>
                                  <w14:textFill>
                                    <w14:solidFill>
                                      <w14:schemeClr w14:val="tx1"/>
                                    </w14:solidFill>
                                  </w14:textFill>
                                </w:rPr>
                              </m:ctrlPr>
                            </m:num>
                            <m:den>
                              <m:d>
                                <m:dPr>
                                  <m:ctrlPr>
                                    <w:rPr>
                                      <w:rFonts w:ascii="Cambria Math" w:hAnsi="Cambria Math" w:cs="HiddenHorzOCR"/>
                                      <w:i/>
                                      <w:color w:val="000000" w:themeColor="text1"/>
                                      <w:kern w:val="0"/>
                                      <w:szCs w:val="21"/>
                                      <w14:textFill>
                                        <w14:solidFill>
                                          <w14:schemeClr w14:val="tx1"/>
                                        </w14:solidFill>
                                      </w14:textFill>
                                    </w:rPr>
                                  </m:ctrlPr>
                                </m:dPr>
                                <m:e>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η</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-0.2</m:t>
                                  </m:r>
                                  <m:ctrlPr>
                                    <w:rPr>
                                      <w:rFonts w:ascii="Cambria Math" w:hAnsi="Cambria Math" w:cs="HiddenHorzOCR"/>
                                      <w:i/>
                                      <w:color w:val="000000" w:themeColor="text1"/>
                                      <w:kern w:val="0"/>
                                      <w:szCs w:val="21"/>
                                      <w14:textFill>
                                        <w14:solidFill>
                                          <w14:schemeClr w14:val="tx1"/>
                                        </w14:solidFill>
                                      </w14:textFill>
                                    </w:rPr>
                                  </m:ctrlPr>
                                </m:e>
                              </m:d>
                              <m:ctrlPr>
                                <w:rPr>
                                  <w:rFonts w:ascii="Cambria Math" w:hAnsi="Cambria Math" w:cs="HiddenHorzOCR"/>
                                  <w:i/>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0.0168</m:t>
                          </m:r>
                          <m:sSub>
                            <w:bookmarkStart w:id="120" w:name="_Hlk24677507"/>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bh</m:t>
                          </m:r>
                          <w:bookmarkEnd w:id="120"/>
                          <m:ctrlPr>
                            <w:rPr>
                              <w:rFonts w:ascii="Cambria Math" w:hAnsi="Cambria Math" w:cs="HiddenHorzOCR"/>
                              <w:i/>
                              <w:color w:val="000000" w:themeColor="text1"/>
                              <w:kern w:val="0"/>
                              <w:szCs w:val="21"/>
                              <w14:textFill>
                                <w14:solidFill>
                                  <w14:schemeClr w14:val="tx1"/>
                                </w14:solidFill>
                              </w14:textFill>
                            </w:rPr>
                          </m:ctrlPr>
                        </m:den>
                      </m:f>
                      <m:ctrlPr>
                        <w:rPr>
                          <w:rFonts w:ascii="Cambria Math" w:hAnsi="Cambria Math" w:cs="HiddenHorzOCR"/>
                          <w:i/>
                          <w:color w:val="000000" w:themeColor="text1"/>
                          <w:kern w:val="0"/>
                          <w:szCs w:val="21"/>
                          <w14:textFill>
                            <w14:solidFill>
                              <w14:schemeClr w14:val="tx1"/>
                            </w14:solidFill>
                          </w14:textFill>
                        </w:rPr>
                      </m:ctrlPr>
                    </m:den>
                  </m:f>
                  <m:ctrlPr>
                    <w:rPr>
                      <w:rFonts w:ascii="Cambria Math" w:hAnsi="Cambria Math" w:cs="HiddenHorzOCR"/>
                      <w:i/>
                      <w:color w:val="000000" w:themeColor="text1"/>
                      <w:kern w:val="0"/>
                      <w:szCs w:val="21"/>
                      <w14:textFill>
                        <w14:solidFill>
                          <w14:schemeClr w14:val="tx1"/>
                        </w14:solidFill>
                      </w14:textFill>
                    </w:rPr>
                  </m:ctrlPr>
                </m:e>
              </m:d>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RE</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(7.3.2-2)</m:t>
          </m:r>
        </m:oMath>
      </m:oMathPara>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η</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——轴压比，</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η</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hint="eastAsia" w:ascii="Cambria Math" w:hAnsi="Cambria Math" w:cs="HiddenHorzOCR"/>
            <w:color w:val="000000" w:themeColor="text1"/>
            <w:kern w:val="0"/>
            <w:szCs w:val="21"/>
            <w14:textFill>
              <w14:solidFill>
                <w14:schemeClr w14:val="tx1"/>
              </w14:solidFill>
            </w14:textFill>
          </w:rPr>
          <m:t>=</m:t>
        </m:r>
        <m:f>
          <w:bookmarkStart w:id="121" w:name="_Hlk24677649"/>
          <m:fPr>
            <m:type m:val="lin"/>
            <m:ctrlPr>
              <w:rPr>
                <w:rFonts w:ascii="Cambria Math" w:hAnsi="Cambria Math" w:cs="HiddenHorzOCR"/>
                <w:i/>
                <w:color w:val="000000" w:themeColor="text1"/>
                <w:kern w:val="0"/>
                <w:szCs w:val="21"/>
                <w14:textFill>
                  <w14:solidFill>
                    <w14:schemeClr w14:val="tx1"/>
                  </w14:solidFill>
                </w14:textFill>
              </w:rPr>
            </m:ctrlPr>
          </m:fPr>
          <m:num>
            <m:sSubSup>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w:bookmarkEnd w:id="121"/>
                <m:ctrlPr>
                  <w:rPr>
                    <w:rFonts w:ascii="Cambria Math" w:hAnsi="Cambria Math" w:cs="HiddenHorzOCR"/>
                    <w:i/>
                    <w:color w:val="000000" w:themeColor="text1"/>
                    <w:kern w:val="0"/>
                    <w:szCs w:val="21"/>
                    <w14:textFill>
                      <w14:solidFill>
                        <w14:schemeClr w14:val="tx1"/>
                      </w14:solidFill>
                    </w14:textFill>
                  </w:rPr>
                </m:ctrlPr>
              </m:sup>
            </m:sSubSup>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bh</m:t>
            </m:r>
            <m:ctrlPr>
              <w:rPr>
                <w:rFonts w:ascii="Cambria Math" w:hAnsi="Cambria Math" w:cs="HiddenHorzOCR"/>
                <w:i/>
                <w:color w:val="000000" w:themeColor="text1"/>
                <w:kern w:val="0"/>
                <w:szCs w:val="21"/>
                <w14:textFill>
                  <w14:solidFill>
                    <w14:schemeClr w14:val="tx1"/>
                  </w14:solidFill>
                </w14:textFill>
              </w:rPr>
            </m:ctrlPr>
          </m:den>
        </m:f>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Sup>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m:ctrlPr>
              <w:rPr>
                <w:rFonts w:ascii="Cambria Math" w:hAnsi="Cambria Math" w:cs="HiddenHorzOCR"/>
                <w:i/>
                <w:color w:val="000000" w:themeColor="text1"/>
                <w:kern w:val="0"/>
                <w:szCs w:val="21"/>
                <w14:textFill>
                  <w14:solidFill>
                    <w14:schemeClr w14:val="tx1"/>
                  </w14:solidFill>
                </w14:textFill>
              </w:rPr>
            </m:ctrlPr>
          </m:sup>
        </m:sSubSup>
      </m:oMath>
      <w:r>
        <w:rPr>
          <w:rFonts w:hint="eastAsia" w:cs="HiddenHorzOCR" w:asciiTheme="minorEastAsia" w:hAnsiTheme="minorEastAsia"/>
          <w:color w:val="000000" w:themeColor="text1"/>
          <w:kern w:val="0"/>
          <w:szCs w:val="21"/>
          <w14:textFill>
            <w14:solidFill>
              <w14:schemeClr w14:val="tx1"/>
            </w14:solidFill>
          </w14:textFill>
        </w:rPr>
        <w:t>——压肢考虑地震作用效应组合的剪力设计值；</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r>
          <w:rPr>
            <w:rFonts w:hint="eastAsia" w:ascii="Cambria Math" w:hAnsi="Cambria Math" w:cs="HiddenHorzOCR"/>
            <w:color w:val="000000" w:themeColor="text1"/>
            <w:kern w:val="0"/>
            <w:szCs w:val="21"/>
            <w14:textFill>
              <w14:solidFill>
                <w14:schemeClr w14:val="tx1"/>
              </w14:solidFill>
            </w14:textFill>
          </w:rPr>
          <m:t>λ</m:t>
        </m:r>
      </m:oMath>
      <w:r>
        <w:rPr>
          <w:rFonts w:hint="eastAsia" w:cs="HiddenHorzOCR" w:asciiTheme="minorEastAsia" w:hAnsiTheme="minorEastAsia"/>
          <w:color w:val="000000" w:themeColor="text1"/>
          <w:kern w:val="0"/>
          <w:szCs w:val="21"/>
          <w14:textFill>
            <w14:solidFill>
              <w14:schemeClr w14:val="tx1"/>
            </w14:solidFill>
          </w14:textFill>
        </w:rPr>
        <w:t>——剪跨比，</w:t>
      </w:r>
      <m:oMath>
        <m:r>
          <w:rPr>
            <w:rFonts w:hint="eastAsia" w:ascii="Cambria Math" w:hAnsi="Cambria Math" w:cs="HiddenHorzOCR"/>
            <w:color w:val="000000" w:themeColor="text1"/>
            <w:kern w:val="0"/>
            <w:szCs w:val="21"/>
            <w14:textFill>
              <w14:solidFill>
                <w14:schemeClr w14:val="tx1"/>
              </w14:solidFill>
            </w14:textFill>
          </w:rPr>
          <m:t>λ=</m:t>
        </m:r>
        <m:f>
          <m:fPr>
            <m:type m:val="lin"/>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d>
              <m:dPr>
                <m:ctrlPr>
                  <w:rPr>
                    <w:rFonts w:ascii="Cambria Math" w:hAnsi="Cambria Math" w:cs="HiddenHorzOCR"/>
                    <w:i/>
                    <w:color w:val="000000" w:themeColor="text1"/>
                    <w:kern w:val="0"/>
                    <w:szCs w:val="21"/>
                    <w14:textFill>
                      <w14:solidFill>
                        <w14:schemeClr w14:val="tx1"/>
                      </w14:solidFill>
                    </w14:textFill>
                  </w:rPr>
                </m:ctrlPr>
              </m:dPr>
              <m:e>
                <m:r>
                  <w:rPr>
                    <w:rFonts w:ascii="Cambria Math" w:hAnsi="Cambria Math" w:cs="HiddenHorzOCR"/>
                    <w:color w:val="000000" w:themeColor="text1"/>
                    <w:kern w:val="0"/>
                    <w:szCs w:val="21"/>
                    <w14:textFill>
                      <w14:solidFill>
                        <w14:schemeClr w14:val="tx1"/>
                      </w14:solidFill>
                    </w14:textFill>
                  </w:rPr>
                  <m:t>2</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e>
            </m:d>
            <m:ctrlPr>
              <w:rPr>
                <w:rFonts w:ascii="Cambria Math" w:hAnsi="Cambria Math" w:cs="HiddenHorzOCR"/>
                <w:i/>
                <w:color w:val="000000" w:themeColor="text1"/>
                <w:kern w:val="0"/>
                <w:szCs w:val="21"/>
                <w14:textFill>
                  <w14:solidFill>
                    <w14:schemeClr w14:val="tx1"/>
                  </w14:solidFill>
                </w14:textFill>
              </w:rPr>
            </m:ctrlPr>
          </m:den>
        </m:f>
      </m:oMath>
      <w:r>
        <w:rPr>
          <w:rFonts w:hint="eastAsia" w:cs="HiddenHorzOCR" w:asciiTheme="minorEastAsia" w:hAnsiTheme="minorEastAsia"/>
          <w:color w:val="000000" w:themeColor="text1"/>
          <w:kern w:val="0"/>
          <w:szCs w:val="21"/>
          <w14:textFill>
            <w14:solidFill>
              <w14:schemeClr w14:val="tx1"/>
            </w14:solidFill>
          </w14:textFill>
        </w:rPr>
        <w:t>；λ小于1.0时，取1.0；λ大于3.0时，取3.0；</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为平腹杆之间的净距离；</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Sup>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m:ctrlPr>
              <w:rPr>
                <w:rFonts w:ascii="Cambria Math" w:hAnsi="Cambria Math" w:cs="HiddenHorzOCR"/>
                <w:i/>
                <w:color w:val="000000" w:themeColor="text1"/>
                <w:kern w:val="0"/>
                <w:szCs w:val="21"/>
                <w14:textFill>
                  <w14:solidFill>
                    <w14:schemeClr w14:val="tx1"/>
                  </w14:solidFill>
                </w14:textFill>
              </w:rPr>
            </m:ctrlPr>
          </m:sup>
        </m:sSubSup>
      </m:oMath>
      <w:r>
        <w:rPr>
          <w:rFonts w:hint="eastAsia" w:cs="HiddenHorzOCR" w:asciiTheme="minorEastAsia" w:hAnsiTheme="minorEastAsia"/>
          <w:color w:val="000000" w:themeColor="text1"/>
          <w:kern w:val="0"/>
          <w:szCs w:val="21"/>
          <w14:textFill>
            <w14:solidFill>
              <w14:schemeClr w14:val="tx1"/>
            </w14:solidFill>
          </w14:textFill>
        </w:rPr>
        <w:t>——压肢轴向压力设计值；在式（7.3.2-1）中，当</w:t>
      </w:r>
      <m:oMath>
        <m:sSubSup>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m:ctrlPr>
              <w:rPr>
                <w:rFonts w:ascii="Cambria Math" w:hAnsi="Cambria Math" w:cs="HiddenHorzOCR"/>
                <w:i/>
                <w:color w:val="000000" w:themeColor="text1"/>
                <w:kern w:val="0"/>
                <w:szCs w:val="21"/>
                <w14:textFill>
                  <w14:solidFill>
                    <w14:schemeClr w14:val="tx1"/>
                  </w14:solidFill>
                </w14:textFill>
              </w:rPr>
            </m:ctrlPr>
          </m:sup>
        </m:sSubSup>
      </m:oMath>
      <w:r>
        <w:rPr>
          <w:rFonts w:hint="eastAsia" w:cs="HiddenHorzOCR" w:asciiTheme="minorEastAsia" w:hAnsiTheme="minorEastAsia"/>
          <w:color w:val="000000" w:themeColor="text1"/>
          <w:kern w:val="0"/>
          <w:szCs w:val="21"/>
          <w14:textFill>
            <w14:solidFill>
              <w14:schemeClr w14:val="tx1"/>
            </w14:solidFill>
          </w14:textFill>
        </w:rPr>
        <w:t>大于0.3</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bh</m:t>
        </m:r>
      </m:oMath>
      <w:r>
        <w:rPr>
          <w:rFonts w:hint="eastAsia" w:cs="HiddenHorzOCR" w:asciiTheme="minorEastAsia" w:hAnsiTheme="minorEastAsia"/>
          <w:color w:val="000000" w:themeColor="text1"/>
          <w:kern w:val="0"/>
          <w:szCs w:val="21"/>
          <w14:textFill>
            <w14:solidFill>
              <w14:schemeClr w14:val="tx1"/>
            </w14:solidFill>
          </w14:textFill>
        </w:rPr>
        <w:t>时，取</w:t>
      </w:r>
      <m:oMath>
        <m:sSubSup>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m:ctrlPr>
              <w:rPr>
                <w:rFonts w:ascii="Cambria Math" w:hAnsi="Cambria Math" w:cs="HiddenHorzOCR"/>
                <w:i/>
                <w:color w:val="000000" w:themeColor="text1"/>
                <w:kern w:val="0"/>
                <w:szCs w:val="21"/>
                <w14:textFill>
                  <w14:solidFill>
                    <w14:schemeClr w14:val="tx1"/>
                  </w14:solidFill>
                </w14:textFill>
              </w:rPr>
            </m:ctrlPr>
          </m:sup>
        </m:sSubSup>
      </m:oMath>
      <w:r>
        <w:rPr>
          <w:rFonts w:hint="eastAsia" w:cs="HiddenHorzOCR" w:asciiTheme="minorEastAsia" w:hAnsiTheme="minorEastAsia"/>
          <w:color w:val="000000" w:themeColor="text1"/>
          <w:kern w:val="0"/>
          <w:szCs w:val="21"/>
          <w14:textFill>
            <w14:solidFill>
              <w14:schemeClr w14:val="tx1"/>
            </w14:solidFill>
          </w14:textFill>
        </w:rPr>
        <w:t>等于0.3</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bh</m:t>
        </m:r>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4 拉肢的斜截面受剪承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》GB50010的规定计算。</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7.3.3 </w:t>
      </w:r>
      <w:r>
        <w:rPr>
          <w:rFonts w:hint="eastAsia" w:cs="HiddenHorzOCR"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地震作用效</w:t>
      </w:r>
      <w:r>
        <w:rPr>
          <w:rFonts w:hint="eastAsia" w:cs="宋体" w:asciiTheme="minorEastAsia" w:hAnsiTheme="minorEastAsia"/>
          <w:color w:val="000000" w:themeColor="text1"/>
          <w:kern w:val="0"/>
          <w:szCs w:val="21"/>
          <w14:textFill>
            <w14:solidFill>
              <w14:schemeClr w14:val="tx1"/>
            </w14:solidFill>
          </w14:textFill>
        </w:rPr>
        <w:t>应组</w:t>
      </w:r>
      <w:r>
        <w:rPr>
          <w:rFonts w:hint="eastAsia" w:cs="MS Mincho" w:asciiTheme="minorEastAsia" w:hAnsiTheme="minorEastAsia"/>
          <w:color w:val="000000" w:themeColor="text1"/>
          <w:kern w:val="0"/>
          <w:szCs w:val="21"/>
          <w14:textFill>
            <w14:solidFill>
              <w14:schemeClr w14:val="tx1"/>
            </w14:solidFill>
          </w14:textFill>
        </w:rPr>
        <w:t>合的平腹杆双肢柱的腹杆和肩梁的</w:t>
      </w:r>
      <w:r>
        <w:rPr>
          <w:rFonts w:hint="eastAsia" w:cs="HiddenHorzOCR" w:asciiTheme="minorEastAsia" w:hAnsiTheme="minorEastAsia"/>
          <w:color w:val="000000" w:themeColor="text1"/>
          <w:kern w:val="0"/>
          <w:szCs w:val="21"/>
          <w14:textFill>
            <w14:solidFill>
              <w14:schemeClr w14:val="tx1"/>
            </w14:solidFill>
          </w14:textFill>
        </w:rPr>
        <w:t>截面承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平腹杆正截面受弯承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称双筋矩形截面</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w:t>
      </w:r>
      <w:r>
        <w:rPr>
          <w:rFonts w:hint="eastAsia" w:cs="HiddenHorzOCR" w:asciiTheme="minorEastAsia" w:hAnsiTheme="minorEastAsia"/>
          <w:color w:val="000000" w:themeColor="text1"/>
          <w:kern w:val="0"/>
          <w:szCs w:val="21"/>
          <w14:textFill>
            <w14:solidFill>
              <w14:schemeClr w14:val="tx1"/>
            </w14:solidFill>
          </w14:textFill>
        </w:rPr>
        <w:t>合下式要求：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Times New Roman"/>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M</m:t>
              </m:r>
              <m:ctrlPr>
                <w:rPr>
                  <w:rFonts w:ascii="Cambria Math" w:hAnsi="Cambria Math" w:cs="Times New Roman"/>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b</m:t>
              </m:r>
              <m:ctrlPr>
                <w:rPr>
                  <w:rFonts w:ascii="Cambria Math" w:hAnsi="Cambria Math" w:cs="Times New Roman"/>
                  <w:i/>
                  <w:color w:val="000000" w:themeColor="text1"/>
                  <w:kern w:val="0"/>
                  <w:szCs w:val="21"/>
                  <w14:textFill>
                    <w14:solidFill>
                      <w14:schemeClr w14:val="tx1"/>
                    </w14:solidFill>
                  </w14:textFill>
                </w:rPr>
              </m:ctrlPr>
            </m:sub>
          </m:sSub>
          <m:r>
            <w:rPr>
              <w:rFonts w:hint="eastAsia" w:ascii="Cambria Math" w:hAnsi="Cambria Math" w:cs="Times New Roman"/>
              <w:color w:val="000000" w:themeColor="text1"/>
              <w:kern w:val="0"/>
              <w:szCs w:val="21"/>
              <w14:textFill>
                <w14:solidFill>
                  <w14:schemeClr w14:val="tx1"/>
                </w14:solidFill>
              </w14:textFill>
            </w:rPr>
            <m:t>≤</m:t>
          </m:r>
          <m:f>
            <m:fPr>
              <m:ctrlPr>
                <w:rPr>
                  <w:rFonts w:ascii="Cambria Math" w:hAnsi="Cambria Math" w:cs="Times New Roman"/>
                  <w:i/>
                  <w:color w:val="000000" w:themeColor="text1"/>
                  <w:kern w:val="0"/>
                  <w:szCs w:val="21"/>
                  <w14:textFill>
                    <w14:solidFill>
                      <w14:schemeClr w14:val="tx1"/>
                    </w14:solidFill>
                  </w14:textFill>
                </w:rPr>
              </m:ctrlPr>
            </m:fPr>
            <m:num>
              <m:r>
                <w:rPr>
                  <w:rFonts w:ascii="Cambria Math" w:hAnsi="Cambria Math" w:cs="Times New Roman"/>
                  <w:color w:val="000000" w:themeColor="text1"/>
                  <w:kern w:val="0"/>
                  <w:szCs w:val="21"/>
                  <w14:textFill>
                    <w14:solidFill>
                      <w14:schemeClr w14:val="tx1"/>
                    </w14:solidFill>
                  </w14:textFill>
                </w:rPr>
                <m:t>1</m:t>
              </m:r>
              <m:ctrlPr>
                <w:rPr>
                  <w:rFonts w:ascii="Cambria Math" w:hAnsi="Cambria Math" w:cs="Times New Roman"/>
                  <w:i/>
                  <w:color w:val="000000" w:themeColor="text1"/>
                  <w:kern w:val="0"/>
                  <w:szCs w:val="21"/>
                  <w14:textFill>
                    <w14:solidFill>
                      <w14:schemeClr w14:val="tx1"/>
                    </w14:solidFill>
                  </w14:textFill>
                </w:rPr>
              </m:ctrlPr>
            </m:num>
            <m:den>
              <m:sSub>
                <m:sSubPr>
                  <m:ctrlPr>
                    <w:rPr>
                      <w:rFonts w:ascii="Cambria Math" w:hAnsi="Cambria Math" w:cs="Times New Roman"/>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γ</m:t>
                  </m:r>
                  <m:ctrlPr>
                    <w:rPr>
                      <w:rFonts w:ascii="Cambria Math" w:hAnsi="Cambria Math" w:cs="Times New Roman"/>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RE</m:t>
                  </m:r>
                  <m:ctrlPr>
                    <w:rPr>
                      <w:rFonts w:ascii="Cambria Math" w:hAnsi="Cambria Math" w:cs="Times New Roman"/>
                      <w:i/>
                      <w:color w:val="000000" w:themeColor="text1"/>
                      <w:kern w:val="0"/>
                      <w:szCs w:val="21"/>
                      <w14:textFill>
                        <w14:solidFill>
                          <w14:schemeClr w14:val="tx1"/>
                        </w14:solidFill>
                      </w14:textFill>
                    </w:rPr>
                  </m:ctrlPr>
                </m:sub>
              </m:sSub>
              <m:ctrlPr>
                <w:rPr>
                  <w:rFonts w:ascii="Cambria Math" w:hAnsi="Cambria Math" w:cs="Times New Roman"/>
                  <w:i/>
                  <w:color w:val="000000" w:themeColor="text1"/>
                  <w:kern w:val="0"/>
                  <w:szCs w:val="21"/>
                  <w14:textFill>
                    <w14:solidFill>
                      <w14:schemeClr w14:val="tx1"/>
                    </w14:solidFill>
                  </w14:textFill>
                </w:rPr>
              </m:ctrlPr>
            </m:den>
          </m:f>
          <m:sSub>
            <w:bookmarkStart w:id="122" w:name="_Hlk24677952"/>
            <m:sSubPr>
              <m:ctrlPr>
                <w:rPr>
                  <w:rFonts w:ascii="Cambria Math" w:hAnsi="Cambria Math" w:cs="Times New Roman"/>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f</m:t>
              </m:r>
              <m:ctrlPr>
                <w:rPr>
                  <w:rFonts w:ascii="Cambria Math" w:hAnsi="Cambria Math" w:cs="Times New Roman"/>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y</m:t>
              </m:r>
              <w:bookmarkEnd w:id="122"/>
              <m:ctrlPr>
                <w:rPr>
                  <w:rFonts w:ascii="Cambria Math" w:hAnsi="Cambria Math" w:cs="Times New Roman"/>
                  <w:i/>
                  <w:color w:val="000000" w:themeColor="text1"/>
                  <w:kern w:val="0"/>
                  <w:szCs w:val="21"/>
                  <w14:textFill>
                    <w14:solidFill>
                      <w14:schemeClr w14:val="tx1"/>
                    </w14:solidFill>
                  </w14:textFill>
                </w:rPr>
              </m:ctrlPr>
            </m:sub>
          </m:sSub>
          <m:sSub>
            <m:sSubPr>
              <m:ctrlPr>
                <w:rPr>
                  <w:rFonts w:ascii="Cambria Math" w:hAnsi="Cambria Math" w:cs="Times New Roman"/>
                  <w:i/>
                  <w:color w:val="000000" w:themeColor="text1"/>
                  <w:kern w:val="0"/>
                  <w:szCs w:val="21"/>
                  <w14:textFill>
                    <w14:solidFill>
                      <w14:schemeClr w14:val="tx1"/>
                    </w14:solidFill>
                  </w14:textFill>
                </w:rPr>
              </m:ctrlPr>
            </m:sSubPr>
            <m:e>
              <w:bookmarkStart w:id="123" w:name="_Hlk24678026"/>
              <m:r>
                <w:rPr>
                  <w:rFonts w:ascii="Cambria Math" w:hAnsi="Cambria Math" w:cs="Times New Roman"/>
                  <w:color w:val="000000" w:themeColor="text1"/>
                  <w:kern w:val="0"/>
                  <w:szCs w:val="21"/>
                  <w14:textFill>
                    <w14:solidFill>
                      <w14:schemeClr w14:val="tx1"/>
                    </w14:solidFill>
                  </w14:textFill>
                </w:rPr>
                <m:t>A</m:t>
              </m:r>
              <m:ctrlPr>
                <w:rPr>
                  <w:rFonts w:ascii="Cambria Math" w:hAnsi="Cambria Math" w:cs="Times New Roman"/>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s</m:t>
              </m:r>
              <w:bookmarkEnd w:id="123"/>
              <m:ctrlPr>
                <w:rPr>
                  <w:rFonts w:ascii="Cambria Math" w:hAnsi="Cambria Math" w:cs="Times New Roman"/>
                  <w:i/>
                  <w:color w:val="000000" w:themeColor="text1"/>
                  <w:kern w:val="0"/>
                  <w:szCs w:val="21"/>
                  <w14:textFill>
                    <w14:solidFill>
                      <w14:schemeClr w14:val="tx1"/>
                    </w14:solidFill>
                  </w14:textFill>
                </w:rPr>
              </m:ctrlPr>
            </m:sub>
          </m:sSub>
          <m:d>
            <m:dPr>
              <m:begChr m:val="（"/>
              <m:endChr m:val="）"/>
              <m:ctrlPr>
                <w:rPr>
                  <w:rFonts w:ascii="Cambria Math" w:hAnsi="Cambria Math" w:cs="Times New Roman"/>
                  <w:i/>
                  <w:color w:val="000000" w:themeColor="text1"/>
                  <w:kern w:val="0"/>
                  <w:szCs w:val="21"/>
                  <w14:textFill>
                    <w14:solidFill>
                      <w14:schemeClr w14:val="tx1"/>
                    </w14:solidFill>
                  </w14:textFill>
                </w:rPr>
              </m:ctrlPr>
            </m:dPr>
            <m:e>
              <m:r>
                <w:rPr>
                  <w:rFonts w:ascii="Cambria Math" w:hAnsi="Cambria Math" w:cs="Times New Roman"/>
                  <w:color w:val="000000" w:themeColor="text1"/>
                  <w:kern w:val="0"/>
                  <w:szCs w:val="21"/>
                  <w14:textFill>
                    <w14:solidFill>
                      <w14:schemeClr w14:val="tx1"/>
                    </w14:solidFill>
                  </w14:textFill>
                </w:rPr>
                <m:t>h-</m:t>
              </m:r>
              <m:sSub>
                <m:sSubPr>
                  <m:ctrlPr>
                    <w:rPr>
                      <w:rFonts w:ascii="Cambria Math" w:hAnsi="Cambria Math" w:cs="Times New Roman"/>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a</m:t>
                  </m:r>
                  <m:ctrlPr>
                    <w:rPr>
                      <w:rFonts w:ascii="Cambria Math" w:hAnsi="Cambria Math" w:cs="Times New Roman"/>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i/>
                      <w:color w:val="000000" w:themeColor="text1"/>
                      <w:kern w:val="0"/>
                      <w:szCs w:val="21"/>
                      <w14:textFill>
                        <w14:solidFill>
                          <w14:schemeClr w14:val="tx1"/>
                        </w14:solidFill>
                      </w14:textFill>
                    </w:rPr>
                  </m:ctrlPr>
                </m:sub>
              </m:sSub>
              <m:r>
                <w:rPr>
                  <w:rFonts w:ascii="Cambria Math" w:hAnsi="Cambria Math" w:cs="Times New Roman"/>
                  <w:color w:val="000000" w:themeColor="text1"/>
                  <w:kern w:val="0"/>
                  <w:szCs w:val="21"/>
                  <w14:textFill>
                    <w14:solidFill>
                      <w14:schemeClr w14:val="tx1"/>
                    </w14:solidFill>
                  </w14:textFill>
                </w:rPr>
                <m:t>-</m:t>
              </m:r>
              <m:sSub>
                <m:sSubPr>
                  <m:ctrlPr>
                    <w:rPr>
                      <w:rFonts w:ascii="Cambria Math" w:hAnsi="Cambria Math" w:cs="Times New Roman"/>
                      <w:i/>
                      <w:color w:val="000000" w:themeColor="text1"/>
                      <w:kern w:val="0"/>
                      <w:szCs w:val="21"/>
                      <w14:textFill>
                        <w14:solidFill>
                          <w14:schemeClr w14:val="tx1"/>
                        </w14:solidFill>
                      </w14:textFill>
                    </w:rPr>
                  </m:ctrlPr>
                </m:sSubPr>
                <m:e>
                  <m:sSup>
                    <m:sSupPr>
                      <m:ctrlPr>
                        <w:rPr>
                          <w:rFonts w:ascii="Cambria Math" w:hAnsi="Cambria Math" w:cs="Times New Roman"/>
                          <w:i/>
                          <w:color w:val="000000" w:themeColor="text1"/>
                          <w:kern w:val="0"/>
                          <w:szCs w:val="21"/>
                          <w14:textFill>
                            <w14:solidFill>
                              <w14:schemeClr w14:val="tx1"/>
                            </w14:solidFill>
                          </w14:textFill>
                        </w:rPr>
                      </m:ctrlPr>
                    </m:sSupPr>
                    <m:e>
                      <m:r>
                        <w:rPr>
                          <w:rFonts w:ascii="Cambria Math" w:hAnsi="Cambria Math" w:cs="Times New Roman"/>
                          <w:color w:val="000000" w:themeColor="text1"/>
                          <w:kern w:val="0"/>
                          <w:szCs w:val="21"/>
                          <w14:textFill>
                            <w14:solidFill>
                              <w14:schemeClr w14:val="tx1"/>
                            </w14:solidFill>
                          </w14:textFill>
                        </w:rPr>
                        <m:t>a</m:t>
                      </m:r>
                      <m:ctrlPr>
                        <w:rPr>
                          <w:rFonts w:ascii="Cambria Math" w:hAnsi="Cambria Math" w:cs="Times New Roman"/>
                          <w:i/>
                          <w:color w:val="000000" w:themeColor="text1"/>
                          <w:kern w:val="0"/>
                          <w:szCs w:val="21"/>
                          <w14:textFill>
                            <w14:solidFill>
                              <w14:schemeClr w14:val="tx1"/>
                            </w14:solidFill>
                          </w14:textFill>
                        </w:rPr>
                      </m:ctrlPr>
                    </m:e>
                    <m:sup>
                      <m:r>
                        <w:rPr>
                          <w:rFonts w:ascii="Cambria Math" w:hAnsi="Cambria Math" w:cs="Times New Roman"/>
                          <w:color w:val="000000" w:themeColor="text1"/>
                          <w:kern w:val="0"/>
                          <w:szCs w:val="21"/>
                          <w14:textFill>
                            <w14:solidFill>
                              <w14:schemeClr w14:val="tx1"/>
                            </w14:solidFill>
                          </w14:textFill>
                        </w:rPr>
                        <m:t>'</m:t>
                      </m:r>
                      <m:ctrlPr>
                        <w:rPr>
                          <w:rFonts w:ascii="Cambria Math" w:hAnsi="Cambria Math" w:cs="Times New Roman"/>
                          <w:i/>
                          <w:color w:val="000000" w:themeColor="text1"/>
                          <w:kern w:val="0"/>
                          <w:szCs w:val="21"/>
                          <w14:textFill>
                            <w14:solidFill>
                              <w14:schemeClr w14:val="tx1"/>
                            </w14:solidFill>
                          </w14:textFill>
                        </w:rPr>
                      </m:ctrlPr>
                    </m:sup>
                  </m:sSup>
                  <m:ctrlPr>
                    <w:rPr>
                      <w:rFonts w:ascii="Cambria Math" w:hAnsi="Cambria Math" w:cs="Times New Roman"/>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s</m:t>
                  </m:r>
                  <m:ctrlPr>
                    <w:rPr>
                      <w:rFonts w:ascii="Cambria Math" w:hAnsi="Cambria Math" w:cs="Times New Roman"/>
                      <w:i/>
                      <w:color w:val="000000" w:themeColor="text1"/>
                      <w:kern w:val="0"/>
                      <w:szCs w:val="21"/>
                      <w14:textFill>
                        <w14:solidFill>
                          <w14:schemeClr w14:val="tx1"/>
                        </w14:solidFill>
                      </w14:textFill>
                    </w:rPr>
                  </m:ctrlPr>
                </m:sub>
              </m:sSub>
              <m:ctrlPr>
                <w:rPr>
                  <w:rFonts w:ascii="Cambria Math" w:hAnsi="Cambria Math" w:cs="Times New Roman"/>
                  <w:i/>
                  <w:color w:val="000000" w:themeColor="text1"/>
                  <w:kern w:val="0"/>
                  <w:szCs w:val="21"/>
                  <w14:textFill>
                    <w14:solidFill>
                      <w14:schemeClr w14:val="tx1"/>
                    </w14:solidFill>
                  </w14:textFill>
                </w:rPr>
              </m:ctrlPr>
            </m:e>
          </m:d>
          <m:r>
            <m:rPr>
              <m:sty m:val="p"/>
            </m:rPr>
            <w:rPr>
              <w:rFonts w:ascii="Cambria Math" w:hAnsi="Cambria Math" w:cs="Times New Roman"/>
              <w:color w:val="000000" w:themeColor="text1"/>
              <w:kern w:val="0"/>
              <w:szCs w:val="21"/>
              <w14:textFill>
                <w14:solidFill>
                  <w14:schemeClr w14:val="tx1"/>
                </w14:solidFill>
              </w14:textFill>
            </w:rPr>
            <m:t xml:space="preserve">              </m:t>
          </m:r>
          <m:r>
            <m:rPr>
              <m:sty m:val="p"/>
            </m:rPr>
            <w:rPr>
              <w:rFonts w:hint="eastAsia" w:ascii="Cambria Math" w:hAnsi="Cambria Math" w:cs="Times New Roman"/>
              <w:color w:val="000000" w:themeColor="text1"/>
              <w:kern w:val="0"/>
              <w:szCs w:val="21"/>
              <w14:textFill>
                <w14:solidFill>
                  <w14:schemeClr w14:val="tx1"/>
                </w14:solidFill>
              </w14:textFill>
            </w:rPr>
            <m:t>（7.3</m:t>
          </m:r>
          <m:r>
            <m:rPr>
              <m:sty m:val="p"/>
            </m:rPr>
            <w:rPr>
              <w:rFonts w:ascii="Cambria Math" w:hAnsi="Cambria Math" w:cs="Times New Roman"/>
              <w:color w:val="000000" w:themeColor="text1"/>
              <w:kern w:val="0"/>
              <w:szCs w:val="21"/>
              <w14:textFill>
                <w14:solidFill>
                  <w14:schemeClr w14:val="tx1"/>
                </w14:solidFill>
              </w14:textFill>
            </w:rPr>
            <m:t>.3-1</m:t>
          </m:r>
          <m:r>
            <m:rPr>
              <m:sty m:val="p"/>
            </m:rPr>
            <w:rPr>
              <w:rFonts w:hint="eastAsia" w:ascii="Cambria Math" w:hAnsi="Cambria Math" w:cs="Times New Roman"/>
              <w:color w:val="000000" w:themeColor="text1"/>
              <w:kern w:val="0"/>
              <w:szCs w:val="21"/>
              <w14:textFill>
                <w14:solidFill>
                  <w14:schemeClr w14:val="tx1"/>
                </w14:solidFill>
              </w14:textFill>
            </w:rPr>
            <m:t>）</m:t>
          </m:r>
        </m:oMath>
      </m:oMathPara>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Times New Roman"/>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f</m:t>
            </m:r>
            <m:ctrlPr>
              <w:rPr>
                <w:rFonts w:ascii="Cambria Math" w:hAnsi="Cambria Math" w:cs="Times New Roman"/>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y</m:t>
            </m:r>
            <m:ctrlPr>
              <w:rPr>
                <w:rFonts w:ascii="Cambria Math" w:hAnsi="Cambria Math" w:cs="Times New Roman"/>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——纵向受力钢筋抗拉强度设计值，按《混凝土结构设计规范G</w:t>
      </w:r>
      <w:r>
        <w:rPr>
          <w:rFonts w:cs="HiddenHorzOCR" w:asciiTheme="minorEastAsia" w:hAnsiTheme="minorEastAsia"/>
          <w:color w:val="000000" w:themeColor="text1"/>
          <w:kern w:val="0"/>
          <w:szCs w:val="21"/>
          <w14:textFill>
            <w14:solidFill>
              <w14:schemeClr w14:val="tx1"/>
            </w14:solidFill>
          </w14:textFill>
        </w:rPr>
        <w:t>B</w:t>
      </w:r>
      <w:r>
        <w:rPr>
          <w:rFonts w:hint="eastAsia" w:cs="HiddenHorzOCR" w:asciiTheme="minorEastAsia" w:hAnsiTheme="minorEastAsia"/>
          <w:color w:val="000000" w:themeColor="text1"/>
          <w:kern w:val="0"/>
          <w:szCs w:val="21"/>
          <w14:textFill>
            <w14:solidFill>
              <w14:schemeClr w14:val="tx1"/>
            </w14:solidFill>
          </w14:textFill>
        </w:rPr>
        <w:t>5001</w:t>
      </w:r>
      <w:r>
        <w:rPr>
          <w:rFonts w:cs="HiddenHorzOCR" w:asciiTheme="minorEastAsia" w:hAnsiTheme="minorEastAsia"/>
          <w:color w:val="000000" w:themeColor="text1"/>
          <w:kern w:val="0"/>
          <w:szCs w:val="21"/>
          <w14:textFill>
            <w14:solidFill>
              <w14:schemeClr w14:val="tx1"/>
            </w14:solidFill>
          </w14:textFill>
        </w:rPr>
        <w:t>0</w:t>
      </w:r>
      <w:r>
        <w:rPr>
          <w:rFonts w:hint="eastAsia" w:cs="HiddenHorzOCR" w:asciiTheme="minorEastAsia" w:hAnsiTheme="minorEastAsia"/>
          <w:color w:val="000000" w:themeColor="text1"/>
          <w:kern w:val="0"/>
          <w:szCs w:val="21"/>
          <w14:textFill>
            <w14:solidFill>
              <w14:schemeClr w14:val="tx1"/>
            </w14:solidFill>
          </w14:textFill>
        </w:rPr>
        <w:t>采用；</w:t>
      </w:r>
    </w:p>
    <w:p>
      <w:pPr>
        <w:autoSpaceDE w:val="0"/>
        <w:autoSpaceDN w:val="0"/>
        <w:spacing w:line="360" w:lineRule="auto"/>
        <w:ind w:firstLine="619" w:firstLineChars="295"/>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——上部或下部纵向受力钢筋的截面面积；</w:t>
      </w:r>
    </w:p>
    <w:p>
      <w:pPr>
        <w:autoSpaceDE w:val="0"/>
        <w:autoSpaceDN w:val="0"/>
        <w:spacing w:line="360" w:lineRule="auto"/>
        <w:ind w:firstLine="619" w:firstLineChars="295"/>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h——</w:t>
      </w:r>
      <w:r>
        <w:rPr>
          <w:rFonts w:hint="eastAsia" w:cs="HiddenHorzOCR" w:asciiTheme="minorEastAsia" w:hAnsiTheme="minorEastAsia"/>
          <w:color w:val="000000" w:themeColor="text1"/>
          <w:kern w:val="0"/>
          <w:szCs w:val="21"/>
          <w14:textFill>
            <w14:solidFill>
              <w14:schemeClr w14:val="tx1"/>
            </w14:solidFill>
          </w14:textFill>
        </w:rPr>
        <w:t>腹杆高度；</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平腹杆斜截面受剪承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》GB50010的</w:t>
      </w:r>
      <w:r>
        <w:rPr>
          <w:rFonts w:hint="eastAsia" w:cs="MS Mincho" w:asciiTheme="minorEastAsia" w:hAnsiTheme="minorEastAsia"/>
          <w:color w:val="000000" w:themeColor="text1"/>
          <w:kern w:val="0"/>
          <w:szCs w:val="21"/>
          <w14:textFill>
            <w14:solidFill>
              <w14:schemeClr w14:val="tx1"/>
            </w14:solidFill>
          </w14:textFill>
        </w:rPr>
        <w:t>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肩梁的截面</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根据梁下柱肢中心</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至上柱相</w:t>
      </w:r>
      <w:r>
        <w:rPr>
          <w:rFonts w:hint="eastAsia" w:cs="宋体" w:asciiTheme="minorEastAsia" w:hAnsiTheme="minorEastAsia"/>
          <w:color w:val="000000" w:themeColor="text1"/>
          <w:kern w:val="0"/>
          <w:szCs w:val="21"/>
          <w14:textFill>
            <w14:solidFill>
              <w14:schemeClr w14:val="tx1"/>
            </w14:solidFill>
          </w14:textFill>
        </w:rPr>
        <w:t>应边缘</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HiddenHorzOCR" w:asciiTheme="minorEastAsia" w:hAnsiTheme="minorEastAsia"/>
          <w:color w:val="000000" w:themeColor="text1"/>
          <w:kern w:val="0"/>
          <w:szCs w:val="21"/>
          <w14:textFill>
            <w14:solidFill>
              <w14:schemeClr w14:val="tx1"/>
            </w14:solidFill>
          </w14:textFill>
        </w:rPr>
        <w:t>距离</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与肩梁截面的有效高度</w:t>
      </w:r>
      <m:oMath>
        <m:sSub>
          <m:sSubPr>
            <m:ctrlPr>
              <w:rPr>
                <w:rFonts w:ascii="Cambria Math" w:hAnsi="Cambria Math" w:eastAsia="MS Mincho" w:cs="MS Mincho"/>
                <w:i/>
                <w:color w:val="000000" w:themeColor="text1"/>
                <w:kern w:val="0"/>
                <w:szCs w:val="21"/>
                <w14:textFill>
                  <w14:solidFill>
                    <w14:schemeClr w14:val="tx1"/>
                  </w14:solidFill>
                </w14:textFill>
              </w:rPr>
            </m:ctrlPr>
          </m:sSubPr>
          <m:e>
            <m:r>
              <w:rPr>
                <w:rFonts w:ascii="Cambria Math" w:hAnsi="Cambria Math" w:eastAsia="MS Mincho" w:cs="MS Mincho"/>
                <w:color w:val="000000" w:themeColor="text1"/>
                <w:kern w:val="0"/>
                <w:szCs w:val="21"/>
                <w14:textFill>
                  <w14:solidFill>
                    <w14:schemeClr w14:val="tx1"/>
                  </w14:solidFill>
                </w14:textFill>
              </w:rPr>
              <m:t>h</m:t>
            </m:r>
            <m:ctrlPr>
              <w:rPr>
                <w:rFonts w:ascii="Cambria Math" w:hAnsi="Cambria Math" w:eastAsia="MS Mincho" w:cs="MS Mincho"/>
                <w:i/>
                <w:color w:val="000000" w:themeColor="text1"/>
                <w:kern w:val="0"/>
                <w:szCs w:val="21"/>
                <w14:textFill>
                  <w14:solidFill>
                    <w14:schemeClr w14:val="tx1"/>
                  </w14:solidFill>
                </w14:textFill>
              </w:rPr>
            </m:ctrlPr>
          </m:e>
          <m:sub>
            <m:r>
              <w:rPr>
                <w:rFonts w:ascii="Cambria Math" w:hAnsi="Cambria Math" w:eastAsia="MS Mincho" w:cs="MS Mincho"/>
                <w:color w:val="000000" w:themeColor="text1"/>
                <w:kern w:val="0"/>
                <w:szCs w:val="21"/>
                <w14:textFill>
                  <w14:solidFill>
                    <w14:schemeClr w14:val="tx1"/>
                  </w14:solidFill>
                </w14:textFill>
              </w:rPr>
              <m:t>0</m:t>
            </m:r>
            <m:ctrlPr>
              <w:rPr>
                <w:rFonts w:ascii="Cambria Math" w:hAnsi="Cambria Math" w:eastAsia="MS Mincho" w:cs="MS Mincho"/>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的比例关系，分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按下列两种</w:t>
      </w:r>
      <w:r>
        <w:rPr>
          <w:rFonts w:hint="eastAsia" w:cs="HiddenHorzOCR" w:asciiTheme="minorEastAsia" w:hAnsiTheme="minorEastAsia"/>
          <w:color w:val="000000" w:themeColor="text1"/>
          <w:kern w:val="0"/>
          <w:szCs w:val="21"/>
          <w14:textFill>
            <w14:solidFill>
              <w14:schemeClr w14:val="tx1"/>
            </w14:solidFill>
          </w14:textFill>
        </w:rPr>
        <w:t>情况</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7.3</w:t>
      </w:r>
      <w:r>
        <w:rPr>
          <w:rFonts w:hint="eastAsia" w:cs="HiddenHorzOCR" w:asciiTheme="minorEastAsia" w:hAnsiTheme="minorEastAsia"/>
          <w:color w:val="000000" w:themeColor="text1"/>
          <w:kern w:val="0"/>
          <w:szCs w:val="21"/>
          <w14:textFill>
            <w14:solidFill>
              <w14:schemeClr w14:val="tx1"/>
            </w14:solidFill>
          </w14:textFill>
        </w:rPr>
        <w:t>.3-</w:t>
      </w: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w:t>
      </w:r>
      <w:bookmarkStart w:id="124" w:name="_Hlk44760209"/>
      <m:oMath>
        <m:f>
          <m:fPr>
            <m:type m:val="lin"/>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w:bookmarkEnd w:id="124"/>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den>
        </m:f>
      </m:oMath>
      <w:r>
        <w:rPr>
          <w:rFonts w:hint="eastAsia" w:cs="HiddenHorzOCR" w:asciiTheme="minorEastAsia" w:hAnsiTheme="minorEastAsia"/>
          <w:color w:val="000000" w:themeColor="text1"/>
          <w:kern w:val="0"/>
          <w:szCs w:val="21"/>
          <w14:textFill>
            <w14:solidFill>
              <w14:schemeClr w14:val="tx1"/>
            </w14:solidFill>
          </w14:textFill>
        </w:rPr>
        <w:t>≤1</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按倒牛腿考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1050" w:leftChars="500" w:firstLine="0" w:firstLineChars="0"/>
        <w:jc w:val="left"/>
        <w:rPr>
          <w:rFonts w:cs="Arial"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当</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均</w:t>
      </w:r>
      <w:r>
        <w:rPr>
          <w:rFonts w:hint="eastAsia" w:cs="宋体" w:asciiTheme="minorEastAsia" w:hAnsiTheme="minorEastAsia"/>
          <w:color w:val="000000" w:themeColor="text1"/>
          <w:kern w:val="0"/>
          <w:szCs w:val="21"/>
          <w14:textFill>
            <w14:solidFill>
              <w14:schemeClr w14:val="tx1"/>
            </w14:solidFill>
          </w14:textFill>
        </w:rPr>
        <w:t>为压</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，可按下式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算肩梁下部</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筋的截面面</w:t>
      </w:r>
      <w:r>
        <w:rPr>
          <w:rFonts w:hint="eastAsia" w:cs="宋体" w:asciiTheme="minorEastAsia" w:hAnsiTheme="minorEastAsia"/>
          <w:color w:val="000000" w:themeColor="text1"/>
          <w:kern w:val="0"/>
          <w:szCs w:val="21"/>
          <w14:textFill>
            <w14:solidFill>
              <w14:schemeClr w14:val="tx1"/>
            </w14:solidFill>
          </w14:textFill>
        </w:rPr>
        <w:t>积</w:t>
      </w:r>
      <w:bookmarkStart w:id="125" w:name="_Hlk24678497"/>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si</m:t>
            </m:r>
            <w:bookmarkEnd w:id="125"/>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中</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柱，取</w:t>
      </w:r>
      <w:r>
        <w:rPr>
          <w:rFonts w:hint="eastAsia" w:cs="HiddenHorzOCR" w:asciiTheme="minorEastAsia" w:hAnsiTheme="minorEastAsia"/>
          <w:color w:val="000000" w:themeColor="text1"/>
          <w:kern w:val="0"/>
          <w:szCs w:val="21"/>
          <w14:textFill>
            <w14:solidFill>
              <w14:schemeClr w14:val="tx1"/>
            </w14:solidFill>
          </w14:textFill>
        </w:rPr>
        <w:t>用</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较</w:t>
      </w:r>
      <w:r>
        <w:rPr>
          <w:rFonts w:hint="eastAsia" w:cs="MS Mincho" w:asciiTheme="minorEastAsia" w:hAnsiTheme="minorEastAsia"/>
          <w:color w:val="000000" w:themeColor="text1"/>
          <w:kern w:val="0"/>
          <w:szCs w:val="21"/>
          <w14:textFill>
            <w14:solidFill>
              <w14:schemeClr w14:val="tx1"/>
            </w14:solidFill>
          </w14:textFill>
        </w:rPr>
        <w:t>大</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Arial"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drawing>
          <wp:inline distT="0" distB="0" distL="0" distR="0">
            <wp:extent cx="1891030" cy="1490345"/>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91030" cy="1490345"/>
                    </a:xfrm>
                    <a:prstGeom prst="rect">
                      <a:avLst/>
                    </a:prstGeom>
                  </pic:spPr>
                </pic:pic>
              </a:graphicData>
            </a:graphic>
          </wp:inline>
        </w:drawing>
      </w:r>
      <w:r>
        <w:rPr>
          <w:rFonts w:hint="eastAsia"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drawing>
          <wp:inline distT="0" distB="0" distL="0" distR="0">
            <wp:extent cx="1301115" cy="147828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01115" cy="1478280"/>
                    </a:xfrm>
                    <a:prstGeom prst="rect">
                      <a:avLst/>
                    </a:prstGeom>
                  </pic:spPr>
                </pic:pic>
              </a:graphicData>
            </a:graphic>
          </wp:inline>
        </w:drawing>
      </w:r>
    </w:p>
    <w:p>
      <w:pPr>
        <w:autoSpaceDE w:val="0"/>
        <w:autoSpaceDN w:val="0"/>
        <w:spacing w:line="360" w:lineRule="auto"/>
        <w:ind w:firstLine="2310" w:firstLineChars="1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（a）中柱肩梁                （b）边柱肩梁</w:t>
      </w:r>
    </w:p>
    <w:p>
      <w:pPr>
        <w:autoSpaceDE w:val="0"/>
        <w:autoSpaceDN w:val="0"/>
        <w:spacing w:line="360" w:lineRule="auto"/>
        <w:ind w:firstLine="2835" w:firstLineChars="135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 xml:space="preserve">7.3.3-1 </w:t>
      </w:r>
      <w:r>
        <w:rPr>
          <w:rFonts w:hint="eastAsia" w:cs="HiddenHorzOCR" w:asciiTheme="minorEastAsia" w:hAnsiTheme="minorEastAsia"/>
          <w:color w:val="000000" w:themeColor="text1"/>
          <w:kern w:val="0"/>
          <w:szCs w:val="21"/>
          <w14:textFill>
            <w14:solidFill>
              <w14:schemeClr w14:val="tx1"/>
            </w14:solidFill>
          </w14:textFill>
        </w:rPr>
        <w:t>平腹杆双肢柱肩梁计算简图</w:t>
      </w:r>
    </w:p>
    <w:p>
      <w:pPr>
        <w:autoSpaceDE w:val="0"/>
        <w:autoSpaceDN w:val="0"/>
        <w:spacing w:line="360" w:lineRule="auto"/>
        <w:ind w:firstLine="735" w:firstLineChars="35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si</m:t>
              </m:r>
              <m:ctrlPr>
                <w:rPr>
                  <w:rFonts w:ascii="Cambria Math" w:hAnsi="Cambria Math" w:cs="HiddenHorzOCR"/>
                  <w:i/>
                  <w:color w:val="000000" w:themeColor="text1"/>
                  <w:kern w:val="0"/>
                  <w:szCs w:val="21"/>
                  <w14:textFill>
                    <w14:solidFill>
                      <w14:schemeClr w14:val="tx1"/>
                    </w14:solidFill>
                  </w14:textFill>
                </w:rPr>
              </m:ctrlPr>
            </m:sub>
          </m:sSub>
          <m:r>
            <m:rPr>
              <m:sty m:val="p"/>
            </m:rPr>
            <w:rPr>
              <w:rFonts w:ascii="Cambria Math" w:hAnsi="Cambria Math" w:cs="Cambria Math" w:eastAsiaTheme="majorEastAsia"/>
              <w:color w:val="000000" w:themeColor="text1"/>
              <w:kern w:val="0"/>
              <w:szCs w:val="21"/>
              <w14:textFill>
                <w14:solidFill>
                  <w14:schemeClr w14:val="tx1"/>
                </w14:solidFill>
              </w14:textFill>
            </w:rPr>
            <m:t>≥</m:t>
          </m:r>
          <m:sSub>
            <m:sSubPr>
              <m:ctrlPr>
                <w:rPr>
                  <w:rFonts w:ascii="Cambria Math" w:hAnsi="Cambria Math" w:cs="Cambria Math" w:eastAsiaTheme="majorEastAsia"/>
                  <w:color w:val="000000" w:themeColor="text1"/>
                  <w:kern w:val="0"/>
                  <w:szCs w:val="21"/>
                  <w14:textFill>
                    <w14:solidFill>
                      <w14:schemeClr w14:val="tx1"/>
                    </w14:solidFill>
                  </w14:textFill>
                </w:rPr>
              </m:ctrlPr>
            </m:sSubPr>
            <m:e>
              <m:r>
                <m:rPr>
                  <m:sty m:val="p"/>
                </m:rPr>
                <w:rPr>
                  <w:rFonts w:ascii="Cambria Math" w:hAnsi="Cambria Math" w:cs="Cambria Math" w:eastAsiaTheme="majorEastAsia"/>
                  <w:color w:val="000000" w:themeColor="text1"/>
                  <w:kern w:val="0"/>
                  <w:szCs w:val="21"/>
                  <w14:textFill>
                    <w14:solidFill>
                      <w14:schemeClr w14:val="tx1"/>
                    </w14:solidFill>
                  </w14:textFill>
                </w:rPr>
                <m:t>γ</m:t>
              </m:r>
              <m:ctrlPr>
                <w:rPr>
                  <w:rFonts w:ascii="Cambria Math" w:hAnsi="Cambria Math" w:cs="Cambria Math" w:eastAsiaTheme="majorEastAsia"/>
                  <w:color w:val="000000" w:themeColor="text1"/>
                  <w:kern w:val="0"/>
                  <w:szCs w:val="21"/>
                  <w14:textFill>
                    <w14:solidFill>
                      <w14:schemeClr w14:val="tx1"/>
                    </w14:solidFill>
                  </w14:textFill>
                </w:rPr>
              </m:ctrlPr>
            </m:e>
            <m:sub>
              <m:r>
                <m:rPr>
                  <m:sty m:val="p"/>
                </m:rPr>
                <w:rPr>
                  <w:rFonts w:ascii="Cambria Math" w:hAnsi="Cambria Math" w:cs="Cambria Math" w:eastAsiaTheme="majorEastAsia"/>
                  <w:color w:val="000000" w:themeColor="text1"/>
                  <w:kern w:val="0"/>
                  <w:szCs w:val="21"/>
                  <w14:textFill>
                    <w14:solidFill>
                      <w14:schemeClr w14:val="tx1"/>
                    </w14:solidFill>
                  </w14:textFill>
                </w:rPr>
                <m:t>RE</m:t>
              </m:r>
              <m:ctrlPr>
                <w:rPr>
                  <w:rFonts w:ascii="Cambria Math" w:hAnsi="Cambria Math" w:cs="Cambria Math" w:eastAsiaTheme="majorEastAsia"/>
                  <w:color w:val="000000" w:themeColor="text1"/>
                  <w:kern w:val="0"/>
                  <w:szCs w:val="21"/>
                  <w14:textFill>
                    <w14:solidFill>
                      <w14:schemeClr w14:val="tx1"/>
                    </w14:solidFill>
                  </w14:textFill>
                </w:rPr>
              </m:ctrlPr>
            </m:sub>
          </m:sSub>
          <m:d>
            <m:dPr>
              <m:ctrlPr>
                <w:rPr>
                  <w:rFonts w:ascii="Cambria Math" w:hAnsi="Cambria Math" w:cs="HiddenHorzOCR" w:eastAsiaTheme="majorEastAsia"/>
                  <w:color w:val="000000" w:themeColor="text1"/>
                  <w:kern w:val="0"/>
                  <w:szCs w:val="21"/>
                  <w14:textFill>
                    <w14:solidFill>
                      <w14:schemeClr w14:val="tx1"/>
                    </w14:solidFill>
                  </w14:textFill>
                </w:rPr>
              </m:ctrlPr>
            </m:dPr>
            <m:e>
              <m:f>
                <m:fPr>
                  <m:ctrlPr>
                    <w:rPr>
                      <w:rFonts w:ascii="Cambria Math" w:hAnsi="Cambria Math" w:cs="HiddenHorzOCR" w:eastAsiaTheme="majorEastAsia"/>
                      <w:color w:val="000000" w:themeColor="text1"/>
                      <w:kern w:val="0"/>
                      <w:szCs w:val="21"/>
                      <w14:textFill>
                        <w14:solidFill>
                          <w14:schemeClr w14:val="tx1"/>
                        </w14:solidFill>
                      </w14:textFill>
                    </w:rPr>
                  </m:ctrlPr>
                </m:fPr>
                <m:num>
                  <m:sSub>
                    <m:sSubPr>
                      <m:ctrlPr>
                        <w:rPr>
                          <w:rFonts w:ascii="Cambria Math" w:hAnsi="Cambria Math" w:cs="Cambria Math" w:eastAsiaTheme="majorEastAsia"/>
                          <w:color w:val="000000" w:themeColor="text1"/>
                          <w:kern w:val="0"/>
                          <w:szCs w:val="21"/>
                          <w14:textFill>
                            <w14:solidFill>
                              <w14:schemeClr w14:val="tx1"/>
                            </w14:solidFill>
                          </w14:textFill>
                        </w:rPr>
                      </m:ctrlPr>
                    </m:sSubPr>
                    <m:e>
                      <m:r>
                        <m:rPr>
                          <m:sty m:val="p"/>
                        </m:rPr>
                        <w:rPr>
                          <w:rFonts w:ascii="Cambria Math" w:hAnsi="Cambria Math" w:cs="Cambria Math" w:eastAsiaTheme="majorEastAsia"/>
                          <w:color w:val="000000" w:themeColor="text1"/>
                          <w:kern w:val="0"/>
                          <w:szCs w:val="21"/>
                          <w14:textFill>
                            <w14:solidFill>
                              <w14:schemeClr w14:val="tx1"/>
                            </w14:solidFill>
                          </w14:textFill>
                        </w:rPr>
                        <m:t>N</m:t>
                      </m:r>
                      <m:ctrlPr>
                        <w:rPr>
                          <w:rFonts w:ascii="Cambria Math" w:hAnsi="Cambria Math" w:cs="Cambria Math" w:eastAsiaTheme="majorEastAsia"/>
                          <w:color w:val="000000" w:themeColor="text1"/>
                          <w:kern w:val="0"/>
                          <w:szCs w:val="21"/>
                          <w14:textFill>
                            <w14:solidFill>
                              <w14:schemeClr w14:val="tx1"/>
                            </w14:solidFill>
                          </w14:textFill>
                        </w:rPr>
                      </m:ctrlPr>
                    </m:e>
                    <m:sub>
                      <m:r>
                        <m:rPr>
                          <m:sty m:val="p"/>
                        </m:rPr>
                        <w:rPr>
                          <w:rFonts w:ascii="Cambria Math" w:hAnsi="Cambria Math" w:cs="Cambria Math" w:eastAsiaTheme="majorEastAsia"/>
                          <w:color w:val="000000" w:themeColor="text1"/>
                          <w:kern w:val="0"/>
                          <w:szCs w:val="21"/>
                          <w14:textFill>
                            <w14:solidFill>
                              <w14:schemeClr w14:val="tx1"/>
                            </w14:solidFill>
                          </w14:textFill>
                        </w:rPr>
                        <m:t>i</m:t>
                      </m:r>
                      <m:ctrlPr>
                        <w:rPr>
                          <w:rFonts w:ascii="Cambria Math" w:hAnsi="Cambria Math" w:cs="Cambria Math" w:eastAsiaTheme="majorEastAsia"/>
                          <w:color w:val="000000" w:themeColor="text1"/>
                          <w:kern w:val="0"/>
                          <w:szCs w:val="21"/>
                          <w14:textFill>
                            <w14:solidFill>
                              <w14:schemeClr w14:val="tx1"/>
                            </w14:solidFill>
                          </w14:textFill>
                        </w:rPr>
                      </m:ctrlPr>
                    </m:sub>
                  </m:sSub>
                  <m:sSub>
                    <m:sSubPr>
                      <m:ctrlPr>
                        <w:rPr>
                          <w:rFonts w:ascii="Cambria Math" w:hAnsi="Cambria Math" w:cs="Cambria Math" w:eastAsiaTheme="majorEastAsia"/>
                          <w:color w:val="000000" w:themeColor="text1"/>
                          <w:kern w:val="0"/>
                          <w:szCs w:val="21"/>
                          <w14:textFill>
                            <w14:solidFill>
                              <w14:schemeClr w14:val="tx1"/>
                            </w14:solidFill>
                          </w14:textFill>
                        </w:rPr>
                      </m:ctrlPr>
                    </m:sSubPr>
                    <m:e>
                      <m:r>
                        <m:rPr>
                          <m:sty m:val="p"/>
                        </m:rPr>
                        <w:rPr>
                          <w:rFonts w:ascii="Cambria Math" w:hAnsi="Cambria Math" w:cs="Cambria Math" w:eastAsiaTheme="majorEastAsia"/>
                          <w:color w:val="000000" w:themeColor="text1"/>
                          <w:kern w:val="0"/>
                          <w:szCs w:val="21"/>
                          <w14:textFill>
                            <w14:solidFill>
                              <w14:schemeClr w14:val="tx1"/>
                            </w14:solidFill>
                          </w14:textFill>
                        </w:rPr>
                        <m:t>a</m:t>
                      </m:r>
                      <m:ctrlPr>
                        <w:rPr>
                          <w:rFonts w:ascii="Cambria Math" w:hAnsi="Cambria Math" w:cs="Cambria Math" w:eastAsiaTheme="majorEastAsia"/>
                          <w:color w:val="000000" w:themeColor="text1"/>
                          <w:kern w:val="0"/>
                          <w:szCs w:val="21"/>
                          <w14:textFill>
                            <w14:solidFill>
                              <w14:schemeClr w14:val="tx1"/>
                            </w14:solidFill>
                          </w14:textFill>
                        </w:rPr>
                      </m:ctrlPr>
                    </m:e>
                    <m:sub>
                      <m:r>
                        <m:rPr>
                          <m:sty m:val="p"/>
                        </m:rPr>
                        <w:rPr>
                          <w:rFonts w:ascii="Cambria Math" w:hAnsi="Cambria Math" w:cs="Cambria Math" w:eastAsiaTheme="majorEastAsia"/>
                          <w:color w:val="000000" w:themeColor="text1"/>
                          <w:kern w:val="0"/>
                          <w:szCs w:val="21"/>
                          <w14:textFill>
                            <w14:solidFill>
                              <w14:schemeClr w14:val="tx1"/>
                            </w14:solidFill>
                          </w14:textFill>
                        </w:rPr>
                        <m:t>i</m:t>
                      </m:r>
                      <m:ctrlPr>
                        <w:rPr>
                          <w:rFonts w:ascii="Cambria Math" w:hAnsi="Cambria Math" w:cs="Cambria Math" w:eastAsiaTheme="majorEastAsia"/>
                          <w:color w:val="000000" w:themeColor="text1"/>
                          <w:kern w:val="0"/>
                          <w:szCs w:val="21"/>
                          <w14:textFill>
                            <w14:solidFill>
                              <w14:schemeClr w14:val="tx1"/>
                            </w14:solidFill>
                          </w14:textFill>
                        </w:rPr>
                      </m:ctrlPr>
                    </m:sub>
                  </m:sSub>
                  <m:r>
                    <m:rPr>
                      <m:sty m:val="p"/>
                    </m:rPr>
                    <w:rPr>
                      <w:rFonts w:ascii="Cambria Math" w:hAnsi="Cambria Math" w:cs="Cambria Math" w:eastAsiaTheme="majorEastAsia"/>
                      <w:color w:val="000000" w:themeColor="text1"/>
                      <w:kern w:val="0"/>
                      <w:szCs w:val="21"/>
                      <w14:textFill>
                        <w14:solidFill>
                          <w14:schemeClr w14:val="tx1"/>
                        </w14:solidFill>
                      </w14:textFill>
                    </w:rPr>
                    <m:t>+</m:t>
                  </m:r>
                  <m:sSub>
                    <m:sSubPr>
                      <m:ctrlPr>
                        <w:rPr>
                          <w:rFonts w:ascii="Cambria Math" w:hAnsi="Cambria Math" w:cs="Cambria Math" w:eastAsiaTheme="majorEastAsia"/>
                          <w:color w:val="000000" w:themeColor="text1"/>
                          <w:kern w:val="0"/>
                          <w:szCs w:val="21"/>
                          <w14:textFill>
                            <w14:solidFill>
                              <w14:schemeClr w14:val="tx1"/>
                            </w14:solidFill>
                          </w14:textFill>
                        </w:rPr>
                      </m:ctrlPr>
                    </m:sSubPr>
                    <m:e>
                      <m:r>
                        <m:rPr>
                          <m:sty m:val="p"/>
                        </m:rPr>
                        <w:rPr>
                          <w:rFonts w:ascii="Cambria Math" w:hAnsi="Cambria Math" w:cs="Cambria Math" w:eastAsiaTheme="majorEastAsia"/>
                          <w:color w:val="000000" w:themeColor="text1"/>
                          <w:kern w:val="0"/>
                          <w:szCs w:val="21"/>
                          <w14:textFill>
                            <w14:solidFill>
                              <w14:schemeClr w14:val="tx1"/>
                            </w14:solidFill>
                          </w14:textFill>
                        </w:rPr>
                        <m:t>M</m:t>
                      </m:r>
                      <m:ctrlPr>
                        <w:rPr>
                          <w:rFonts w:ascii="Cambria Math" w:hAnsi="Cambria Math" w:cs="Cambria Math" w:eastAsiaTheme="majorEastAsia"/>
                          <w:color w:val="000000" w:themeColor="text1"/>
                          <w:kern w:val="0"/>
                          <w:szCs w:val="21"/>
                          <w14:textFill>
                            <w14:solidFill>
                              <w14:schemeClr w14:val="tx1"/>
                            </w14:solidFill>
                          </w14:textFill>
                        </w:rPr>
                      </m:ctrlPr>
                    </m:e>
                    <m:sub>
                      <m:r>
                        <m:rPr>
                          <m:sty m:val="p"/>
                        </m:rPr>
                        <w:rPr>
                          <w:rFonts w:ascii="Cambria Math" w:hAnsi="Cambria Math" w:cs="Cambria Math" w:eastAsiaTheme="majorEastAsia"/>
                          <w:color w:val="000000" w:themeColor="text1"/>
                          <w:kern w:val="0"/>
                          <w:szCs w:val="21"/>
                          <w14:textFill>
                            <w14:solidFill>
                              <w14:schemeClr w14:val="tx1"/>
                            </w14:solidFill>
                          </w14:textFill>
                        </w:rPr>
                        <m:t>i</m:t>
                      </m:r>
                      <m:ctrlPr>
                        <w:rPr>
                          <w:rFonts w:ascii="Cambria Math" w:hAnsi="Cambria Math" w:cs="Cambria Math" w:eastAsiaTheme="majorEastAsia"/>
                          <w:color w:val="000000" w:themeColor="text1"/>
                          <w:kern w:val="0"/>
                          <w:szCs w:val="21"/>
                          <w14:textFill>
                            <w14:solidFill>
                              <w14:schemeClr w14:val="tx1"/>
                            </w14:solidFill>
                          </w14:textFill>
                        </w:rPr>
                      </m:ctrlPr>
                    </m:sub>
                  </m:sSub>
                  <m:ctrlPr>
                    <w:rPr>
                      <w:rFonts w:ascii="Cambria Math" w:hAnsi="Cambria Math" w:cs="HiddenHorzOCR" w:eastAsiaTheme="majorEastAsia"/>
                      <w:color w:val="000000" w:themeColor="text1"/>
                      <w:kern w:val="0"/>
                      <w:szCs w:val="21"/>
                      <w14:textFill>
                        <w14:solidFill>
                          <w14:schemeClr w14:val="tx1"/>
                        </w14:solidFill>
                      </w14:textFill>
                    </w:rPr>
                  </m:ctrlPr>
                </m:num>
                <m:den>
                  <m:r>
                    <m:rPr>
                      <m:sty m:val="p"/>
                    </m:rPr>
                    <w:rPr>
                      <w:rFonts w:ascii="Cambria Math" w:hAnsi="Cambria Math" w:cs="Cambria Math" w:eastAsiaTheme="majorEastAsia"/>
                      <w:color w:val="000000" w:themeColor="text1"/>
                      <w:kern w:val="0"/>
                      <w:szCs w:val="21"/>
                      <w14:textFill>
                        <w14:solidFill>
                          <w14:schemeClr w14:val="tx1"/>
                        </w14:solidFill>
                      </w14:textFill>
                    </w:rPr>
                    <m:t>0.85</m:t>
                  </m:r>
                  <m:sSub>
                    <m:sSubPr>
                      <m:ctrlPr>
                        <w:rPr>
                          <w:rFonts w:ascii="Cambria Math" w:hAnsi="Cambria Math" w:cs="Cambria Math" w:eastAsiaTheme="majorEastAsia"/>
                          <w:color w:val="000000" w:themeColor="text1"/>
                          <w:kern w:val="0"/>
                          <w:szCs w:val="21"/>
                          <w14:textFill>
                            <w14:solidFill>
                              <w14:schemeClr w14:val="tx1"/>
                            </w14:solidFill>
                          </w14:textFill>
                        </w:rPr>
                      </m:ctrlPr>
                    </m:sSubPr>
                    <m:e>
                      <m:r>
                        <m:rPr>
                          <m:sty m:val="p"/>
                        </m:rPr>
                        <w:rPr>
                          <w:rFonts w:ascii="Cambria Math" w:hAnsi="Cambria Math" w:cs="Cambria Math" w:eastAsiaTheme="majorEastAsia"/>
                          <w:color w:val="000000" w:themeColor="text1"/>
                          <w:kern w:val="0"/>
                          <w:szCs w:val="21"/>
                          <w14:textFill>
                            <w14:solidFill>
                              <w14:schemeClr w14:val="tx1"/>
                            </w14:solidFill>
                          </w14:textFill>
                        </w:rPr>
                        <m:t>h</m:t>
                      </m:r>
                      <m:ctrlPr>
                        <w:rPr>
                          <w:rFonts w:ascii="Cambria Math" w:hAnsi="Cambria Math" w:cs="Cambria Math" w:eastAsiaTheme="majorEastAsia"/>
                          <w:color w:val="000000" w:themeColor="text1"/>
                          <w:kern w:val="0"/>
                          <w:szCs w:val="21"/>
                          <w14:textFill>
                            <w14:solidFill>
                              <w14:schemeClr w14:val="tx1"/>
                            </w14:solidFill>
                          </w14:textFill>
                        </w:rPr>
                      </m:ctrlPr>
                    </m:e>
                    <m:sub>
                      <m:r>
                        <m:rPr>
                          <m:sty m:val="p"/>
                        </m:rPr>
                        <w:rPr>
                          <w:rFonts w:ascii="Cambria Math" w:hAnsi="Cambria Math" w:cs="Cambria Math" w:eastAsiaTheme="majorEastAsia"/>
                          <w:color w:val="000000" w:themeColor="text1"/>
                          <w:kern w:val="0"/>
                          <w:szCs w:val="21"/>
                          <w14:textFill>
                            <w14:solidFill>
                              <w14:schemeClr w14:val="tx1"/>
                            </w14:solidFill>
                          </w14:textFill>
                        </w:rPr>
                        <m:t>o</m:t>
                      </m:r>
                      <m:ctrlPr>
                        <w:rPr>
                          <w:rFonts w:ascii="Cambria Math" w:hAnsi="Cambria Math" w:cs="Cambria Math" w:eastAsiaTheme="majorEastAsia"/>
                          <w:color w:val="000000" w:themeColor="text1"/>
                          <w:kern w:val="0"/>
                          <w:szCs w:val="21"/>
                          <w14:textFill>
                            <w14:solidFill>
                              <w14:schemeClr w14:val="tx1"/>
                            </w14:solidFill>
                          </w14:textFill>
                        </w:rPr>
                      </m:ctrlPr>
                    </m:sub>
                  </m:sSub>
                  <m:sSub>
                    <m:sSubPr>
                      <m:ctrlPr>
                        <w:rPr>
                          <w:rFonts w:ascii="Cambria Math" w:hAnsi="Cambria Math" w:cs="Cambria Math" w:eastAsiaTheme="majorEastAsia"/>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Cambria Math" w:eastAsiaTheme="majorEastAsia"/>
                          <w:color w:val="000000" w:themeColor="text1"/>
                          <w:kern w:val="0"/>
                          <w:szCs w:val="21"/>
                          <w14:textFill>
                            <w14:solidFill>
                              <w14:schemeClr w14:val="tx1"/>
                            </w14:solidFill>
                          </w14:textFill>
                        </w:rPr>
                      </m:ctrlPr>
                    </m:e>
                    <m:sub>
                      <m:r>
                        <m:rPr>
                          <m:sty m:val="p"/>
                        </m:rPr>
                        <w:rPr>
                          <w:rFonts w:ascii="Cambria Math" w:hAnsi="Cambria Math" w:cs="Cambria Math" w:eastAsiaTheme="majorEastAsia"/>
                          <w:color w:val="000000" w:themeColor="text1"/>
                          <w:kern w:val="0"/>
                          <w:szCs w:val="21"/>
                          <w14:textFill>
                            <w14:solidFill>
                              <w14:schemeClr w14:val="tx1"/>
                            </w14:solidFill>
                          </w14:textFill>
                        </w:rPr>
                        <m:t>y</m:t>
                      </m:r>
                      <m:ctrlPr>
                        <w:rPr>
                          <w:rFonts w:ascii="Cambria Math" w:hAnsi="Cambria Math" w:cs="Cambria Math" w:eastAsiaTheme="majorEastAsia"/>
                          <w:color w:val="000000" w:themeColor="text1"/>
                          <w:kern w:val="0"/>
                          <w:szCs w:val="21"/>
                          <w14:textFill>
                            <w14:solidFill>
                              <w14:schemeClr w14:val="tx1"/>
                            </w14:solidFill>
                          </w14:textFill>
                        </w:rPr>
                      </m:ctrlPr>
                    </m:sub>
                  </m:sSub>
                  <m:ctrlPr>
                    <w:rPr>
                      <w:rFonts w:ascii="Cambria Math" w:hAnsi="Cambria Math" w:cs="HiddenHorzOCR" w:eastAsiaTheme="majorEastAsia"/>
                      <w:color w:val="000000" w:themeColor="text1"/>
                      <w:kern w:val="0"/>
                      <w:szCs w:val="21"/>
                      <w14:textFill>
                        <w14:solidFill>
                          <w14:schemeClr w14:val="tx1"/>
                        </w14:solidFill>
                      </w14:textFill>
                    </w:rPr>
                  </m:ctrlPr>
                </m:den>
              </m:f>
              <m:r>
                <m:rPr>
                  <m:sty m:val="p"/>
                </m:rPr>
                <w:rPr>
                  <w:rFonts w:ascii="Cambria Math" w:hAnsi="Cambria Math" w:cs="HiddenHorzOCR" w:eastAsiaTheme="majorEastAsia"/>
                  <w:color w:val="000000" w:themeColor="text1"/>
                  <w:kern w:val="0"/>
                  <w:szCs w:val="21"/>
                  <w14:textFill>
                    <w14:solidFill>
                      <w14:schemeClr w14:val="tx1"/>
                    </w14:solidFill>
                  </w14:textFill>
                </w:rPr>
                <m:t>+1.2</m:t>
              </m:r>
              <m:f>
                <m:fPr>
                  <m:ctrlPr>
                    <w:rPr>
                      <w:rFonts w:ascii="Cambria Math" w:hAnsi="Cambria Math" w:cs="HiddenHorzOCR" w:eastAsiaTheme="majorEastAsia"/>
                      <w:color w:val="000000" w:themeColor="text1"/>
                      <w:kern w:val="0"/>
                      <w:szCs w:val="21"/>
                      <w14:textFill>
                        <w14:solidFill>
                          <w14:schemeClr w14:val="tx1"/>
                        </w14:solidFill>
                      </w14:textFill>
                    </w:rPr>
                  </m:ctrlPr>
                </m:fPr>
                <m:num>
                  <m:sSub>
                    <m:sSubPr>
                      <m:ctrlPr>
                        <w:rPr>
                          <w:rFonts w:ascii="Cambria Math" w:hAnsi="Cambria Math" w:cs="HiddenHorzOCR" w:eastAsiaTheme="majorEastAsia"/>
                          <w:color w:val="000000" w:themeColor="text1"/>
                          <w:kern w:val="0"/>
                          <w:szCs w:val="21"/>
                          <w14:textFill>
                            <w14:solidFill>
                              <w14:schemeClr w14:val="tx1"/>
                            </w14:solidFill>
                          </w14:textFill>
                        </w:rPr>
                      </m:ctrlPr>
                    </m:sSubPr>
                    <m:e>
                      <m:r>
                        <m:rPr>
                          <m:sty m:val="p"/>
                        </m:rPr>
                        <w:rPr>
                          <w:rFonts w:ascii="Cambria Math" w:hAnsi="Cambria Math" w:cs="HiddenHorzOCR" w:eastAsiaTheme="majorEastAsia"/>
                          <w:color w:val="000000" w:themeColor="text1"/>
                          <w:kern w:val="0"/>
                          <w:szCs w:val="21"/>
                          <w14:textFill>
                            <w14:solidFill>
                              <w14:schemeClr w14:val="tx1"/>
                            </w14:solidFill>
                          </w14:textFill>
                        </w:rPr>
                        <m:t>V</m:t>
                      </m:r>
                      <m:ctrlPr>
                        <w:rPr>
                          <w:rFonts w:ascii="Cambria Math" w:hAnsi="Cambria Math" w:cs="HiddenHorzOCR" w:eastAsiaTheme="majorEastAsia"/>
                          <w:color w:val="000000" w:themeColor="text1"/>
                          <w:kern w:val="0"/>
                          <w:szCs w:val="21"/>
                          <w14:textFill>
                            <w14:solidFill>
                              <w14:schemeClr w14:val="tx1"/>
                            </w14:solidFill>
                          </w14:textFill>
                        </w:rPr>
                      </m:ctrlPr>
                    </m:e>
                    <m:sub>
                      <m:r>
                        <m:rPr>
                          <m:sty m:val="p"/>
                        </m:rPr>
                        <w:rPr>
                          <w:rFonts w:ascii="Cambria Math" w:hAnsi="Cambria Math" w:cs="HiddenHorzOCR" w:eastAsiaTheme="majorEastAsia"/>
                          <w:color w:val="000000" w:themeColor="text1"/>
                          <w:kern w:val="0"/>
                          <w:szCs w:val="21"/>
                          <w14:textFill>
                            <w14:solidFill>
                              <w14:schemeClr w14:val="tx1"/>
                            </w14:solidFill>
                          </w14:textFill>
                        </w:rPr>
                        <m:t>i</m:t>
                      </m:r>
                      <m:ctrlPr>
                        <w:rPr>
                          <w:rFonts w:ascii="Cambria Math" w:hAnsi="Cambria Math" w:cs="HiddenHorzOCR" w:eastAsiaTheme="majorEastAsia"/>
                          <w:color w:val="000000" w:themeColor="text1"/>
                          <w:kern w:val="0"/>
                          <w:szCs w:val="21"/>
                          <w14:textFill>
                            <w14:solidFill>
                              <w14:schemeClr w14:val="tx1"/>
                            </w14:solidFill>
                          </w14:textFill>
                        </w:rPr>
                      </m:ctrlPr>
                    </m:sub>
                  </m:sSub>
                  <m:ctrlPr>
                    <w:rPr>
                      <w:rFonts w:ascii="Cambria Math" w:hAnsi="Cambria Math" w:cs="HiddenHorzOCR" w:eastAsiaTheme="majorEastAsia"/>
                      <w:color w:val="000000" w:themeColor="text1"/>
                      <w:kern w:val="0"/>
                      <w:szCs w:val="21"/>
                      <w14:textFill>
                        <w14:solidFill>
                          <w14:schemeClr w14:val="tx1"/>
                        </w14:solidFill>
                      </w14:textFill>
                    </w:rPr>
                  </m:ctrlPr>
                </m:num>
                <m:den>
                  <m:sSub>
                    <m:sSubPr>
                      <m:ctrlPr>
                        <w:rPr>
                          <w:rFonts w:ascii="Cambria Math" w:hAnsi="Cambria Math" w:cs="HiddenHorzOCR" w:eastAsiaTheme="majorEastAsia"/>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eastAsiaTheme="majorEastAsia"/>
                          <w:color w:val="000000" w:themeColor="text1"/>
                          <w:kern w:val="0"/>
                          <w:szCs w:val="21"/>
                          <w14:textFill>
                            <w14:solidFill>
                              <w14:schemeClr w14:val="tx1"/>
                            </w14:solidFill>
                          </w14:textFill>
                        </w:rPr>
                      </m:ctrlPr>
                    </m:e>
                    <m:sub>
                      <m:r>
                        <m:rPr>
                          <m:sty m:val="p"/>
                        </m:rPr>
                        <w:rPr>
                          <w:rFonts w:ascii="Cambria Math" w:hAnsi="Cambria Math" w:cs="HiddenHorzOCR" w:eastAsiaTheme="majorEastAsia"/>
                          <w:color w:val="000000" w:themeColor="text1"/>
                          <w:kern w:val="0"/>
                          <w:szCs w:val="21"/>
                          <w14:textFill>
                            <w14:solidFill>
                              <w14:schemeClr w14:val="tx1"/>
                            </w14:solidFill>
                          </w14:textFill>
                        </w:rPr>
                        <m:t>y</m:t>
                      </m:r>
                      <m:ctrlPr>
                        <w:rPr>
                          <w:rFonts w:ascii="Cambria Math" w:hAnsi="Cambria Math" w:cs="HiddenHorzOCR" w:eastAsiaTheme="majorEastAsia"/>
                          <w:color w:val="000000" w:themeColor="text1"/>
                          <w:kern w:val="0"/>
                          <w:szCs w:val="21"/>
                          <w14:textFill>
                            <w14:solidFill>
                              <w14:schemeClr w14:val="tx1"/>
                            </w14:solidFill>
                          </w14:textFill>
                        </w:rPr>
                      </m:ctrlPr>
                    </m:sub>
                  </m:sSub>
                  <m:ctrlPr>
                    <w:rPr>
                      <w:rFonts w:ascii="Cambria Math" w:hAnsi="Cambria Math" w:cs="HiddenHorzOCR" w:eastAsiaTheme="majorEastAsia"/>
                      <w:color w:val="000000" w:themeColor="text1"/>
                      <w:kern w:val="0"/>
                      <w:szCs w:val="21"/>
                      <w14:textFill>
                        <w14:solidFill>
                          <w14:schemeClr w14:val="tx1"/>
                        </w14:solidFill>
                      </w14:textFill>
                    </w:rPr>
                  </m:ctrlPr>
                </m:den>
              </m:f>
              <m:ctrlPr>
                <w:rPr>
                  <w:rFonts w:ascii="Cambria Math" w:hAnsi="Cambria Math" w:cs="HiddenHorzOCR" w:eastAsiaTheme="majorEastAsia"/>
                  <w:color w:val="000000" w:themeColor="text1"/>
                  <w:kern w:val="0"/>
                  <w:szCs w:val="21"/>
                  <w14:textFill>
                    <w14:solidFill>
                      <w14:schemeClr w14:val="tx1"/>
                    </w14:solidFill>
                  </w14:textFill>
                </w:rPr>
              </m:ctrlPr>
            </m:e>
          </m:d>
          <m:r>
            <m:rPr>
              <m:sty m:val="p"/>
            </m:rPr>
            <w:rPr>
              <w:rFonts w:ascii="Cambria Math" w:hAnsi="Cambria Math" w:cs="HiddenHorzOCR" w:eastAsiaTheme="majorEastAsia"/>
              <w:color w:val="000000" w:themeColor="text1"/>
              <w:kern w:val="0"/>
              <w:szCs w:val="21"/>
              <w14:textFill>
                <w14:solidFill>
                  <w14:schemeClr w14:val="tx1"/>
                </w14:solidFill>
              </w14:textFill>
            </w:rPr>
            <m:t xml:space="preserve">               </m:t>
          </m:r>
          <m:r>
            <m:rPr>
              <m:sty m:val="p"/>
            </m:rPr>
            <w:rPr>
              <w:rFonts w:hint="eastAsia" w:ascii="Cambria Math" w:hAnsi="Cambria Math" w:cs="HiddenHorzOCR" w:eastAsiaTheme="majorEastAsia"/>
              <w:color w:val="000000" w:themeColor="text1"/>
              <w:kern w:val="0"/>
              <w:szCs w:val="21"/>
              <w14:textFill>
                <w14:solidFill>
                  <w14:schemeClr w14:val="tx1"/>
                </w14:solidFill>
              </w14:textFill>
            </w:rPr>
            <m:t>（7.3.3</m:t>
          </m:r>
          <m:r>
            <m:rPr>
              <m:sty m:val="p"/>
            </m:rPr>
            <w:rPr>
              <w:rFonts w:ascii="Cambria Math" w:hAnsi="Cambria Math" w:cs="HiddenHorzOCR" w:eastAsiaTheme="majorEastAsia"/>
              <w:color w:val="000000" w:themeColor="text1"/>
              <w:kern w:val="0"/>
              <w:szCs w:val="21"/>
              <w14:textFill>
                <w14:solidFill>
                  <w14:schemeClr w14:val="tx1"/>
                </w14:solidFill>
              </w14:textFill>
            </w:rPr>
            <m:t>-</m:t>
          </m:r>
          <m:r>
            <m:rPr>
              <m:sty m:val="p"/>
            </m:rPr>
            <w:rPr>
              <w:rFonts w:hint="eastAsia" w:ascii="Cambria Math" w:hAnsi="Cambria Math" w:cs="HiddenHorzOCR" w:eastAsiaTheme="majorEastAsia"/>
              <w:color w:val="000000" w:themeColor="text1"/>
              <w:kern w:val="0"/>
              <w:szCs w:val="21"/>
              <w14:textFill>
                <w14:solidFill>
                  <w14:schemeClr w14:val="tx1"/>
                </w14:solidFill>
              </w14:textFill>
            </w:rPr>
            <m:t>2）</m:t>
          </m:r>
        </m:oMath>
      </m:oMathPara>
    </w:p>
    <w:p>
      <w:pPr>
        <w:autoSpaceDE w:val="0"/>
        <w:autoSpaceDN w:val="0"/>
        <w:spacing w:line="360" w:lineRule="auto"/>
        <w:ind w:left="630" w:hanging="630" w:hanging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w:bookmarkStart w:id="126" w:name="_Hlk24678308"/>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w:bookmarkEnd w:id="126"/>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bookmarkStart w:id="127" w:name="_Hlk24678375"/>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w:bookmarkEnd w:id="127"/>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m:oMath>
        <m:sSub>
          <w:bookmarkStart w:id="128" w:name="_Hlk24678392"/>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w:bookmarkEnd w:id="128"/>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作用在倒牛腿面上的力,当</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使肩梁下部纵向钢筋</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受压时，取</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=0</m:t>
        </m:r>
      </m:oMath>
      <w:r>
        <w:rPr>
          <w:rFonts w:hint="eastAsia" w:cs="HiddenHorzOCR" w:asciiTheme="minorEastAsia" w:hAnsiTheme="minorEastAsia"/>
          <w:color w:val="000000" w:themeColor="text1"/>
          <w:kern w:val="0"/>
          <w:szCs w:val="21"/>
          <w14:textFill>
            <w14:solidFill>
              <w14:schemeClr w14:val="tx1"/>
            </w14:solidFill>
          </w14:textFill>
        </w:rPr>
        <w:t>；当</w:t>
      </w:r>
      <w:bookmarkStart w:id="129" w:name="_Hlk24678670"/>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w:bookmarkEnd w:id="129"/>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使</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受压时，取</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=0</m:t>
        </m:r>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09" w:firstLineChars="195"/>
        <w:jc w:val="left"/>
        <w:rPr>
          <w:rFonts w:cs="HiddenHorzOCR" w:asciiTheme="minorEastAsia" w:hAnsiTheme="minorEastAsia"/>
          <w:color w:val="000000" w:themeColor="text1"/>
          <w:kern w:val="0"/>
          <w:szCs w:val="21"/>
          <w14:textFill>
            <w14:solidFill>
              <w14:schemeClr w14:val="tx1"/>
            </w14:solidFill>
          </w14:textFill>
        </w:rPr>
      </w:pPr>
      <m:oMath>
        <m:r>
          <w:rPr>
            <w:rFonts w:ascii="Cambria Math" w:hAnsi="Cambria Math" w:cs="HiddenHorzOCR"/>
            <w:color w:val="000000" w:themeColor="text1"/>
            <w:kern w:val="0"/>
            <w:szCs w:val="21"/>
            <w14:textFill>
              <w14:solidFill>
                <w14:schemeClr w14:val="tx1"/>
              </w14:solidFill>
            </w14:textFill>
          </w:rPr>
          <m:t xml:space="preserve">     </m:t>
        </m:r>
        <m:sSub>
          <m:sSubPr>
            <m:ctrlPr>
              <w:rPr>
                <w:rFonts w:ascii="Cambria Math" w:hAnsi="Cambria Math" w:eastAsia="MS Mincho" w:cs="MS Mincho"/>
                <w:i/>
                <w:color w:val="000000" w:themeColor="text1"/>
                <w:kern w:val="0"/>
                <w:szCs w:val="21"/>
                <w14:textFill>
                  <w14:solidFill>
                    <w14:schemeClr w14:val="tx1"/>
                  </w14:solidFill>
                </w14:textFill>
              </w:rPr>
            </m:ctrlPr>
          </m:sSubPr>
          <m:e>
            <m:r>
              <w:rPr>
                <w:rFonts w:ascii="Cambria Math" w:hAnsi="MS Mincho" w:eastAsia="MS Mincho" w:cs="MS Mincho"/>
                <w:color w:val="000000" w:themeColor="text1"/>
                <w:kern w:val="0"/>
                <w:szCs w:val="21"/>
                <w14:textFill>
                  <w14:solidFill>
                    <w14:schemeClr w14:val="tx1"/>
                  </w14:solidFill>
                </w14:textFill>
              </w:rPr>
              <m:t>h</m:t>
            </m:r>
            <m:ctrlPr>
              <w:rPr>
                <w:rFonts w:ascii="Cambria Math" w:hAnsi="Cambria Math" w:eastAsia="MS Mincho" w:cs="MS Mincho"/>
                <w:i/>
                <w:color w:val="000000" w:themeColor="text1"/>
                <w:kern w:val="0"/>
                <w:szCs w:val="21"/>
                <w14:textFill>
                  <w14:solidFill>
                    <w14:schemeClr w14:val="tx1"/>
                  </w14:solidFill>
                </w14:textFill>
              </w:rPr>
            </m:ctrlPr>
          </m:e>
          <m:sub>
            <m:r>
              <w:rPr>
                <w:rFonts w:ascii="Cambria Math" w:hAnsi="Cambria Math" w:eastAsia="MS Mincho" w:cs="MS Mincho"/>
                <w:color w:val="000000" w:themeColor="text1"/>
                <w:kern w:val="0"/>
                <w:szCs w:val="21"/>
                <w14:textFill>
                  <w14:solidFill>
                    <w14:schemeClr w14:val="tx1"/>
                  </w14:solidFill>
                </w14:textFill>
              </w:rPr>
              <m:t>0</m:t>
            </m:r>
            <m:ctrlPr>
              <w:rPr>
                <w:rFonts w:ascii="Cambria Math" w:hAnsi="Cambria Math" w:eastAsia="MS Mincho" w:cs="MS Mincho"/>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肩梁截面的有效高度；</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vertAlign w:val="subscript"/>
                <w14:textFill>
                  <w14:solidFill>
                    <w14:schemeClr w14:val="tx1"/>
                  </w14:solidFill>
                </w14:textFill>
              </w:rPr>
              <m:t>γ</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RE</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——承载力抗震调整系数。</w:t>
      </w:r>
    </w:p>
    <w:p>
      <w:pPr>
        <w:autoSpaceDE w:val="0"/>
        <w:autoSpaceDN w:val="0"/>
        <w:spacing w:line="360" w:lineRule="auto"/>
        <w:ind w:left="1050" w:leftChars="500"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当</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中有拉力</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，可按式(</w:t>
      </w:r>
      <w:r>
        <w:rPr>
          <w:rFonts w:cs="HiddenHorzOCR" w:asciiTheme="minorEastAsia" w:hAnsiTheme="minorEastAsia"/>
          <w:color w:val="000000" w:themeColor="text1"/>
          <w:kern w:val="0"/>
          <w:szCs w:val="21"/>
          <w14:textFill>
            <w14:solidFill>
              <w14:schemeClr w14:val="tx1"/>
            </w14:solidFill>
          </w14:textFill>
        </w:rPr>
        <w:t>7.3.3-2)</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算肩梁上部</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w:t>
      </w:r>
      <w:r>
        <w:rPr>
          <w:rFonts w:hint="eastAsia" w:cs="HiddenHorzOCR" w:asciiTheme="minorEastAsia" w:hAnsiTheme="minorEastAsia"/>
          <w:color w:val="000000" w:themeColor="text1"/>
          <w:kern w:val="0"/>
          <w:szCs w:val="21"/>
          <w14:textFill>
            <w14:solidFill>
              <w14:schemeClr w14:val="tx1"/>
            </w14:solidFill>
          </w14:textFill>
        </w:rPr>
        <w:t>截面面</w:t>
      </w:r>
      <w:r>
        <w:rPr>
          <w:rFonts w:hint="eastAsia" w:cs="宋体" w:asciiTheme="minorEastAsia" w:hAnsiTheme="minorEastAsia"/>
          <w:color w:val="000000" w:themeColor="text1"/>
          <w:kern w:val="0"/>
          <w:szCs w:val="21"/>
          <w14:textFill>
            <w14:solidFill>
              <w14:schemeClr w14:val="tx1"/>
            </w14:solidFill>
          </w14:textFill>
        </w:rPr>
        <w:t>积</w:t>
      </w:r>
      <m:oMath>
        <m:sSubSup>
          <w:bookmarkStart w:id="130" w:name="_Hlk24678651"/>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w:bookmarkEnd w:id="130"/>
            <m:ctrlPr>
              <w:rPr>
                <w:rFonts w:ascii="Cambria Math" w:hAnsi="Cambria Math" w:cs="HiddenHorzOCR"/>
                <w:i/>
                <w:color w:val="000000" w:themeColor="text1"/>
                <w:kern w:val="0"/>
                <w:szCs w:val="21"/>
                <w14:textFill>
                  <w14:solidFill>
                    <w14:schemeClr w14:val="tx1"/>
                  </w14:solidFill>
                </w14:textFill>
              </w:rPr>
            </m:ctrlPr>
          </m:sup>
        </m:sSubSup>
      </m:oMath>
      <w:r>
        <w:rPr>
          <w:rFonts w:hint="eastAsia" w:cs="HiddenHorzOCR" w:asciiTheme="minorEastAsia" w:hAnsiTheme="minorEastAsia"/>
          <w:color w:val="000000" w:themeColor="text1"/>
          <w:kern w:val="0"/>
          <w:szCs w:val="21"/>
          <w14:textFill>
            <w14:solidFill>
              <w14:schemeClr w14:val="tx1"/>
            </w14:solidFill>
          </w14:textFill>
        </w:rPr>
        <w:t>。此</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使</w:t>
      </w:r>
      <m:oMath>
        <m:sSubSup>
          <m:sSubSupPr>
            <m:ctrlPr>
              <w:rPr>
                <w:rFonts w:ascii="Cambria Math" w:hAnsi="Cambria Math" w:cs="HiddenHorzOCR"/>
                <w:i/>
                <w:color w:val="000000" w:themeColor="text1"/>
                <w:kern w:val="0"/>
                <w:szCs w:val="21"/>
                <w14:textFill>
                  <w14:solidFill>
                    <w14:schemeClr w14:val="tx1"/>
                  </w14:solidFill>
                </w14:textFill>
              </w:rPr>
            </m:ctrlPr>
          </m:sSubSup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i/>
                <w:color w:val="000000" w:themeColor="text1"/>
                <w:kern w:val="0"/>
                <w:szCs w:val="21"/>
                <w14:textFill>
                  <w14:solidFill>
                    <w14:schemeClr w14:val="tx1"/>
                  </w14:solidFill>
                </w14:textFill>
              </w:rPr>
            </m:ctrlPr>
          </m:sub>
          <m:sup>
            <m:r>
              <w:rPr>
                <w:rFonts w:ascii="Cambria Math" w:hAnsi="Cambria Math" w:cs="HiddenHorzOCR"/>
                <w:color w:val="000000" w:themeColor="text1"/>
                <w:kern w:val="0"/>
                <w:szCs w:val="21"/>
                <w14:textFill>
                  <w14:solidFill>
                    <w14:schemeClr w14:val="tx1"/>
                  </w14:solidFill>
                </w14:textFill>
              </w:rPr>
              <m:t>'</m:t>
            </m:r>
            <m:ctrlPr>
              <w:rPr>
                <w:rFonts w:ascii="Cambria Math" w:hAnsi="Cambria Math" w:cs="HiddenHorzOCR"/>
                <w:i/>
                <w:color w:val="000000" w:themeColor="text1"/>
                <w:kern w:val="0"/>
                <w:szCs w:val="21"/>
                <w14:textFill>
                  <w14:solidFill>
                    <w14:schemeClr w14:val="tx1"/>
                  </w14:solidFill>
                </w14:textFill>
              </w:rPr>
            </m:ctrlPr>
          </m:sup>
        </m:sSubSup>
      </m:oMath>
      <w:r>
        <w:rPr>
          <w:rFonts w:hint="eastAsia" w:cs="HiddenHorzOCR" w:asciiTheme="minorEastAsia" w:hAnsiTheme="minorEastAsia"/>
          <w:color w:val="000000" w:themeColor="text1"/>
          <w:kern w:val="0"/>
          <w:szCs w:val="21"/>
          <w14:textFill>
            <w14:solidFill>
              <w14:schemeClr w14:val="tx1"/>
            </w14:solidFill>
          </w14:textFill>
        </w:rPr>
        <w:t>受</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的</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或</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取其</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等</w:t>
      </w:r>
      <w:r>
        <w:rPr>
          <w:rFonts w:hint="eastAsia" w:cs="HiddenHorzOCR" w:asciiTheme="minorEastAsia" w:hAnsiTheme="minorEastAsia"/>
          <w:color w:val="000000" w:themeColor="text1"/>
          <w:kern w:val="0"/>
          <w:szCs w:val="21"/>
          <w14:textFill>
            <w14:solidFill>
              <w14:schemeClr w14:val="tx1"/>
            </w14:solidFill>
          </w14:textFill>
        </w:rPr>
        <w:t>于零。</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2</w:t>
      </w:r>
      <w:r>
        <w:rPr>
          <w:rFonts w:hint="eastAsia" w:cs="HiddenHorzOCR" w:asciiTheme="minorEastAsia" w:hAnsiTheme="minorEastAsia"/>
          <w:color w:val="000000" w:themeColor="text1"/>
          <w:kern w:val="0"/>
          <w:szCs w:val="21"/>
          <w14:textFill>
            <w14:solidFill>
              <w14:schemeClr w14:val="tx1"/>
            </w14:solidFill>
          </w14:textFill>
        </w:rPr>
        <w:t>）</w:t>
      </w:r>
      <m:oMath>
        <m:f>
          <m:fPr>
            <m:type m:val="lin"/>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&gt;1</m:t>
        </m:r>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可按梁考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7.3.4 </w:t>
      </w:r>
      <w:r>
        <w:rPr>
          <w:rFonts w:hint="eastAsia" w:cs="HiddenHorzOCR"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地震作用效</w:t>
      </w:r>
      <w:r>
        <w:rPr>
          <w:rFonts w:hint="eastAsia" w:cs="宋体" w:asciiTheme="minorEastAsia" w:hAnsiTheme="minorEastAsia"/>
          <w:color w:val="000000" w:themeColor="text1"/>
          <w:kern w:val="0"/>
          <w:szCs w:val="21"/>
          <w14:textFill>
            <w14:solidFill>
              <w14:schemeClr w14:val="tx1"/>
            </w14:solidFill>
          </w14:textFill>
        </w:rPr>
        <w:t>应组</w:t>
      </w:r>
      <w:r>
        <w:rPr>
          <w:rFonts w:hint="eastAsia" w:cs="MS Mincho" w:asciiTheme="minorEastAsia" w:hAnsiTheme="minorEastAsia"/>
          <w:color w:val="000000" w:themeColor="text1"/>
          <w:kern w:val="0"/>
          <w:szCs w:val="21"/>
          <w14:textFill>
            <w14:solidFill>
              <w14:schemeClr w14:val="tx1"/>
            </w14:solidFill>
          </w14:textFill>
        </w:rPr>
        <w:t>合的斜腹杆双肢柱肢杆和腹杆正截</w:t>
      </w:r>
      <w:r>
        <w:rPr>
          <w:rFonts w:hint="eastAsia" w:cs="HiddenHorzOCR" w:asciiTheme="minorEastAsia" w:hAnsiTheme="minorEastAsia"/>
          <w:color w:val="000000" w:themeColor="text1"/>
          <w:kern w:val="0"/>
          <w:szCs w:val="21"/>
          <w14:textFill>
            <w14:solidFill>
              <w14:schemeClr w14:val="tx1"/>
            </w14:solidFill>
          </w14:textFill>
        </w:rPr>
        <w:t>面受</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或受拉的承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w:t>
      </w:r>
      <w:r>
        <w:rPr>
          <w:rFonts w:hint="eastAsia" w:cs="HiddenHorzOCR" w:asciiTheme="minorEastAsia" w:hAnsiTheme="minorEastAsia"/>
          <w:color w:val="000000" w:themeColor="text1"/>
          <w:kern w:val="0"/>
          <w:szCs w:val="21"/>
          <w14:textFill>
            <w14:solidFill>
              <w14:schemeClr w14:val="tx1"/>
            </w14:solidFill>
          </w14:textFill>
        </w:rPr>
        <w:t>《混凝土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宋体" w:asciiTheme="minorEastAsia" w:hAnsiTheme="minorEastAsia"/>
          <w:color w:val="000000" w:themeColor="text1"/>
          <w:kern w:val="0"/>
          <w:szCs w:val="21"/>
          <w14:textFill>
            <w14:solidFill>
              <w14:schemeClr w14:val="tx1"/>
            </w14:solidFill>
          </w14:textFill>
        </w:rPr>
        <w:t>进</w:t>
      </w:r>
      <w:r>
        <w:rPr>
          <w:rFonts w:hint="eastAsia" w:cs="MS Mincho" w:asciiTheme="minorEastAsia" w:hAnsiTheme="minorEastAsia"/>
          <w:color w:val="000000" w:themeColor="text1"/>
          <w:kern w:val="0"/>
          <w:szCs w:val="21"/>
          <w14:textFill>
            <w14:solidFill>
              <w14:schemeClr w14:val="tx1"/>
            </w14:solidFill>
          </w14:textFill>
        </w:rPr>
        <w:t>行</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斜腹杆双肢柱肩梁承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力的抗震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根据其</w:t>
      </w:r>
      <m:oMath>
        <m:f>
          <m:fPr>
            <m:type m:val="lin"/>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den>
        </m:f>
      </m:oMath>
      <w:r>
        <w:rPr>
          <w:rFonts w:hint="eastAsia" w:cs="HiddenHorzOCR" w:asciiTheme="minorEastAsia" w:hAnsiTheme="minorEastAsia"/>
          <w:color w:val="000000" w:themeColor="text1"/>
          <w:kern w:val="0"/>
          <w:szCs w:val="21"/>
          <w14:textFill>
            <w14:solidFill>
              <w14:schemeClr w14:val="tx1"/>
            </w14:solidFill>
          </w14:textFill>
        </w:rPr>
        <w:t>比例关系，分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确定按倒牛腿或梁考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HiddenHorzOCR" w:asciiTheme="minorEastAsia" w:hAnsiTheme="minorEastAsia"/>
          <w:color w:val="000000" w:themeColor="text1"/>
          <w:kern w:val="0"/>
          <w:szCs w:val="21"/>
          <w14:textFill>
            <w14:solidFill>
              <w14:schemeClr w14:val="tx1"/>
            </w14:solidFill>
          </w14:textFill>
        </w:rPr>
        <w:t>；但此</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=0</m:t>
        </m:r>
      </m:oMath>
      <w:r>
        <w:rPr>
          <w:rFonts w:hint="eastAsia" w:cs="HiddenHorzOCR"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i</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可根据斜腹杆的布置情况具体确定（</w:t>
      </w:r>
      <w:r>
        <w:rPr>
          <w:rFonts w:hint="eastAsia" w:cs="宋体"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7.3.4-1</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center"/>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1403985" cy="1575435"/>
            <wp:effectExtent l="0" t="0" r="0" b="1206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03985" cy="1575435"/>
                    </a:xfrm>
                    <a:prstGeom prst="rect">
                      <a:avLst/>
                    </a:prstGeom>
                  </pic:spPr>
                </pic:pic>
              </a:graphicData>
            </a:graphic>
          </wp:inline>
        </w:drawing>
      </w:r>
      <w:r>
        <w:rPr>
          <w:rFonts w:hint="eastAsia" w:cs="HiddenHorzOCR" w:asciiTheme="minorEastAsia" w:hAnsiTheme="minorEastAsia"/>
          <w:color w:val="000000" w:themeColor="text1"/>
          <w:kern w:val="0"/>
          <w:szCs w:val="21"/>
          <w14:textFill>
            <w14:solidFill>
              <w14:schemeClr w14:val="tx1"/>
            </w14:solidFill>
          </w14:textFill>
        </w:rPr>
        <w:t xml:space="preserve">       </w:t>
      </w: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1296670" cy="1466215"/>
            <wp:effectExtent l="0" t="0" r="1143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96670" cy="1466215"/>
                    </a:xfrm>
                    <a:prstGeom prst="rect">
                      <a:avLst/>
                    </a:prstGeom>
                  </pic:spPr>
                </pic:pic>
              </a:graphicData>
            </a:graphic>
          </wp:inline>
        </w:drawing>
      </w:r>
    </w:p>
    <w:p>
      <w:pPr>
        <w:autoSpaceDE w:val="0"/>
        <w:autoSpaceDN w:val="0"/>
        <w:spacing w:line="360" w:lineRule="auto"/>
        <w:ind w:firstLine="1155" w:firstLineChars="550"/>
        <w:jc w:val="left"/>
        <w:rPr>
          <w:rFonts w:cs="HiddenHorzOCR" w:asciiTheme="minorEastAsia" w:hAnsiTheme="minorEastAsia"/>
          <w:color w:val="000000" w:themeColor="text1"/>
          <w:kern w:val="0"/>
          <w:szCs w:val="2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（a）中柱肩梁               （b）边柱肩梁</w:t>
      </w:r>
    </w:p>
    <w:p>
      <w:pPr>
        <w:autoSpaceDE w:val="0"/>
        <w:autoSpaceDN w:val="0"/>
        <w:spacing w:line="360" w:lineRule="auto"/>
        <w:ind w:firstLine="2520" w:firstLineChars="12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 xml:space="preserve">7.3.4-1 </w:t>
      </w:r>
      <w:r>
        <w:rPr>
          <w:rFonts w:hint="eastAsia" w:cs="HiddenHorzOCR" w:asciiTheme="minorEastAsia" w:hAnsiTheme="minorEastAsia"/>
          <w:color w:val="000000" w:themeColor="text1"/>
          <w:kern w:val="0"/>
          <w:szCs w:val="21"/>
          <w14:textFill>
            <w14:solidFill>
              <w14:schemeClr w14:val="tx1"/>
            </w14:solidFill>
          </w14:textFill>
        </w:rPr>
        <w:t>斜腹杆双肢柱肩梁计算简图</w:t>
      </w:r>
    </w:p>
    <w:p>
      <w:pPr>
        <w:autoSpaceDE w:val="0"/>
        <w:autoSpaceDN w:val="0"/>
        <w:spacing w:line="360" w:lineRule="auto"/>
        <w:ind w:firstLine="945" w:firstLineChars="45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7.3.5 </w:t>
      </w:r>
      <w:r>
        <w:rPr>
          <w:rFonts w:hint="eastAsia" w:cs="宋体" w:asciiTheme="minorEastAsia" w:hAnsiTheme="minorEastAsia"/>
          <w:color w:val="000000" w:themeColor="text1"/>
          <w:kern w:val="0"/>
          <w:szCs w:val="21"/>
          <w14:textFill>
            <w14:solidFill>
              <w14:schemeClr w14:val="tx1"/>
            </w14:solidFill>
          </w14:textFill>
        </w:rPr>
        <w:t>带</w:t>
      </w:r>
      <w:r>
        <w:rPr>
          <w:rFonts w:hint="eastAsia" w:cs="MS Mincho" w:asciiTheme="minorEastAsia" w:hAnsiTheme="minorEastAsia"/>
          <w:color w:val="000000" w:themeColor="text1"/>
          <w:kern w:val="0"/>
          <w:szCs w:val="21"/>
          <w14:textFill>
            <w14:solidFill>
              <w14:schemeClr w14:val="tx1"/>
            </w14:solidFill>
          </w14:textFill>
        </w:rPr>
        <w:t>人孔上柱，在人孔</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肢杆抗震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算的要求，与第</w:t>
      </w:r>
      <w:r>
        <w:rPr>
          <w:rFonts w:cs="HiddenHorzOCR" w:asciiTheme="minorEastAsia" w:hAnsiTheme="minorEastAsia"/>
          <w:color w:val="000000" w:themeColor="text1"/>
          <w:kern w:val="0"/>
          <w:szCs w:val="21"/>
          <w14:textFill>
            <w14:solidFill>
              <w14:schemeClr w14:val="tx1"/>
            </w14:solidFill>
          </w14:textFill>
        </w:rPr>
        <w:t>7.3</w:t>
      </w:r>
      <w:r>
        <w:rPr>
          <w:rFonts w:hint="eastAsia" w:cs="HiddenHorzOCR" w:asciiTheme="minorEastAsia" w:hAnsiTheme="minorEastAsia"/>
          <w:color w:val="000000" w:themeColor="text1"/>
          <w:kern w:val="0"/>
          <w:szCs w:val="21"/>
          <w14:textFill>
            <w14:solidFill>
              <w14:schemeClr w14:val="tx1"/>
            </w14:solidFill>
          </w14:textFill>
        </w:rPr>
        <w:t>.2条</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平腹杆双肢柱肢杆抗震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算的要求相同。</w:t>
      </w:r>
    </w:p>
    <w:p>
      <w:pPr>
        <w:autoSpaceDE w:val="0"/>
        <w:autoSpaceDN w:val="0"/>
        <w:spacing w:line="360" w:lineRule="auto"/>
        <w:ind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7.3.6 双肢柱肢杆及</w:t>
      </w:r>
      <w:r>
        <w:rPr>
          <w:rFonts w:hint="eastAsia" w:cs="宋体" w:asciiTheme="minorEastAsia" w:hAnsiTheme="minorEastAsia"/>
          <w:color w:val="000000" w:themeColor="text1"/>
          <w:kern w:val="0"/>
          <w:szCs w:val="21"/>
          <w14:textFill>
            <w14:solidFill>
              <w14:schemeClr w14:val="tx1"/>
            </w14:solidFill>
          </w14:textFill>
        </w:rPr>
        <w:t>带</w:t>
      </w:r>
      <w:r>
        <w:rPr>
          <w:rFonts w:hint="eastAsia" w:cs="MS Mincho" w:asciiTheme="minorEastAsia" w:hAnsiTheme="minorEastAsia"/>
          <w:color w:val="000000" w:themeColor="text1"/>
          <w:kern w:val="0"/>
          <w:szCs w:val="21"/>
          <w14:textFill>
            <w14:solidFill>
              <w14:schemeClr w14:val="tx1"/>
            </w14:solidFill>
          </w14:textFill>
        </w:rPr>
        <w:t>人孔上柱人孔</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肢杆的</w:t>
      </w:r>
      <w:r>
        <w:rPr>
          <w:rFonts w:hint="eastAsia" w:cs="宋体" w:asciiTheme="minorEastAsia" w:hAnsiTheme="minorEastAsia"/>
          <w:color w:val="000000" w:themeColor="text1"/>
          <w:kern w:val="0"/>
          <w:szCs w:val="21"/>
          <w14:textFill>
            <w14:solidFill>
              <w14:schemeClr w14:val="tx1"/>
            </w14:solidFill>
          </w14:textFill>
        </w:rPr>
        <w:t>轴压</w:t>
      </w:r>
      <w:r>
        <w:rPr>
          <w:rFonts w:hint="eastAsia" w:cs="HiddenHorzOCR" w:asciiTheme="minorEastAsia" w:hAnsiTheme="minorEastAsia"/>
          <w:color w:val="000000" w:themeColor="text1"/>
          <w:kern w:val="0"/>
          <w:szCs w:val="21"/>
          <w14:textFill>
            <w14:solidFill>
              <w14:schemeClr w14:val="tx1"/>
            </w14:solidFill>
          </w14:textFill>
        </w:rPr>
        <w:t>比</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η</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m:t>
        </m:r>
        <m:f>
          <m:fPr>
            <m:type m:val="lin"/>
            <m:ctrlPr>
              <w:rPr>
                <w:rFonts w:ascii="Cambria Math" w:hAnsi="Cambria Math" w:cs="HiddenHorzOCR"/>
                <w:i/>
                <w:color w:val="000000" w:themeColor="text1"/>
                <w:kern w:val="0"/>
                <w:szCs w:val="21"/>
                <w14:textFill>
                  <w14:solidFill>
                    <w14:schemeClr w14:val="tx1"/>
                  </w14:solidFill>
                </w14:textFill>
              </w:rPr>
            </m:ctrlPr>
          </m:fPr>
          <m:num>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bh</m:t>
            </m:r>
            <m:ctrlPr>
              <w:rPr>
                <w:rFonts w:ascii="Cambria Math" w:hAnsi="Cambria Math" w:cs="HiddenHorzOCR"/>
                <w:i/>
                <w:color w:val="000000" w:themeColor="text1"/>
                <w:kern w:val="0"/>
                <w:szCs w:val="21"/>
                <w14:textFill>
                  <w14:solidFill>
                    <w14:schemeClr w14:val="tx1"/>
                  </w14:solidFill>
                </w14:textFill>
              </w:rPr>
            </m:ctrlPr>
          </m:den>
        </m:f>
      </m:oMath>
      <w:r>
        <w:rPr>
          <w:rFonts w:hint="eastAsia" w:cs="HiddenHorzOCR" w:asciiTheme="minorEastAsia" w:hAnsiTheme="minorEastAsia"/>
          <w:color w:val="000000" w:themeColor="text1"/>
          <w:kern w:val="0"/>
          <w:szCs w:val="21"/>
          <w14:textFill>
            <w14:solidFill>
              <w14:schemeClr w14:val="tx1"/>
            </w14:solidFill>
          </w14:textFill>
        </w:rPr>
        <w:t>，不宜大于表</w:t>
      </w:r>
      <w:r>
        <w:rPr>
          <w:rFonts w:cs="HiddenHorzOCR" w:asciiTheme="minorEastAsia" w:hAnsiTheme="minorEastAsia"/>
          <w:color w:val="000000" w:themeColor="text1"/>
          <w:kern w:val="0"/>
          <w:szCs w:val="21"/>
          <w14:textFill>
            <w14:solidFill>
              <w14:schemeClr w14:val="tx1"/>
            </w14:solidFill>
          </w14:textFill>
        </w:rPr>
        <w:t>7.3</w:t>
      </w:r>
      <w:r>
        <w:rPr>
          <w:rFonts w:hint="eastAsia" w:cs="HiddenHorzOCR" w:asciiTheme="minorEastAsia" w:hAnsiTheme="minorEastAsia"/>
          <w:color w:val="000000" w:themeColor="text1"/>
          <w:kern w:val="0"/>
          <w:szCs w:val="21"/>
          <w14:textFill>
            <w14:solidFill>
              <w14:schemeClr w14:val="tx1"/>
            </w14:solidFill>
          </w14:textFill>
        </w:rPr>
        <w:t>.6-1</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定的限</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N</w:t>
      </w:r>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地震作用效</w:t>
      </w:r>
      <w:r>
        <w:rPr>
          <w:rFonts w:hint="eastAsia" w:cs="宋体" w:asciiTheme="minorEastAsia" w:hAnsiTheme="minorEastAsia"/>
          <w:color w:val="000000" w:themeColor="text1"/>
          <w:kern w:val="0"/>
          <w:szCs w:val="21"/>
          <w14:textFill>
            <w14:solidFill>
              <w14:schemeClr w14:val="tx1"/>
            </w14:solidFill>
          </w14:textFill>
        </w:rPr>
        <w:t>应组</w:t>
      </w:r>
      <w:r>
        <w:rPr>
          <w:rFonts w:hint="eastAsia" w:cs="MS Mincho" w:asciiTheme="minorEastAsia" w:hAnsiTheme="minorEastAsia"/>
          <w:color w:val="000000" w:themeColor="text1"/>
          <w:kern w:val="0"/>
          <w:szCs w:val="21"/>
          <w14:textFill>
            <w14:solidFill>
              <w14:schemeClr w14:val="tx1"/>
            </w14:solidFill>
          </w14:textFill>
        </w:rPr>
        <w:t>合的柱肢</w:t>
      </w:r>
      <w:r>
        <w:rPr>
          <w:rFonts w:hint="eastAsia" w:cs="宋体" w:asciiTheme="minorEastAsia" w:hAnsiTheme="minorEastAsia"/>
          <w:color w:val="000000" w:themeColor="text1"/>
          <w:kern w:val="0"/>
          <w:szCs w:val="21"/>
          <w14:textFill>
            <w14:solidFill>
              <w14:schemeClr w14:val="tx1"/>
            </w14:solidFill>
          </w14:textFill>
        </w:rPr>
        <w:t>轴</w:t>
      </w:r>
      <w:r>
        <w:rPr>
          <w:rFonts w:hint="eastAsia" w:cs="HiddenHorzOCR"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设计值</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表</w:t>
      </w:r>
      <w:r>
        <w:rPr>
          <w:rFonts w:cs="HiddenHorzOCR" w:asciiTheme="minorEastAsia" w:hAnsiTheme="minorEastAsia"/>
          <w:color w:val="000000" w:themeColor="text1"/>
          <w:kern w:val="0"/>
          <w:szCs w:val="21"/>
          <w14:textFill>
            <w14:solidFill>
              <w14:schemeClr w14:val="tx1"/>
            </w14:solidFill>
          </w14:textFill>
        </w:rPr>
        <w:t>7.3.6</w:t>
      </w:r>
      <w:r>
        <w:rPr>
          <w:rFonts w:hint="eastAsia" w:cs="HiddenHorzOCR" w:asciiTheme="minorEastAsia" w:hAnsiTheme="minorEastAsia"/>
          <w:color w:val="000000" w:themeColor="text1"/>
          <w:kern w:val="0"/>
          <w:szCs w:val="21"/>
          <w14:textFill>
            <w14:solidFill>
              <w14:schemeClr w14:val="tx1"/>
            </w14:solidFill>
          </w14:textFill>
        </w:rPr>
        <w:t>-1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柱肢的轴压比</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η</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限值</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4"/>
        <w:gridCol w:w="2005"/>
        <w:gridCol w:w="2005"/>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4"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烈度</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7度</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8度</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9度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4"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人孔处柱肢</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.8</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.8</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4" w:type="dxa"/>
          </w:tcPr>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平腹杆双肢柱柱肢</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.9</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.8</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4" w:type="dxa"/>
          </w:tcPr>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斜腹杆双肢柱柱肢</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.95</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.9</w:t>
            </w:r>
          </w:p>
        </w:tc>
        <w:tc>
          <w:tcPr>
            <w:tcW w:w="2005" w:type="dxa"/>
          </w:tcPr>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.8</w:t>
            </w:r>
          </w:p>
        </w:tc>
      </w:tr>
    </w:tbl>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7.3.7 </w:t>
      </w:r>
      <w:r>
        <w:rPr>
          <w:rFonts w:hint="eastAsia" w:cs="HiddenHorzOCR" w:asciiTheme="minorEastAsia" w:hAnsiTheme="minorEastAsia"/>
          <w:color w:val="000000" w:themeColor="text1"/>
          <w:kern w:val="0"/>
          <w:szCs w:val="21"/>
          <w14:textFill>
            <w14:solidFill>
              <w14:schemeClr w14:val="tx1"/>
            </w14:solidFill>
          </w14:textFill>
        </w:rPr>
        <w:t>不等高厂房结构中，支承低跨屋盖的柱牛腿的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向受拉</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筋截</w:t>
      </w:r>
      <w:r>
        <w:rPr>
          <w:rFonts w:hint="eastAsia" w:cs="HiddenHorzOCR" w:asciiTheme="minorEastAsia" w:hAnsiTheme="minorEastAsia"/>
          <w:color w:val="000000" w:themeColor="text1"/>
          <w:kern w:val="0"/>
          <w:szCs w:val="21"/>
          <w14:textFill>
            <w14:solidFill>
              <w14:schemeClr w14:val="tx1"/>
            </w14:solidFill>
          </w14:textFill>
        </w:rPr>
        <w:t>面面</w:t>
      </w:r>
      <w:r>
        <w:rPr>
          <w:rFonts w:hint="eastAsia" w:cs="宋体" w:asciiTheme="minorEastAsia" w:hAnsiTheme="minorEastAsia"/>
          <w:color w:val="000000" w:themeColor="text1"/>
          <w:kern w:val="0"/>
          <w:szCs w:val="21"/>
          <w14:textFill>
            <w14:solidFill>
              <w14:schemeClr w14:val="tx1"/>
            </w14:solidFill>
          </w14:textFill>
        </w:rPr>
        <w:t>积</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按下式确定</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7.3.7-1）</w:t>
      </w:r>
      <w:r>
        <w:rPr>
          <w:rFonts w:hint="eastAsia" w:cs="Times New Roman"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color w:val="000000" w:themeColor="text1"/>
          <w14:textFill>
            <w14:solidFill>
              <w14:schemeClr w14:val="tx1"/>
            </w14:solidFill>
          </w14:textFill>
        </w:rPr>
      </w:pPr>
      <m:oMathPara>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RE</m:t>
              </m:r>
              <m:ctrlPr>
                <w:rPr>
                  <w:rFonts w:ascii="Cambria Math" w:hAnsi="Cambria Math" w:cs="HiddenHorzOCR"/>
                  <w:i/>
                  <w:color w:val="000000" w:themeColor="text1"/>
                  <w:kern w:val="0"/>
                  <w:szCs w:val="21"/>
                  <w14:textFill>
                    <w14:solidFill>
                      <w14:schemeClr w14:val="tx1"/>
                    </w14:solidFill>
                  </w14:textFill>
                </w:rPr>
              </m:ctrlPr>
            </m:sub>
          </m:sSub>
          <m:d>
            <m:dPr>
              <m:ctrlPr>
                <w:rPr>
                  <w:rFonts w:ascii="Cambria Math" w:hAnsi="Cambria Math" w:cs="HiddenHorzOCR"/>
                  <w:i/>
                  <w:color w:val="000000" w:themeColor="text1"/>
                  <w:kern w:val="0"/>
                  <w:szCs w:val="21"/>
                  <w14:textFill>
                    <w14:solidFill>
                      <w14:schemeClr w14:val="tx1"/>
                    </w14:solidFill>
                  </w14:textFill>
                </w:rPr>
              </m:ctrlPr>
            </m:dPr>
            <m:e>
              <m:f>
                <m:fPr>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num>
                <m:den>
                  <m:r>
                    <w:rPr>
                      <w:rFonts w:ascii="Cambria Math" w:hAnsi="Cambria Math" w:cs="HiddenHorzOCR"/>
                      <w:color w:val="000000" w:themeColor="text1"/>
                      <w:kern w:val="0"/>
                      <w:szCs w:val="21"/>
                      <w14:textFill>
                        <w14:solidFill>
                          <w14:schemeClr w14:val="tx1"/>
                        </w14:solidFill>
                      </w14:textFill>
                    </w:rPr>
                    <m:t>0.85</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den>
              </m:f>
              <m:r>
                <w:rPr>
                  <w:rFonts w:ascii="Cambria Math" w:hAnsi="Cambria Math" w:cs="HiddenHorzOCR"/>
                  <w:color w:val="000000" w:themeColor="text1"/>
                  <w:kern w:val="0"/>
                  <w:szCs w:val="21"/>
                  <w14:textFill>
                    <w14:solidFill>
                      <w14:schemeClr w14:val="tx1"/>
                    </w14:solidFill>
                  </w14:textFill>
                </w:rPr>
                <m:t>+1.2</m:t>
              </m:r>
              <m:f>
                <m:fPr>
                  <m:ctrlPr>
                    <w:rPr>
                      <w:rFonts w:ascii="Cambria Math" w:hAnsi="Cambria Math" w:cs="HiddenHorzOCR"/>
                      <w:i/>
                      <w:color w:val="000000" w:themeColor="text1"/>
                      <w:kern w:val="0"/>
                      <w:szCs w:val="21"/>
                      <w14:textFill>
                        <w14:solidFill>
                          <w14:schemeClr w14:val="tx1"/>
                        </w14:solidFill>
                      </w14:textFill>
                    </w:rPr>
                  </m:ctrlPr>
                </m:fPr>
                <m:num>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num>
                <m:den>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f</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i/>
                          <w:color w:val="000000" w:themeColor="text1"/>
                          <w:kern w:val="0"/>
                          <w:szCs w:val="21"/>
                          <w14:textFill>
                            <w14:solidFill>
                              <w14:schemeClr w14:val="tx1"/>
                            </w14:solidFill>
                          </w14:textFill>
                        </w:rPr>
                      </m:ctrlPr>
                    </m:sub>
                  </m:sSub>
                  <m:ctrlPr>
                    <w:rPr>
                      <w:rFonts w:ascii="Cambria Math" w:hAnsi="Cambria Math" w:cs="HiddenHorzOCR"/>
                      <w:i/>
                      <w:color w:val="000000" w:themeColor="text1"/>
                      <w:kern w:val="0"/>
                      <w:szCs w:val="21"/>
                      <w14:textFill>
                        <w14:solidFill>
                          <w14:schemeClr w14:val="tx1"/>
                        </w14:solidFill>
                      </w14:textFill>
                    </w:rPr>
                  </m:ctrlPr>
                </m:den>
              </m:f>
              <m:ctrlPr>
                <w:rPr>
                  <w:rFonts w:ascii="Cambria Math" w:hAnsi="Cambria Math" w:cs="HiddenHorzOCR"/>
                  <w:i/>
                  <w:color w:val="000000" w:themeColor="text1"/>
                  <w:kern w:val="0"/>
                  <w:szCs w:val="21"/>
                  <w14:textFill>
                    <w14:solidFill>
                      <w14:schemeClr w14:val="tx1"/>
                    </w14:solidFill>
                  </w14:textFill>
                </w:rPr>
              </m:ctrlPr>
            </m:e>
          </m:d>
          <m:r>
            <w:rPr>
              <w:rFonts w:ascii="Cambria Math" w:hAnsi="Cambria Math" w:cs="HiddenHorzOCR"/>
              <w:color w:val="000000" w:themeColor="text1"/>
              <w:kern w:val="0"/>
              <w:szCs w:val="21"/>
              <w14:textFill>
                <w14:solidFill>
                  <w14:schemeClr w14:val="tx1"/>
                </w14:solidFill>
              </w14:textFill>
            </w:rPr>
            <m:t xml:space="preserve">                   (7.3.7-1)</m:t>
          </m:r>
        </m:oMath>
      </m:oMathPara>
    </w:p>
    <w:p>
      <w:pPr>
        <w:autoSpaceDE w:val="0"/>
        <w:autoSpaceDN w:val="0"/>
        <w:spacing w:line="360" w:lineRule="auto"/>
        <w:ind w:firstLine="42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613535" cy="1774825"/>
            <wp:effectExtent l="0" t="0" r="12065" b="317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612402" cy="1773246"/>
                    </a:xfrm>
                    <a:prstGeom prst="rect">
                      <a:avLst/>
                    </a:prstGeom>
                    <a:noFill/>
                    <a:ln>
                      <a:noFill/>
                    </a:ln>
                  </pic:spPr>
                </pic:pic>
              </a:graphicData>
            </a:graphic>
          </wp:inline>
        </w:drawing>
      </w:r>
    </w:p>
    <w:p>
      <w:pPr>
        <w:autoSpaceDE w:val="0"/>
        <w:autoSpaceDN w:val="0"/>
        <w:spacing w:line="360" w:lineRule="auto"/>
        <w:ind w:firstLine="140" w:firstLineChars="67"/>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图7.3.7-1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柱牛腿计算简图</w:t>
      </w:r>
    </w:p>
    <w:p>
      <w:pPr>
        <w:autoSpaceDE w:val="0"/>
        <w:autoSpaceDN w:val="0"/>
        <w:spacing w:line="360" w:lineRule="auto"/>
        <w:ind w:firstLine="199" w:firstLineChars="95"/>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纵向水平受拉钢筋的截面面积；</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G</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柱牛腿面上由重力荷载代表值产生的竖向压力设计值；</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a</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重力作用点至下柱近侧边缘的距离，当小于0</w:t>
      </w:r>
      <w:r>
        <w:rPr>
          <w:rFonts w:cs="HiddenHorzOCR" w:asciiTheme="minorEastAsia" w:hAnsiTheme="minorEastAsia"/>
          <w:color w:val="000000" w:themeColor="text1"/>
          <w:kern w:val="0"/>
          <w:szCs w:val="21"/>
          <w14:textFill>
            <w14:solidFill>
              <w14:schemeClr w14:val="tx1"/>
            </w14:solidFill>
          </w14:textFill>
        </w:rPr>
        <w:t>.3</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MS Mincho" w:hAnsi="MS Mincho" w:eastAsia="MS Mincho" w:cs="MS Mincho"/>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时采用0</w:t>
      </w:r>
      <w:r>
        <w:rPr>
          <w:rFonts w:cs="HiddenHorzOCR" w:asciiTheme="minorEastAsia" w:hAnsiTheme="minorEastAsia"/>
          <w:color w:val="000000" w:themeColor="text1"/>
          <w:kern w:val="0"/>
          <w:szCs w:val="21"/>
          <w14:textFill>
            <w14:solidFill>
              <w14:schemeClr w14:val="tx1"/>
            </w14:solidFill>
          </w14:textFill>
        </w:rPr>
        <w:t>.3</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MS Mincho" w:hAnsi="MS Mincho" w:eastAsia="MS Mincho" w:cs="MS Mincho"/>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MS Mincho" w:hAnsi="MS Mincho" w:eastAsia="MS Mincho" w:cs="MS Mincho"/>
                <w:color w:val="000000" w:themeColor="text1"/>
                <w:kern w:val="0"/>
                <w:szCs w:val="21"/>
                <w14:textFill>
                  <w14:solidFill>
                    <w14:schemeClr w14:val="tx1"/>
                  </w14:solidFill>
                </w14:textFill>
              </w:rPr>
              <m:t>h</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0</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牛腿最大竖向截面的有效高度；</w:t>
      </w:r>
    </w:p>
    <w:p>
      <w:pPr>
        <w:autoSpaceDE w:val="0"/>
        <w:autoSpaceDN w:val="0"/>
        <w:spacing w:line="360" w:lineRule="auto"/>
        <w:ind w:left="1470" w:leftChars="400" w:hanging="630" w:hangingChars="3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柱牛腿面上考虑地震作用效应组合的水平拉力设计值，取</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计算方向朝外的组合值；</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RE</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承载力抗震调整系数。</w:t>
      </w:r>
    </w:p>
    <w:p>
      <w:pPr>
        <w:autoSpaceDE w:val="0"/>
        <w:autoSpaceDN w:val="0"/>
        <w:spacing w:line="360" w:lineRule="auto"/>
        <w:ind w:firstLine="199" w:firstLineChars="95"/>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7.3.8 </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支撑杆件的抗震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符合本</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范第</w:t>
      </w:r>
      <w:r>
        <w:rPr>
          <w:rFonts w:hint="eastAsia" w:cs="HiddenHorzOCR" w:asciiTheme="minorEastAsia" w:hAnsiTheme="minorEastAsia"/>
          <w:color w:val="000000" w:themeColor="text1"/>
          <w:kern w:val="0"/>
          <w:szCs w:val="21"/>
          <w14:textFill>
            <w14:solidFill>
              <w14:schemeClr w14:val="tx1"/>
            </w14:solidFill>
          </w14:textFill>
        </w:rPr>
        <w:t>10章单层</w:t>
      </w:r>
      <w:r>
        <w:rPr>
          <w:rFonts w:hint="eastAsia" w:cs="宋体" w:asciiTheme="minorEastAsia" w:hAnsiTheme="minorEastAsia"/>
          <w:color w:val="000000" w:themeColor="text1"/>
          <w:kern w:val="0"/>
          <w:szCs w:val="21"/>
          <w14:textFill>
            <w14:solidFill>
              <w14:schemeClr w14:val="tx1"/>
            </w14:solidFill>
          </w14:textFill>
        </w:rPr>
        <w:t>钢结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其支撑的要求。</w:t>
      </w:r>
    </w:p>
    <w:p>
      <w:pPr>
        <w:autoSpaceDE w:val="0"/>
        <w:autoSpaceDN w:val="0"/>
        <w:spacing w:line="360" w:lineRule="auto"/>
        <w:ind w:firstLine="199" w:firstLineChars="95"/>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7.3.9 </w:t>
      </w:r>
      <w:r>
        <w:rPr>
          <w:rFonts w:hint="eastAsia" w:cs="HiddenHorzOCR"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地震作用效</w:t>
      </w:r>
      <w:r>
        <w:rPr>
          <w:rFonts w:hint="eastAsia" w:cs="宋体" w:asciiTheme="minorEastAsia" w:hAnsiTheme="minorEastAsia"/>
          <w:color w:val="000000" w:themeColor="text1"/>
          <w:kern w:val="0"/>
          <w:szCs w:val="21"/>
          <w14:textFill>
            <w14:solidFill>
              <w14:schemeClr w14:val="tx1"/>
            </w14:solidFill>
          </w14:textFill>
        </w:rPr>
        <w:t>应组</w:t>
      </w:r>
      <w:r>
        <w:rPr>
          <w:rFonts w:hint="eastAsia" w:cs="MS Mincho" w:asciiTheme="minorEastAsia" w:hAnsiTheme="minorEastAsia"/>
          <w:color w:val="000000" w:themeColor="text1"/>
          <w:kern w:val="0"/>
          <w:szCs w:val="21"/>
          <w14:textFill>
            <w14:solidFill>
              <w14:schemeClr w14:val="tx1"/>
            </w14:solidFill>
          </w14:textFill>
        </w:rPr>
        <w:t>合的受力</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埋件抗震</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w:t>
      </w:r>
      <w:r>
        <w:rPr>
          <w:rFonts w:hint="eastAsia" w:cs="HiddenHorzOCR" w:asciiTheme="minorEastAsia" w:hAnsiTheme="minorEastAsia"/>
          <w:color w:val="000000" w:themeColor="text1"/>
          <w:kern w:val="0"/>
          <w:szCs w:val="21"/>
          <w14:textFill>
            <w14:solidFill>
              <w14:schemeClr w14:val="tx1"/>
            </w14:solidFill>
          </w14:textFill>
        </w:rPr>
        <w:t>列要求：</w:t>
      </w:r>
    </w:p>
    <w:p>
      <w:pPr>
        <w:autoSpaceDE w:val="0"/>
        <w:autoSpaceDN w:val="0"/>
        <w:spacing w:line="360" w:lineRule="auto"/>
        <w:ind w:firstLine="619" w:firstLineChars="295"/>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MS Mincho" w:asciiTheme="minorEastAsia" w:hAnsiTheme="minorEastAsia"/>
          <w:color w:val="000000" w:themeColor="text1"/>
          <w:kern w:val="0"/>
          <w:szCs w:val="21"/>
          <w14:textFill>
            <w14:solidFill>
              <w14:schemeClr w14:val="tx1"/>
            </w14:solidFill>
          </w14:textFill>
        </w:rPr>
        <w:t>由</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埋板和</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称配置直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成的</w:t>
      </w:r>
      <w:r>
        <w:rPr>
          <w:rFonts w:hint="eastAsia" w:cs="HiddenHorzOCR" w:asciiTheme="minorEastAsia" w:hAnsiTheme="minorEastAsia"/>
          <w:color w:val="000000" w:themeColor="text1"/>
          <w:kern w:val="0"/>
          <w:szCs w:val="21"/>
          <w14:textFill>
            <w14:solidFill>
              <w14:schemeClr w14:val="tx1"/>
            </w14:solidFill>
          </w14:textFill>
        </w:rPr>
        <w:t>受力</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7.3.9-1）。</w:t>
      </w:r>
    </w:p>
    <w:p>
      <w:pPr>
        <w:autoSpaceDE w:val="0"/>
        <w:autoSpaceDN w:val="0"/>
        <w:spacing w:line="360" w:lineRule="auto"/>
        <w:ind w:firstLine="420"/>
        <w:jc w:val="center"/>
        <w:rPr>
          <w:color w:val="000000" w:themeColor="text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3080385" cy="1549400"/>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086136" cy="1552176"/>
                    </a:xfrm>
                    <a:prstGeom prst="rect">
                      <a:avLst/>
                    </a:prstGeom>
                    <a:noFill/>
                    <a:ln>
                      <a:noFill/>
                    </a:ln>
                  </pic:spPr>
                </pic:pic>
              </a:graphicData>
            </a:graphic>
          </wp:inline>
        </w:drawing>
      </w:r>
    </w:p>
    <w:p>
      <w:pPr>
        <w:autoSpaceDE w:val="0"/>
        <w:autoSpaceDN w:val="0"/>
        <w:spacing w:line="360" w:lineRule="auto"/>
        <w:ind w:firstLine="1050" w:firstLineChars="50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图7.3</w:t>
      </w:r>
      <w:r>
        <w:rPr>
          <w:rFonts w:cs="HiddenHorzOCR" w:asciiTheme="minorEastAsia" w:hAnsiTheme="minorEastAsia"/>
          <w:color w:val="000000" w:themeColor="text1"/>
          <w:kern w:val="0"/>
          <w:szCs w:val="21"/>
          <w14:textFill>
            <w14:solidFill>
              <w14:schemeClr w14:val="tx1"/>
            </w14:solidFill>
          </w14:textFill>
        </w:rPr>
        <w:t xml:space="preserve">.9-1 </w:t>
      </w:r>
      <w:r>
        <w:rPr>
          <w:rFonts w:hint="eastAsia" w:cs="HiddenHorzOCR" w:asciiTheme="minorEastAsia" w:hAnsiTheme="minorEastAsia"/>
          <w:color w:val="000000" w:themeColor="text1"/>
          <w:kern w:val="0"/>
          <w:szCs w:val="21"/>
          <w14:textFill>
            <w14:solidFill>
              <w14:schemeClr w14:val="tx1"/>
            </w14:solidFill>
          </w14:textFill>
        </w:rPr>
        <w:t>由预埋板和直锚筋组成的预埋件</w:t>
      </w:r>
    </w:p>
    <w:p>
      <w:pPr>
        <w:autoSpaceDE w:val="0"/>
        <w:autoSpaceDN w:val="0"/>
        <w:spacing w:line="360" w:lineRule="auto"/>
        <w:ind w:firstLine="1050" w:firstLineChars="50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left="1260" w:leftChars="5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1）当受剪力、法向拉力和弯矩共同作用</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，其</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w:t>
      </w:r>
      <w:r>
        <w:rPr>
          <w:rFonts w:hint="eastAsia" w:cs="宋体" w:asciiTheme="minorEastAsia" w:hAnsiTheme="minorEastAsia"/>
          <w:color w:val="000000" w:themeColor="text1"/>
          <w:kern w:val="0"/>
          <w:szCs w:val="21"/>
          <w14:textFill>
            <w14:solidFill>
              <w14:schemeClr w14:val="tx1"/>
            </w14:solidFill>
          </w14:textFill>
        </w:rPr>
        <w:t>总</w:t>
      </w:r>
      <w:r>
        <w:rPr>
          <w:rFonts w:hint="eastAsia" w:cs="MS Mincho" w:asciiTheme="minorEastAsia" w:hAnsiTheme="minorEastAsia"/>
          <w:color w:val="000000" w:themeColor="text1"/>
          <w:kern w:val="0"/>
          <w:szCs w:val="21"/>
          <w14:textFill>
            <w14:solidFill>
              <w14:schemeClr w14:val="tx1"/>
            </w14:solidFill>
          </w14:textFill>
        </w:rPr>
        <w:t>截</w:t>
      </w:r>
      <w:r>
        <w:rPr>
          <w:rFonts w:hint="eastAsia" w:cs="HiddenHorzOCR" w:asciiTheme="minorEastAsia" w:hAnsiTheme="minorEastAsia"/>
          <w:color w:val="000000" w:themeColor="text1"/>
          <w:kern w:val="0"/>
          <w:szCs w:val="21"/>
          <w14:textFill>
            <w14:solidFill>
              <w14:schemeClr w14:val="tx1"/>
            </w14:solidFill>
          </w14:textFill>
        </w:rPr>
        <w:t>面面</w:t>
      </w:r>
      <w:r>
        <w:rPr>
          <w:rFonts w:hint="eastAsia" w:cs="宋体" w:asciiTheme="minorEastAsia" w:hAnsiTheme="minorEastAsia"/>
          <w:color w:val="000000" w:themeColor="text1"/>
          <w:kern w:val="0"/>
          <w:szCs w:val="21"/>
          <w14:textFill>
            <w14:solidFill>
              <w14:schemeClr w14:val="tx1"/>
            </w14:solidFill>
          </w14:textFill>
        </w:rPr>
        <w:t>积</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s</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按式</w:t>
      </w:r>
      <w:r>
        <w:rPr>
          <w:rFonts w:cs="HiddenHorzOCR" w:asciiTheme="minorEastAsia" w:hAnsiTheme="minorEastAsia"/>
          <w:color w:val="000000" w:themeColor="text1"/>
          <w:kern w:val="0"/>
          <w:szCs w:val="21"/>
          <w14:textFill>
            <w14:solidFill>
              <w14:schemeClr w14:val="tx1"/>
            </w14:solidFill>
          </w14:textFill>
        </w:rPr>
        <w:t>7.3</w:t>
      </w:r>
      <w:r>
        <w:rPr>
          <w:rFonts w:hint="eastAsia" w:cs="HiddenHorzOCR" w:asciiTheme="minorEastAsia" w:hAnsiTheme="minorEastAsia"/>
          <w:color w:val="000000" w:themeColor="text1"/>
          <w:kern w:val="0"/>
          <w:szCs w:val="21"/>
          <w14:textFill>
            <w14:solidFill>
              <w14:schemeClr w14:val="tx1"/>
            </w14:solidFill>
          </w14:textFill>
        </w:rPr>
        <w:t>.9-1和式</w:t>
      </w:r>
      <w:r>
        <w:rPr>
          <w:rFonts w:cs="HiddenHorzOCR" w:asciiTheme="minorEastAsia" w:hAnsiTheme="minorEastAsia"/>
          <w:color w:val="000000" w:themeColor="text1"/>
          <w:kern w:val="0"/>
          <w:szCs w:val="21"/>
          <w14:textFill>
            <w14:solidFill>
              <w14:schemeClr w14:val="tx1"/>
            </w14:solidFill>
          </w14:textFill>
        </w:rPr>
        <w:t>7.3</w:t>
      </w:r>
      <w:r>
        <w:rPr>
          <w:rFonts w:hint="eastAsia" w:cs="HiddenHorzOCR" w:asciiTheme="minorEastAsia" w:hAnsiTheme="minorEastAsia"/>
          <w:color w:val="000000" w:themeColor="text1"/>
          <w:kern w:val="0"/>
          <w:szCs w:val="21"/>
          <w14:textFill>
            <w14:solidFill>
              <w14:schemeClr w14:val="tx1"/>
            </w14:solidFill>
          </w14:textFill>
        </w:rPr>
        <w:t>.9-2</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算，并取用其</w:t>
      </w:r>
      <w:r>
        <w:rPr>
          <w:rFonts w:hint="eastAsia" w:cs="宋体" w:asciiTheme="minorEastAsia" w:hAnsiTheme="minorEastAsia"/>
          <w:color w:val="000000" w:themeColor="text1"/>
          <w:kern w:val="0"/>
          <w:szCs w:val="21"/>
          <w14:textFill>
            <w14:solidFill>
              <w14:schemeClr w14:val="tx1"/>
            </w14:solidFill>
          </w14:textFill>
        </w:rPr>
        <w:t>较</w:t>
      </w:r>
      <w:r>
        <w:rPr>
          <w:rFonts w:hint="eastAsia" w:cs="MS Mincho" w:asciiTheme="minorEastAsia" w:hAnsiTheme="minorEastAsia"/>
          <w:color w:val="000000" w:themeColor="text1"/>
          <w:kern w:val="0"/>
          <w:szCs w:val="21"/>
          <w14:textFill>
            <w14:solidFill>
              <w14:schemeClr w14:val="tx1"/>
            </w14:solidFill>
          </w14:textFill>
        </w:rPr>
        <w:t>大</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ascii="Cambria Math" w:hAnsi="Cambria Math" w:cs="Cambria Math"/>
                <w:color w:val="000000" w:themeColor="text1"/>
                <w:kern w:val="0"/>
                <w:szCs w:val="21"/>
                <w14:textFill>
                  <w14:solidFill>
                    <w14:schemeClr w14:val="tx1"/>
                  </w14:solidFill>
                </w14:textFill>
              </w:rPr>
              <m:t>A</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s</m:t>
            </m:r>
            <m:ctrlPr>
              <w:rPr>
                <w:rFonts w:ascii="Cambria Math" w:hAnsi="Cambria Math" w:cs="Cambria Math"/>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RE</m:t>
            </m:r>
            <m:ctrlPr>
              <w:rPr>
                <w:rFonts w:ascii="Cambria Math" w:hAnsi="Cambria Math" w:cs="HiddenHorzOCR"/>
                <w:color w:val="000000" w:themeColor="text1"/>
                <w:kern w:val="0"/>
                <w:szCs w:val="21"/>
                <w14:textFill>
                  <w14:solidFill>
                    <w14:schemeClr w14:val="tx1"/>
                  </w14:solidFill>
                </w14:textFill>
              </w:rPr>
            </m:ctrlPr>
          </m:sub>
        </m:sSub>
        <m:d>
          <m:dPr>
            <m:ctrlPr>
              <w:rPr>
                <w:rFonts w:ascii="Cambria Math" w:hAnsi="Cambria Math" w:cs="HiddenHorzOCR"/>
                <w:color w:val="000000" w:themeColor="text1"/>
                <w:kern w:val="0"/>
                <w:szCs w:val="21"/>
                <w14:textFill>
                  <w14:solidFill>
                    <w14:schemeClr w14:val="tx1"/>
                  </w14:solidFill>
                </w14:textFill>
              </w:rPr>
            </m:ctrlPr>
          </m:dPr>
          <m:e>
            <m:f>
              <m:fPr>
                <m:ctrlPr>
                  <w:rPr>
                    <w:rFonts w:ascii="Cambria Math" w:hAnsi="Cambria Math" w:cs="HiddenHorzOCR"/>
                    <w:color w:val="000000" w:themeColor="text1"/>
                    <w:kern w:val="0"/>
                    <w:szCs w:val="21"/>
                    <w14:textFill>
                      <w14:solidFill>
                        <w14:schemeClr w14:val="tx1"/>
                      </w14:solidFill>
                    </w14:textFill>
                  </w:rPr>
                </m:ctrlPr>
              </m:fPr>
              <m:num>
                <m:r>
                  <m:rPr>
                    <m:sty m:val="p"/>
                  </m:rP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color w:val="000000" w:themeColor="text1"/>
                    <w:kern w:val="0"/>
                    <w:szCs w:val="21"/>
                    <w14:textFill>
                      <w14:solidFill>
                        <w14:schemeClr w14:val="tx1"/>
                      </w14:solidFill>
                    </w14:textFill>
                  </w:rPr>
                </m:ctrlPr>
              </m:num>
              <m:den>
                <m:r>
                  <m:rPr>
                    <m:sty m:val="p"/>
                  </m:rPr>
                  <w:rPr>
                    <w:rFonts w:ascii="Cambria Math" w:hAnsi="Cambria Math" w:cs="Cambria Math"/>
                    <w:color w:val="000000" w:themeColor="text1"/>
                    <w:kern w:val="0"/>
                    <w:szCs w:val="21"/>
                    <w14:textFill>
                      <w14:solidFill>
                        <w14:schemeClr w14:val="tx1"/>
                      </w14:solidFill>
                    </w14:textFill>
                  </w:rPr>
                  <m:t>0.8</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r</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v</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den>
            </m:f>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num>
              <m:den>
                <m:r>
                  <m:rPr>
                    <m:sty m:val="p"/>
                  </m:rPr>
                  <w:rPr>
                    <w:rFonts w:ascii="Cambria Math" w:hAnsi="Cambria Math" w:cs="HiddenHorzOCR"/>
                    <w:color w:val="000000" w:themeColor="text1"/>
                    <w:kern w:val="0"/>
                    <w:szCs w:val="21"/>
                    <w14:textFill>
                      <w14:solidFill>
                        <w14:schemeClr w14:val="tx1"/>
                      </w14:solidFill>
                    </w14:textFill>
                  </w:rPr>
                  <m:t>0.64</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b</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den>
            </m:f>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r>
                  <m:rPr>
                    <m:sty m:val="p"/>
                  </m:rP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color w:val="000000" w:themeColor="text1"/>
                    <w:kern w:val="0"/>
                    <w:szCs w:val="21"/>
                    <w14:textFill>
                      <w14:solidFill>
                        <w14:schemeClr w14:val="tx1"/>
                      </w14:solidFill>
                    </w14:textFill>
                  </w:rPr>
                </m:ctrlPr>
              </m:num>
              <m:den>
                <m:r>
                  <m:rPr>
                    <m:sty m:val="p"/>
                  </m:rPr>
                  <w:rPr>
                    <w:rFonts w:ascii="Cambria Math" w:hAnsi="Cambria Math" w:cs="HiddenHorzOCR"/>
                    <w:color w:val="000000" w:themeColor="text1"/>
                    <w:kern w:val="0"/>
                    <w:szCs w:val="21"/>
                    <w14:textFill>
                      <w14:solidFill>
                        <w14:schemeClr w14:val="tx1"/>
                      </w14:solidFill>
                    </w14:textFill>
                  </w:rPr>
                  <m:t>1.04</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r</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b</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cs="HiddenHorzOCR"/>
                    <w:color w:val="000000" w:themeColor="text1"/>
                    <w:kern w:val="0"/>
                    <w:szCs w:val="21"/>
                    <w14:textFill>
                      <w14:solidFill>
                        <w14:schemeClr w14:val="tx1"/>
                      </w14:solidFill>
                    </w14:textFill>
                  </w:rPr>
                </m:ctrlPr>
              </m:den>
            </m:f>
            <m:ctrlPr>
              <w:rPr>
                <w:rFonts w:ascii="Cambria Math" w:hAnsi="Cambria Math" w:cs="HiddenHorzOCR"/>
                <w:color w:val="000000" w:themeColor="text1"/>
                <w:kern w:val="0"/>
                <w:szCs w:val="21"/>
                <w14:textFill>
                  <w14:solidFill>
                    <w14:schemeClr w14:val="tx1"/>
                  </w14:solidFill>
                </w14:textFill>
              </w:rPr>
            </m:ctrlPr>
          </m:e>
        </m:d>
      </m:oMath>
      <w:r>
        <w:rPr>
          <w:rFonts w:hint="eastAsia" w:cs="HiddenHorzOCR" w:asciiTheme="minorEastAsia" w:hAnsiTheme="minorEastAsia"/>
          <w:color w:val="000000" w:themeColor="text1"/>
          <w:kern w:val="0"/>
          <w:szCs w:val="21"/>
          <w14:textFill>
            <w14:solidFill>
              <w14:schemeClr w14:val="tx1"/>
            </w14:solidFill>
          </w14:textFill>
        </w:rPr>
        <w:t xml:space="preserve"> </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（7.3</w:t>
      </w:r>
      <w:r>
        <w:rPr>
          <w:rFonts w:cs="HiddenHorzOCR" w:asciiTheme="minorEastAsia" w:hAnsiTheme="minorEastAsia"/>
          <w:color w:val="000000" w:themeColor="text1"/>
          <w:kern w:val="0"/>
          <w:szCs w:val="21"/>
          <w14:textFill>
            <w14:solidFill>
              <w14:schemeClr w14:val="tx1"/>
            </w14:solidFill>
          </w14:textFill>
        </w:rPr>
        <w:t>.9-1</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s</m:t>
            </m:r>
            <m:ctrlPr>
              <w:rPr>
                <w:rFonts w:ascii="Cambria Math" w:hAnsi="Cambria Math" w:eastAsia="Cambria Math" w:cs="Cambria Math"/>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RE</m:t>
            </m:r>
            <m:ctrlPr>
              <w:rPr>
                <w:rFonts w:ascii="Cambria Math" w:hAnsi="Cambria Math" w:cs="HiddenHorzOCR"/>
                <w:color w:val="000000" w:themeColor="text1"/>
                <w:kern w:val="0"/>
                <w:szCs w:val="21"/>
                <w14:textFill>
                  <w14:solidFill>
                    <w14:schemeClr w14:val="tx1"/>
                  </w14:solidFill>
                </w14:textFill>
              </w:rPr>
            </m:ctrlPr>
          </m:sub>
        </m:sSub>
        <m:d>
          <m:dPr>
            <m:ctrlPr>
              <w:rPr>
                <w:rFonts w:ascii="Cambria Math" w:hAnsi="Cambria Math" w:cs="HiddenHorzOCR"/>
                <w:color w:val="000000" w:themeColor="text1"/>
                <w:kern w:val="0"/>
                <w:szCs w:val="21"/>
                <w14:textFill>
                  <w14:solidFill>
                    <w14:schemeClr w14:val="tx1"/>
                  </w14:solidFill>
                </w14:textFill>
              </w:rPr>
            </m:ctrlPr>
          </m:dPr>
          <m:e>
            <m:f>
              <m:fPr>
                <m:ctrlPr>
                  <w:rPr>
                    <w:rFonts w:ascii="Cambria Math" w:hAnsi="Cambria Math" w:cs="HiddenHorzOCR"/>
                    <w:color w:val="000000" w:themeColor="text1"/>
                    <w:kern w:val="0"/>
                    <w:szCs w:val="21"/>
                    <w14:textFill>
                      <w14:solidFill>
                        <w14:schemeClr w14:val="tx1"/>
                      </w14:solidFill>
                    </w14:textFill>
                  </w:rPr>
                </m:ctrlPr>
              </m:fPr>
              <m:num>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num>
              <m:den>
                <m:r>
                  <m:rPr>
                    <m:sty m:val="p"/>
                  </m:rPr>
                  <w:rPr>
                    <w:rFonts w:ascii="Cambria Math" w:hAnsi="Cambria Math" w:cs="Cambria Math"/>
                    <w:color w:val="000000" w:themeColor="text1"/>
                    <w:kern w:val="0"/>
                    <w:szCs w:val="21"/>
                    <w14:textFill>
                      <w14:solidFill>
                        <w14:schemeClr w14:val="tx1"/>
                      </w14:solidFill>
                    </w14:textFill>
                  </w:rPr>
                  <m:t>0.64</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b</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den>
            </m:f>
            <m:r>
              <m:rPr>
                <m:sty m:val="p"/>
              </m:rPr>
              <w:rPr>
                <w:rFonts w:ascii="Cambria Math" w:hAnsi="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r>
                  <m:rPr>
                    <m:sty m:val="p"/>
                  </m:rPr>
                  <w:rPr>
                    <w:rFonts w:ascii="Cambria Math" w:hAnsi="Cambria Math" w:cs="HiddenHorzOCR"/>
                    <w:color w:val="000000" w:themeColor="text1"/>
                    <w:kern w:val="0"/>
                    <w:szCs w:val="21"/>
                    <w14:textFill>
                      <w14:solidFill>
                        <w14:schemeClr w14:val="tx1"/>
                      </w14:solidFill>
                    </w14:textFill>
                  </w:rPr>
                  <m:t>M</m:t>
                </m:r>
                <m:ctrlPr>
                  <w:rPr>
                    <w:rFonts w:ascii="Cambria Math" w:hAnsi="Cambria Math" w:cs="HiddenHorzOCR"/>
                    <w:color w:val="000000" w:themeColor="text1"/>
                    <w:kern w:val="0"/>
                    <w:szCs w:val="21"/>
                    <w14:textFill>
                      <w14:solidFill>
                        <w14:schemeClr w14:val="tx1"/>
                      </w14:solidFill>
                    </w14:textFill>
                  </w:rPr>
                </m:ctrlPr>
              </m:num>
              <m:den>
                <m:r>
                  <m:rPr>
                    <m:sty m:val="p"/>
                  </m:rPr>
                  <w:rPr>
                    <w:rFonts w:ascii="Cambria Math" w:hAnsi="Cambria Math" w:cs="HiddenHorzOCR"/>
                    <w:color w:val="000000" w:themeColor="text1"/>
                    <w:kern w:val="0"/>
                    <w:szCs w:val="21"/>
                    <w14:textFill>
                      <w14:solidFill>
                        <w14:schemeClr w14:val="tx1"/>
                      </w14:solidFill>
                    </w14:textFill>
                  </w:rPr>
                  <m:t>0.32</m:t>
                </m:r>
                <m:sSub>
                  <m:sSubPr>
                    <m:ctrlPr>
                      <w:rPr>
                        <w:rFonts w:ascii="Cambria Math" w:hAnsi="Cambria Math" w:cs="Cambria Math"/>
                        <w:color w:val="000000" w:themeColor="text1"/>
                        <w:kern w:val="0"/>
                        <w:szCs w:val="21"/>
                        <w14:textFill>
                          <w14:solidFill>
                            <w14:schemeClr w14:val="tx1"/>
                          </w14:solidFill>
                        </w14:textFill>
                      </w:rPr>
                    </m:ctrlPr>
                  </m:sSubPr>
                  <m:e>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r</m:t>
                        </m:r>
                        <m:ctrlPr>
                          <w:rPr>
                            <w:rFonts w:ascii="Cambria Math" w:hAnsi="Cambria Math" w:cs="Cambria Math"/>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b</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cs="HiddenHorzOCR"/>
                    <w:color w:val="000000" w:themeColor="text1"/>
                    <w:kern w:val="0"/>
                    <w:szCs w:val="21"/>
                    <w14:textFill>
                      <w14:solidFill>
                        <w14:schemeClr w14:val="tx1"/>
                      </w14:solidFill>
                    </w14:textFill>
                  </w:rPr>
                </m:ctrlPr>
              </m:den>
            </m:f>
            <m:ctrlPr>
              <w:rPr>
                <w:rFonts w:ascii="Cambria Math" w:hAnsi="Cambria Math" w:cs="HiddenHorzOCR"/>
                <w:color w:val="000000" w:themeColor="text1"/>
                <w:kern w:val="0"/>
                <w:szCs w:val="21"/>
                <w14:textFill>
                  <w14:solidFill>
                    <w14:schemeClr w14:val="tx1"/>
                  </w14:solidFill>
                </w14:textFill>
              </w:rPr>
            </m:ctrlPr>
          </m:e>
        </m:d>
      </m:oMath>
      <w:r>
        <w:rPr>
          <w:rFonts w:hint="eastAsia" w:cs="HiddenHorzOCR" w:asciiTheme="minorEastAsia" w:hAnsiTheme="minorEastAsia"/>
          <w:color w:val="000000" w:themeColor="text1"/>
          <w:kern w:val="0"/>
          <w:szCs w:val="21"/>
          <w14:textFill>
            <w14:solidFill>
              <w14:schemeClr w14:val="tx1"/>
            </w14:solidFill>
          </w14:textFill>
        </w:rPr>
        <w:t xml:space="preserve"> </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（7.3</w:t>
      </w:r>
      <w:r>
        <w:rPr>
          <w:rFonts w:cs="HiddenHorzOCR" w:asciiTheme="minorEastAsia" w:hAnsiTheme="minorEastAsia"/>
          <w:color w:val="000000" w:themeColor="text1"/>
          <w:kern w:val="0"/>
          <w:szCs w:val="21"/>
          <w14:textFill>
            <w14:solidFill>
              <w14:schemeClr w14:val="tx1"/>
            </w14:solidFill>
          </w14:textFill>
        </w:rPr>
        <w:t>.9-2</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center"/>
        <w:rPr>
          <w:rFonts w:ascii="宋体" w:hAnsi="宋体" w:cs="宋体"/>
          <w:color w:val="000000" w:themeColor="text1"/>
          <w:kern w:val="0"/>
          <w:szCs w:val="21"/>
          <w14:textFill>
            <w14:solidFill>
              <w14:schemeClr w14:val="tx1"/>
            </w14:solidFill>
          </w14:textFill>
        </w:rPr>
      </w:pPr>
      <m:oMath>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v</m:t>
            </m:r>
            <m:ctrlPr>
              <w:rPr>
                <w:rFonts w:ascii="Cambria Math" w:hAnsi="Cambria Math" w:cs="Cambria Math"/>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r>
          <m:rPr>
            <m:sty m:val="p"/>
          </m:rPr>
          <w:rPr>
            <w:rFonts w:hint="eastAsia" w:ascii="Cambria Math" w:hAnsi="Cambria Math" w:cs="宋体"/>
            <w:color w:val="000000" w:themeColor="text1"/>
            <w:kern w:val="0"/>
            <w:szCs w:val="21"/>
            <w14:textFill>
              <w14:solidFill>
                <w14:schemeClr w14:val="tx1"/>
              </w14:solidFill>
            </w14:textFill>
          </w:rPr>
          <m:t>（</m:t>
        </m:r>
        <m:r>
          <m:rPr>
            <m:sty m:val="p"/>
          </m:rPr>
          <w:rPr>
            <w:rFonts w:ascii="Cambria Math" w:hAnsi="宋体" w:cs="宋体"/>
            <w:color w:val="000000" w:themeColor="text1"/>
            <w:kern w:val="0"/>
            <w:szCs w:val="21"/>
            <w14:textFill>
              <w14:solidFill>
                <w14:schemeClr w14:val="tx1"/>
              </w14:solidFill>
            </w14:textFill>
          </w:rPr>
          <m:t>4.0</m:t>
        </m:r>
        <m:r>
          <m:rPr>
            <m:sty m:val="p"/>
          </m:rPr>
          <w:rPr>
            <w:rFonts w:hint="eastAsia" w:ascii="Cambria Math" w:hAnsi="Cambria Math" w:eastAsia="微软雅黑" w:cs="微软雅黑"/>
            <w:color w:val="000000" w:themeColor="text1"/>
            <w:kern w:val="0"/>
            <w:szCs w:val="21"/>
            <w14:textFill>
              <w14:solidFill>
                <w14:schemeClr w14:val="tx1"/>
              </w14:solidFill>
            </w14:textFill>
          </w:rPr>
          <m:t>-</m:t>
        </m:r>
        <m:r>
          <m:rPr>
            <m:sty m:val="p"/>
          </m:rPr>
          <w:rPr>
            <w:rFonts w:ascii="Cambria Math" w:hAnsi="宋体" w:cs="宋体"/>
            <w:color w:val="000000" w:themeColor="text1"/>
            <w:kern w:val="0"/>
            <w:szCs w:val="21"/>
            <w14:textFill>
              <w14:solidFill>
                <w14:schemeClr w14:val="tx1"/>
              </w14:solidFill>
            </w14:textFill>
          </w:rPr>
          <m:t>0.8d</m:t>
        </m:r>
        <m:r>
          <m:rPr>
            <m:sty m:val="p"/>
          </m:rPr>
          <w:rPr>
            <w:rFonts w:hint="eastAsia" w:ascii="Cambria Math" w:hAnsi="Cambria Math" w:cs="宋体"/>
            <w:color w:val="000000" w:themeColor="text1"/>
            <w:kern w:val="0"/>
            <w:szCs w:val="21"/>
            <w14:textFill>
              <w14:solidFill>
                <w14:schemeClr w14:val="tx1"/>
              </w14:solidFill>
            </w14:textFill>
          </w:rPr>
          <m:t>）</m:t>
        </m:r>
        <m:rad>
          <m:radPr>
            <m:degHide m:val="1"/>
            <m:ctrlPr>
              <w:rPr>
                <w:rFonts w:ascii="Cambria Math" w:hAnsi="Cambria Math" w:cs="宋体"/>
                <w:color w:val="000000" w:themeColor="text1"/>
                <w:kern w:val="0"/>
                <w:szCs w:val="21"/>
                <w14:textFill>
                  <w14:solidFill>
                    <w14:schemeClr w14:val="tx1"/>
                  </w14:solidFill>
                </w14:textFill>
              </w:rPr>
            </m:ctrlPr>
          </m:radPr>
          <m:deg>
            <m:ctrlPr>
              <w:rPr>
                <w:rFonts w:ascii="Cambria Math" w:hAnsi="Cambria Math" w:cs="宋体"/>
                <w:color w:val="000000" w:themeColor="text1"/>
                <w:kern w:val="0"/>
                <w:szCs w:val="21"/>
                <w14:textFill>
                  <w14:solidFill>
                    <w14:schemeClr w14:val="tx1"/>
                  </w14:solidFill>
                </w14:textFill>
              </w:rPr>
            </m:ctrlPr>
          </m:deg>
          <m:e>
            <m:f>
              <m:fPr>
                <m:ctrlPr>
                  <w:rPr>
                    <w:rFonts w:ascii="Cambria Math" w:hAnsi="Cambria Math" w:cs="宋体"/>
                    <w:color w:val="000000" w:themeColor="text1"/>
                    <w:kern w:val="0"/>
                    <w:szCs w:val="21"/>
                    <w14:textFill>
                      <w14:solidFill>
                        <w14:schemeClr w14:val="tx1"/>
                      </w14:solidFill>
                    </w14:textFill>
                  </w:rPr>
                </m:ctrlPr>
              </m:fPr>
              <m:num>
                <m:sSub>
                  <m:sSubPr>
                    <m:ctrlPr>
                      <w:rPr>
                        <w:rFonts w:ascii="Cambria Math" w:hAnsi="Cambria Math" w:cs="宋体"/>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宋体"/>
                        <w:color w:val="000000" w:themeColor="text1"/>
                        <w:kern w:val="0"/>
                        <w:szCs w:val="21"/>
                        <w14:textFill>
                          <w14:solidFill>
                            <w14:schemeClr w14:val="tx1"/>
                          </w14:solidFill>
                        </w14:textFill>
                      </w:rPr>
                    </m:ctrlPr>
                  </m:e>
                  <m:sub>
                    <m:r>
                      <m:rPr>
                        <m:sty m:val="p"/>
                      </m:rPr>
                      <w:rPr>
                        <w:rFonts w:ascii="Cambria Math" w:hAnsi="Cambria Math" w:cs="宋体"/>
                        <w:color w:val="000000" w:themeColor="text1"/>
                        <w:kern w:val="0"/>
                        <w:szCs w:val="21"/>
                        <w14:textFill>
                          <w14:solidFill>
                            <w14:schemeClr w14:val="tx1"/>
                          </w14:solidFill>
                        </w14:textFill>
                      </w:rPr>
                      <m:t>c</m:t>
                    </m:r>
                    <m:ctrlPr>
                      <w:rPr>
                        <w:rFonts w:ascii="Cambria Math" w:hAnsi="Cambria Math" w:cs="宋体"/>
                        <w:color w:val="000000" w:themeColor="text1"/>
                        <w:kern w:val="0"/>
                        <w:szCs w:val="21"/>
                        <w14:textFill>
                          <w14:solidFill>
                            <w14:schemeClr w14:val="tx1"/>
                          </w14:solidFill>
                        </w14:textFill>
                      </w:rPr>
                    </m:ctrlPr>
                  </m:sub>
                </m:sSub>
                <m:ctrlPr>
                  <w:rPr>
                    <w:rFonts w:ascii="Cambria Math" w:hAnsi="Cambria Math" w:cs="宋体"/>
                    <w:color w:val="000000" w:themeColor="text1"/>
                    <w:kern w:val="0"/>
                    <w:szCs w:val="21"/>
                    <w14:textFill>
                      <w14:solidFill>
                        <w14:schemeClr w14:val="tx1"/>
                      </w14:solidFill>
                    </w14:textFill>
                  </w:rPr>
                </m:ctrlPr>
              </m:num>
              <m:den>
                <m:sSub>
                  <m:sSubPr>
                    <m:ctrlPr>
                      <w:rPr>
                        <w:rFonts w:ascii="Cambria Math" w:hAnsi="Cambria Math" w:cs="宋体"/>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宋体"/>
                        <w:color w:val="000000" w:themeColor="text1"/>
                        <w:kern w:val="0"/>
                        <w:szCs w:val="21"/>
                        <w14:textFill>
                          <w14:solidFill>
                            <w14:schemeClr w14:val="tx1"/>
                          </w14:solidFill>
                        </w14:textFill>
                      </w:rPr>
                    </m:ctrlPr>
                  </m:e>
                  <m:sub>
                    <m:r>
                      <m:rPr>
                        <m:sty m:val="p"/>
                      </m:rPr>
                      <w:rPr>
                        <w:rFonts w:ascii="Cambria Math" w:hAnsi="Cambria Math" w:cs="宋体"/>
                        <w:color w:val="000000" w:themeColor="text1"/>
                        <w:kern w:val="0"/>
                        <w:szCs w:val="21"/>
                        <w14:textFill>
                          <w14:solidFill>
                            <w14:schemeClr w14:val="tx1"/>
                          </w14:solidFill>
                        </w14:textFill>
                      </w:rPr>
                      <m:t>y</m:t>
                    </m:r>
                    <m:ctrlPr>
                      <w:rPr>
                        <w:rFonts w:ascii="Cambria Math" w:hAnsi="Cambria Math" w:cs="宋体"/>
                        <w:color w:val="000000" w:themeColor="text1"/>
                        <w:kern w:val="0"/>
                        <w:szCs w:val="21"/>
                        <w14:textFill>
                          <w14:solidFill>
                            <w14:schemeClr w14:val="tx1"/>
                          </w14:solidFill>
                        </w14:textFill>
                      </w:rPr>
                    </m:ctrlPr>
                  </m:sub>
                </m:sSub>
                <m:ctrlPr>
                  <w:rPr>
                    <w:rFonts w:ascii="Cambria Math" w:hAnsi="Cambria Math" w:cs="宋体"/>
                    <w:color w:val="000000" w:themeColor="text1"/>
                    <w:kern w:val="0"/>
                    <w:szCs w:val="21"/>
                    <w14:textFill>
                      <w14:solidFill>
                        <w14:schemeClr w14:val="tx1"/>
                      </w14:solidFill>
                    </w14:textFill>
                  </w:rPr>
                </m:ctrlPr>
              </m:den>
            </m:f>
            <m:ctrlPr>
              <w:rPr>
                <w:rFonts w:ascii="Cambria Math" w:hAnsi="Cambria Math" w:cs="宋体"/>
                <w:color w:val="000000" w:themeColor="text1"/>
                <w:kern w:val="0"/>
                <w:szCs w:val="21"/>
                <w14:textFill>
                  <w14:solidFill>
                    <w14:schemeClr w14:val="tx1"/>
                  </w14:solidFill>
                </w14:textFill>
              </w:rPr>
            </m:ctrlPr>
          </m:e>
        </m:rad>
      </m:oMath>
      <w:r>
        <w:rPr>
          <w:rFonts w:hint="eastAsia" w:ascii="宋体" w:hAnsi="宋体" w:cs="宋体"/>
          <w:color w:val="000000" w:themeColor="text1"/>
          <w:kern w:val="0"/>
          <w:szCs w:val="21"/>
          <w14:textFill>
            <w14:solidFill>
              <w14:schemeClr w14:val="tx1"/>
            </w14:solidFill>
          </w14:textFill>
        </w:rPr>
        <w:t xml:space="preserve"> </w:t>
      </w:r>
      <w:r>
        <w:rPr>
          <w:rFonts w:ascii="宋体" w:hAnsi="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（7.3</w:t>
      </w:r>
      <w:r>
        <w:rPr>
          <w:rFonts w:ascii="宋体" w:hAnsi="宋体" w:cs="宋体"/>
          <w:color w:val="000000" w:themeColor="text1"/>
          <w:kern w:val="0"/>
          <w:szCs w:val="21"/>
          <w14:textFill>
            <w14:solidFill>
              <w14:schemeClr w14:val="tx1"/>
            </w14:solidFill>
          </w14:textFill>
        </w:rPr>
        <w:t>.9-3</w:t>
      </w:r>
      <w:r>
        <w:rPr>
          <w:rFonts w:hint="eastAsia" w:ascii="宋体" w:hAnsi="宋体" w:cs="宋体"/>
          <w:color w:val="000000" w:themeColor="text1"/>
          <w:kern w:val="0"/>
          <w:szCs w:val="21"/>
          <w14:textFill>
            <w14:solidFill>
              <w14:schemeClr w14:val="tx1"/>
            </w14:solidFill>
          </w14:textFill>
        </w:rPr>
        <w:t>）</w:t>
      </w:r>
    </w:p>
    <w:p>
      <w:pPr>
        <w:autoSpaceDE w:val="0"/>
        <w:autoSpaceDN w:val="0"/>
        <w:spacing w:line="360" w:lineRule="auto"/>
        <w:ind w:firstLine="420"/>
        <w:jc w:val="center"/>
        <w:rPr>
          <w:rFonts w:ascii="宋体" w:hAnsi="宋体" w:cs="宋体"/>
          <w:color w:val="000000" w:themeColor="text1"/>
          <w:kern w:val="0"/>
          <w:szCs w:val="21"/>
          <w14:textFill>
            <w14:solidFill>
              <w14:schemeClr w14:val="tx1"/>
            </w14:solidFill>
          </w14:textFill>
        </w:rPr>
      </w:pPr>
      <m:oMathPara>
        <m:oMathParaPr>
          <m:jc m:val="left"/>
        </m:oMathParaPr>
        <m:oMath>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 xml:space="preserve">                         </m:t>
              </m:r>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v</m:t>
              </m:r>
              <m:ctrlPr>
                <w:rPr>
                  <w:rFonts w:ascii="Cambria Math" w:hAnsi="Cambria Math" w:cs="Cambria Math"/>
                  <w:color w:val="000000" w:themeColor="text1"/>
                  <w:kern w:val="0"/>
                  <w:szCs w:val="21"/>
                  <w14:textFill>
                    <w14:solidFill>
                      <w14:schemeClr w14:val="tx1"/>
                    </w14:solidFill>
                  </w14:textFill>
                </w:rPr>
              </m:ctrlPr>
            </m:sub>
          </m:sSub>
          <m:r>
            <m:rPr>
              <m:sty m:val="p"/>
            </m:rPr>
            <w:rPr>
              <w:rFonts w:hint="eastAsia" w:ascii="Cambria Math" w:hAnsi="Cambria Math" w:cs="宋体"/>
              <w:color w:val="000000" w:themeColor="text1"/>
              <w:kern w:val="0"/>
              <w:szCs w:val="21"/>
              <w14:textFill>
                <w14:solidFill>
                  <w14:schemeClr w14:val="tx1"/>
                </w14:solidFill>
              </w14:textFill>
            </w:rPr>
            <m:t>＞</m:t>
          </m:r>
          <m:r>
            <m:rPr>
              <m:sty m:val="p"/>
            </m:rPr>
            <w:rPr>
              <w:rFonts w:ascii="Cambria Math" w:hAnsi="宋体" w:cs="宋体"/>
              <w:color w:val="000000" w:themeColor="text1"/>
              <w:kern w:val="0"/>
              <w:szCs w:val="21"/>
              <w14:textFill>
                <w14:solidFill>
                  <w14:schemeClr w14:val="tx1"/>
                </w14:solidFill>
              </w14:textFill>
            </w:rPr>
            <m:t>0.7</m:t>
          </m:r>
          <m:r>
            <m:rPr>
              <m:sty m:val="p"/>
            </m:rPr>
            <w:rPr>
              <w:rFonts w:hint="eastAsia" w:ascii="Cambria Math" w:hAnsi="宋体" w:cs="宋体"/>
              <w:color w:val="000000" w:themeColor="text1"/>
              <w:kern w:val="0"/>
              <w:szCs w:val="21"/>
              <w14:textFill>
                <w14:solidFill>
                  <w14:schemeClr w14:val="tx1"/>
                </w14:solidFill>
              </w14:textFill>
            </w:rPr>
            <m:t>时，取</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v</m:t>
              </m:r>
              <m:ctrlPr>
                <w:rPr>
                  <w:rFonts w:ascii="Cambria Math" w:hAnsi="Cambria Math" w:cs="Cambria Math"/>
                  <w:color w:val="000000" w:themeColor="text1"/>
                  <w:kern w:val="0"/>
                  <w:szCs w:val="21"/>
                  <w14:textFill>
                    <w14:solidFill>
                      <w14:schemeClr w14:val="tx1"/>
                    </w14:solidFill>
                  </w14:textFill>
                </w:rPr>
              </m:ctrlPr>
            </m:sub>
          </m:sSub>
          <m:r>
            <m:rPr>
              <m:sty m:val="p"/>
            </m:rPr>
            <w:rPr>
              <w:rFonts w:ascii="Cambria Math" w:hAnsi="Cambria Math" w:cs="Cambria Math"/>
              <w:color w:val="000000" w:themeColor="text1"/>
              <w:kern w:val="0"/>
              <w:szCs w:val="21"/>
              <w14:textFill>
                <w14:solidFill>
                  <w14:schemeClr w14:val="tx1"/>
                </w14:solidFill>
              </w14:textFill>
            </w:rPr>
            <m:t>=0.7</m:t>
          </m:r>
        </m:oMath>
      </m:oMathPara>
    </w:p>
    <w:p>
      <w:pPr>
        <w:autoSpaceDE w:val="0"/>
        <w:autoSpaceDN w:val="0"/>
        <w:spacing w:line="360" w:lineRule="auto"/>
        <w:ind w:firstLine="420"/>
        <w:jc w:val="center"/>
        <w:rPr>
          <w:rFonts w:ascii="宋体" w:hAnsi="宋体" w:cs="宋体"/>
          <w:color w:val="000000" w:themeColor="text1"/>
          <w:kern w:val="0"/>
          <w:szCs w:val="21"/>
          <w14:textFill>
            <w14:solidFill>
              <w14:schemeClr w14:val="tx1"/>
            </w14:solidFill>
          </w14:textFill>
        </w:rPr>
      </w:pPr>
      <m:oMath>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b</m:t>
            </m:r>
            <m:ctrlPr>
              <w:rPr>
                <w:rFonts w:ascii="Cambria Math" w:hAnsi="Cambria Math" w:cs="Cambria Math"/>
                <w:color w:val="000000" w:themeColor="text1"/>
                <w:kern w:val="0"/>
                <w:szCs w:val="21"/>
                <w14:textFill>
                  <w14:solidFill>
                    <w14:schemeClr w14:val="tx1"/>
                  </w14:solidFill>
                </w14:textFill>
              </w:rPr>
            </m:ctrlPr>
          </m:sub>
        </m:sSub>
        <m:r>
          <m:rPr>
            <m:sty m:val="p"/>
          </m:rPr>
          <w:rPr>
            <w:rFonts w:ascii="Cambria Math" w:hAnsi="Cambria Math" w:cs="Cambria Math"/>
            <w:color w:val="000000" w:themeColor="text1"/>
            <w:kern w:val="0"/>
            <w:szCs w:val="21"/>
            <w14:textFill>
              <w14:solidFill>
                <w14:schemeClr w14:val="tx1"/>
              </w14:solidFill>
            </w14:textFill>
          </w:rPr>
          <m:t>=0.6+0.25</m:t>
        </m:r>
        <m:f>
          <m:fPr>
            <m:ctrlPr>
              <w:rPr>
                <w:rFonts w:ascii="Cambria Math" w:hAnsi="Cambria Math" w:cs="Cambria Math"/>
                <w:color w:val="000000" w:themeColor="text1"/>
                <w:kern w:val="0"/>
                <w:szCs w:val="21"/>
                <w14:textFill>
                  <w14:solidFill>
                    <w14:schemeClr w14:val="tx1"/>
                  </w14:solidFill>
                </w14:textFill>
              </w:rPr>
            </m:ctrlPr>
          </m:fPr>
          <m:num>
            <m:r>
              <m:rPr>
                <m:sty m:val="p"/>
              </m:rPr>
              <w:rPr>
                <w:rFonts w:ascii="Cambria Math" w:hAnsi="Cambria Math" w:cs="Cambria Math"/>
                <w:color w:val="000000" w:themeColor="text1"/>
                <w:kern w:val="0"/>
                <w:szCs w:val="21"/>
                <w14:textFill>
                  <w14:solidFill>
                    <w14:schemeClr w14:val="tx1"/>
                  </w14:solidFill>
                </w14:textFill>
              </w:rPr>
              <m:t>t</m:t>
            </m:r>
            <m:ctrlPr>
              <w:rPr>
                <w:rFonts w:ascii="Cambria Math" w:hAnsi="Cambria Math" w:cs="Cambria Math"/>
                <w:color w:val="000000" w:themeColor="text1"/>
                <w:kern w:val="0"/>
                <w:szCs w:val="21"/>
                <w14:textFill>
                  <w14:solidFill>
                    <w14:schemeClr w14:val="tx1"/>
                  </w14:solidFill>
                </w14:textFill>
              </w:rPr>
            </m:ctrlPr>
          </m:num>
          <m:den>
            <m:r>
              <m:rPr>
                <m:sty m:val="p"/>
              </m:rPr>
              <w:rPr>
                <w:rFonts w:ascii="Cambria Math" w:hAnsi="Cambria Math" w:cs="Cambria Math"/>
                <w:color w:val="000000" w:themeColor="text1"/>
                <w:kern w:val="0"/>
                <w:szCs w:val="21"/>
                <w14:textFill>
                  <w14:solidFill>
                    <w14:schemeClr w14:val="tx1"/>
                  </w14:solidFill>
                </w14:textFill>
              </w:rPr>
              <m:t>d</m:t>
            </m:r>
            <m:ctrlPr>
              <w:rPr>
                <w:rFonts w:ascii="Cambria Math" w:hAnsi="Cambria Math" w:cs="Cambria Math"/>
                <w:color w:val="000000" w:themeColor="text1"/>
                <w:kern w:val="0"/>
                <w:szCs w:val="21"/>
                <w14:textFill>
                  <w14:solidFill>
                    <w14:schemeClr w14:val="tx1"/>
                  </w14:solidFill>
                </w14:textFill>
              </w:rPr>
            </m:ctrlPr>
          </m:den>
        </m:f>
      </m:oMath>
      <w:r>
        <w:rPr>
          <w:rFonts w:hint="eastAsia" w:ascii="宋体" w:hAnsi="宋体" w:cs="宋体"/>
          <w:color w:val="000000" w:themeColor="text1"/>
          <w:kern w:val="0"/>
          <w:szCs w:val="21"/>
          <w14:textFill>
            <w14:solidFill>
              <w14:schemeClr w14:val="tx1"/>
            </w14:solidFill>
          </w14:textFill>
        </w:rPr>
        <w:t xml:space="preserve"> </w:t>
      </w:r>
      <w:r>
        <w:rPr>
          <w:rFonts w:ascii="宋体" w:hAnsi="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（7.3</w:t>
      </w:r>
      <w:r>
        <w:rPr>
          <w:rFonts w:ascii="宋体" w:hAnsi="宋体" w:cs="宋体"/>
          <w:color w:val="000000" w:themeColor="text1"/>
          <w:kern w:val="0"/>
          <w:szCs w:val="21"/>
          <w14:textFill>
            <w14:solidFill>
              <w14:schemeClr w14:val="tx1"/>
            </w14:solidFill>
          </w14:textFill>
        </w:rPr>
        <w:t>.9-4</w:t>
      </w:r>
      <w:r>
        <w:rPr>
          <w:rFonts w:hint="eastAsia" w:ascii="宋体" w:hAnsi="宋体" w:cs="宋体"/>
          <w:color w:val="000000" w:themeColor="text1"/>
          <w:kern w:val="0"/>
          <w:szCs w:val="21"/>
          <w14:textFill>
            <w14:solidFill>
              <w14:schemeClr w14:val="tx1"/>
            </w14:solidFill>
          </w14:textFill>
        </w:rPr>
        <w:t>）</w:t>
      </w:r>
    </w:p>
    <w:p>
      <w:pPr>
        <w:autoSpaceDE w:val="0"/>
        <w:autoSpaceDN w:val="0"/>
        <w:spacing w:line="360" w:lineRule="auto"/>
        <w:ind w:left="1260" w:hanging="1260" w:hangingChars="6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式中：</w:t>
      </w:r>
      <w:r>
        <w:rPr>
          <w:rFonts w:hint="eastAsia" w:cs="HiddenHorzOCR" w:asciiTheme="minorEastAsia" w:hAnsiTheme="minorEastAsia"/>
          <w:color w:val="000000" w:themeColor="text1"/>
          <w:kern w:val="0"/>
          <w:szCs w:val="21"/>
          <w14:textFill>
            <w14:solidFill>
              <w14:schemeClr w14:val="tx1"/>
            </w14:solidFill>
          </w14:textFill>
        </w:rPr>
        <w:t>ζ</w:t>
      </w:r>
      <w:r>
        <w:rPr>
          <w:rFonts w:hint="eastAsia" w:cs="HiddenHorzOCR" w:asciiTheme="minorEastAsia" w:hAnsiTheme="minorEastAsia"/>
          <w:color w:val="000000" w:themeColor="text1"/>
          <w:kern w:val="0"/>
          <w:szCs w:val="21"/>
          <w:vertAlign w:val="subscript"/>
          <w14:textFill>
            <w14:solidFill>
              <w14:schemeClr w14:val="tx1"/>
            </w14:solidFill>
          </w14:textFill>
        </w:rPr>
        <w:t>r</w:t>
      </w:r>
      <w:r>
        <w:rPr>
          <w:rFonts w:hint="eastAsia" w:cs="HiddenHorzOCR" w:asciiTheme="minorEastAsia" w:hAnsiTheme="minorEastAsia"/>
          <w:color w:val="000000" w:themeColor="text1"/>
          <w:kern w:val="0"/>
          <w:szCs w:val="21"/>
          <w14:textFill>
            <w14:solidFill>
              <w14:schemeClr w14:val="tx1"/>
            </w14:solidFill>
          </w14:textFill>
        </w:rPr>
        <w:t>——验算方向锚筋排数的影响系数，等间距配置，二、三和四排时可分别采用1</w:t>
      </w:r>
      <w:r>
        <w:rPr>
          <w:rFonts w:cs="HiddenHorzOCR" w:asciiTheme="minorEastAsia" w:hAnsiTheme="minorEastAsia"/>
          <w:color w:val="000000" w:themeColor="text1"/>
          <w:kern w:val="0"/>
          <w:szCs w:val="21"/>
          <w14:textFill>
            <w14:solidFill>
              <w14:schemeClr w14:val="tx1"/>
            </w14:solidFill>
          </w14:textFill>
        </w:rPr>
        <w:t>.0</w:t>
      </w: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.9</w:t>
      </w:r>
      <w:r>
        <w:rPr>
          <w:rFonts w:hint="eastAsia" w:cs="HiddenHorzOCR" w:asciiTheme="minorEastAsia" w:hAnsiTheme="minorEastAsia"/>
          <w:color w:val="000000" w:themeColor="text1"/>
          <w:kern w:val="0"/>
          <w:szCs w:val="21"/>
          <w14:textFill>
            <w14:solidFill>
              <w14:schemeClr w14:val="tx1"/>
            </w14:solidFill>
          </w14:textFill>
        </w:rPr>
        <w:t>和0</w:t>
      </w:r>
      <w:r>
        <w:rPr>
          <w:rFonts w:cs="HiddenHorzOCR" w:asciiTheme="minorEastAsia" w:hAnsiTheme="minorEastAsia"/>
          <w:color w:val="000000" w:themeColor="text1"/>
          <w:kern w:val="0"/>
          <w:szCs w:val="21"/>
          <w14:textFill>
            <w14:solidFill>
              <w14:schemeClr w14:val="tx1"/>
            </w14:solidFill>
          </w14:textFill>
        </w:rPr>
        <w:t>.85</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bookmarkStart w:id="131" w:name="_Hlk23864368"/>
      <w:r>
        <w:rPr>
          <w:rFonts w:hint="eastAsia" w:cs="HiddenHorzOCR" w:asciiTheme="minorEastAsia" w:hAnsiTheme="minorEastAsia"/>
          <w:color w:val="000000" w:themeColor="text1"/>
          <w:kern w:val="0"/>
          <w:szCs w:val="21"/>
          <w14:textFill>
            <w14:solidFill>
              <w14:schemeClr w14:val="tx1"/>
            </w14:solidFill>
          </w14:textFill>
        </w:rPr>
        <w:t>ζ</w:t>
      </w:r>
      <w:bookmarkEnd w:id="131"/>
      <w:r>
        <w:rPr>
          <w:rFonts w:cs="HiddenHorzOCR" w:asciiTheme="minorEastAsia" w:hAnsiTheme="minorEastAsia"/>
          <w:color w:val="000000" w:themeColor="text1"/>
          <w:kern w:val="0"/>
          <w:szCs w:val="21"/>
          <w:vertAlign w:val="subscript"/>
          <w14:textFill>
            <w14:solidFill>
              <w14:schemeClr w14:val="tx1"/>
            </w14:solidFill>
          </w14:textFill>
        </w:rPr>
        <w:t>v</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锚筋受剪承载力系数；</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ζ</w:t>
      </w:r>
      <w:r>
        <w:rPr>
          <w:rFonts w:hint="eastAsia" w:cs="HiddenHorzOCR" w:asciiTheme="minorEastAsia" w:hAnsiTheme="minorEastAsia"/>
          <w:color w:val="000000" w:themeColor="text1"/>
          <w:kern w:val="0"/>
          <w:szCs w:val="21"/>
          <w:vertAlign w:val="subscript"/>
          <w14:textFill>
            <w14:solidFill>
              <w14:schemeClr w14:val="tx1"/>
            </w14:solidFill>
          </w14:textFill>
        </w:rPr>
        <w:t>b</w:t>
      </w:r>
      <w:r>
        <w:rPr>
          <w:rFonts w:hint="eastAsia" w:cs="HiddenHorzOCR" w:asciiTheme="minorEastAsia" w:hAnsiTheme="minorEastAsia"/>
          <w:color w:val="000000" w:themeColor="text1"/>
          <w:kern w:val="0"/>
          <w:szCs w:val="21"/>
          <w14:textFill>
            <w14:solidFill>
              <w14:schemeClr w14:val="tx1"/>
            </w14:solidFill>
          </w14:textFill>
        </w:rPr>
        <w:t>——预埋板弯曲变形的影响系数；</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z</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外排锚筋中心线之间的距离；</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d</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锚筋直径，mm；</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t</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预埋板厚度，mm。</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当采取措施防止预埋板弯曲变形，以及ζ</w:t>
      </w:r>
      <w:r>
        <w:rPr>
          <w:rFonts w:hint="eastAsia" w:cs="HiddenHorzOCR" w:asciiTheme="minorEastAsia" w:hAnsiTheme="minorEastAsia"/>
          <w:color w:val="000000" w:themeColor="text1"/>
          <w:kern w:val="0"/>
          <w:szCs w:val="21"/>
          <w:vertAlign w:val="subscript"/>
          <w14:textFill>
            <w14:solidFill>
              <w14:schemeClr w14:val="tx1"/>
            </w14:solidFill>
          </w14:textFill>
        </w:rPr>
        <w:t>b</w:t>
      </w:r>
      <w:r>
        <w:rPr>
          <w:rFonts w:hint="eastAsia" w:cs="HiddenHorzOCR" w:asciiTheme="minorEastAsia" w:hAnsiTheme="minorEastAsia"/>
          <w:color w:val="000000" w:themeColor="text1"/>
          <w:kern w:val="0"/>
          <w:szCs w:val="21"/>
          <w14:textFill>
            <w14:solidFill>
              <w14:schemeClr w14:val="tx1"/>
            </w14:solidFill>
          </w14:textFill>
        </w:rPr>
        <w:t>＞1时，取ζ</w:t>
      </w:r>
      <w:r>
        <w:rPr>
          <w:rFonts w:hint="eastAsia" w:cs="HiddenHorzOCR" w:asciiTheme="minorEastAsia" w:hAnsiTheme="minorEastAsia"/>
          <w:color w:val="000000" w:themeColor="text1"/>
          <w:kern w:val="0"/>
          <w:szCs w:val="21"/>
          <w:vertAlign w:val="subscript"/>
          <w14:textFill>
            <w14:solidFill>
              <w14:schemeClr w14:val="tx1"/>
            </w14:solidFill>
          </w14:textFill>
        </w:rPr>
        <w:t>b</w:t>
      </w:r>
      <w:r>
        <w:rPr>
          <w:rFonts w:cs="HiddenHorzOCR" w:asciiTheme="minorEastAsia" w:hAnsiTheme="minorEastAsia"/>
          <w:color w:val="000000" w:themeColor="text1"/>
          <w:kern w:val="0"/>
          <w:szCs w:val="21"/>
          <w14:textFill>
            <w14:solidFill>
              <w14:schemeClr w14:val="tx1"/>
            </w14:solidFill>
          </w14:textFill>
        </w:rPr>
        <w:t>=1.0</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1155" w:leftChars="400" w:hanging="315" w:hangingChars="15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2）当受剪力、法向压力和弯矩共同作用时，其锚筋的总截面面积A，应按下列公式分别计算，并取用其较大值：</w:t>
      </w:r>
    </w:p>
    <w:p>
      <w:pPr>
        <w:autoSpaceDE w:val="0"/>
        <w:autoSpaceDN w:val="0"/>
        <w:spacing w:line="360" w:lineRule="auto"/>
        <w:ind w:firstLine="420"/>
        <w:jc w:val="left"/>
        <w:rPr>
          <w:rFonts w:ascii="宋体" w:hAnsi="宋体" w:cs="宋体"/>
          <w:color w:val="000000" w:themeColor="text1"/>
          <w:kern w:val="0"/>
          <w:szCs w:val="21"/>
          <w14:textFill>
            <w14:solidFill>
              <w14:schemeClr w14:val="tx1"/>
            </w14:solidFill>
          </w14:textFill>
        </w:rPr>
      </w:pPr>
      <m:oMathPara>
        <m:oMath>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s</m:t>
              </m:r>
              <m:ctrlPr>
                <w:rPr>
                  <w:rFonts w:ascii="Cambria Math" w:hAnsi="Cambria Math" w:eastAsia="Cambria Math" w:cs="Cambria Math"/>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d>
            <m:dPr>
              <m:ctrlPr>
                <w:rPr>
                  <w:rFonts w:ascii="Cambria Math" w:hAnsi="Cambria Math" w:eastAsia="Cambria Math" w:cs="HiddenHorzOCR"/>
                  <w:color w:val="000000" w:themeColor="text1"/>
                  <w:kern w:val="0"/>
                  <w:szCs w:val="21"/>
                  <w14:textFill>
                    <w14:solidFill>
                      <w14:schemeClr w14:val="tx1"/>
                    </w14:solidFill>
                  </w14:textFill>
                </w:rPr>
              </m:ctrlPr>
            </m:dPr>
            <m:e>
              <m:f>
                <m:fPr>
                  <m:ctrlPr>
                    <w:rPr>
                      <w:rFonts w:ascii="Cambria Math" w:hAnsi="Cambria Math" w:eastAsia="Cambria Math" w:cs="HiddenHorzOCR"/>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V-0.3N</m:t>
                  </m:r>
                  <m:ctrlPr>
                    <w:rPr>
                      <w:rFonts w:ascii="Cambria Math" w:hAnsi="Cambria Math" w:eastAsia="Cambria Math" w:cs="HiddenHorzOCR"/>
                      <w:color w:val="000000" w:themeColor="text1"/>
                      <w:kern w:val="0"/>
                      <w:szCs w:val="21"/>
                      <w14:textFill>
                        <w14:solidFill>
                          <w14:schemeClr w14:val="tx1"/>
                        </w14:solidFill>
                      </w14:textFill>
                    </w:rPr>
                  </m:ctrlPr>
                </m:num>
                <m:den>
                  <m:r>
                    <m:rPr>
                      <m:sty m:val="p"/>
                    </m:rPr>
                    <w:rPr>
                      <w:rFonts w:ascii="Cambria Math" w:hAnsi="Cambria Math" w:cs="Cambria Math"/>
                      <w:color w:val="000000" w:themeColor="text1"/>
                      <w:kern w:val="0"/>
                      <w:szCs w:val="21"/>
                      <w14:textFill>
                        <w14:solidFill>
                          <w14:schemeClr w14:val="tx1"/>
                        </w14:solidFill>
                      </w14:textFill>
                    </w:rPr>
                    <m:t>0.8</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r</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v</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den>
              </m:f>
              <m:r>
                <m:rPr>
                  <m:sty m:val="p"/>
                </m:rPr>
                <w:rPr>
                  <w:rFonts w:ascii="Cambria Math" w:hAnsi="Cambria Math" w:eastAsia="Cambria Math" w:cs="HiddenHorzOCR"/>
                  <w:color w:val="000000" w:themeColor="text1"/>
                  <w:kern w:val="0"/>
                  <w:szCs w:val="21"/>
                  <w14:textFill>
                    <w14:solidFill>
                      <w14:schemeClr w14:val="tx1"/>
                    </w14:solidFill>
                  </w14:textFill>
                </w:rPr>
                <m:t>+</m:t>
              </m:r>
              <m:f>
                <m:fPr>
                  <m:ctrlPr>
                    <w:rPr>
                      <w:rFonts w:ascii="Cambria Math" w:hAnsi="Cambria Math" w:cs="HiddenHorzOCR"/>
                      <w:color w:val="000000" w:themeColor="text1"/>
                      <w:kern w:val="0"/>
                      <w:szCs w:val="21"/>
                      <w14:textFill>
                        <w14:solidFill>
                          <w14:schemeClr w14:val="tx1"/>
                        </w14:solidFill>
                      </w14:textFill>
                    </w:rPr>
                  </m:ctrlPr>
                </m:fPr>
                <m:num>
                  <m:r>
                    <m:rPr>
                      <m:sty m:val="p"/>
                    </m:rPr>
                    <w:rPr>
                      <w:rFonts w:ascii="Cambria Math" w:hAnsi="Cambria Math" w:cs="HiddenHorzOCR"/>
                      <w:color w:val="000000" w:themeColor="text1"/>
                      <w:kern w:val="0"/>
                      <w:szCs w:val="21"/>
                      <w14:textFill>
                        <w14:solidFill>
                          <w14:schemeClr w14:val="tx1"/>
                        </w14:solidFill>
                      </w14:textFill>
                    </w:rPr>
                    <m:t>M-0.4</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ascii="Cambria Math" w:hAnsi="Cambria Math" w:cs="HiddenHorzOCR"/>
                          <w:color w:val="000000" w:themeColor="text1"/>
                          <w:kern w:val="0"/>
                          <w:szCs w:val="21"/>
                          <w14:textFill>
                            <w14:solidFill>
                              <w14:schemeClr w14:val="tx1"/>
                            </w14:solidFill>
                          </w14:textFill>
                        </w:rPr>
                        <m:t>N</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cs="HiddenHorzOCR"/>
                      <w:color w:val="000000" w:themeColor="text1"/>
                      <w:kern w:val="0"/>
                      <w:szCs w:val="21"/>
                      <w14:textFill>
                        <w14:solidFill>
                          <w14:schemeClr w14:val="tx1"/>
                        </w14:solidFill>
                      </w14:textFill>
                    </w:rPr>
                  </m:ctrlPr>
                </m:num>
                <m:den>
                  <m:r>
                    <m:rPr>
                      <m:sty m:val="p"/>
                    </m:rPr>
                    <w:rPr>
                      <w:rFonts w:ascii="Cambria Math" w:hAnsi="Cambria Math" w:cs="HiddenHorzOCR"/>
                      <w:color w:val="000000" w:themeColor="text1"/>
                      <w:kern w:val="0"/>
                      <w:szCs w:val="21"/>
                      <w14:textFill>
                        <w14:solidFill>
                          <w14:schemeClr w14:val="tx1"/>
                        </w14:solidFill>
                      </w14:textFill>
                    </w:rPr>
                    <m:t>1.04</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r</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b</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cs="HiddenHorzOCR"/>
                      <w:color w:val="000000" w:themeColor="text1"/>
                      <w:kern w:val="0"/>
                      <w:szCs w:val="21"/>
                      <w14:textFill>
                        <w14:solidFill>
                          <w14:schemeClr w14:val="tx1"/>
                        </w14:solidFill>
                      </w14:textFill>
                    </w:rPr>
                  </m:ctrlPr>
                </m:den>
              </m:f>
              <m:ctrlPr>
                <w:rPr>
                  <w:rFonts w:ascii="Cambria Math" w:hAnsi="Cambria Math" w:eastAsia="Cambria Math" w:cs="HiddenHorzOCR"/>
                  <w:color w:val="000000" w:themeColor="text1"/>
                  <w:kern w:val="0"/>
                  <w:szCs w:val="21"/>
                  <w14:textFill>
                    <w14:solidFill>
                      <w14:schemeClr w14:val="tx1"/>
                    </w14:solidFill>
                  </w14:textFill>
                </w:rPr>
              </m:ctrlPr>
            </m:e>
          </m:d>
          <m:r>
            <m:rPr>
              <m:sty m:val="p"/>
            </m:rPr>
            <w:rPr>
              <w:rFonts w:ascii="Cambria Math" w:hAnsi="Cambria Math" w:cs="宋体"/>
              <w:color w:val="000000" w:themeColor="text1"/>
              <w:kern w:val="0"/>
              <w:szCs w:val="21"/>
              <w14:textFill>
                <w14:solidFill>
                  <w14:schemeClr w14:val="tx1"/>
                </w14:solidFill>
              </w14:textFill>
            </w:rPr>
            <m:t xml:space="preserve">                          </m:t>
          </m:r>
          <m:r>
            <m:rPr>
              <m:sty m:val="p"/>
            </m:rPr>
            <w:rPr>
              <w:rFonts w:hint="eastAsia" w:ascii="Cambria Math" w:hAnsi="Cambria Math" w:cs="宋体"/>
              <w:color w:val="000000" w:themeColor="text1"/>
              <w:kern w:val="0"/>
              <w:szCs w:val="21"/>
              <w14:textFill>
                <w14:solidFill>
                  <w14:schemeClr w14:val="tx1"/>
                </w14:solidFill>
              </w14:textFill>
            </w:rPr>
            <m:t>（</m:t>
          </m:r>
          <m:r>
            <m:rPr>
              <m:sty m:val="p"/>
            </m:rPr>
            <w:rPr>
              <w:rFonts w:hint="eastAsia" w:ascii="Cambria Math" w:hAnsi="宋体" w:cs="宋体"/>
              <w:color w:val="000000" w:themeColor="text1"/>
              <w:kern w:val="0"/>
              <w:szCs w:val="21"/>
              <w14:textFill>
                <w14:solidFill>
                  <w14:schemeClr w14:val="tx1"/>
                </w14:solidFill>
              </w14:textFill>
            </w:rPr>
            <m:t>7.3</m:t>
          </m:r>
          <m:r>
            <m:rPr>
              <m:sty m:val="p"/>
            </m:rPr>
            <w:rPr>
              <w:rFonts w:ascii="Cambria Math" w:hAnsi="宋体" w:cs="宋体"/>
              <w:color w:val="000000" w:themeColor="text1"/>
              <w:kern w:val="0"/>
              <w:szCs w:val="21"/>
              <w14:textFill>
                <w14:solidFill>
                  <w14:schemeClr w14:val="tx1"/>
                </w14:solidFill>
              </w14:textFill>
            </w:rPr>
            <m:t>.9</m:t>
          </m:r>
          <m:r>
            <m:rPr>
              <m:sty m:val="p"/>
            </m:rPr>
            <w:rPr>
              <w:rFonts w:hint="eastAsia" w:ascii="Cambria Math" w:hAnsi="Cambria Math" w:eastAsia="微软雅黑" w:cs="微软雅黑"/>
              <w:color w:val="000000" w:themeColor="text1"/>
              <w:kern w:val="0"/>
              <w:szCs w:val="21"/>
              <w14:textFill>
                <w14:solidFill>
                  <w14:schemeClr w14:val="tx1"/>
                </w14:solidFill>
              </w14:textFill>
            </w:rPr>
            <m:t>-</m:t>
          </m:r>
          <m:r>
            <m:rPr>
              <m:sty m:val="p"/>
            </m:rPr>
            <w:rPr>
              <w:rFonts w:ascii="Cambria Math" w:hAnsi="宋体" w:cs="宋体"/>
              <w:color w:val="000000" w:themeColor="text1"/>
              <w:kern w:val="0"/>
              <w:szCs w:val="21"/>
              <w14:textFill>
                <w14:solidFill>
                  <w14:schemeClr w14:val="tx1"/>
                </w14:solidFill>
              </w14:textFill>
            </w:rPr>
            <m:t>5</m:t>
          </m:r>
          <m:r>
            <m:rPr>
              <m:sty m:val="p"/>
            </m:rPr>
            <w:rPr>
              <w:rFonts w:hint="eastAsia" w:ascii="Cambria Math" w:hAnsi="Cambria Math" w:cs="宋体"/>
              <w:color w:val="000000" w:themeColor="text1"/>
              <w:kern w:val="0"/>
              <w:szCs w:val="21"/>
              <w14:textFill>
                <w14:solidFill>
                  <w14:schemeClr w14:val="tx1"/>
                </w14:solidFill>
              </w14:textFill>
            </w:rPr>
            <m:t>）</m:t>
          </m:r>
        </m:oMath>
      </m:oMathPara>
    </w:p>
    <w:p>
      <w:pPr>
        <w:autoSpaceDE w:val="0"/>
        <w:autoSpaceDN w:val="0"/>
        <w:spacing w:line="360" w:lineRule="auto"/>
        <w:ind w:firstLine="420"/>
        <w:jc w:val="left"/>
        <w:rPr>
          <w:rFonts w:ascii="宋体" w:hAnsi="宋体" w:cs="宋体"/>
          <w:color w:val="000000" w:themeColor="text1"/>
          <w:kern w:val="0"/>
          <w:szCs w:val="21"/>
          <w14:textFill>
            <w14:solidFill>
              <w14:schemeClr w14:val="tx1"/>
            </w14:solidFill>
          </w14:textFill>
        </w:rPr>
      </w:pPr>
      <m:oMathPara>
        <m:oMath>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S</m:t>
              </m:r>
              <m:ctrlPr>
                <w:rPr>
                  <w:rFonts w:ascii="Cambria Math" w:hAnsi="Cambria Math" w:eastAsia="Cambria Math" w:cs="Cambria Math"/>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f>
            <m:fPr>
              <m:ctrlPr>
                <w:rPr>
                  <w:rFonts w:ascii="Cambria Math" w:hAnsi="Cambria Math" w:eastAsia="Cambria Math" w:cs="宋体"/>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M-0.4</m:t>
              </m:r>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N</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Z</m:t>
                  </m:r>
                  <m:ctrlPr>
                    <w:rPr>
                      <w:rFonts w:ascii="Cambria Math" w:hAnsi="Cambria Math" w:eastAsia="Cambria Math" w:cs="Cambria Math"/>
                      <w:color w:val="000000" w:themeColor="text1"/>
                      <w:kern w:val="0"/>
                      <w:szCs w:val="21"/>
                      <w14:textFill>
                        <w14:solidFill>
                          <w14:schemeClr w14:val="tx1"/>
                        </w14:solidFill>
                      </w14:textFill>
                    </w:rPr>
                  </m:ctrlPr>
                </m:sub>
              </m:sSub>
              <m:ctrlPr>
                <w:rPr>
                  <w:rFonts w:ascii="Cambria Math" w:hAnsi="Cambria Math" w:eastAsia="Cambria Math" w:cs="宋体"/>
                  <w:color w:val="000000" w:themeColor="text1"/>
                  <w:kern w:val="0"/>
                  <w:szCs w:val="21"/>
                  <w14:textFill>
                    <w14:solidFill>
                      <w14:schemeClr w14:val="tx1"/>
                    </w14:solidFill>
                  </w14:textFill>
                </w:rPr>
              </m:ctrlPr>
            </m:num>
            <m:den>
              <m:r>
                <m:rPr>
                  <m:sty m:val="p"/>
                </m:rPr>
                <w:rPr>
                  <w:rFonts w:ascii="Cambria Math" w:hAnsi="Cambria Math" w:cs="HiddenHorzOCR"/>
                  <w:color w:val="000000" w:themeColor="text1"/>
                  <w:kern w:val="0"/>
                  <w:szCs w:val="21"/>
                  <w14:textFill>
                    <w14:solidFill>
                      <w14:schemeClr w14:val="tx1"/>
                    </w14:solidFill>
                  </w14:textFill>
                </w:rPr>
                <m:t>0.32</m:t>
              </m:r>
              <m:sSub>
                <m:sSubPr>
                  <m:ctrlPr>
                    <w:rPr>
                      <w:rFonts w:ascii="Cambria Math" w:hAnsi="Cambria Math" w:cs="Cambria Math"/>
                      <w:color w:val="000000" w:themeColor="text1"/>
                      <w:kern w:val="0"/>
                      <w:szCs w:val="21"/>
                      <w14:textFill>
                        <w14:solidFill>
                          <w14:schemeClr w14:val="tx1"/>
                        </w14:solidFill>
                      </w14:textFill>
                    </w:rPr>
                  </m:ctrlPr>
                </m:sSubPr>
                <m:e>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r</m:t>
                      </m:r>
                      <m:ctrlPr>
                        <w:rPr>
                          <w:rFonts w:ascii="Cambria Math" w:hAnsi="Cambria Math" w:cs="Cambria Math"/>
                          <w:color w:val="000000" w:themeColor="text1"/>
                          <w:kern w:val="0"/>
                          <w:szCs w:val="21"/>
                          <w14:textFill>
                            <w14:solidFill>
                              <w14:schemeClr w14:val="tx1"/>
                            </w14:solidFill>
                          </w14:textFill>
                        </w:rPr>
                      </m:ctrlPr>
                    </m:sub>
                  </m:sSub>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b</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r>
                <m:rPr>
                  <m:sty m:val="p"/>
                </m:rPr>
                <w:rPr>
                  <w:rFonts w:ascii="Cambria Math" w:hAnsi="Cambria Math" w:cs="HiddenHorzOCR"/>
                  <w:color w:val="000000" w:themeColor="text1"/>
                  <w:kern w:val="0"/>
                  <w:szCs w:val="21"/>
                  <w14:textFill>
                    <w14:solidFill>
                      <w14:schemeClr w14:val="tx1"/>
                    </w14:solidFill>
                  </w14:textFill>
                </w:rPr>
                <m:t>z</m:t>
              </m:r>
              <m:ctrlPr>
                <w:rPr>
                  <w:rFonts w:ascii="Cambria Math" w:hAnsi="Cambria Math" w:eastAsia="Cambria Math" w:cs="宋体"/>
                  <w:color w:val="000000" w:themeColor="text1"/>
                  <w:kern w:val="0"/>
                  <w:szCs w:val="21"/>
                  <w14:textFill>
                    <w14:solidFill>
                      <w14:schemeClr w14:val="tx1"/>
                    </w14:solidFill>
                  </w14:textFill>
                </w:rPr>
              </m:ctrlPr>
            </m:den>
          </m:f>
          <m:r>
            <m:rPr>
              <m:sty m:val="p"/>
            </m:rPr>
            <w:rPr>
              <w:rFonts w:ascii="Cambria Math" w:hAnsi="Cambria Math" w:cs="宋体"/>
              <w:color w:val="000000" w:themeColor="text1"/>
              <w:kern w:val="0"/>
              <w:szCs w:val="21"/>
              <w14:textFill>
                <w14:solidFill>
                  <w14:schemeClr w14:val="tx1"/>
                </w14:solidFill>
              </w14:textFill>
            </w:rPr>
            <m:t xml:space="preserve">                                                             </m:t>
          </m:r>
          <m:r>
            <m:rPr>
              <m:sty m:val="p"/>
            </m:rPr>
            <w:rPr>
              <w:rFonts w:hint="eastAsia" w:ascii="Cambria Math" w:hAnsi="Cambria Math" w:cs="宋体"/>
              <w:color w:val="000000" w:themeColor="text1"/>
              <w:kern w:val="0"/>
              <w:szCs w:val="21"/>
              <w14:textFill>
                <w14:solidFill>
                  <w14:schemeClr w14:val="tx1"/>
                </w14:solidFill>
              </w14:textFill>
            </w:rPr>
            <m:t>（7.3</m:t>
          </m:r>
          <m:r>
            <m:rPr>
              <m:sty m:val="p"/>
            </m:rPr>
            <w:rPr>
              <w:rFonts w:ascii="Cambria Math" w:hAnsi="Cambria Math" w:cs="宋体"/>
              <w:color w:val="000000" w:themeColor="text1"/>
              <w:kern w:val="0"/>
              <w:szCs w:val="21"/>
              <w14:textFill>
                <w14:solidFill>
                  <w14:schemeClr w14:val="tx1"/>
                </w14:solidFill>
              </w14:textFill>
            </w:rPr>
            <m:t>.9-6</m:t>
          </m:r>
          <m:r>
            <m:rPr>
              <m:sty m:val="p"/>
            </m:rPr>
            <w:rPr>
              <w:rFonts w:hint="eastAsia" w:ascii="Cambria Math" w:hAnsi="Cambria Math" w:cs="宋体"/>
              <w:color w:val="000000" w:themeColor="text1"/>
              <w:kern w:val="0"/>
              <w:szCs w:val="21"/>
              <w14:textFill>
                <w14:solidFill>
                  <w14:schemeClr w14:val="tx1"/>
                </w14:solidFill>
              </w14:textFill>
            </w:rPr>
            <m:t>）</m:t>
          </m:r>
        </m:oMath>
      </m:oMathPara>
    </w:p>
    <w:p>
      <w:pPr>
        <w:autoSpaceDE w:val="0"/>
        <w:autoSpaceDN w:val="0"/>
        <w:spacing w:line="360" w:lineRule="auto"/>
        <w:ind w:left="1050" w:hanging="1050" w:hangingChars="5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式中：</w:t>
      </w:r>
      <w:r>
        <w:rPr>
          <w:rFonts w:ascii="宋体" w:hAnsi="宋体" w:cs="宋体"/>
          <w:color w:val="000000" w:themeColor="text1"/>
          <w:kern w:val="0"/>
          <w:szCs w:val="21"/>
          <w14:textFill>
            <w14:solidFill>
              <w14:schemeClr w14:val="tx1"/>
            </w14:solidFill>
          </w14:textFill>
        </w:rPr>
        <w:t>N——</w:t>
      </w:r>
      <w:r>
        <w:rPr>
          <w:rFonts w:hint="eastAsia" w:ascii="宋体" w:hAnsi="宋体" w:cs="宋体"/>
          <w:color w:val="000000" w:themeColor="text1"/>
          <w:kern w:val="0"/>
          <w:szCs w:val="21"/>
          <w14:textFill>
            <w14:solidFill>
              <w14:schemeClr w14:val="tx1"/>
            </w14:solidFill>
          </w14:textFill>
        </w:rPr>
        <w:t>法向压力设计值，取正值；当N＞0</w:t>
      </w:r>
      <w:r>
        <w:rPr>
          <w:rFonts w:ascii="宋体" w:hAnsi="宋体" w:cs="宋体"/>
          <w:color w:val="000000" w:themeColor="text1"/>
          <w:kern w:val="0"/>
          <w:szCs w:val="21"/>
          <w14:textFill>
            <w14:solidFill>
              <w14:schemeClr w14:val="tx1"/>
            </w14:solidFill>
          </w14:textFill>
        </w:rPr>
        <w:t>.5</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A</m:t>
        </m:r>
      </m:oMath>
      <w:r>
        <w:rPr>
          <w:rFonts w:hint="eastAsia" w:ascii="宋体" w:hAnsi="宋体" w:cs="宋体"/>
          <w:color w:val="000000" w:themeColor="text1"/>
          <w:kern w:val="0"/>
          <w:szCs w:val="21"/>
          <w14:textFill>
            <w14:solidFill>
              <w14:schemeClr w14:val="tx1"/>
            </w14:solidFill>
          </w14:textFill>
        </w:rPr>
        <w:t>时，取N</w:t>
      </w:r>
      <w:r>
        <w:rPr>
          <w:rFonts w:ascii="宋体" w:hAnsi="宋体" w:cs="宋体"/>
          <w:color w:val="000000" w:themeColor="text1"/>
          <w:kern w:val="0"/>
          <w:szCs w:val="21"/>
          <w14:textFill>
            <w14:solidFill>
              <w14:schemeClr w14:val="tx1"/>
            </w14:solidFill>
          </w14:textFill>
        </w:rPr>
        <w:t>=0.5</w:t>
      </w:r>
      <m:oMath>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A</m:t>
        </m:r>
      </m:oMath>
      <w:r>
        <w:rPr>
          <w:rFonts w:hint="eastAsia" w:ascii="宋体" w:hAnsi="宋体" w:cs="宋体"/>
          <w:color w:val="000000" w:themeColor="text1"/>
          <w:kern w:val="0"/>
          <w:szCs w:val="21"/>
          <w14:textFill>
            <w14:solidFill>
              <w14:schemeClr w14:val="tx1"/>
            </w14:solidFill>
          </w14:textFill>
        </w:rPr>
        <w:t>，此处A为锚板的面积。</w:t>
      </w:r>
    </w:p>
    <w:p>
      <w:pPr>
        <w:autoSpaceDE w:val="0"/>
        <w:autoSpaceDN w:val="0"/>
        <w:spacing w:line="360" w:lineRule="auto"/>
        <w:ind w:firstLine="42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以上两式，各项分子小于零时，均应取等于零。</w:t>
      </w:r>
    </w:p>
    <w:p>
      <w:pPr>
        <w:autoSpaceDE w:val="0"/>
        <w:autoSpaceDN w:val="0"/>
        <w:spacing w:line="360" w:lineRule="auto"/>
        <w:ind w:firstLine="420"/>
        <w:jc w:val="left"/>
        <w:rPr>
          <w:color w:val="000000" w:themeColor="text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MS Mincho" w:asciiTheme="minorEastAsia" w:hAnsiTheme="minorEastAsia"/>
          <w:color w:val="000000" w:themeColor="text1"/>
          <w:kern w:val="0"/>
          <w:szCs w:val="21"/>
          <w14:textFill>
            <w14:solidFill>
              <w14:schemeClr w14:val="tx1"/>
            </w14:solidFill>
          </w14:textFill>
        </w:rPr>
        <w:t>由</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埋板和</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称配置的直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筋及弯折</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成的受</w:t>
      </w:r>
      <w:r>
        <w:rPr>
          <w:rFonts w:hint="eastAsia" w:cs="HiddenHorzOCR"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7.3.9</w:t>
      </w:r>
      <w:r>
        <w:rPr>
          <w:rFonts w:hint="eastAsia" w:cs="HiddenHorzOCR" w:asciiTheme="minorEastAsia" w:hAnsiTheme="minorEastAsia"/>
          <w:color w:val="000000" w:themeColor="text1"/>
          <w:kern w:val="0"/>
          <w:szCs w:val="21"/>
          <w14:textFill>
            <w14:solidFill>
              <w14:schemeClr w14:val="tx1"/>
            </w14:solidFill>
          </w14:textFill>
        </w:rPr>
        <w:t>-2），承受剪力V</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，其抗震</w:t>
      </w:r>
      <w:r>
        <w:rPr>
          <w:rFonts w:hint="eastAsia" w:cs="宋体" w:asciiTheme="minorEastAsia" w:hAnsiTheme="minorEastAsia"/>
          <w:color w:val="000000" w:themeColor="text1"/>
          <w:kern w:val="0"/>
          <w:szCs w:val="21"/>
          <w14:textFill>
            <w14:solidFill>
              <w14:schemeClr w14:val="tx1"/>
            </w14:solidFill>
          </w14:textFill>
        </w:rPr>
        <w:t>设计应</w:t>
      </w:r>
      <w:r>
        <w:rPr>
          <w:rFonts w:hint="eastAsia" w:cs="MS Mincho" w:asciiTheme="minorEastAsia" w:hAnsiTheme="minorEastAsia"/>
          <w:color w:val="000000" w:themeColor="text1"/>
          <w:kern w:val="0"/>
          <w:szCs w:val="21"/>
          <w14:textFill>
            <w14:solidFill>
              <w14:schemeClr w14:val="tx1"/>
            </w14:solidFill>
          </w14:textFill>
        </w:rPr>
        <w:t>符合下列</w:t>
      </w:r>
      <w:r>
        <w:rPr>
          <w:rFonts w:hint="eastAsia" w:cs="HiddenHorzOCR" w:asciiTheme="minorEastAsia" w:hAnsiTheme="minorEastAsia"/>
          <w:color w:val="000000" w:themeColor="text1"/>
          <w:kern w:val="0"/>
          <w:szCs w:val="21"/>
          <w14:textFill>
            <w14:solidFill>
              <w14:schemeClr w14:val="tx1"/>
            </w14:solidFill>
          </w14:textFill>
        </w:rPr>
        <w:t>要求：</w:t>
      </w:r>
    </w:p>
    <w:p>
      <w:pPr>
        <w:autoSpaceDE w:val="0"/>
        <w:autoSpaceDN w:val="0"/>
        <w:spacing w:line="360" w:lineRule="auto"/>
        <w:ind w:firstLine="42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783715" cy="1209675"/>
            <wp:effectExtent l="0" t="0" r="6985" b="952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783715" cy="1209675"/>
                    </a:xfrm>
                    <a:prstGeom prst="rect">
                      <a:avLst/>
                    </a:prstGeom>
                    <a:noFill/>
                    <a:ln>
                      <a:noFill/>
                    </a:ln>
                  </pic:spPr>
                </pic:pic>
              </a:graphicData>
            </a:graphic>
          </wp:inline>
        </w:drawing>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 xml:space="preserve">7.3.9-2 </w:t>
      </w:r>
      <w:r>
        <w:rPr>
          <w:rFonts w:hint="eastAsia" w:cs="HiddenHorzOCR" w:asciiTheme="minorEastAsia" w:hAnsiTheme="minorEastAsia"/>
          <w:color w:val="000000" w:themeColor="text1"/>
          <w:kern w:val="0"/>
          <w:szCs w:val="21"/>
          <w14:textFill>
            <w14:solidFill>
              <w14:schemeClr w14:val="tx1"/>
            </w14:solidFill>
          </w14:textFill>
        </w:rPr>
        <w:t>由预埋板和弯折锚筋与直锚筋组成的预埋件</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构造配置</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，弯折</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筋的截面面</w:t>
      </w:r>
      <w:r>
        <w:rPr>
          <w:rFonts w:hint="eastAsia" w:cs="宋体" w:asciiTheme="minorEastAsia" w:hAnsiTheme="minorEastAsia"/>
          <w:color w:val="000000" w:themeColor="text1"/>
          <w:kern w:val="0"/>
          <w:szCs w:val="21"/>
          <w14:textFill>
            <w14:solidFill>
              <w14:schemeClr w14:val="tx1"/>
            </w14:solidFill>
          </w14:textFill>
        </w:rPr>
        <w:t>积</w:t>
      </w:r>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sb</m:t>
            </m:r>
            <m:ctrlPr>
              <w:rPr>
                <w:rFonts w:ascii="Cambria Math" w:hAnsi="Cambria Math" w:eastAsia="Cambria Math" w:cs="Cambria Math"/>
                <w:i/>
                <w:color w:val="000000" w:themeColor="text1"/>
                <w:kern w:val="0"/>
                <w:szCs w:val="21"/>
                <w14:textFill>
                  <w14:solidFill>
                    <w14:schemeClr w14:val="tx1"/>
                  </w14:solidFill>
                </w14:textFill>
              </w:rPr>
            </m:ctrlPr>
          </m:sub>
        </m:sSub>
      </m:oMath>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ascii="Cambria Math" w:hAnsi="Cambria Math" w:cs="宋体"/>
          <w:i/>
          <w:color w:val="000000" w:themeColor="text1"/>
          <w:kern w:val="0"/>
          <w:szCs w:val="21"/>
          <w14:textFill>
            <w14:solidFill>
              <w14:schemeClr w14:val="tx1"/>
            </w14:solidFill>
          </w14:textFill>
        </w:rPr>
      </w:pPr>
      <w:bookmarkStart w:id="132" w:name="_Hlk44761062"/>
      <m:oMathPara>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sb</m:t>
              </m:r>
              <w:bookmarkEnd w:id="132"/>
              <m:ctrlPr>
                <w:rPr>
                  <w:rFonts w:ascii="Cambria Math" w:hAnsi="Cambria Math" w:eastAsia="Cambria Math" w:cs="Cambria Math"/>
                  <w:i/>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d>
            <m:dPr>
              <m:ctrlPr>
                <w:rPr>
                  <w:rFonts w:ascii="Cambria Math" w:hAnsi="Cambria Math" w:eastAsia="Cambria Math" w:cs="HiddenHorzOCR"/>
                  <w:color w:val="000000" w:themeColor="text1"/>
                  <w:kern w:val="0"/>
                  <w:szCs w:val="21"/>
                  <w14:textFill>
                    <w14:solidFill>
                      <w14:schemeClr w14:val="tx1"/>
                    </w14:solidFill>
                  </w14:textFill>
                </w:rPr>
              </m:ctrlPr>
            </m:dPr>
            <m:e>
              <m:r>
                <w:rPr>
                  <w:rFonts w:ascii="Cambria Math" w:hAnsi="Cambria Math" w:eastAsia="Cambria Math" w:cs="HiddenHorzOCR"/>
                  <w:color w:val="000000" w:themeColor="text1"/>
                  <w:kern w:val="0"/>
                  <w:szCs w:val="21"/>
                  <w14:textFill>
                    <w14:solidFill>
                      <w14:schemeClr w14:val="tx1"/>
                    </w14:solidFill>
                  </w14:textFill>
                </w:rPr>
                <m:t>1.75</m:t>
              </m:r>
              <m:f>
                <m:fPr>
                  <m:ctrlPr>
                    <w:rPr>
                      <w:rFonts w:ascii="Cambria Math" w:hAnsi="Cambria Math" w:eastAsia="Cambria Math" w:cs="HiddenHorzOCR"/>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HiddenHorzOCR"/>
                      <w:color w:val="000000" w:themeColor="text1"/>
                      <w:kern w:val="0"/>
                      <w:szCs w:val="21"/>
                      <w14:textFill>
                        <w14:solidFill>
                          <w14:schemeClr w14:val="tx1"/>
                        </w14:solidFill>
                      </w14:textFill>
                    </w:rPr>
                  </m:ctrlPr>
                </m:num>
                <m:den>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den>
              </m:f>
              <m:ctrlPr>
                <w:rPr>
                  <w:rFonts w:ascii="Cambria Math" w:hAnsi="Cambria Math" w:eastAsia="Cambria Math" w:cs="HiddenHorzOCR"/>
                  <w:color w:val="000000" w:themeColor="text1"/>
                  <w:kern w:val="0"/>
                  <w:szCs w:val="21"/>
                  <w14:textFill>
                    <w14:solidFill>
                      <w14:schemeClr w14:val="tx1"/>
                    </w14:solidFill>
                  </w14:textFill>
                </w:rPr>
              </m:ctrlPr>
            </m:e>
          </m:d>
          <m:r>
            <w:rPr>
              <w:rFonts w:ascii="Cambria Math" w:hAnsi="宋体" w:cs="宋体"/>
              <w:color w:val="000000" w:themeColor="text1"/>
              <w:kern w:val="0"/>
              <w:szCs w:val="21"/>
              <w14:textFill>
                <w14:solidFill>
                  <w14:schemeClr w14:val="tx1"/>
                </w14:solidFill>
              </w14:textFill>
            </w:rPr>
            <m:t xml:space="preserve">                               (7.3.9-7</m:t>
          </m:r>
          <m:r>
            <w:rPr>
              <w:rFonts w:ascii="Cambria Math" w:hAnsi="Cambria Math" w:cs="宋体"/>
              <w:color w:val="000000" w:themeColor="text1"/>
              <w:kern w:val="0"/>
              <w:szCs w:val="21"/>
              <w14:textFill>
                <w14:solidFill>
                  <w14:schemeClr w14:val="tx1"/>
                </w14:solidFill>
              </w14:textFill>
            </w:rPr>
            <m:t>)</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2）当直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筋至构件</w:t>
      </w:r>
      <w:r>
        <w:rPr>
          <w:rFonts w:hint="eastAsia" w:cs="宋体" w:asciiTheme="minorEastAsia" w:hAnsiTheme="minorEastAsia"/>
          <w:color w:val="000000" w:themeColor="text1"/>
          <w:kern w:val="0"/>
          <w:szCs w:val="21"/>
          <w14:textFill>
            <w14:solidFill>
              <w14:schemeClr w14:val="tx1"/>
            </w14:solidFill>
          </w14:textFill>
        </w:rPr>
        <w:t>边缘</w:t>
      </w:r>
      <w:r>
        <w:rPr>
          <w:rFonts w:hint="eastAsia" w:cs="MS Mincho" w:asciiTheme="minorEastAsia" w:hAnsiTheme="minorEastAsia"/>
          <w:color w:val="000000" w:themeColor="text1"/>
          <w:kern w:val="0"/>
          <w:szCs w:val="21"/>
          <w14:textFill>
            <w14:solidFill>
              <w14:schemeClr w14:val="tx1"/>
            </w14:solidFill>
          </w14:textFill>
        </w:rPr>
        <w:t>的距离</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不小于6倍</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筋直径和</w:t>
      </w:r>
      <w:r>
        <w:rPr>
          <w:rFonts w:hint="eastAsia" w:cs="HiddenHorzOCR" w:asciiTheme="minorEastAsia" w:hAnsiTheme="minorEastAsia"/>
          <w:color w:val="000000" w:themeColor="text1"/>
          <w:kern w:val="0"/>
          <w:szCs w:val="21"/>
          <w14:textFill>
            <w14:solidFill>
              <w14:schemeClr w14:val="tx1"/>
            </w14:solidFill>
          </w14:textFill>
        </w:rPr>
        <w:t>70mm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筋与弯折</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筋共同受力</w:t>
      </w:r>
      <w:r>
        <w:rPr>
          <w:rFonts w:hint="eastAsia" w:cs="HiddenHorzOCR" w:asciiTheme="minorEastAsia" w:hAnsiTheme="minorEastAsia"/>
          <w:color w:val="000000" w:themeColor="text1"/>
          <w:kern w:val="0"/>
          <w:szCs w:val="21"/>
          <w14:textFill>
            <w14:solidFill>
              <w14:schemeClr w14:val="tx1"/>
            </w14:solidFill>
          </w14:textFill>
        </w:rPr>
        <w:t>；此</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筋与弯</w:t>
      </w:r>
      <w:r>
        <w:rPr>
          <w:rFonts w:hint="eastAsia" w:cs="HiddenHorzOCR" w:asciiTheme="minorEastAsia" w:hAnsiTheme="minorEastAsia"/>
          <w:color w:val="000000" w:themeColor="text1"/>
          <w:kern w:val="0"/>
          <w:szCs w:val="21"/>
          <w14:textFill>
            <w14:solidFill>
              <w14:schemeClr w14:val="tx1"/>
            </w14:solidFill>
          </w14:textFill>
        </w:rPr>
        <w:t>折</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筋的截面</w:t>
      </w:r>
      <w:r>
        <w:rPr>
          <w:rFonts w:hint="eastAsia" w:cs="HiddenHorzOCR" w:asciiTheme="minorEastAsia" w:hAnsiTheme="minorEastAsia"/>
          <w:color w:val="000000" w:themeColor="text1"/>
          <w:kern w:val="0"/>
          <w:szCs w:val="21"/>
          <w14:textFill>
            <w14:solidFill>
              <w14:schemeClr w14:val="tx1"/>
            </w14:solidFill>
          </w14:textFill>
        </w:rPr>
        <w:t>面</w:t>
      </w:r>
      <w:r>
        <w:rPr>
          <w:rFonts w:hint="eastAsia" w:cs="宋体" w:asciiTheme="minorEastAsia" w:hAnsiTheme="minorEastAsia"/>
          <w:color w:val="000000" w:themeColor="text1"/>
          <w:kern w:val="0"/>
          <w:szCs w:val="21"/>
          <w14:textFill>
            <w14:solidFill>
              <w14:schemeClr w14:val="tx1"/>
            </w14:solidFill>
          </w14:textFill>
        </w:rPr>
        <w:t>积</w:t>
      </w:r>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s</m:t>
            </m:r>
            <m:ctrlPr>
              <w:rPr>
                <w:rFonts w:ascii="Cambria Math" w:hAnsi="Cambria Math" w:eastAsia="Cambria Math" w:cs="Cambria Math"/>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和</w:t>
      </w:r>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sb</m:t>
            </m:r>
            <m:ctrlPr>
              <w:rPr>
                <w:rFonts w:ascii="Cambria Math" w:hAnsi="Cambria Math" w:eastAsia="Cambria Math" w:cs="Cambria Math"/>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可分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按下列公式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s</m:t>
              </m:r>
              <m:ctrlPr>
                <w:rPr>
                  <w:rFonts w:ascii="Cambria Math" w:hAnsi="Cambria Math" w:eastAsia="Cambria Math" w:cs="Cambria Math"/>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f>
            <m:fPr>
              <m:ctrlPr>
                <w:rPr>
                  <w:rFonts w:ascii="Cambria Math" w:hAnsi="Cambria Math" w:eastAsia="Cambria Math" w:cs="HiddenHorzOCR"/>
                  <w:color w:val="000000" w:themeColor="text1"/>
                  <w:kern w:val="0"/>
                  <w:szCs w:val="21"/>
                  <w14:textFill>
                    <w14:solidFill>
                      <w14:schemeClr w14:val="tx1"/>
                    </w14:solidFill>
                  </w14:textFill>
                </w:rPr>
              </m:ctrlPr>
            </m:fPr>
            <m:num>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num>
            <m:den>
              <m:r>
                <m:rPr>
                  <m:sty m:val="p"/>
                </m:rPr>
                <w:rPr>
                  <w:rFonts w:ascii="Cambria Math" w:hAnsi="Cambria Math" w:cs="Cambria Math"/>
                  <w:color w:val="000000" w:themeColor="text1"/>
                  <w:kern w:val="0"/>
                  <w:szCs w:val="21"/>
                  <w14:textFill>
                    <w14:solidFill>
                      <w14:schemeClr w14:val="tx1"/>
                    </w14:solidFill>
                  </w14:textFill>
                </w:rPr>
                <m:t>0.8</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r</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v</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den>
          </m:f>
          <m:r>
            <w:rPr>
              <w:rFonts w:ascii="Cambria Math" w:hAnsi="Cambria Math" w:eastAsia="Cambria Math" w:cs="HiddenHorzOCR"/>
              <w:color w:val="000000" w:themeColor="text1"/>
              <w:kern w:val="0"/>
              <w:szCs w:val="21"/>
              <w14:textFill>
                <w14:solidFill>
                  <w14:schemeClr w14:val="tx1"/>
                </w14:solidFill>
              </w14:textFill>
            </w:rPr>
            <m:t xml:space="preserve">                                      (7.3.9-8)</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sb</m:t>
              </m:r>
              <m:ctrlPr>
                <w:rPr>
                  <w:rFonts w:ascii="Cambria Math" w:hAnsi="Cambria Math" w:eastAsia="Cambria Math" w:cs="Cambria Math"/>
                  <w:i/>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d>
            <m:dPr>
              <m:ctrlPr>
                <w:rPr>
                  <w:rFonts w:ascii="Cambria Math" w:hAnsi="Cambria Math" w:eastAsia="Cambria Math" w:cs="Cambria Math"/>
                  <w:i/>
                  <w:color w:val="000000" w:themeColor="text1"/>
                  <w:kern w:val="0"/>
                  <w:szCs w:val="21"/>
                  <w14:textFill>
                    <w14:solidFill>
                      <w14:schemeClr w14:val="tx1"/>
                    </w14:solidFill>
                  </w14:textFill>
                </w:rPr>
              </m:ctrlPr>
            </m:dPr>
            <m:e>
              <m:r>
                <w:rPr>
                  <w:rFonts w:ascii="Cambria Math" w:hAnsi="Cambria Math" w:eastAsia="Cambria Math" w:cs="Cambria Math"/>
                  <w:color w:val="000000" w:themeColor="text1"/>
                  <w:kern w:val="0"/>
                  <w:szCs w:val="21"/>
                  <w14:textFill>
                    <w14:solidFill>
                      <w14:schemeClr w14:val="tx1"/>
                    </w14:solidFill>
                  </w14:textFill>
                </w:rPr>
                <m:t>1.75</m:t>
              </m:r>
              <m:f>
                <m:fPr>
                  <m:ctrlPr>
                    <w:rPr>
                      <w:rFonts w:ascii="Cambria Math" w:hAnsi="Cambria Math" w:eastAsia="Cambria Math" w:cs="HiddenHorzOCR"/>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HiddenHorzOCR"/>
                      <w:color w:val="000000" w:themeColor="text1"/>
                      <w:kern w:val="0"/>
                      <w:szCs w:val="21"/>
                      <w14:textFill>
                        <w14:solidFill>
                          <w14:schemeClr w14:val="tx1"/>
                        </w14:solidFill>
                      </w14:textFill>
                    </w:rPr>
                  </m:ctrlPr>
                </m:num>
                <m:den>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den>
              </m:f>
              <m:r>
                <w:rPr>
                  <w:rFonts w:ascii="Cambria Math" w:hAnsi="Cambria Math" w:eastAsia="Cambria Math" w:cs="HiddenHorzOCR"/>
                  <w:color w:val="000000" w:themeColor="text1"/>
                  <w:kern w:val="0"/>
                  <w:szCs w:val="21"/>
                  <w14:textFill>
                    <w14:solidFill>
                      <w14:schemeClr w14:val="tx1"/>
                    </w14:solidFill>
                  </w14:textFill>
                </w:rPr>
                <m:t>-1.25</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w:rPr>
                      <w:rFonts w:ascii="Cambria Math" w:hAnsi="Cambria Math" w:cs="Cambria Math"/>
                      <w:color w:val="000000" w:themeColor="text1"/>
                      <w:kern w:val="0"/>
                      <w:szCs w:val="21"/>
                      <w14:textFill>
                        <w14:solidFill>
                          <w14:schemeClr w14:val="tx1"/>
                        </w14:solidFill>
                      </w14:textFill>
                    </w:rPr>
                    <m:t>v</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Cambria Math"/>
                      <w:i/>
                      <w:color w:val="000000" w:themeColor="text1"/>
                      <w:kern w:val="0"/>
                      <w:szCs w:val="21"/>
                      <w14:textFill>
                        <w14:solidFill>
                          <w14:schemeClr w14:val="tx1"/>
                        </w14:solidFill>
                      </w14:textFill>
                    </w:rPr>
                  </m:ctrlPr>
                </m:sSubPr>
                <m:e>
                  <m:r>
                    <w:rPr>
                      <w:rFonts w:ascii="Cambria Math" w:hAnsi="Cambria Math" w:cs="Cambria Math"/>
                      <w:color w:val="000000" w:themeColor="text1"/>
                      <w:kern w:val="0"/>
                      <w:szCs w:val="21"/>
                      <w14:textFill>
                        <w14:solidFill>
                          <w14:schemeClr w14:val="tx1"/>
                        </w14:solidFill>
                      </w14:textFill>
                    </w:rPr>
                    <m:t>A</m:t>
                  </m:r>
                  <m:ctrlPr>
                    <w:rPr>
                      <w:rFonts w:ascii="Cambria Math" w:hAnsi="Cambria Math" w:cs="Cambria Math"/>
                      <w:i/>
                      <w:color w:val="000000" w:themeColor="text1"/>
                      <w:kern w:val="0"/>
                      <w:szCs w:val="21"/>
                      <w14:textFill>
                        <w14:solidFill>
                          <w14:schemeClr w14:val="tx1"/>
                        </w14:solidFill>
                      </w14:textFill>
                    </w:rPr>
                  </m:ctrlPr>
                </m:e>
                <m:sub>
                  <m:r>
                    <w:rPr>
                      <w:rFonts w:ascii="Cambria Math" w:hAnsi="Cambria Math" w:cs="Cambria Math"/>
                      <w:color w:val="000000" w:themeColor="text1"/>
                      <w:kern w:val="0"/>
                      <w:szCs w:val="21"/>
                      <w14:textFill>
                        <w14:solidFill>
                          <w14:schemeClr w14:val="tx1"/>
                        </w14:solidFill>
                      </w14:textFill>
                    </w:rPr>
                    <m:t>S</m:t>
                  </m:r>
                  <m:ctrlPr>
                    <w:rPr>
                      <w:rFonts w:ascii="Cambria Math" w:hAnsi="Cambria Math" w:cs="Cambria Math"/>
                      <w:i/>
                      <w:color w:val="000000" w:themeColor="text1"/>
                      <w:kern w:val="0"/>
                      <w:szCs w:val="21"/>
                      <w14:textFill>
                        <w14:solidFill>
                          <w14:schemeClr w14:val="tx1"/>
                        </w14:solidFill>
                      </w14:textFill>
                    </w:rPr>
                  </m:ctrlPr>
                </m:sub>
              </m:sSub>
              <m:ctrlPr>
                <w:rPr>
                  <w:rFonts w:ascii="Cambria Math" w:hAnsi="Cambria Math" w:eastAsia="Cambria Math" w:cs="Cambria Math"/>
                  <w:i/>
                  <w:color w:val="000000" w:themeColor="text1"/>
                  <w:kern w:val="0"/>
                  <w:szCs w:val="21"/>
                  <w14:textFill>
                    <w14:solidFill>
                      <w14:schemeClr w14:val="tx1"/>
                    </w14:solidFill>
                  </w14:textFill>
                </w:rPr>
              </m:ctrlPr>
            </m:e>
          </m:d>
          <m:r>
            <w:rPr>
              <w:rFonts w:ascii="Cambria Math" w:hAnsi="Cambria Math" w:cs="Cambria Math"/>
              <w:color w:val="000000" w:themeColor="text1"/>
              <w:kern w:val="0"/>
              <w:szCs w:val="21"/>
              <w14:textFill>
                <w14:solidFill>
                  <w14:schemeClr w14:val="tx1"/>
                </w14:solidFill>
              </w14:textFill>
            </w:rPr>
            <m:t xml:space="preserve">       </m:t>
          </m:r>
          <m:d>
            <m:dPr>
              <m:begChr m:val="（"/>
              <m:endChr m:val="）"/>
              <m:ctrlPr>
                <w:rPr>
                  <w:rFonts w:ascii="Cambria Math" w:hAnsi="Cambria Math" w:cs="Cambria Math"/>
                  <w:i/>
                  <w:color w:val="000000" w:themeColor="text1"/>
                  <w:kern w:val="0"/>
                  <w:szCs w:val="21"/>
                  <w14:textFill>
                    <w14:solidFill>
                      <w14:schemeClr w14:val="tx1"/>
                    </w14:solidFill>
                  </w14:textFill>
                </w:rPr>
              </m:ctrlPr>
            </m:dPr>
            <m:e>
              <m:r>
                <w:rPr>
                  <w:rFonts w:ascii="Cambria Math" w:hAnsi="Cambria Math" w:cs="Cambria Math"/>
                  <w:color w:val="000000" w:themeColor="text1"/>
                  <w:kern w:val="0"/>
                  <w:szCs w:val="21"/>
                  <w14:textFill>
                    <w14:solidFill>
                      <w14:schemeClr w14:val="tx1"/>
                    </w14:solidFill>
                  </w14:textFill>
                </w:rPr>
                <m:t>7.3.9-9</m:t>
              </m:r>
              <m:ctrlPr>
                <w:rPr>
                  <w:rFonts w:ascii="Cambria Math" w:hAnsi="Cambria Math" w:cs="Cambria Math"/>
                  <w:i/>
                  <w:color w:val="000000" w:themeColor="text1"/>
                  <w:kern w:val="0"/>
                  <w:szCs w:val="21"/>
                  <w14:textFill>
                    <w14:solidFill>
                      <w14:schemeClr w14:val="tx1"/>
                    </w14:solidFill>
                  </w14:textFill>
                </w:rPr>
              </m:ctrlPr>
            </m:e>
          </m:d>
        </m:oMath>
      </m:oMathPara>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由直锚筋承担的剪力设计值。</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宜采用（0</w:t>
      </w:r>
      <w:r>
        <w:rPr>
          <w:rFonts w:cs="HiddenHorzOCR" w:asciiTheme="minorEastAsia" w:hAnsiTheme="minorEastAsia"/>
          <w:color w:val="000000" w:themeColor="text1"/>
          <w:kern w:val="0"/>
          <w:szCs w:val="21"/>
          <w14:textFill>
            <w14:solidFill>
              <w14:schemeClr w14:val="tx1"/>
            </w14:solidFill>
          </w14:textFill>
        </w:rPr>
        <w:t>.2</w:t>
      </w: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.3</w:t>
      </w:r>
      <w:r>
        <w:rPr>
          <w:rFonts w:hint="eastAsia" w:cs="HiddenHorzOCR" w:asciiTheme="minorEastAsia" w:hAnsiTheme="minorEastAsia"/>
          <w:color w:val="000000" w:themeColor="text1"/>
          <w:kern w:val="0"/>
          <w:szCs w:val="21"/>
          <w14:textFill>
            <w14:solidFill>
              <w14:schemeClr w14:val="tx1"/>
            </w14:solidFill>
          </w14:textFill>
        </w:rPr>
        <w:t>）V；</w:t>
      </w:r>
      <m:oMath>
        <m:r>
          <w:rPr>
            <w:rFonts w:ascii="Cambria Math" w:hAnsi="Cambria Math" w:cs="HiddenHorzOCR"/>
            <w:color w:val="000000" w:themeColor="text1"/>
            <w:kern w:val="0"/>
            <w:szCs w:val="21"/>
            <w14:textFill>
              <w14:solidFill>
                <w14:schemeClr w14:val="tx1"/>
              </w14:solidFill>
            </w14:textFill>
          </w:rPr>
          <m:t xml:space="preserve"> </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.3V</w:t>
      </w:r>
      <w:r>
        <w:rPr>
          <w:rFonts w:hint="eastAsia" w:cs="HiddenHorzOCR" w:asciiTheme="minorEastAsia" w:hAnsiTheme="minorEastAsia"/>
          <w:color w:val="000000" w:themeColor="text1"/>
          <w:kern w:val="0"/>
          <w:szCs w:val="21"/>
          <w14:textFill>
            <w14:solidFill>
              <w14:schemeClr w14:val="tx1"/>
            </w14:solidFill>
          </w14:textFill>
        </w:rPr>
        <w:t>时，取</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r>
          <w:rPr>
            <w:rFonts w:hint="eastAsia" w:ascii="Cambria Math" w:hAnsi="Cambria Math" w:cs="HiddenHorzOCR"/>
            <w:color w:val="000000" w:themeColor="text1"/>
            <w:kern w:val="0"/>
            <w:szCs w:val="21"/>
            <w14:textFill>
              <w14:solidFill>
                <w14:schemeClr w14:val="tx1"/>
              </w14:solidFill>
            </w14:textFill>
          </w:rPr>
          <m:t>=0.3</m:t>
        </m:r>
        <m:r>
          <w:rPr>
            <w:rFonts w:ascii="Cambria Math" w:hAnsi="Cambria Math" w:cs="HiddenHorzOCR"/>
            <w:color w:val="000000" w:themeColor="text1"/>
            <w:kern w:val="0"/>
            <w:szCs w:val="21"/>
            <w14:textFill>
              <w14:solidFill>
                <w14:schemeClr w14:val="tx1"/>
              </w14:solidFill>
            </w14:textFill>
          </w:rPr>
          <m:t>V</m:t>
        </m:r>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color w:val="000000" w:themeColor="text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MS Mincho" w:asciiTheme="minorEastAsia" w:hAnsiTheme="minorEastAsia"/>
          <w:color w:val="000000" w:themeColor="text1"/>
          <w:kern w:val="0"/>
          <w:szCs w:val="21"/>
          <w14:textFill>
            <w14:solidFill>
              <w14:schemeClr w14:val="tx1"/>
            </w14:solidFill>
          </w14:textFill>
        </w:rPr>
        <w:t>由</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埋板和</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称配置的直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HiddenHorzOCR" w:asciiTheme="minorEastAsia" w:hAnsiTheme="minorEastAsia"/>
          <w:color w:val="000000" w:themeColor="text1"/>
          <w:kern w:val="0"/>
          <w:szCs w:val="21"/>
          <w14:textFill>
            <w14:solidFill>
              <w14:schemeClr w14:val="tx1"/>
            </w14:solidFill>
          </w14:textFill>
        </w:rPr>
        <w:t>筋及</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埋抗剪</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成</w:t>
      </w:r>
      <w:r>
        <w:rPr>
          <w:rFonts w:hint="eastAsia" w:cs="HiddenHorzOCR" w:asciiTheme="minorEastAsia" w:hAnsiTheme="minorEastAsia"/>
          <w:color w:val="000000" w:themeColor="text1"/>
          <w:kern w:val="0"/>
          <w:szCs w:val="21"/>
          <w14:textFill>
            <w14:solidFill>
              <w14:schemeClr w14:val="tx1"/>
            </w14:solidFill>
          </w14:textFill>
        </w:rPr>
        <w:t>的受力</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埋件，当承受剪力和法向</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（如厂房柱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在柱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w:t>
      </w:r>
      <w:r>
        <w:rPr>
          <w:rFonts w:hint="eastAsia" w:cs="HiddenHorzOCR" w:asciiTheme="minorEastAsia" w:hAnsiTheme="minorEastAsia"/>
          <w:color w:val="000000" w:themeColor="text1"/>
          <w:kern w:val="0"/>
          <w:szCs w:val="21"/>
          <w14:textFill>
            <w14:solidFill>
              <w14:schemeClr w14:val="tx1"/>
            </w14:solidFill>
          </w14:textFill>
        </w:rPr>
        <w:t>撑</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7.3.9-3））；其抗震</w:t>
      </w:r>
      <w:r>
        <w:rPr>
          <w:rFonts w:hint="eastAsia" w:cs="宋体" w:asciiTheme="minorEastAsia" w:hAnsiTheme="minorEastAsia"/>
          <w:color w:val="000000" w:themeColor="text1"/>
          <w:kern w:val="0"/>
          <w:szCs w:val="21"/>
          <w14:textFill>
            <w14:solidFill>
              <w14:schemeClr w14:val="tx1"/>
            </w14:solidFill>
          </w14:textFill>
        </w:rPr>
        <w:t>设计应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251075" cy="1417955"/>
            <wp:effectExtent l="0" t="0" r="9525" b="444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251422" cy="1418529"/>
                    </a:xfrm>
                    <a:prstGeom prst="rect">
                      <a:avLst/>
                    </a:prstGeom>
                    <a:noFill/>
                    <a:ln>
                      <a:noFill/>
                    </a:ln>
                  </pic:spPr>
                </pic:pic>
              </a:graphicData>
            </a:graphic>
          </wp:inline>
        </w:drawing>
      </w:r>
    </w:p>
    <w:p>
      <w:pPr>
        <w:autoSpaceDE w:val="0"/>
        <w:autoSpaceDN w:val="0"/>
        <w:spacing w:line="360" w:lineRule="auto"/>
        <w:ind w:firstLine="1470" w:firstLineChars="700"/>
        <w:jc w:val="center"/>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图7.3</w:t>
      </w:r>
      <w:r>
        <w:rPr>
          <w:rFonts w:ascii="宋体" w:hAnsi="宋体" w:cs="宋体"/>
          <w:iCs/>
          <w:color w:val="000000" w:themeColor="text1"/>
          <w:kern w:val="0"/>
          <w:szCs w:val="21"/>
          <w14:textFill>
            <w14:solidFill>
              <w14:schemeClr w14:val="tx1"/>
            </w14:solidFill>
          </w14:textFill>
        </w:rPr>
        <w:t xml:space="preserve">.9-3 </w:t>
      </w:r>
      <w:r>
        <w:rPr>
          <w:rFonts w:hint="eastAsia" w:ascii="宋体" w:hAnsi="宋体" w:cs="宋体"/>
          <w:iCs/>
          <w:color w:val="000000" w:themeColor="text1"/>
          <w:kern w:val="0"/>
          <w:szCs w:val="21"/>
          <w14:textFill>
            <w14:solidFill>
              <w14:schemeClr w14:val="tx1"/>
            </w14:solidFill>
          </w14:textFill>
        </w:rPr>
        <w:t>柱顶预埋件</w:t>
      </w:r>
    </w:p>
    <w:p>
      <w:pPr>
        <w:autoSpaceDE w:val="0"/>
        <w:autoSpaceDN w:val="0"/>
        <w:spacing w:line="360" w:lineRule="auto"/>
        <w:ind w:firstLine="420"/>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锚筋总截面面积</w:t>
      </w: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A</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s</m:t>
            </m:r>
            <m:ctrlPr>
              <w:rPr>
                <w:rFonts w:ascii="Cambria Math" w:hAnsi="Cambria Math" w:cs="宋体"/>
                <w:i/>
                <w:iCs/>
                <w:color w:val="000000" w:themeColor="text1"/>
                <w:kern w:val="0"/>
                <w:szCs w:val="21"/>
                <w14:textFill>
                  <w14:solidFill>
                    <w14:schemeClr w14:val="tx1"/>
                  </w14:solidFill>
                </w14:textFill>
              </w:rPr>
            </m:ctrlPr>
          </m:sub>
        </m:sSub>
      </m:oMath>
      <w:r>
        <w:rPr>
          <w:rFonts w:hint="eastAsia" w:ascii="宋体" w:hAnsi="宋体" w:cs="宋体"/>
          <w:iCs/>
          <w:color w:val="000000" w:themeColor="text1"/>
          <w:kern w:val="0"/>
          <w:szCs w:val="21"/>
          <w14:textFill>
            <w14:solidFill>
              <w14:schemeClr w14:val="tx1"/>
            </w14:solidFill>
          </w14:textFill>
        </w:rPr>
        <w:t>和抗剪钢板承压面积</w:t>
      </w: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A</m:t>
            </m:r>
            <m:ctrlPr>
              <w:rPr>
                <w:rFonts w:ascii="Cambria Math" w:hAnsi="Cambria Math" w:cs="宋体"/>
                <w:i/>
                <w:iCs/>
                <w:color w:val="000000" w:themeColor="text1"/>
                <w:kern w:val="0"/>
                <w:szCs w:val="21"/>
                <w14:textFill>
                  <w14:solidFill>
                    <w14:schemeClr w14:val="tx1"/>
                  </w14:solidFill>
                </w14:textFill>
              </w:rPr>
            </m:ctrlPr>
          </m:e>
          <m:sub>
            <m:r>
              <w:rPr>
                <w:rFonts w:hint="eastAsia"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oMath>
      <w:r>
        <w:rPr>
          <w:rFonts w:hint="eastAsia" w:ascii="宋体" w:hAnsi="宋体" w:cs="宋体"/>
          <w:iCs/>
          <w:color w:val="000000" w:themeColor="text1"/>
          <w:kern w:val="0"/>
          <w:szCs w:val="21"/>
          <w14:textFill>
            <w14:solidFill>
              <w14:schemeClr w14:val="tx1"/>
            </w14:solidFill>
          </w14:textFill>
        </w:rPr>
        <w:t>按下式计算：</w:t>
      </w:r>
    </w:p>
    <w:p>
      <w:pPr>
        <w:autoSpaceDE w:val="0"/>
        <w:autoSpaceDN w:val="0"/>
        <w:spacing w:line="360" w:lineRule="auto"/>
        <w:ind w:firstLine="420"/>
        <w:jc w:val="left"/>
        <w:rPr>
          <w:rFonts w:ascii="Cambria Math" w:hAnsi="Cambria Math" w:cs="宋体"/>
          <w:i/>
          <w:color w:val="000000" w:themeColor="text1"/>
          <w:kern w:val="0"/>
          <w:szCs w:val="21"/>
          <w14:textFill>
            <w14:solidFill>
              <w14:schemeClr w14:val="tx1"/>
            </w14:solidFill>
          </w14:textFill>
        </w:rPr>
      </w:pPr>
      <m:oMathPara>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A</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s</m:t>
              </m:r>
              <m:ctrlPr>
                <w:rPr>
                  <w:rFonts w:ascii="Cambria Math" w:hAnsi="Cambria Math" w:cs="宋体"/>
                  <w:i/>
                  <w:iCs/>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f>
            <m:fPr>
              <m:ctrlPr>
                <w:rPr>
                  <w:rFonts w:ascii="Cambria Math" w:hAnsi="Cambria Math" w:eastAsia="Cambria Math" w:cs="HiddenHorzOCR"/>
                  <w:color w:val="000000" w:themeColor="text1"/>
                  <w:kern w:val="0"/>
                  <w:szCs w:val="21"/>
                  <w14:textFill>
                    <w14:solidFill>
                      <w14:schemeClr w14:val="tx1"/>
                    </w14:solidFill>
                  </w14:textFill>
                </w:rPr>
              </m:ctrlPr>
            </m:fPr>
            <m:num>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d>
                <m:dPr>
                  <m:begChr m:val="（"/>
                  <m:endChr m:val="）"/>
                  <m:ctrlPr>
                    <w:rPr>
                      <w:rFonts w:ascii="Cambria Math" w:hAnsi="Cambria Math" w:cs="宋体"/>
                      <w:i/>
                      <w:color w:val="000000" w:themeColor="text1"/>
                      <w:kern w:val="0"/>
                      <w:szCs w:val="21"/>
                      <w14:textFill>
                        <w14:solidFill>
                          <w14:schemeClr w14:val="tx1"/>
                        </w14:solidFill>
                      </w14:textFill>
                    </w:rPr>
                  </m:ctrlPr>
                </m:dPr>
                <m:e>
                  <m:sSub>
                    <m:sSubPr>
                      <m:ctrlPr>
                        <w:rPr>
                          <w:rFonts w:ascii="Cambria Math" w:hAnsi="Cambria Math" w:cs="宋体"/>
                          <w:i/>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s</m:t>
                      </m:r>
                      <m:ctrlPr>
                        <w:rPr>
                          <w:rFonts w:ascii="Cambria Math" w:hAnsi="Cambria Math" w:cs="宋体"/>
                          <w:i/>
                          <w:color w:val="000000" w:themeColor="text1"/>
                          <w:kern w:val="0"/>
                          <w:szCs w:val="21"/>
                          <w14:textFill>
                            <w14:solidFill>
                              <w14:schemeClr w14:val="tx1"/>
                            </w14:solidFill>
                          </w14:textFill>
                        </w:rPr>
                      </m:ctrlPr>
                    </m:sub>
                  </m:sSub>
                  <m:r>
                    <w:rPr>
                      <w:rFonts w:ascii="Cambria Math" w:hAnsi="宋体" w:cs="宋体"/>
                      <w:color w:val="000000" w:themeColor="text1"/>
                      <w:kern w:val="0"/>
                      <w:szCs w:val="21"/>
                      <w14:textFill>
                        <w14:solidFill>
                          <w14:schemeClr w14:val="tx1"/>
                        </w14:solidFill>
                      </w14:textFill>
                    </w:rPr>
                    <m:t>-0.3N</m:t>
                  </m:r>
                  <m:ctrlPr>
                    <w:rPr>
                      <w:rFonts w:ascii="Cambria Math" w:hAnsi="Cambria Math" w:cs="宋体"/>
                      <w:i/>
                      <w:color w:val="000000" w:themeColor="text1"/>
                      <w:kern w:val="0"/>
                      <w:szCs w:val="21"/>
                      <w14:textFill>
                        <w14:solidFill>
                          <w14:schemeClr w14:val="tx1"/>
                        </w14:solidFill>
                      </w14:textFill>
                    </w:rPr>
                  </m:ctrlPr>
                </m:e>
              </m:d>
              <m:ctrlPr>
                <w:rPr>
                  <w:rFonts w:ascii="Cambria Math" w:hAnsi="Cambria Math" w:eastAsia="Cambria Math" w:cs="HiddenHorzOCR"/>
                  <w:color w:val="000000" w:themeColor="text1"/>
                  <w:kern w:val="0"/>
                  <w:szCs w:val="21"/>
                  <w14:textFill>
                    <w14:solidFill>
                      <w14:schemeClr w14:val="tx1"/>
                    </w14:solidFill>
                  </w14:textFill>
                </w:rPr>
              </m:ctrlPr>
            </m:num>
            <m:den>
              <m:r>
                <m:rPr>
                  <m:sty m:val="p"/>
                </m:rPr>
                <w:rPr>
                  <w:rFonts w:ascii="Cambria Math" w:hAnsi="Cambria Math" w:cs="Cambria Math"/>
                  <w:color w:val="000000" w:themeColor="text1"/>
                  <w:kern w:val="0"/>
                  <w:szCs w:val="21"/>
                  <w14:textFill>
                    <w14:solidFill>
                      <w14:schemeClr w14:val="tx1"/>
                    </w14:solidFill>
                  </w14:textFill>
                </w:rPr>
                <m:t>0.8</m:t>
              </m:r>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r</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Cambria Math"/>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Cambria Math"/>
                      <w:color w:val="000000" w:themeColor="text1"/>
                      <w:kern w:val="0"/>
                      <w:szCs w:val="21"/>
                      <w14:textFill>
                        <w14:solidFill>
                          <w14:schemeClr w14:val="tx1"/>
                        </w14:solidFill>
                      </w14:textFill>
                    </w:rPr>
                  </m:ctrlPr>
                </m:e>
                <m:sub>
                  <m:r>
                    <m:rPr>
                      <m:sty m:val="p"/>
                    </m:rPr>
                    <w:rPr>
                      <w:rFonts w:ascii="Cambria Math" w:hAnsi="Cambria Math" w:cs="Cambria Math"/>
                      <w:color w:val="000000" w:themeColor="text1"/>
                      <w:kern w:val="0"/>
                      <w:szCs w:val="21"/>
                      <w14:textFill>
                        <w14:solidFill>
                          <w14:schemeClr w14:val="tx1"/>
                        </w14:solidFill>
                      </w14:textFill>
                    </w:rPr>
                    <m:t>v</m:t>
                  </m:r>
                  <m:ctrlPr>
                    <w:rPr>
                      <w:rFonts w:ascii="Cambria Math" w:hAnsi="Cambria Math" w:cs="Cambria Math"/>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m:rPr>
                      <m:sty m:val="p"/>
                    </m:rP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den>
          </m:f>
          <m:r>
            <w:rPr>
              <w:rFonts w:ascii="Cambria Math" w:hAnsi="宋体" w:cs="宋体"/>
              <w:color w:val="000000" w:themeColor="text1"/>
              <w:kern w:val="0"/>
              <w:szCs w:val="21"/>
              <w14:textFill>
                <w14:solidFill>
                  <w14:schemeClr w14:val="tx1"/>
                </w14:solidFill>
              </w14:textFill>
            </w:rPr>
            <m:t xml:space="preserve">                    (7.3.9-10</m:t>
          </m:r>
          <m:r>
            <w:rPr>
              <w:rFonts w:ascii="Cambria Math" w:hAnsi="Cambria Math" w:cs="宋体"/>
              <w:color w:val="000000" w:themeColor="text1"/>
              <w:kern w:val="0"/>
              <w:szCs w:val="21"/>
              <w14:textFill>
                <w14:solidFill>
                  <w14:schemeClr w14:val="tx1"/>
                </w14:solidFill>
              </w14:textFill>
            </w:rPr>
            <m:t>)</m:t>
          </m:r>
        </m:oMath>
      </m:oMathPara>
    </w:p>
    <w:p>
      <w:pPr>
        <w:autoSpaceDE w:val="0"/>
        <w:autoSpaceDN w:val="0"/>
        <w:spacing w:line="360" w:lineRule="auto"/>
        <w:ind w:firstLine="420"/>
        <w:jc w:val="left"/>
        <w:rPr>
          <w:rFonts w:ascii="宋体" w:hAnsi="宋体" w:cs="宋体"/>
          <w:i/>
          <w:color w:val="000000" w:themeColor="text1"/>
          <w:kern w:val="0"/>
          <w:szCs w:val="21"/>
          <w14:textFill>
            <w14:solidFill>
              <w14:schemeClr w14:val="tx1"/>
            </w14:solidFill>
          </w14:textFill>
        </w:rPr>
      </w:pPr>
      <m:oMathPara>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f>
            <m:fPr>
              <m:ctrlPr>
                <w:rPr>
                  <w:rFonts w:ascii="Cambria Math" w:hAnsi="Cambria Math" w:eastAsia="Cambria Math" w:cs="HiddenHorzOCR"/>
                  <w:color w:val="000000" w:themeColor="text1"/>
                  <w:kern w:val="0"/>
                  <w:szCs w:val="21"/>
                  <w14:textFill>
                    <w14:solidFill>
                      <w14:schemeClr w14:val="tx1"/>
                    </w14:solidFill>
                  </w14:textFill>
                </w:rPr>
              </m:ctrlPr>
            </m:fPr>
            <m:num>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num>
            <m:den>
              <m:r>
                <m:rPr>
                  <m:sty m:val="p"/>
                </m:rPr>
                <w:rPr>
                  <w:rFonts w:ascii="Cambria Math" w:hAnsi="Cambria Math" w:eastAsia="Cambria Math" w:cs="Cambria Math"/>
                  <w:color w:val="000000" w:themeColor="text1"/>
                  <w:kern w:val="0"/>
                  <w:szCs w:val="21"/>
                  <w14:textFill>
                    <w14:solidFill>
                      <w14:schemeClr w14:val="tx1"/>
                    </w14:solidFill>
                  </w14:textFill>
                </w:rPr>
                <m:t>0.56</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ƒ</m:t>
                  </m:r>
                  <m:ctrlPr>
                    <w:rPr>
                      <w:rFonts w:ascii="Cambria Math" w:hAnsi="Cambria Math" w:cs="HiddenHorzOCR"/>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y</m:t>
                  </m:r>
                  <m:ctrlPr>
                    <w:rPr>
                      <w:rFonts w:ascii="Cambria Math" w:hAnsi="Cambria Math" w:cs="HiddenHorzOCR"/>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den>
          </m:f>
          <m:r>
            <w:rPr>
              <w:rFonts w:ascii="Cambria Math" w:hAnsi="宋体" w:cs="宋体"/>
              <w:color w:val="000000" w:themeColor="text1"/>
              <w:kern w:val="0"/>
              <w:szCs w:val="21"/>
              <w14:textFill>
                <w14:solidFill>
                  <w14:schemeClr w14:val="tx1"/>
                </w14:solidFill>
              </w14:textFill>
            </w:rPr>
            <m:t xml:space="preserve">                                   (7.3.9-11)</m:t>
          </m:r>
        </m:oMath>
      </m:oMathPara>
    </w:p>
    <w:p>
      <w:pPr>
        <w:autoSpaceDE w:val="0"/>
        <w:autoSpaceDN w:val="0"/>
        <w:spacing w:line="360" w:lineRule="auto"/>
        <w:ind w:firstLine="420"/>
        <w:jc w:val="left"/>
        <w:rPr>
          <w:rFonts w:ascii="宋体" w:hAnsi="宋体" w:cs="宋体"/>
          <w:i/>
          <w:color w:val="000000" w:themeColor="text1"/>
          <w:kern w:val="0"/>
          <w:szCs w:val="21"/>
          <w14:textFill>
            <w14:solidFill>
              <w14:schemeClr w14:val="tx1"/>
            </w14:solidFill>
          </w14:textFill>
        </w:rPr>
      </w:pPr>
      <m:oMathPara>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s</m:t>
              </m:r>
              <m:ctrlPr>
                <w:rPr>
                  <w:rFonts w:ascii="Cambria Math" w:hAnsi="Cambria Math" w:eastAsia="Cambria Math" w:cs="Cambria Math"/>
                  <w:i/>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sSub>
            <m:sSubPr>
              <m:ctrlPr>
                <w:rPr>
                  <w:rFonts w:ascii="Cambria Math" w:hAnsi="Cambria Math" w:eastAsia="Cambria Math" w:cs="Cambria Math"/>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color w:val="000000" w:themeColor="text1"/>
                  <w:kern w:val="0"/>
                  <w:szCs w:val="21"/>
                  <w14:textFill>
                    <w14:solidFill>
                      <w14:schemeClr w14:val="tx1"/>
                    </w14:solidFill>
                  </w14:textFill>
                </w:rPr>
              </m:ctrlPr>
            </m:sub>
          </m:sSub>
          <m:r>
            <w:rPr>
              <w:rFonts w:ascii="Cambria Math" w:hAnsi="Cambria Math" w:eastAsia="Cambria Math" w:cs="Cambria Math"/>
              <w:color w:val="000000" w:themeColor="text1"/>
              <w:kern w:val="0"/>
              <w:szCs w:val="21"/>
              <w14:textFill>
                <w14:solidFill>
                  <w14:schemeClr w14:val="tx1"/>
                </w14:solidFill>
              </w14:textFill>
            </w:rPr>
            <m:t xml:space="preserve">=V                                      </m:t>
          </m:r>
          <m:d>
            <m:dPr>
              <m:begChr m:val="（"/>
              <m:endChr m:val="）"/>
              <m:ctrlPr>
                <w:rPr>
                  <w:rFonts w:ascii="Cambria Math" w:hAnsi="Cambria Math" w:cs="宋体"/>
                  <w:i/>
                  <w:color w:val="000000" w:themeColor="text1"/>
                  <w:kern w:val="0"/>
                  <w:szCs w:val="21"/>
                  <w14:textFill>
                    <w14:solidFill>
                      <w14:schemeClr w14:val="tx1"/>
                    </w14:solidFill>
                  </w14:textFill>
                </w:rPr>
              </m:ctrlPr>
            </m:dPr>
            <m:e>
              <m:r>
                <w:rPr>
                  <w:rFonts w:ascii="Cambria Math" w:hAnsi="宋体" w:cs="宋体"/>
                  <w:color w:val="000000" w:themeColor="text1"/>
                  <w:kern w:val="0"/>
                  <w:szCs w:val="21"/>
                  <w14:textFill>
                    <w14:solidFill>
                      <w14:schemeClr w14:val="tx1"/>
                    </w14:solidFill>
                  </w14:textFill>
                </w:rPr>
                <m:t>7.3.9-12</m:t>
              </m:r>
              <m:ctrlPr>
                <w:rPr>
                  <w:rFonts w:ascii="Cambria Math" w:hAnsi="Cambria Math" w:cs="宋体"/>
                  <w:i/>
                  <w:color w:val="000000" w:themeColor="text1"/>
                  <w:kern w:val="0"/>
                  <w:szCs w:val="21"/>
                  <w14:textFill>
                    <w14:solidFill>
                      <w14:schemeClr w14:val="tx1"/>
                    </w14:solidFill>
                  </w14:textFill>
                </w:rPr>
              </m:ctrlPr>
            </m:e>
          </m:d>
        </m:oMath>
      </m:oMathPara>
    </w:p>
    <w:p>
      <w:pPr>
        <w:autoSpaceDE w:val="0"/>
        <w:autoSpaceDN w:val="0"/>
        <w:spacing w:line="360" w:lineRule="auto"/>
        <w:ind w:firstLine="420"/>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且</w:t>
      </w:r>
    </w:p>
    <w:p>
      <w:pPr>
        <w:autoSpaceDE w:val="0"/>
        <w:autoSpaceDN w:val="0"/>
        <w:spacing w:line="360" w:lineRule="auto"/>
        <w:ind w:firstLine="420"/>
        <w:jc w:val="left"/>
        <w:rPr>
          <w:rFonts w:ascii="宋体" w:hAnsi="宋体" w:cs="宋体"/>
          <w:iCs/>
          <w:color w:val="000000" w:themeColor="text1"/>
          <w:kern w:val="0"/>
          <w:szCs w:val="21"/>
          <w14:textFill>
            <w14:solidFill>
              <w14:schemeClr w14:val="tx1"/>
            </w14:solidFill>
          </w14:textFill>
        </w:rPr>
      </w:pPr>
      <w:r>
        <w:rPr>
          <w:rFonts w:ascii="宋体" w:hAnsi="宋体" w:cs="宋体"/>
          <w:i/>
          <w:color w:val="000000" w:themeColor="text1"/>
          <w:kern w:val="0"/>
          <w:szCs w:val="21"/>
          <w14:textFill>
            <w14:solidFill>
              <w14:schemeClr w14:val="tx1"/>
            </w14:solidFill>
          </w14:textFill>
        </w:rPr>
        <w:t xml:space="preserve">                  </w:t>
      </w:r>
      <m:oMath>
        <m:r>
          <w:rPr>
            <w:rFonts w:ascii="Cambria Math" w:hAnsi="Cambria Math" w:cs="宋体"/>
            <w:color w:val="000000" w:themeColor="text1"/>
            <w:kern w:val="0"/>
            <w:szCs w:val="21"/>
            <w14:textFill>
              <w14:solidFill>
                <w14:schemeClr w14:val="tx1"/>
              </w14:solidFill>
            </w14:textFill>
          </w:rPr>
          <m:t xml:space="preserve"> </m:t>
        </m:r>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 xml:space="preserve">≤0.3V                                    </m:t>
        </m:r>
        <m:r>
          <m:rPr>
            <m:sty m:val="p"/>
          </m:rPr>
          <w:rPr>
            <w:rFonts w:hint="eastAsia" w:ascii="宋体" w:hAnsi="宋体" w:cs="宋体"/>
            <w:color w:val="000000" w:themeColor="text1"/>
            <w:kern w:val="0"/>
            <w:szCs w:val="21"/>
            <w14:textFill>
              <w14:solidFill>
                <w14:schemeClr w14:val="tx1"/>
              </w14:solidFill>
            </w14:textFill>
          </w:rPr>
          <m:t>（</m:t>
        </m:r>
        <m:r>
          <m:rPr>
            <m:sty m:val="p"/>
          </m:rPr>
          <w:rPr>
            <w:rFonts w:ascii="Cambria Math" w:hAnsi="宋体" w:cs="宋体"/>
            <w:color w:val="000000" w:themeColor="text1"/>
            <w:kern w:val="0"/>
            <w:szCs w:val="21"/>
            <w14:textFill>
              <w14:solidFill>
                <w14:schemeClr w14:val="tx1"/>
              </w14:solidFill>
            </w14:textFill>
          </w:rPr>
          <m:t>7.3.9-13</m:t>
        </m:r>
        <m:r>
          <m:rPr>
            <m:sty m:val="p"/>
          </m:rPr>
          <w:rPr>
            <w:rFonts w:hint="eastAsia" w:ascii="宋体" w:hAnsi="宋体" w:cs="宋体"/>
            <w:color w:val="000000" w:themeColor="text1"/>
            <w:kern w:val="0"/>
            <w:szCs w:val="21"/>
            <w14:textFill>
              <w14:solidFill>
                <w14:schemeClr w14:val="tx1"/>
              </w14:solidFill>
            </w14:textFill>
          </w:rPr>
          <m:t>）</m:t>
        </m:r>
      </m:oMath>
    </w:p>
    <w:p>
      <w:pPr>
        <w:autoSpaceDE w:val="0"/>
        <w:autoSpaceDN w:val="0"/>
        <w:spacing w:line="360" w:lineRule="auto"/>
        <w:ind w:firstLine="0" w:firstLineChars="0"/>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式中：</w:t>
      </w:r>
      <w:bookmarkStart w:id="133" w:name="_Hlk24682743"/>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A</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s</m:t>
            </m:r>
            <w:bookmarkEnd w:id="133"/>
            <m:ctrlPr>
              <w:rPr>
                <w:rFonts w:ascii="Cambria Math" w:hAnsi="Cambria Math" w:cs="宋体"/>
                <w:i/>
                <w:iCs/>
                <w:color w:val="000000" w:themeColor="text1"/>
                <w:kern w:val="0"/>
                <w:szCs w:val="21"/>
                <w14:textFill>
                  <w14:solidFill>
                    <w14:schemeClr w14:val="tx1"/>
                  </w14:solidFill>
                </w14:textFill>
              </w:rPr>
            </m:ctrlPr>
          </m:sub>
        </m:sSub>
      </m:oMath>
      <w:r>
        <w:rPr>
          <w:rFonts w:ascii="宋体" w:hAnsi="宋体" w:cs="宋体"/>
          <w:iCs/>
          <w:color w:val="000000" w:themeColor="text1"/>
          <w:kern w:val="0"/>
          <w:szCs w:val="21"/>
          <w14:textFill>
            <w14:solidFill>
              <w14:schemeClr w14:val="tx1"/>
            </w14:solidFill>
          </w14:textFill>
        </w:rPr>
        <w:t>——</w:t>
      </w:r>
      <w:r>
        <w:rPr>
          <w:rFonts w:hint="eastAsia" w:ascii="宋体" w:hAnsi="宋体" w:cs="宋体"/>
          <w:iCs/>
          <w:color w:val="000000" w:themeColor="text1"/>
          <w:kern w:val="0"/>
          <w:szCs w:val="21"/>
          <w14:textFill>
            <w14:solidFill>
              <w14:schemeClr w14:val="tx1"/>
            </w14:solidFill>
          </w14:textFill>
        </w:rPr>
        <w:t>锚筋总截面面积；</w:t>
      </w:r>
    </w:p>
    <w:p>
      <w:pPr>
        <w:autoSpaceDE w:val="0"/>
        <w:autoSpaceDN w:val="0"/>
        <w:spacing w:line="360" w:lineRule="auto"/>
        <w:ind w:left="1260" w:leftChars="300" w:hanging="630" w:hangingChars="300"/>
        <w:jc w:val="left"/>
        <w:rPr>
          <w:rFonts w:ascii="宋体" w:hAnsi="宋体" w:cs="宋体"/>
          <w:iCs/>
          <w:color w:val="000000" w:themeColor="text1"/>
          <w:kern w:val="0"/>
          <w:szCs w:val="21"/>
          <w14:textFill>
            <w14:solidFill>
              <w14:schemeClr w14:val="tx1"/>
            </w14:solidFill>
          </w14:textFill>
        </w:rPr>
      </w:pPr>
      <m:oMath>
        <m:sSub>
          <w:bookmarkStart w:id="134" w:name="_Hlk24682580"/>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A</m:t>
            </m:r>
            <m:ctrlPr>
              <w:rPr>
                <w:rFonts w:ascii="Cambria Math" w:hAnsi="Cambria Math" w:cs="宋体"/>
                <w:i/>
                <w:iCs/>
                <w:color w:val="000000" w:themeColor="text1"/>
                <w:kern w:val="0"/>
                <w:szCs w:val="21"/>
                <w14:textFill>
                  <w14:solidFill>
                    <w14:schemeClr w14:val="tx1"/>
                  </w14:solidFill>
                </w14:textFill>
              </w:rPr>
            </m:ctrlPr>
          </m:e>
          <m:sub>
            <m:r>
              <w:rPr>
                <w:rFonts w:hint="eastAsia" w:ascii="Cambria Math" w:hAnsi="Cambria Math" w:cs="宋体"/>
                <w:color w:val="000000" w:themeColor="text1"/>
                <w:kern w:val="0"/>
                <w:szCs w:val="21"/>
                <w14:textFill>
                  <w14:solidFill>
                    <w14:schemeClr w14:val="tx1"/>
                  </w14:solidFill>
                </w14:textFill>
              </w:rPr>
              <m:t>v</m:t>
            </m:r>
            <w:bookmarkEnd w:id="134"/>
            <m:ctrlPr>
              <w:rPr>
                <w:rFonts w:ascii="Cambria Math" w:hAnsi="Cambria Math" w:cs="宋体"/>
                <w:i/>
                <w:iCs/>
                <w:color w:val="000000" w:themeColor="text1"/>
                <w:kern w:val="0"/>
                <w:szCs w:val="21"/>
                <w14:textFill>
                  <w14:solidFill>
                    <w14:schemeClr w14:val="tx1"/>
                  </w14:solidFill>
                </w14:textFill>
              </w:rPr>
            </m:ctrlPr>
          </m:sub>
        </m:sSub>
      </m:oMath>
      <w:r>
        <w:rPr>
          <w:rFonts w:ascii="宋体" w:hAnsi="宋体" w:cs="宋体"/>
          <w:iCs/>
          <w:color w:val="000000" w:themeColor="text1"/>
          <w:kern w:val="0"/>
          <w:szCs w:val="21"/>
          <w14:textFill>
            <w14:solidFill>
              <w14:schemeClr w14:val="tx1"/>
            </w14:solidFill>
          </w14:textFill>
        </w:rPr>
        <w:t>——</w:t>
      </w:r>
      <w:r>
        <w:rPr>
          <w:rFonts w:hint="eastAsia" w:ascii="宋体" w:hAnsi="宋体" w:cs="宋体"/>
          <w:iCs/>
          <w:color w:val="000000" w:themeColor="text1"/>
          <w:kern w:val="0"/>
          <w:szCs w:val="21"/>
          <w14:textFill>
            <w14:solidFill>
              <w14:schemeClr w14:val="tx1"/>
            </w14:solidFill>
          </w14:textFill>
        </w:rPr>
        <w:t>抗剪钢板承压面积，</w:t>
      </w: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A</m:t>
            </m:r>
            <m:ctrlPr>
              <w:rPr>
                <w:rFonts w:ascii="Cambria Math" w:hAnsi="Cambria Math" w:cs="宋体"/>
                <w:i/>
                <w:iCs/>
                <w:color w:val="000000" w:themeColor="text1"/>
                <w:kern w:val="0"/>
                <w:szCs w:val="21"/>
                <w14:textFill>
                  <w14:solidFill>
                    <w14:schemeClr w14:val="tx1"/>
                  </w14:solidFill>
                </w14:textFill>
              </w:rPr>
            </m:ctrlPr>
          </m:e>
          <m:sub>
            <m:r>
              <w:rPr>
                <w:rFonts w:hint="eastAsia"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r>
          <w:rPr>
            <w:rFonts w:ascii="Cambria Math" w:hAnsi="Cambria Math" w:cs="宋体"/>
            <w:color w:val="000000" w:themeColor="text1"/>
            <w:kern w:val="0"/>
            <w:szCs w:val="21"/>
            <w14:textFill>
              <w14:solidFill>
                <w14:schemeClr w14:val="tx1"/>
              </w14:solidFill>
            </w14:textFill>
          </w:rPr>
          <m:t>=</m:t>
        </m:r>
        <m:sSub>
          <w:bookmarkStart w:id="135" w:name="_Hlk24682625"/>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h</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l</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v</m:t>
            </m:r>
            <w:bookmarkEnd w:id="135"/>
            <m:ctrlPr>
              <w:rPr>
                <w:rFonts w:ascii="Cambria Math" w:hAnsi="Cambria Math" w:cs="宋体"/>
                <w:i/>
                <w:iCs/>
                <w:color w:val="000000" w:themeColor="text1"/>
                <w:kern w:val="0"/>
                <w:szCs w:val="21"/>
                <w14:textFill>
                  <w14:solidFill>
                    <w14:schemeClr w14:val="tx1"/>
                  </w14:solidFill>
                </w14:textFill>
              </w:rPr>
            </m:ctrlPr>
          </m:sub>
        </m:sSub>
      </m:oMath>
      <w:r>
        <w:rPr>
          <w:rFonts w:hint="eastAsia" w:ascii="宋体" w:hAnsi="宋体" w:cs="宋体"/>
          <w:iCs/>
          <w:color w:val="000000" w:themeColor="text1"/>
          <w:kern w:val="0"/>
          <w:szCs w:val="21"/>
          <w14:textFill>
            <w14:solidFill>
              <w14:schemeClr w14:val="tx1"/>
            </w14:solidFill>
          </w14:textFill>
        </w:rPr>
        <w:t>，此处，</w:t>
      </w:r>
      <m:oMath>
        <m:sSub>
          <w:bookmarkStart w:id="136" w:name="_Hlk24682652"/>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h</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v</m:t>
            </m:r>
            <w:bookmarkEnd w:id="136"/>
            <m:ctrlPr>
              <w:rPr>
                <w:rFonts w:ascii="Cambria Math" w:hAnsi="Cambria Math" w:cs="宋体"/>
                <w:i/>
                <w:iCs/>
                <w:color w:val="000000" w:themeColor="text1"/>
                <w:kern w:val="0"/>
                <w:szCs w:val="21"/>
                <w14:textFill>
                  <w14:solidFill>
                    <w14:schemeClr w14:val="tx1"/>
                  </w14:solidFill>
                </w14:textFill>
              </w:rPr>
            </m:ctrlPr>
          </m:sub>
        </m:sSub>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l</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oMath>
      <w:r>
        <w:rPr>
          <w:rFonts w:hint="eastAsia" w:ascii="宋体" w:hAnsi="宋体" w:cs="宋体"/>
          <w:iCs/>
          <w:color w:val="000000" w:themeColor="text1"/>
          <w:kern w:val="0"/>
          <w:szCs w:val="21"/>
          <w14:textFill>
            <w14:solidFill>
              <w14:schemeClr w14:val="tx1"/>
            </w14:solidFill>
          </w14:textFill>
        </w:rPr>
        <w:t>为抗剪钢板的高度和长度，抗剪钢板的高度</w:t>
      </w: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h</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oMath>
      <w:r>
        <w:rPr>
          <w:rFonts w:hint="eastAsia" w:ascii="宋体" w:hAnsi="宋体" w:cs="宋体"/>
          <w:iCs/>
          <w:color w:val="000000" w:themeColor="text1"/>
          <w:kern w:val="0"/>
          <w:szCs w:val="21"/>
          <w14:textFill>
            <w14:solidFill>
              <w14:schemeClr w14:val="tx1"/>
            </w14:solidFill>
          </w14:textFill>
        </w:rPr>
        <w:t>和厚度</w:t>
      </w: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t</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oMath>
      <w:r>
        <w:rPr>
          <w:rFonts w:hint="eastAsia" w:ascii="宋体" w:hAnsi="宋体" w:cs="宋体"/>
          <w:iCs/>
          <w:color w:val="000000" w:themeColor="text1"/>
          <w:kern w:val="0"/>
          <w:szCs w:val="21"/>
          <w14:textFill>
            <w14:solidFill>
              <w14:schemeClr w14:val="tx1"/>
            </w14:solidFill>
          </w14:textFill>
        </w:rPr>
        <w:t>应符合以下要求：</w:t>
      </w: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h</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oMath>
      <w:r>
        <w:rPr>
          <w:rFonts w:ascii="宋体" w:hAnsi="宋体" w:cs="宋体"/>
          <w:iCs/>
          <w:color w:val="000000" w:themeColor="text1"/>
          <w:kern w:val="0"/>
          <w:szCs w:val="21"/>
          <w14:textFill>
            <w14:solidFill>
              <w14:schemeClr w14:val="tx1"/>
            </w14:solidFill>
          </w14:textFill>
        </w:rPr>
        <w:t>≤4t</w:t>
      </w:r>
      <w:r>
        <w:rPr>
          <w:rFonts w:hint="eastAsia" w:ascii="宋体" w:hAnsi="宋体" w:cs="宋体"/>
          <w:iCs/>
          <w:color w:val="000000" w:themeColor="text1"/>
          <w:kern w:val="0"/>
          <w:szCs w:val="21"/>
          <w14:textFill>
            <w14:solidFill>
              <w14:schemeClr w14:val="tx1"/>
            </w14:solidFill>
          </w14:textFill>
        </w:rPr>
        <w:t>和5</w:t>
      </w:r>
      <w:r>
        <w:rPr>
          <w:rFonts w:ascii="宋体" w:hAnsi="宋体" w:cs="宋体"/>
          <w:iCs/>
          <w:color w:val="000000" w:themeColor="text1"/>
          <w:kern w:val="0"/>
          <w:szCs w:val="21"/>
          <w14:textFill>
            <w14:solidFill>
              <w14:schemeClr w14:val="tx1"/>
            </w14:solidFill>
          </w14:textFill>
        </w:rPr>
        <w:t>0mm</w:t>
      </w:r>
      <w:r>
        <w:rPr>
          <w:rFonts w:hint="eastAsia" w:ascii="宋体" w:hAnsi="宋体" w:cs="宋体"/>
          <w:iCs/>
          <w:color w:val="000000" w:themeColor="text1"/>
          <w:kern w:val="0"/>
          <w:szCs w:val="21"/>
          <w14:textFill>
            <w14:solidFill>
              <w14:schemeClr w14:val="tx1"/>
            </w14:solidFill>
          </w14:textFill>
        </w:rPr>
        <w:t>，</w:t>
      </w: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t</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oMath>
      <w:r>
        <w:rPr>
          <w:rFonts w:ascii="宋体" w:hAnsi="宋体" w:cs="宋体"/>
          <w:iCs/>
          <w:color w:val="000000" w:themeColor="text1"/>
          <w:kern w:val="0"/>
          <w:szCs w:val="21"/>
          <w14:textFill>
            <w14:solidFill>
              <w14:schemeClr w14:val="tx1"/>
            </w14:solidFill>
          </w14:textFill>
        </w:rPr>
        <w:t>≥65mm</w:t>
      </w:r>
      <w:r>
        <w:rPr>
          <w:rFonts w:hint="eastAsia" w:ascii="宋体" w:hAnsi="宋体" w:cs="宋体"/>
          <w:iCs/>
          <w:color w:val="000000" w:themeColor="text1"/>
          <w:kern w:val="0"/>
          <w:szCs w:val="21"/>
          <w14:textFill>
            <w14:solidFill>
              <w14:schemeClr w14:val="tx1"/>
            </w14:solidFill>
          </w14:textFill>
        </w:rPr>
        <w:t>；</w:t>
      </w:r>
    </w:p>
    <w:p>
      <w:pPr>
        <w:autoSpaceDE w:val="0"/>
        <w:autoSpaceDN w:val="0"/>
        <w:spacing w:line="360" w:lineRule="auto"/>
        <w:ind w:firstLine="619" w:firstLineChars="295"/>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V</w:t>
      </w:r>
      <w:r>
        <w:rPr>
          <w:rFonts w:ascii="宋体" w:hAnsi="宋体" w:cs="宋体"/>
          <w:iCs/>
          <w:color w:val="000000" w:themeColor="text1"/>
          <w:kern w:val="0"/>
          <w:szCs w:val="21"/>
          <w14:textFill>
            <w14:solidFill>
              <w14:schemeClr w14:val="tx1"/>
            </w14:solidFill>
          </w14:textFill>
        </w:rPr>
        <w:t>——</w:t>
      </w:r>
      <w:r>
        <w:rPr>
          <w:rFonts w:hint="eastAsia" w:ascii="宋体" w:hAnsi="宋体" w:cs="宋体"/>
          <w:iCs/>
          <w:color w:val="000000" w:themeColor="text1"/>
          <w:kern w:val="0"/>
          <w:szCs w:val="21"/>
          <w14:textFill>
            <w14:solidFill>
              <w14:schemeClr w14:val="tx1"/>
            </w14:solidFill>
          </w14:textFill>
        </w:rPr>
        <w:t>剪力设计值；</w:t>
      </w:r>
    </w:p>
    <w:p>
      <w:pPr>
        <w:autoSpaceDE w:val="0"/>
        <w:autoSpaceDN w:val="0"/>
        <w:spacing w:line="360" w:lineRule="auto"/>
        <w:ind w:firstLine="619" w:firstLineChars="295"/>
        <w:jc w:val="left"/>
        <w:rPr>
          <w:rFonts w:ascii="宋体" w:hAnsi="宋体" w:cs="宋体"/>
          <w:iCs/>
          <w:color w:val="000000" w:themeColor="text1"/>
          <w:kern w:val="0"/>
          <w:szCs w:val="21"/>
          <w14:textFill>
            <w14:solidFill>
              <w14:schemeClr w14:val="tx1"/>
            </w14:solidFill>
          </w14:textFill>
        </w:rPr>
      </w:pP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e>
          <m:sub>
            <m:r>
              <w:rPr>
                <w:rFonts w:ascii="Cambria Math" w:hAnsi="Cambria Math" w:cs="宋体"/>
                <w:color w:val="000000" w:themeColor="text1"/>
                <w:kern w:val="0"/>
                <w:szCs w:val="21"/>
                <w14:textFill>
                  <w14:solidFill>
                    <w14:schemeClr w14:val="tx1"/>
                  </w14:solidFill>
                </w14:textFill>
              </w:rPr>
              <m:t>s</m:t>
            </m:r>
            <m:ctrlPr>
              <w:rPr>
                <w:rFonts w:ascii="Cambria Math" w:hAnsi="Cambria Math" w:cs="宋体"/>
                <w:i/>
                <w:iCs/>
                <w:color w:val="000000" w:themeColor="text1"/>
                <w:kern w:val="0"/>
                <w:szCs w:val="21"/>
                <w14:textFill>
                  <w14:solidFill>
                    <w14:schemeClr w14:val="tx1"/>
                  </w14:solidFill>
                </w14:textFill>
              </w:rPr>
            </m:ctrlPr>
          </m:sub>
        </m:sSub>
      </m:oMath>
      <w:r>
        <w:rPr>
          <w:rFonts w:ascii="宋体" w:hAnsi="宋体" w:cs="宋体"/>
          <w:iCs/>
          <w:color w:val="000000" w:themeColor="text1"/>
          <w:kern w:val="0"/>
          <w:szCs w:val="21"/>
          <w14:textFill>
            <w14:solidFill>
              <w14:schemeClr w14:val="tx1"/>
            </w14:solidFill>
          </w14:textFill>
        </w:rPr>
        <w:t>——</w:t>
      </w:r>
      <w:r>
        <w:rPr>
          <w:rFonts w:hint="eastAsia" w:ascii="宋体" w:hAnsi="宋体" w:cs="宋体"/>
          <w:iCs/>
          <w:color w:val="000000" w:themeColor="text1"/>
          <w:kern w:val="0"/>
          <w:szCs w:val="21"/>
          <w14:textFill>
            <w14:solidFill>
              <w14:schemeClr w14:val="tx1"/>
            </w14:solidFill>
          </w14:textFill>
        </w:rPr>
        <w:t>锚筋承担的剪力设计值；</w:t>
      </w:r>
    </w:p>
    <w:p>
      <w:pPr>
        <w:autoSpaceDE w:val="0"/>
        <w:autoSpaceDN w:val="0"/>
        <w:spacing w:line="360" w:lineRule="auto"/>
        <w:ind w:firstLine="619" w:firstLineChars="295"/>
        <w:jc w:val="left"/>
        <w:rPr>
          <w:rFonts w:ascii="宋体" w:hAnsi="宋体" w:cs="宋体"/>
          <w:iCs/>
          <w:color w:val="000000" w:themeColor="text1"/>
          <w:kern w:val="0"/>
          <w:szCs w:val="21"/>
          <w14:textFill>
            <w14:solidFill>
              <w14:schemeClr w14:val="tx1"/>
            </w14:solidFill>
          </w14:textFill>
        </w:rPr>
      </w:pPr>
      <m:oMath>
        <m:sSub>
          <m:sSubPr>
            <m:ctrlPr>
              <w:rPr>
                <w:rFonts w:ascii="Cambria Math" w:hAnsi="Cambria Math" w:cs="宋体"/>
                <w:i/>
                <w:iCs/>
                <w:color w:val="000000" w:themeColor="text1"/>
                <w:kern w:val="0"/>
                <w:szCs w:val="21"/>
                <w14:textFill>
                  <w14:solidFill>
                    <w14:schemeClr w14:val="tx1"/>
                  </w14:solidFill>
                </w14:textFill>
              </w:rPr>
            </m:ctrlPr>
          </m:sSubPr>
          <m:e>
            <m:r>
              <w:rPr>
                <w:rFonts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e>
          <m:sub>
            <m:r>
              <w:rPr>
                <w:rFonts w:hint="eastAsia" w:ascii="Cambria Math" w:hAnsi="Cambria Math" w:cs="宋体"/>
                <w:color w:val="000000" w:themeColor="text1"/>
                <w:kern w:val="0"/>
                <w:szCs w:val="21"/>
                <w14:textFill>
                  <w14:solidFill>
                    <w14:schemeClr w14:val="tx1"/>
                  </w14:solidFill>
                </w14:textFill>
              </w:rPr>
              <m:t>v</m:t>
            </m:r>
            <m:ctrlPr>
              <w:rPr>
                <w:rFonts w:ascii="Cambria Math" w:hAnsi="Cambria Math" w:cs="宋体"/>
                <w:i/>
                <w:iCs/>
                <w:color w:val="000000" w:themeColor="text1"/>
                <w:kern w:val="0"/>
                <w:szCs w:val="21"/>
                <w14:textFill>
                  <w14:solidFill>
                    <w14:schemeClr w14:val="tx1"/>
                  </w14:solidFill>
                </w14:textFill>
              </w:rPr>
            </m:ctrlPr>
          </m:sub>
        </m:sSub>
      </m:oMath>
      <w:r>
        <w:rPr>
          <w:rFonts w:ascii="宋体" w:hAnsi="宋体" w:cs="宋体"/>
          <w:iCs/>
          <w:color w:val="000000" w:themeColor="text1"/>
          <w:kern w:val="0"/>
          <w:szCs w:val="21"/>
          <w14:textFill>
            <w14:solidFill>
              <w14:schemeClr w14:val="tx1"/>
            </w14:solidFill>
          </w14:textFill>
        </w:rPr>
        <w:t>——</w:t>
      </w:r>
      <w:r>
        <w:rPr>
          <w:rFonts w:hint="eastAsia" w:ascii="宋体" w:hAnsi="宋体" w:cs="宋体"/>
          <w:iCs/>
          <w:color w:val="000000" w:themeColor="text1"/>
          <w:kern w:val="0"/>
          <w:szCs w:val="21"/>
          <w14:textFill>
            <w14:solidFill>
              <w14:schemeClr w14:val="tx1"/>
            </w14:solidFill>
          </w14:textFill>
        </w:rPr>
        <w:t>抗剪钢板垂直于版面承担的剪力设计值。</w:t>
      </w:r>
    </w:p>
    <w:p>
      <w:pPr>
        <w:autoSpaceDE w:val="0"/>
        <w:autoSpaceDN w:val="0"/>
        <w:spacing w:line="360" w:lineRule="auto"/>
        <w:ind w:firstLine="420"/>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当</w:t>
      </w:r>
      <w:r>
        <w:rPr>
          <w:rFonts w:ascii="宋体" w:hAnsi="宋体" w:cs="宋体"/>
          <w:iCs/>
          <w:color w:val="000000" w:themeColor="text1"/>
          <w:kern w:val="0"/>
          <w:szCs w:val="21"/>
          <w14:textFill>
            <w14:solidFill>
              <w14:schemeClr w14:val="tx1"/>
            </w14:solidFill>
          </w14:textFill>
        </w:rPr>
        <w:t>V≤0.3N</w:t>
      </w:r>
      <w:r>
        <w:rPr>
          <w:rFonts w:hint="eastAsia" w:ascii="宋体" w:hAnsi="宋体" w:cs="宋体"/>
          <w:iCs/>
          <w:color w:val="000000" w:themeColor="text1"/>
          <w:kern w:val="0"/>
          <w:szCs w:val="21"/>
          <w14:textFill>
            <w14:solidFill>
              <w14:schemeClr w14:val="tx1"/>
            </w14:solidFill>
          </w14:textFill>
        </w:rPr>
        <w:t>时，锚筋及抗剪钢板的面积均可按构造确定。</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7.3.10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交叉支撑与柱</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接端</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处预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筋或</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总</w:t>
      </w:r>
      <w:r>
        <w:rPr>
          <w:rFonts w:hint="eastAsia" w:cs="MS Mincho" w:asciiTheme="minorEastAsia" w:hAnsiTheme="minorEastAsia"/>
          <w:color w:val="000000" w:themeColor="text1"/>
          <w:kern w:val="0"/>
          <w:szCs w:val="21"/>
          <w14:textFill>
            <w14:solidFill>
              <w14:schemeClr w14:val="tx1"/>
            </w14:solidFill>
          </w14:textFill>
        </w:rPr>
        <w:t>截面面</w:t>
      </w:r>
      <w:r>
        <w:rPr>
          <w:rFonts w:hint="eastAsia" w:cs="宋体" w:asciiTheme="minorEastAsia" w:hAnsiTheme="minorEastAsia"/>
          <w:color w:val="000000" w:themeColor="text1"/>
          <w:kern w:val="0"/>
          <w:szCs w:val="21"/>
          <w14:textFill>
            <w14:solidFill>
              <w14:schemeClr w14:val="tx1"/>
            </w14:solidFill>
          </w14:textFill>
        </w:rPr>
        <w:t>积</w:t>
      </w:r>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s</m:t>
            </m:r>
            <m:ctrlPr>
              <w:rPr>
                <w:rFonts w:ascii="Cambria Math" w:hAnsi="Cambria Math" w:eastAsia="Cambria Math" w:cs="Cambria Math"/>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按下列公式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7.3</w:t>
      </w:r>
      <w:r>
        <w:rPr>
          <w:rFonts w:hint="eastAsia" w:cs="HiddenHorzOCR" w:asciiTheme="minorEastAsia" w:hAnsiTheme="minorEastAsia"/>
          <w:color w:val="000000" w:themeColor="text1"/>
          <w:kern w:val="0"/>
          <w:szCs w:val="21"/>
          <w14:textFill>
            <w14:solidFill>
              <w14:schemeClr w14:val="tx1"/>
            </w14:solidFill>
          </w14:textFill>
        </w:rPr>
        <w:t>.10</w:t>
      </w: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ascii="宋体" w:hAnsi="宋体" w:cs="宋体"/>
          <w:i/>
          <w:color w:val="000000" w:themeColor="text1"/>
          <w:kern w:val="0"/>
          <w:szCs w:val="21"/>
          <w14:textFill>
            <w14:solidFill>
              <w14:schemeClr w14:val="tx1"/>
            </w14:solidFill>
          </w14:textFill>
        </w:rPr>
      </w:pPr>
      <w:bookmarkStart w:id="137" w:name="_Hlk44761315"/>
      <m:oMathPara>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A</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s</m:t>
              </m:r>
              <w:bookmarkEnd w:id="137"/>
              <m:ctrlPr>
                <w:rPr>
                  <w:rFonts w:ascii="Cambria Math" w:hAnsi="Cambria Math" w:eastAsia="Cambria Math" w:cs="Cambria Math"/>
                  <w:i/>
                  <w:color w:val="000000" w:themeColor="text1"/>
                  <w:kern w:val="0"/>
                  <w:szCs w:val="21"/>
                  <w14:textFill>
                    <w14:solidFill>
                      <w14:schemeClr w14:val="tx1"/>
                    </w14:solidFill>
                  </w14:textFill>
                </w:rPr>
              </m:ctrlPr>
            </m:sub>
          </m:sSub>
          <m:r>
            <w:rPr>
              <w:rFonts w:ascii="Cambria Math" w:hAnsi="Cambria Math" w:eastAsia="Cambria Math" w:cs="Cambria Math"/>
              <w:color w:val="000000" w:themeColor="text1"/>
              <w:kern w:val="0"/>
              <w:szCs w:val="21"/>
              <w14:textFill>
                <w14:solidFill>
                  <w14:schemeClr w14:val="tx1"/>
                </w14:solidFill>
              </w14:textFill>
            </w:rPr>
            <m:t>≥</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γ</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RE</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eastAsia="Cambria Math" w:cs="Cambria Math"/>
              <w:color w:val="000000" w:themeColor="text1"/>
              <w:kern w:val="0"/>
              <w:szCs w:val="21"/>
              <w14:textFill>
                <w14:solidFill>
                  <w14:schemeClr w14:val="tx1"/>
                </w14:solidFill>
              </w14:textFill>
            </w:rPr>
            <m:t>N</m:t>
          </m:r>
          <m:d>
            <m:dPr>
              <m:ctrlPr>
                <w:rPr>
                  <w:rFonts w:ascii="Cambria Math" w:hAnsi="Cambria Math" w:eastAsia="Cambria Math" w:cs="Cambria Math"/>
                  <w:i/>
                  <w:color w:val="000000" w:themeColor="text1"/>
                  <w:kern w:val="0"/>
                  <w:szCs w:val="21"/>
                  <w14:textFill>
                    <w14:solidFill>
                      <w14:schemeClr w14:val="tx1"/>
                    </w14:solidFill>
                  </w14:textFill>
                </w:rPr>
              </m:ctrlPr>
            </m:dPr>
            <m:e>
              <m:f>
                <m:fPr>
                  <m:ctrlPr>
                    <w:rPr>
                      <w:rFonts w:ascii="Cambria Math" w:hAnsi="Cambria Math" w:eastAsia="Cambria Math" w:cs="Cambria Math"/>
                      <w:i/>
                      <w:color w:val="000000" w:themeColor="text1"/>
                      <w:kern w:val="0"/>
                      <w:szCs w:val="21"/>
                      <w14:textFill>
                        <w14:solidFill>
                          <w14:schemeClr w14:val="tx1"/>
                        </w14:solidFill>
                      </w14:textFill>
                    </w:rPr>
                  </m:ctrlPr>
                </m:fPr>
                <m:num>
                  <m:r>
                    <w:rPr>
                      <w:rFonts w:ascii="Cambria Math" w:hAnsi="Cambria Math" w:cs="Cambria Math"/>
                      <w:color w:val="000000" w:themeColor="text1"/>
                      <w:kern w:val="0"/>
                      <w:szCs w:val="21"/>
                      <w14:textFill>
                        <w14:solidFill>
                          <w14:schemeClr w14:val="tx1"/>
                        </w14:solidFill>
                      </w14:textFill>
                    </w:rPr>
                    <m:t>cosθ</m:t>
                  </m:r>
                  <m:ctrlPr>
                    <w:rPr>
                      <w:rFonts w:ascii="Cambria Math" w:hAnsi="Cambria Math" w:eastAsia="Cambria Math" w:cs="Cambria Math"/>
                      <w:i/>
                      <w:color w:val="000000" w:themeColor="text1"/>
                      <w:kern w:val="0"/>
                      <w:szCs w:val="21"/>
                      <w14:textFill>
                        <w14:solidFill>
                          <w14:schemeClr w14:val="tx1"/>
                        </w14:solidFill>
                      </w14:textFill>
                    </w:rPr>
                  </m:ctrlPr>
                </m:num>
                <m:den>
                  <m:r>
                    <w:rPr>
                      <w:rFonts w:ascii="Cambria Math" w:hAnsi="Cambria Math" w:eastAsia="Cambria Math" w:cs="Cambria Math"/>
                      <w:color w:val="000000" w:themeColor="text1"/>
                      <w:kern w:val="0"/>
                      <w:szCs w:val="21"/>
                      <w14:textFill>
                        <w14:solidFill>
                          <w14:schemeClr w14:val="tx1"/>
                        </w14:solidFill>
                      </w14:textFill>
                    </w:rPr>
                    <m:t>0.64</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b</m:t>
                      </m:r>
                      <m:ctrlPr>
                        <w:rPr>
                          <w:rFonts w:ascii="Cambria Math" w:hAnsi="Cambria Math" w:cs="HiddenHorzOCR"/>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ψ</m:t>
                  </m:r>
                  <m:sSub>
                    <m:sSubPr>
                      <m:ctrlPr>
                        <w:rPr>
                          <w:rFonts w:ascii="Cambria Math" w:hAnsi="Cambria Math" w:eastAsia="楷体_GB2312" w:cs="Calibri"/>
                          <w:color w:val="000000" w:themeColor="text1"/>
                          <w:kern w:val="0"/>
                          <w:szCs w:val="21"/>
                          <w14:textFill>
                            <w14:solidFill>
                              <w14:schemeClr w14:val="tx1"/>
                            </w14:solidFill>
                          </w14:textFill>
                        </w:rPr>
                      </m:ctrlPr>
                    </m:sSub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y</m:t>
                      </m:r>
                      <m:ctrlPr>
                        <w:rPr>
                          <w:rFonts w:ascii="Cambria Math" w:hAnsi="Cambria Math" w:eastAsia="楷体_GB2312" w:cs="Calibri"/>
                          <w:color w:val="000000" w:themeColor="text1"/>
                          <w:kern w:val="0"/>
                          <w:szCs w:val="21"/>
                          <w14:textFill>
                            <w14:solidFill>
                              <w14:schemeClr w14:val="tx1"/>
                            </w14:solidFill>
                          </w14:textFill>
                        </w:rPr>
                      </m:ctrlPr>
                    </m:sub>
                  </m:sSub>
                  <m:ctrlPr>
                    <w:rPr>
                      <w:rFonts w:ascii="Cambria Math" w:hAnsi="Cambria Math" w:eastAsia="Cambria Math" w:cs="Cambria Math"/>
                      <w:i/>
                      <w:color w:val="000000" w:themeColor="text1"/>
                      <w:kern w:val="0"/>
                      <w:szCs w:val="21"/>
                      <w14:textFill>
                        <w14:solidFill>
                          <w14:schemeClr w14:val="tx1"/>
                        </w14:solidFill>
                      </w14:textFill>
                    </w:rPr>
                  </m:ctrlPr>
                </m:den>
              </m:f>
              <m:r>
                <w:rPr>
                  <w:rFonts w:ascii="Cambria Math" w:hAnsi="Cambria Math" w:eastAsia="Cambria Math" w:cs="Cambria Math"/>
                  <w:color w:val="000000" w:themeColor="text1"/>
                  <w:kern w:val="0"/>
                  <w:szCs w:val="21"/>
                  <w14:textFill>
                    <w14:solidFill>
                      <w14:schemeClr w14:val="tx1"/>
                    </w14:solidFill>
                  </w14:textFill>
                </w:rPr>
                <m:t>+</m:t>
              </m:r>
              <m:f>
                <m:fPr>
                  <m:ctrlPr>
                    <w:rPr>
                      <w:rFonts w:ascii="Cambria Math" w:hAnsi="Cambria Math" w:eastAsia="Cambria Math" w:cs="Cambria Math"/>
                      <w:i/>
                      <w:color w:val="000000" w:themeColor="text1"/>
                      <w:kern w:val="0"/>
                      <w:szCs w:val="21"/>
                      <w14:textFill>
                        <w14:solidFill>
                          <w14:schemeClr w14:val="tx1"/>
                        </w14:solidFill>
                      </w14:textFill>
                    </w:rPr>
                  </m:ctrlPr>
                </m:fPr>
                <m:num>
                  <m:r>
                    <w:rPr>
                      <w:rFonts w:ascii="Cambria Math" w:hAnsi="Cambria Math" w:eastAsia="Cambria Math" w:cs="Cambria Math"/>
                      <w:color w:val="000000" w:themeColor="text1"/>
                      <w:kern w:val="0"/>
                      <w:szCs w:val="21"/>
                      <w14:textFill>
                        <w14:solidFill>
                          <w14:schemeClr w14:val="tx1"/>
                        </w14:solidFill>
                      </w14:textFill>
                    </w:rPr>
                    <m:t>sinθ</m:t>
                  </m:r>
                  <m:ctrlPr>
                    <w:rPr>
                      <w:rFonts w:ascii="Cambria Math" w:hAnsi="Cambria Math" w:eastAsia="Cambria Math" w:cs="Cambria Math"/>
                      <w:i/>
                      <w:color w:val="000000" w:themeColor="text1"/>
                      <w:kern w:val="0"/>
                      <w:szCs w:val="21"/>
                      <w14:textFill>
                        <w14:solidFill>
                          <w14:schemeClr w14:val="tx1"/>
                        </w14:solidFill>
                      </w14:textFill>
                    </w:rPr>
                  </m:ctrlPr>
                </m:num>
                <m:den>
                  <m:r>
                    <w:rPr>
                      <w:rFonts w:ascii="Cambria Math" w:hAnsi="Cambria Math" w:eastAsia="Cambria Math" w:cs="Cambria Math"/>
                      <w:color w:val="000000" w:themeColor="text1"/>
                      <w:kern w:val="0"/>
                      <w:szCs w:val="21"/>
                      <w14:textFill>
                        <w14:solidFill>
                          <w14:schemeClr w14:val="tx1"/>
                        </w14:solidFill>
                      </w14:textFill>
                    </w:rPr>
                    <m:t>0.8</m:t>
                  </m:r>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r</m:t>
                      </m:r>
                      <m:ctrlPr>
                        <w:rPr>
                          <w:rFonts w:ascii="Cambria Math" w:hAnsi="Cambria Math" w:cs="HiddenHorzOCR"/>
                          <w:color w:val="000000" w:themeColor="text1"/>
                          <w:kern w:val="0"/>
                          <w:szCs w:val="21"/>
                          <w14:textFill>
                            <w14:solidFill>
                              <w14:schemeClr w14:val="tx1"/>
                            </w14:solidFill>
                          </w14:textFill>
                        </w:rPr>
                      </m:ctrlPr>
                    </m:sub>
                  </m:sSub>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color w:val="000000" w:themeColor="text1"/>
                          <w:kern w:val="0"/>
                          <w:szCs w:val="21"/>
                          <w14:textFill>
                            <w14:solidFill>
                              <w14:schemeClr w14:val="tx1"/>
                            </w14:solidFill>
                          </w14:textFill>
                        </w:rPr>
                      </m:ctrlPr>
                    </m:sub>
                  </m:sSub>
                  <m:sSub>
                    <w:bookmarkStart w:id="138" w:name="_Hlk23924785"/>
                    <m:sSubPr>
                      <m:ctrlPr>
                        <w:rPr>
                          <w:rFonts w:ascii="Cambria Math" w:hAnsi="Cambria Math" w:eastAsia="楷体_GB2312" w:cs="Calibri"/>
                          <w:color w:val="000000" w:themeColor="text1"/>
                          <w:kern w:val="0"/>
                          <w:szCs w:val="21"/>
                          <w14:textFill>
                            <w14:solidFill>
                              <w14:schemeClr w14:val="tx1"/>
                            </w14:solidFill>
                          </w14:textFill>
                        </w:rPr>
                      </m:ctrlPr>
                    </m:sSubPr>
                    <m:e>
                      <m:r>
                        <m:rPr>
                          <m:sty m:val="p"/>
                        </m:rPr>
                        <w:rPr>
                          <w:rFonts w:ascii="Cambria Math" w:hAnsi="Cambria Math" w:eastAsia="楷体_GB2312" w:cs="Calibri"/>
                          <w:color w:val="000000" w:themeColor="text1"/>
                          <w:kern w:val="0"/>
                          <w:szCs w:val="21"/>
                          <w14:textFill>
                            <w14:solidFill>
                              <w14:schemeClr w14:val="tx1"/>
                            </w14:solidFill>
                          </w14:textFill>
                        </w:rPr>
                        <m:t>ƒ</m:t>
                      </m:r>
                      <w:bookmarkEnd w:id="138"/>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y</m:t>
                      </m:r>
                      <m:ctrlPr>
                        <w:rPr>
                          <w:rFonts w:ascii="Cambria Math" w:hAnsi="Cambria Math" w:eastAsia="楷体_GB2312" w:cs="Calibri"/>
                          <w:color w:val="000000" w:themeColor="text1"/>
                          <w:kern w:val="0"/>
                          <w:szCs w:val="21"/>
                          <w14:textFill>
                            <w14:solidFill>
                              <w14:schemeClr w14:val="tx1"/>
                            </w14:solidFill>
                          </w14:textFill>
                        </w:rPr>
                      </m:ctrlPr>
                    </m:sub>
                  </m:sSub>
                  <m:ctrlPr>
                    <w:rPr>
                      <w:rFonts w:ascii="Cambria Math" w:hAnsi="Cambria Math" w:eastAsia="Cambria Math" w:cs="Cambria Math"/>
                      <w:i/>
                      <w:color w:val="000000" w:themeColor="text1"/>
                      <w:kern w:val="0"/>
                      <w:szCs w:val="21"/>
                      <w14:textFill>
                        <w14:solidFill>
                          <w14:schemeClr w14:val="tx1"/>
                        </w14:solidFill>
                      </w14:textFill>
                    </w:rPr>
                  </m:ctrlPr>
                </m:den>
              </m:f>
              <m:ctrlPr>
                <w:rPr>
                  <w:rFonts w:ascii="Cambria Math" w:hAnsi="Cambria Math" w:eastAsia="Cambria Math" w:cs="Cambria Math"/>
                  <w:i/>
                  <w:color w:val="000000" w:themeColor="text1"/>
                  <w:kern w:val="0"/>
                  <w:szCs w:val="21"/>
                  <w14:textFill>
                    <w14:solidFill>
                      <w14:schemeClr w14:val="tx1"/>
                    </w14:solidFill>
                  </w14:textFill>
                </w:rPr>
              </m:ctrlPr>
            </m:e>
          </m:d>
          <m:r>
            <w:rPr>
              <w:rFonts w:ascii="Cambria Math" w:hAnsi="宋体" w:cs="宋体"/>
              <w:color w:val="000000" w:themeColor="text1"/>
              <w:kern w:val="0"/>
              <w:szCs w:val="21"/>
              <w14:textFill>
                <w14:solidFill>
                  <w14:schemeClr w14:val="tx1"/>
                </w14:solidFill>
              </w14:textFill>
            </w:rPr>
            <m:t xml:space="preserve">                      (7.3.10-1)</m:t>
          </m:r>
        </m:oMath>
      </m:oMathPara>
    </w:p>
    <w:p>
      <w:pPr>
        <w:autoSpaceDE w:val="0"/>
        <w:autoSpaceDN w:val="0"/>
        <w:spacing w:line="360" w:lineRule="auto"/>
        <w:ind w:firstLine="420"/>
        <w:jc w:val="left"/>
        <w:rPr>
          <w:rFonts w:ascii="宋体" w:hAnsi="宋体" w:cs="宋体"/>
          <w:i/>
          <w:color w:val="000000" w:themeColor="text1"/>
          <w:kern w:val="0"/>
          <w:szCs w:val="21"/>
          <w14:textFill>
            <w14:solidFill>
              <w14:schemeClr w14:val="tx1"/>
            </w14:solidFill>
          </w14:textFill>
        </w:rPr>
      </w:pPr>
      <m:oMathPara>
        <m:oMath>
          <m:r>
            <w:rPr>
              <w:rFonts w:ascii="Cambria Math" w:hAnsi="Cambria Math" w:eastAsia="Cambria Math" w:cs="Cambria Math"/>
              <w:color w:val="000000" w:themeColor="text1"/>
              <w:kern w:val="0"/>
              <w:szCs w:val="21"/>
              <w14:textFill>
                <w14:solidFill>
                  <w14:schemeClr w14:val="tx1"/>
                </w14:solidFill>
              </w14:textFill>
            </w:rPr>
            <m:t>ψ=</m:t>
          </m:r>
          <m:f>
            <m:fPr>
              <m:ctrlPr>
                <w:rPr>
                  <w:rFonts w:ascii="Cambria Math" w:hAnsi="Cambria Math" w:eastAsia="Cambria Math" w:cs="Cambria Math"/>
                  <w:i/>
                  <w:color w:val="000000" w:themeColor="text1"/>
                  <w:kern w:val="0"/>
                  <w:szCs w:val="21"/>
                  <w14:textFill>
                    <w14:solidFill>
                      <w14:schemeClr w14:val="tx1"/>
                    </w14:solidFill>
                  </w14:textFill>
                </w:rPr>
              </m:ctrlPr>
            </m:fPr>
            <m:num>
              <m:r>
                <w:rPr>
                  <w:rFonts w:ascii="Cambria Math" w:hAnsi="宋体" w:cs="宋体"/>
                  <w:color w:val="000000" w:themeColor="text1"/>
                  <w:kern w:val="0"/>
                  <w:szCs w:val="21"/>
                  <w14:textFill>
                    <w14:solidFill>
                      <w14:schemeClr w14:val="tx1"/>
                    </w14:solidFill>
                  </w14:textFill>
                </w:rPr>
                <m:t>1</m:t>
              </m:r>
              <m:ctrlPr>
                <w:rPr>
                  <w:rFonts w:ascii="Cambria Math" w:hAnsi="Cambria Math" w:eastAsia="Cambria Math" w:cs="Cambria Math"/>
                  <w:i/>
                  <w:color w:val="000000" w:themeColor="text1"/>
                  <w:kern w:val="0"/>
                  <w:szCs w:val="21"/>
                  <w14:textFill>
                    <w14:solidFill>
                      <w14:schemeClr w14:val="tx1"/>
                    </w14:solidFill>
                  </w14:textFill>
                </w:rPr>
              </m:ctrlPr>
            </m:num>
            <m:den>
              <m:r>
                <w:rPr>
                  <w:rFonts w:ascii="Cambria Math" w:hAnsi="Cambria Math" w:eastAsia="Cambria Math" w:cs="Cambria Math"/>
                  <w:color w:val="000000" w:themeColor="text1"/>
                  <w:kern w:val="0"/>
                  <w:szCs w:val="21"/>
                  <w14:textFill>
                    <w14:solidFill>
                      <w14:schemeClr w14:val="tx1"/>
                    </w14:solidFill>
                  </w14:textFill>
                </w:rPr>
                <m:t>1+</m:t>
              </m:r>
              <m:f>
                <m:fPr>
                  <m:ctrlPr>
                    <w:rPr>
                      <w:rFonts w:ascii="Cambria Math" w:hAnsi="Cambria Math" w:eastAsia="Cambria Math" w:cs="Cambria Math"/>
                      <w:i/>
                      <w:color w:val="000000" w:themeColor="text1"/>
                      <w:kern w:val="0"/>
                      <w:szCs w:val="21"/>
                      <w14:textFill>
                        <w14:solidFill>
                          <w14:schemeClr w14:val="tx1"/>
                        </w14:solidFill>
                      </w14:textFill>
                    </w:rPr>
                  </m:ctrlPr>
                </m:fPr>
                <m:num>
                  <m:r>
                    <w:rPr>
                      <w:rFonts w:ascii="Cambria Math" w:hAnsi="Cambria Math" w:eastAsia="Cambria Math" w:cs="Cambria Math"/>
                      <w:color w:val="000000" w:themeColor="text1"/>
                      <w:kern w:val="0"/>
                      <w:szCs w:val="21"/>
                      <w14:textFill>
                        <w14:solidFill>
                          <w14:schemeClr w14:val="tx1"/>
                        </w14:solidFill>
                      </w14:textFill>
                    </w:rPr>
                    <m:t>0.6</m:t>
                  </m:r>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e</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0</m:t>
                      </m:r>
                      <m:ctrlPr>
                        <w:rPr>
                          <w:rFonts w:ascii="Cambria Math" w:hAnsi="Cambria Math" w:eastAsia="Cambria Math" w:cs="Cambria Math"/>
                          <w:i/>
                          <w:color w:val="000000" w:themeColor="text1"/>
                          <w:kern w:val="0"/>
                          <w:szCs w:val="21"/>
                          <w14:textFill>
                            <w14:solidFill>
                              <w14:schemeClr w14:val="tx1"/>
                            </w14:solidFill>
                          </w14:textFill>
                        </w:rPr>
                      </m:ctrlPr>
                    </m:sub>
                  </m:sSub>
                  <m:ctrlPr>
                    <w:rPr>
                      <w:rFonts w:ascii="Cambria Math" w:hAnsi="Cambria Math" w:eastAsia="Cambria Math" w:cs="Cambria Math"/>
                      <w:i/>
                      <w:color w:val="000000" w:themeColor="text1"/>
                      <w:kern w:val="0"/>
                      <w:szCs w:val="21"/>
                      <w14:textFill>
                        <w14:solidFill>
                          <w14:schemeClr w14:val="tx1"/>
                        </w14:solidFill>
                      </w14:textFill>
                    </w:rPr>
                  </m:ctrlPr>
                </m:num>
                <m:den>
                  <m:sSub>
                    <m:sSubPr>
                      <m:ctrlPr>
                        <w:rPr>
                          <w:rFonts w:ascii="Cambria Math" w:hAnsi="Cambria Math" w:cs="HiddenHorzOCR"/>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r</m:t>
                      </m:r>
                      <m:ctrlPr>
                        <w:rPr>
                          <w:rFonts w:ascii="Cambria Math" w:hAnsi="Cambria Math" w:cs="HiddenHorzOCR"/>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z</m:t>
                  </m:r>
                  <m:ctrlPr>
                    <w:rPr>
                      <w:rFonts w:ascii="Cambria Math" w:hAnsi="Cambria Math" w:eastAsia="Cambria Math" w:cs="Cambria Math"/>
                      <w:i/>
                      <w:color w:val="000000" w:themeColor="text1"/>
                      <w:kern w:val="0"/>
                      <w:szCs w:val="21"/>
                      <w14:textFill>
                        <w14:solidFill>
                          <w14:schemeClr w14:val="tx1"/>
                        </w14:solidFill>
                      </w14:textFill>
                    </w:rPr>
                  </m:ctrlPr>
                </m:den>
              </m:f>
              <m:ctrlPr>
                <w:rPr>
                  <w:rFonts w:ascii="Cambria Math" w:hAnsi="Cambria Math" w:eastAsia="Cambria Math" w:cs="Cambria Math"/>
                  <w:i/>
                  <w:color w:val="000000" w:themeColor="text1"/>
                  <w:kern w:val="0"/>
                  <w:szCs w:val="21"/>
                  <w14:textFill>
                    <w14:solidFill>
                      <w14:schemeClr w14:val="tx1"/>
                    </w14:solidFill>
                  </w14:textFill>
                </w:rPr>
              </m:ctrlPr>
            </m:den>
          </m:f>
          <m:r>
            <w:rPr>
              <w:rFonts w:ascii="Cambria Math" w:hAnsi="宋体" w:cs="宋体"/>
              <w:color w:val="000000" w:themeColor="text1"/>
              <w:kern w:val="0"/>
              <w:szCs w:val="21"/>
              <w14:textFill>
                <w14:solidFill>
                  <w14:schemeClr w14:val="tx1"/>
                </w14:solidFill>
              </w14:textFill>
            </w:rPr>
            <m:t xml:space="preserve">                                                                        (7.3.10-2)</m:t>
          </m:r>
        </m:oMath>
      </m:oMathPara>
    </w:p>
    <w:p>
      <w:pPr>
        <w:autoSpaceDE w:val="0"/>
        <w:autoSpaceDN w:val="0"/>
        <w:spacing w:line="360" w:lineRule="auto"/>
        <w:ind w:firstLine="420"/>
        <w:jc w:val="center"/>
        <w:rPr>
          <w:color w:val="000000" w:themeColor="text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2266315" cy="1754505"/>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268290" cy="1755936"/>
                    </a:xfrm>
                    <a:prstGeom prst="rect">
                      <a:avLst/>
                    </a:prstGeom>
                    <a:noFill/>
                    <a:ln>
                      <a:noFill/>
                    </a:ln>
                  </pic:spPr>
                </pic:pic>
              </a:graphicData>
            </a:graphic>
          </wp:inline>
        </w:drawing>
      </w:r>
    </w:p>
    <w:p>
      <w:pPr>
        <w:autoSpaceDE w:val="0"/>
        <w:autoSpaceDN w:val="0"/>
        <w:spacing w:line="360" w:lineRule="auto"/>
        <w:ind w:firstLine="735" w:firstLineChars="35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w:t>
      </w:r>
      <w:r>
        <w:rPr>
          <w:rFonts w:cs="HiddenHorzOCR" w:asciiTheme="minorEastAsia" w:hAnsiTheme="minorEastAsia"/>
          <w:color w:val="000000" w:themeColor="text1"/>
          <w:kern w:val="0"/>
          <w:szCs w:val="21"/>
          <w14:textFill>
            <w14:solidFill>
              <w14:schemeClr w14:val="tx1"/>
            </w14:solidFill>
          </w14:textFill>
        </w:rPr>
        <w:t xml:space="preserve">7.3.10-1  </w:t>
      </w:r>
      <w:r>
        <w:rPr>
          <w:rFonts w:hint="eastAsia" w:cs="HiddenHorzOCR" w:asciiTheme="minorEastAsia" w:hAnsiTheme="minorEastAsia"/>
          <w:color w:val="000000" w:themeColor="text1"/>
          <w:kern w:val="0"/>
          <w:szCs w:val="21"/>
          <w14:textFill>
            <w14:solidFill>
              <w14:schemeClr w14:val="tx1"/>
            </w14:solidFill>
          </w14:textFill>
        </w:rPr>
        <w:t>柱间支撑端节点处预埋件</w:t>
      </w:r>
    </w:p>
    <w:p>
      <w:pPr>
        <w:autoSpaceDE w:val="0"/>
        <w:autoSpaceDN w:val="0"/>
        <w:spacing w:line="360" w:lineRule="auto"/>
        <w:ind w:firstLine="735" w:firstLineChars="35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当锚筋为钢筋时，</w:t>
      </w:r>
      <w:r>
        <w:rPr>
          <w:rFonts w:hint="eastAsia" w:ascii="宋体" w:hAnsi="宋体" w:cs="HiddenHorzOCR"/>
          <w:color w:val="000000" w:themeColor="text1"/>
          <w:kern w:val="0"/>
          <w:szCs w:val="21"/>
          <w14:textFill>
            <w14:solidFill>
              <w14:schemeClr w14:val="tx1"/>
            </w14:solidFill>
          </w14:textFill>
        </w:rPr>
        <w:t>ζ</w:t>
      </w:r>
      <w:r>
        <w:rPr>
          <w:rFonts w:hint="eastAsia" w:ascii="宋体" w:hAnsi="宋体" w:cs="HiddenHorzOCR"/>
          <w:color w:val="000000" w:themeColor="text1"/>
          <w:kern w:val="0"/>
          <w:szCs w:val="21"/>
          <w:vertAlign w:val="subscript"/>
          <w14:textFill>
            <w14:solidFill>
              <w14:schemeClr w14:val="tx1"/>
            </w14:solidFill>
          </w14:textFill>
        </w:rPr>
        <w:t>v</w:t>
      </w:r>
      <w:r>
        <w:rPr>
          <w:rFonts w:hint="eastAsia" w:ascii="宋体" w:hAnsi="宋体" w:cs="HiddenHorzOCR"/>
          <w:color w:val="000000" w:themeColor="text1"/>
          <w:kern w:val="0"/>
          <w:szCs w:val="21"/>
          <w14:textFill>
            <w14:solidFill>
              <w14:schemeClr w14:val="tx1"/>
            </w14:solidFill>
          </w14:textFill>
        </w:rPr>
        <w:t>按式（</w:t>
      </w:r>
      <w:r>
        <w:rPr>
          <w:rFonts w:ascii="宋体" w:hAnsi="宋体" w:cs="HiddenHorzOCR"/>
          <w:color w:val="000000" w:themeColor="text1"/>
          <w:kern w:val="0"/>
          <w:szCs w:val="21"/>
          <w14:textFill>
            <w14:solidFill>
              <w14:schemeClr w14:val="tx1"/>
            </w14:solidFill>
          </w14:textFill>
        </w:rPr>
        <w:t>7.3.</w:t>
      </w:r>
      <w:r>
        <w:rPr>
          <w:rFonts w:hint="eastAsia" w:ascii="宋体" w:hAnsi="宋体" w:cs="HiddenHorzOCR"/>
          <w:color w:val="000000" w:themeColor="text1"/>
          <w:kern w:val="0"/>
          <w:szCs w:val="21"/>
          <w14:textFill>
            <w14:solidFill>
              <w14:schemeClr w14:val="tx1"/>
            </w14:solidFill>
          </w14:textFill>
        </w:rPr>
        <w:t>9</w:t>
      </w:r>
      <w:r>
        <w:rPr>
          <w:rFonts w:ascii="宋体" w:hAnsi="宋体" w:cs="HiddenHorzOCR"/>
          <w:color w:val="000000" w:themeColor="text1"/>
          <w:kern w:val="0"/>
          <w:szCs w:val="21"/>
          <w14:textFill>
            <w14:solidFill>
              <w14:schemeClr w14:val="tx1"/>
            </w14:solidFill>
          </w14:textFill>
        </w:rPr>
        <w:t>-3</w:t>
      </w:r>
      <w:r>
        <w:rPr>
          <w:rFonts w:hint="eastAsia" w:ascii="宋体" w:hAnsi="宋体" w:cs="HiddenHorzOCR"/>
          <w:color w:val="000000" w:themeColor="text1"/>
          <w:kern w:val="0"/>
          <w:szCs w:val="21"/>
          <w14:textFill>
            <w14:solidFill>
              <w14:schemeClr w14:val="tx1"/>
            </w14:solidFill>
          </w14:textFill>
        </w:rPr>
        <w:t>）计算。</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当锚筋为角钢时</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Para>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m:rPr>
                  <m:sty m:val="p"/>
                </m:rPr>
                <w:rPr>
                  <w:rFonts w:hint="eastAsia" w:ascii="Cambria Math" w:hAnsi="Cambria Math" w:cs="HiddenHorzOCR"/>
                  <w:color w:val="000000" w:themeColor="text1"/>
                  <w:kern w:val="0"/>
                  <w:szCs w:val="21"/>
                  <w14:textFill>
                    <w14:solidFill>
                      <w14:schemeClr w14:val="tx1"/>
                    </w14:solidFill>
                  </w14:textFill>
                </w:rPr>
                <m:t>ζ</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=2.4</m:t>
          </m:r>
          <m:rad>
            <m:radPr>
              <m:degHide m:val="1"/>
              <m:ctrlPr>
                <w:rPr>
                  <w:rFonts w:ascii="Cambria Math" w:hAnsi="Cambria Math" w:eastAsia="Cambria Math" w:cs="HiddenHorzOCR"/>
                  <w:color w:val="000000" w:themeColor="text1"/>
                  <w:kern w:val="0"/>
                  <w:szCs w:val="21"/>
                  <w14:textFill>
                    <w14:solidFill>
                      <w14:schemeClr w14:val="tx1"/>
                    </w14:solidFill>
                  </w14:textFill>
                </w:rPr>
              </m:ctrlPr>
            </m:radPr>
            <m:deg>
              <m:ctrlPr>
                <w:rPr>
                  <w:rFonts w:ascii="Cambria Math" w:hAnsi="Cambria Math" w:eastAsia="Cambria Math" w:cs="HiddenHorzOCR"/>
                  <w:color w:val="000000" w:themeColor="text1"/>
                  <w:kern w:val="0"/>
                  <w:szCs w:val="21"/>
                  <w14:textFill>
                    <w14:solidFill>
                      <w14:schemeClr w14:val="tx1"/>
                    </w14:solidFill>
                  </w14:textFill>
                </w:rPr>
              </m:ctrlPr>
            </m:deg>
            <m:e>
              <m:f>
                <m:fPr>
                  <m:ctrlPr>
                    <w:rPr>
                      <w:rFonts w:ascii="Cambria Math" w:hAnsi="Cambria Math" w:eastAsia="Cambria Math" w:cs="HiddenHorzOCR"/>
                      <w:i/>
                      <w:color w:val="000000" w:themeColor="text1"/>
                      <w:kern w:val="0"/>
                      <w:szCs w:val="21"/>
                      <w14:textFill>
                        <w14:solidFill>
                          <w14:schemeClr w14:val="tx1"/>
                        </w14:solidFill>
                      </w14:textFill>
                    </w:rPr>
                  </m:ctrlPr>
                </m:fPr>
                <m:num>
                  <m:r>
                    <w:rPr>
                      <w:rFonts w:ascii="Cambria Math" w:hAnsi="Cambria Math" w:eastAsia="Cambria Math" w:cs="HiddenHorzOCR"/>
                      <w:color w:val="000000" w:themeColor="text1"/>
                      <w:kern w:val="0"/>
                      <w:szCs w:val="21"/>
                      <w14:textFill>
                        <w14:solidFill>
                          <w14:schemeClr w14:val="tx1"/>
                        </w14:solidFill>
                      </w14:textFill>
                    </w:rPr>
                    <m:t>c</m:t>
                  </m:r>
                  <m:ctrlPr>
                    <w:rPr>
                      <w:rFonts w:ascii="Cambria Math" w:hAnsi="Cambria Math" w:eastAsia="Cambria Math" w:cs="HiddenHorzOCR"/>
                      <w:i/>
                      <w:color w:val="000000" w:themeColor="text1"/>
                      <w:kern w:val="0"/>
                      <w:szCs w:val="21"/>
                      <w14:textFill>
                        <w14:solidFill>
                          <w14:schemeClr w14:val="tx1"/>
                        </w14:solidFill>
                      </w14:textFill>
                    </w:rPr>
                  </m:ctrlPr>
                </m:num>
                <m:den>
                  <m:r>
                    <w:rPr>
                      <w:rFonts w:ascii="Cambria Math" w:hAnsi="Cambria Math" w:eastAsia="Cambria Math" w:cs="HiddenHorzOCR"/>
                      <w:color w:val="000000" w:themeColor="text1"/>
                      <w:kern w:val="0"/>
                      <w:szCs w:val="21"/>
                      <w14:textFill>
                        <w14:solidFill>
                          <w14:schemeClr w14:val="tx1"/>
                        </w14:solidFill>
                      </w14:textFill>
                    </w:rPr>
                    <m:t>2b</m:t>
                  </m:r>
                  <m:ctrlPr>
                    <w:rPr>
                      <w:rFonts w:ascii="Cambria Math" w:hAnsi="Cambria Math" w:eastAsia="Cambria Math" w:cs="HiddenHorzOCR"/>
                      <w:i/>
                      <w:color w:val="000000" w:themeColor="text1"/>
                      <w:kern w:val="0"/>
                      <w:szCs w:val="21"/>
                      <w14:textFill>
                        <w14:solidFill>
                          <w14:schemeClr w14:val="tx1"/>
                        </w14:solidFill>
                      </w14:textFill>
                    </w:rPr>
                  </m:ctrlPr>
                </m:den>
              </m:f>
              <m:ctrlPr>
                <w:rPr>
                  <w:rFonts w:ascii="Cambria Math" w:hAnsi="Cambria Math" w:eastAsia="Cambria Math" w:cs="HiddenHorzOCR"/>
                  <w:color w:val="000000" w:themeColor="text1"/>
                  <w:kern w:val="0"/>
                  <w:szCs w:val="21"/>
                  <w14:textFill>
                    <w14:solidFill>
                      <w14:schemeClr w14:val="tx1"/>
                    </w14:solidFill>
                  </w14:textFill>
                </w:rPr>
              </m:ctrlPr>
            </m:e>
          </m:rad>
          <m:rad>
            <m:radPr>
              <m:degHide m:val="1"/>
              <m:ctrlPr>
                <w:rPr>
                  <w:rFonts w:ascii="Cambria Math" w:hAnsi="Cambria Math" w:eastAsia="Cambria Math" w:cs="HiddenHorzOCR"/>
                  <w:i/>
                  <w:color w:val="000000" w:themeColor="text1"/>
                  <w:kern w:val="0"/>
                  <w:szCs w:val="21"/>
                  <w14:textFill>
                    <w14:solidFill>
                      <w14:schemeClr w14:val="tx1"/>
                    </w14:solidFill>
                  </w14:textFill>
                </w:rPr>
              </m:ctrlPr>
            </m:radPr>
            <m:deg>
              <m:ctrlPr>
                <w:rPr>
                  <w:rFonts w:ascii="Cambria Math" w:hAnsi="Cambria Math" w:eastAsia="Cambria Math" w:cs="HiddenHorzOCR"/>
                  <w:i/>
                  <w:color w:val="000000" w:themeColor="text1"/>
                  <w:kern w:val="0"/>
                  <w:szCs w:val="21"/>
                  <w14:textFill>
                    <w14:solidFill>
                      <w14:schemeClr w14:val="tx1"/>
                    </w14:solidFill>
                  </w14:textFill>
                </w:rPr>
              </m:ctrlPr>
            </m:deg>
            <m:e>
              <m:f>
                <m:fPr>
                  <m:ctrlPr>
                    <w:rPr>
                      <w:rFonts w:ascii="Cambria Math" w:hAnsi="Cambria Math" w:eastAsia="Cambria Math" w:cs="HiddenHorzOCR"/>
                      <w:i/>
                      <w:color w:val="000000" w:themeColor="text1"/>
                      <w:kern w:val="0"/>
                      <w:szCs w:val="21"/>
                      <w14:textFill>
                        <w14:solidFill>
                          <w14:schemeClr w14:val="tx1"/>
                        </w14:solidFill>
                      </w14:textFill>
                    </w:rPr>
                  </m:ctrlPr>
                </m:fPr>
                <m:num>
                  <m:sSub>
                    <m:sSubPr>
                      <m:ctrlPr>
                        <w:rPr>
                          <w:rFonts w:ascii="Cambria Math" w:hAnsi="Cambria Math" w:eastAsia="楷体_GB2312" w:cs="Calibri"/>
                          <w:color w:val="000000" w:themeColor="text1"/>
                          <w:kern w:val="0"/>
                          <w:szCs w:val="21"/>
                          <w14:textFill>
                            <w14:solidFill>
                              <w14:schemeClr w14:val="tx1"/>
                            </w14:solidFill>
                          </w14:textFill>
                        </w:rPr>
                      </m:ctrlPr>
                    </m:sSub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c</m:t>
                      </m:r>
                      <m:ctrlPr>
                        <w:rPr>
                          <w:rFonts w:ascii="Cambria Math" w:hAnsi="Cambria Math" w:eastAsia="楷体_GB2312" w:cs="Calibri"/>
                          <w:color w:val="000000" w:themeColor="text1"/>
                          <w:kern w:val="0"/>
                          <w:szCs w:val="21"/>
                          <w14:textFill>
                            <w14:solidFill>
                              <w14:schemeClr w14:val="tx1"/>
                            </w14:solidFill>
                          </w14:textFill>
                        </w:rPr>
                      </m:ctrlPr>
                    </m:sub>
                  </m:sSub>
                  <m:ctrlPr>
                    <w:rPr>
                      <w:rFonts w:ascii="Cambria Math" w:hAnsi="Cambria Math" w:eastAsia="Cambria Math" w:cs="HiddenHorzOCR"/>
                      <w:i/>
                      <w:color w:val="000000" w:themeColor="text1"/>
                      <w:kern w:val="0"/>
                      <w:szCs w:val="21"/>
                      <w14:textFill>
                        <w14:solidFill>
                          <w14:schemeClr w14:val="tx1"/>
                        </w14:solidFill>
                      </w14:textFill>
                    </w:rPr>
                  </m:ctrlPr>
                </m:num>
                <m:den>
                  <m:sSub>
                    <m:sSubPr>
                      <m:ctrlPr>
                        <w:rPr>
                          <w:rFonts w:ascii="Cambria Math" w:hAnsi="Cambria Math" w:eastAsia="Cambria Math" w:cs="HiddenHorzOCR"/>
                          <w:i/>
                          <w:color w:val="000000" w:themeColor="text1"/>
                          <w:kern w:val="0"/>
                          <w:szCs w:val="21"/>
                          <w14:textFill>
                            <w14:solidFill>
                              <w14:schemeClr w14:val="tx1"/>
                            </w14:solidFill>
                          </w14:textFill>
                        </w:rPr>
                      </m:ctrlPr>
                    </m:sSub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Cambria Math" w:cs="HiddenHorzOCR"/>
                          <w:i/>
                          <w:color w:val="000000" w:themeColor="text1"/>
                          <w:kern w:val="0"/>
                          <w:szCs w:val="21"/>
                          <w14:textFill>
                            <w14:solidFill>
                              <w14:schemeClr w14:val="tx1"/>
                            </w14:solidFill>
                          </w14:textFill>
                        </w:rPr>
                      </m:ctrlPr>
                    </m:e>
                    <m:sub>
                      <m:r>
                        <w:rPr>
                          <w:rFonts w:ascii="Cambria Math" w:hAnsi="Cambria Math" w:eastAsia="Cambria Math" w:cs="HiddenHorzOCR"/>
                          <w:color w:val="000000" w:themeColor="text1"/>
                          <w:kern w:val="0"/>
                          <w:szCs w:val="21"/>
                          <w14:textFill>
                            <w14:solidFill>
                              <w14:schemeClr w14:val="tx1"/>
                            </w14:solidFill>
                          </w14:textFill>
                        </w:rPr>
                        <m:t>y</m:t>
                      </m:r>
                      <m:ctrlPr>
                        <w:rPr>
                          <w:rFonts w:ascii="Cambria Math" w:hAnsi="Cambria Math" w:eastAsia="Cambria Math" w:cs="HiddenHorzOCR"/>
                          <w:i/>
                          <w:color w:val="000000" w:themeColor="text1"/>
                          <w:kern w:val="0"/>
                          <w:szCs w:val="21"/>
                          <w14:textFill>
                            <w14:solidFill>
                              <w14:schemeClr w14:val="tx1"/>
                            </w14:solidFill>
                          </w14:textFill>
                        </w:rPr>
                      </m:ctrlPr>
                    </m:sub>
                  </m:sSub>
                  <m:ctrlPr>
                    <w:rPr>
                      <w:rFonts w:ascii="Cambria Math" w:hAnsi="Cambria Math" w:eastAsia="Cambria Math" w:cs="HiddenHorzOCR"/>
                      <w:i/>
                      <w:color w:val="000000" w:themeColor="text1"/>
                      <w:kern w:val="0"/>
                      <w:szCs w:val="21"/>
                      <w14:textFill>
                        <w14:solidFill>
                          <w14:schemeClr w14:val="tx1"/>
                        </w14:solidFill>
                      </w14:textFill>
                    </w:rPr>
                  </m:ctrlPr>
                </m:den>
              </m:f>
              <m:r>
                <w:rPr>
                  <w:rFonts w:ascii="Cambria Math" w:hAnsi="Cambria Math" w:eastAsia="Cambria Math" w:cs="HiddenHorzOCR"/>
                  <w:color w:val="000000" w:themeColor="text1"/>
                  <w:kern w:val="0"/>
                  <w:szCs w:val="21"/>
                  <w14:textFill>
                    <w14:solidFill>
                      <w14:schemeClr w14:val="tx1"/>
                    </w14:solidFill>
                  </w14:textFill>
                </w:rPr>
                <m:t xml:space="preserve"> </m:t>
              </m:r>
              <m:r>
                <w:rPr>
                  <w:rFonts w:ascii="Cambria Math" w:hAnsi="Cambria Math" w:cs="宋体"/>
                  <w:color w:val="000000" w:themeColor="text1"/>
                  <w:kern w:val="0"/>
                  <w:szCs w:val="21"/>
                  <w14:textFill>
                    <w14:solidFill>
                      <w14:schemeClr w14:val="tx1"/>
                    </w14:solidFill>
                  </w14:textFill>
                </w:rPr>
                <m:t xml:space="preserve"> </m:t>
              </m:r>
              <m:ctrlPr>
                <w:rPr>
                  <w:rFonts w:ascii="Cambria Math" w:hAnsi="Cambria Math" w:eastAsia="Cambria Math" w:cs="HiddenHorzOCR"/>
                  <w:i/>
                  <w:color w:val="000000" w:themeColor="text1"/>
                  <w:kern w:val="0"/>
                  <w:szCs w:val="21"/>
                  <w14:textFill>
                    <w14:solidFill>
                      <w14:schemeClr w14:val="tx1"/>
                    </w14:solidFill>
                  </w14:textFill>
                </w:rPr>
              </m:ctrlPr>
            </m:e>
          </m:rad>
          <m:r>
            <w:rPr>
              <w:rFonts w:ascii="Cambria Math" w:hAnsi="Cambria Math" w:eastAsia="Cambria Math" w:cs="HiddenHorzOCR"/>
              <w:color w:val="000000" w:themeColor="text1"/>
              <w:kern w:val="0"/>
              <w:szCs w:val="21"/>
              <w14:textFill>
                <w14:solidFill>
                  <w14:schemeClr w14:val="tx1"/>
                </w14:solidFill>
              </w14:textFill>
            </w:rPr>
            <m:t xml:space="preserve">                            (7.3.10-3)</m:t>
          </m:r>
        </m:oMath>
      </m:oMathPara>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m:oMath>
        <m:rad>
          <m:radPr>
            <m:degHide m:val="1"/>
            <m:ctrlPr>
              <w:rPr>
                <w:rFonts w:ascii="Cambria Math" w:hAnsi="Cambria Math" w:eastAsia="Cambria Math" w:cs="HiddenHorzOCR"/>
                <w:color w:val="000000" w:themeColor="text1"/>
                <w:kern w:val="0"/>
                <w:szCs w:val="21"/>
                <w14:textFill>
                  <w14:solidFill>
                    <w14:schemeClr w14:val="tx1"/>
                  </w14:solidFill>
                </w14:textFill>
              </w:rPr>
            </m:ctrlPr>
          </m:radPr>
          <m:deg>
            <m:ctrlPr>
              <w:rPr>
                <w:rFonts w:ascii="Cambria Math" w:hAnsi="Cambria Math" w:eastAsia="Cambria Math" w:cs="HiddenHorzOCR"/>
                <w:color w:val="000000" w:themeColor="text1"/>
                <w:kern w:val="0"/>
                <w:szCs w:val="21"/>
                <w14:textFill>
                  <w14:solidFill>
                    <w14:schemeClr w14:val="tx1"/>
                  </w14:solidFill>
                </w14:textFill>
              </w:rPr>
            </m:ctrlPr>
          </m:deg>
          <m:e>
            <m:f>
              <m:fPr>
                <m:ctrlPr>
                  <w:rPr>
                    <w:rFonts w:ascii="Cambria Math" w:hAnsi="Cambria Math" w:eastAsia="Cambria Math" w:cs="HiddenHorzOCR"/>
                    <w:i/>
                    <w:color w:val="000000" w:themeColor="text1"/>
                    <w:kern w:val="0"/>
                    <w:szCs w:val="21"/>
                    <w14:textFill>
                      <w14:solidFill>
                        <w14:schemeClr w14:val="tx1"/>
                      </w14:solidFill>
                    </w14:textFill>
                  </w:rPr>
                </m:ctrlPr>
              </m:fPr>
              <m:num>
                <m:r>
                  <w:rPr>
                    <w:rFonts w:ascii="Cambria Math" w:hAnsi="Cambria Math" w:eastAsia="Cambria Math" w:cs="HiddenHorzOCR"/>
                    <w:color w:val="000000" w:themeColor="text1"/>
                    <w:kern w:val="0"/>
                    <w:szCs w:val="21"/>
                    <w14:textFill>
                      <w14:solidFill>
                        <w14:schemeClr w14:val="tx1"/>
                      </w14:solidFill>
                    </w14:textFill>
                  </w:rPr>
                  <m:t>c</m:t>
                </m:r>
                <m:ctrlPr>
                  <w:rPr>
                    <w:rFonts w:ascii="Cambria Math" w:hAnsi="Cambria Math" w:eastAsia="Cambria Math" w:cs="HiddenHorzOCR"/>
                    <w:i/>
                    <w:color w:val="000000" w:themeColor="text1"/>
                    <w:kern w:val="0"/>
                    <w:szCs w:val="21"/>
                    <w14:textFill>
                      <w14:solidFill>
                        <w14:schemeClr w14:val="tx1"/>
                      </w14:solidFill>
                    </w14:textFill>
                  </w:rPr>
                </m:ctrlPr>
              </m:num>
              <m:den>
                <m:r>
                  <w:rPr>
                    <w:rFonts w:ascii="Cambria Math" w:hAnsi="Cambria Math" w:eastAsia="Cambria Math" w:cs="HiddenHorzOCR"/>
                    <w:color w:val="000000" w:themeColor="text1"/>
                    <w:kern w:val="0"/>
                    <w:szCs w:val="21"/>
                    <w14:textFill>
                      <w14:solidFill>
                        <w14:schemeClr w14:val="tx1"/>
                      </w14:solidFill>
                    </w14:textFill>
                  </w:rPr>
                  <m:t>2b</m:t>
                </m:r>
                <m:ctrlPr>
                  <w:rPr>
                    <w:rFonts w:ascii="Cambria Math" w:hAnsi="Cambria Math" w:eastAsia="Cambria Math" w:cs="HiddenHorzOCR"/>
                    <w:i/>
                    <w:color w:val="000000" w:themeColor="text1"/>
                    <w:kern w:val="0"/>
                    <w:szCs w:val="21"/>
                    <w14:textFill>
                      <w14:solidFill>
                        <w14:schemeClr w14:val="tx1"/>
                      </w14:solidFill>
                    </w14:textFill>
                  </w:rPr>
                </m:ctrlPr>
              </m:den>
            </m:f>
            <m:ctrlPr>
              <w:rPr>
                <w:rFonts w:ascii="Cambria Math" w:hAnsi="Cambria Math" w:eastAsia="Cambria Math" w:cs="HiddenHorzOCR"/>
                <w:color w:val="000000" w:themeColor="text1"/>
                <w:kern w:val="0"/>
                <w:szCs w:val="21"/>
                <w14:textFill>
                  <w14:solidFill>
                    <w14:schemeClr w14:val="tx1"/>
                  </w14:solidFill>
                </w14:textFill>
              </w:rPr>
            </m:ctrlPr>
          </m:e>
        </m:rad>
      </m:oMath>
      <w:r>
        <w:rPr>
          <w:rFonts w:hint="eastAsia" w:cs="HiddenHorzOCR" w:asciiTheme="minorEastAsia" w:hAnsiTheme="minorEastAsia"/>
          <w:color w:val="000000" w:themeColor="text1"/>
          <w:kern w:val="0"/>
          <w:szCs w:val="21"/>
          <w14:textFill>
            <w14:solidFill>
              <w14:schemeClr w14:val="tx1"/>
            </w14:solidFill>
          </w14:textFill>
        </w:rPr>
        <w:t>＞1时，取</w:t>
      </w:r>
      <m:oMath>
        <m:rad>
          <m:radPr>
            <m:degHide m:val="1"/>
            <m:ctrlPr>
              <w:rPr>
                <w:rFonts w:ascii="Cambria Math" w:hAnsi="Cambria Math" w:eastAsia="Cambria Math" w:cs="HiddenHorzOCR"/>
                <w:color w:val="000000" w:themeColor="text1"/>
                <w:kern w:val="0"/>
                <w:szCs w:val="21"/>
                <w14:textFill>
                  <w14:solidFill>
                    <w14:schemeClr w14:val="tx1"/>
                  </w14:solidFill>
                </w14:textFill>
              </w:rPr>
            </m:ctrlPr>
          </m:radPr>
          <m:deg>
            <m:ctrlPr>
              <w:rPr>
                <w:rFonts w:ascii="Cambria Math" w:hAnsi="Cambria Math" w:eastAsia="Cambria Math" w:cs="HiddenHorzOCR"/>
                <w:color w:val="000000" w:themeColor="text1"/>
                <w:kern w:val="0"/>
                <w:szCs w:val="21"/>
                <w14:textFill>
                  <w14:solidFill>
                    <w14:schemeClr w14:val="tx1"/>
                  </w14:solidFill>
                </w14:textFill>
              </w:rPr>
            </m:ctrlPr>
          </m:deg>
          <m:e>
            <m:f>
              <m:fPr>
                <m:ctrlPr>
                  <w:rPr>
                    <w:rFonts w:ascii="Cambria Math" w:hAnsi="Cambria Math" w:eastAsia="Cambria Math" w:cs="HiddenHorzOCR"/>
                    <w:i/>
                    <w:color w:val="000000" w:themeColor="text1"/>
                    <w:kern w:val="0"/>
                    <w:szCs w:val="21"/>
                    <w14:textFill>
                      <w14:solidFill>
                        <w14:schemeClr w14:val="tx1"/>
                      </w14:solidFill>
                    </w14:textFill>
                  </w:rPr>
                </m:ctrlPr>
              </m:fPr>
              <m:num>
                <m:r>
                  <w:rPr>
                    <w:rFonts w:ascii="Cambria Math" w:hAnsi="Cambria Math" w:eastAsia="Cambria Math" w:cs="HiddenHorzOCR"/>
                    <w:color w:val="000000" w:themeColor="text1"/>
                    <w:kern w:val="0"/>
                    <w:szCs w:val="21"/>
                    <w14:textFill>
                      <w14:solidFill>
                        <w14:schemeClr w14:val="tx1"/>
                      </w14:solidFill>
                    </w14:textFill>
                  </w:rPr>
                  <m:t>c</m:t>
                </m:r>
                <m:ctrlPr>
                  <w:rPr>
                    <w:rFonts w:ascii="Cambria Math" w:hAnsi="Cambria Math" w:eastAsia="Cambria Math" w:cs="HiddenHorzOCR"/>
                    <w:i/>
                    <w:color w:val="000000" w:themeColor="text1"/>
                    <w:kern w:val="0"/>
                    <w:szCs w:val="21"/>
                    <w14:textFill>
                      <w14:solidFill>
                        <w14:schemeClr w14:val="tx1"/>
                      </w14:solidFill>
                    </w14:textFill>
                  </w:rPr>
                </m:ctrlPr>
              </m:num>
              <m:den>
                <m:r>
                  <w:rPr>
                    <w:rFonts w:ascii="Cambria Math" w:hAnsi="Cambria Math" w:eastAsia="Cambria Math" w:cs="HiddenHorzOCR"/>
                    <w:color w:val="000000" w:themeColor="text1"/>
                    <w:kern w:val="0"/>
                    <w:szCs w:val="21"/>
                    <w14:textFill>
                      <w14:solidFill>
                        <w14:schemeClr w14:val="tx1"/>
                      </w14:solidFill>
                    </w14:textFill>
                  </w:rPr>
                  <m:t>2b</m:t>
                </m:r>
                <m:ctrlPr>
                  <w:rPr>
                    <w:rFonts w:ascii="Cambria Math" w:hAnsi="Cambria Math" w:eastAsia="Cambria Math" w:cs="HiddenHorzOCR"/>
                    <w:i/>
                    <w:color w:val="000000" w:themeColor="text1"/>
                    <w:kern w:val="0"/>
                    <w:szCs w:val="21"/>
                    <w14:textFill>
                      <w14:solidFill>
                        <w14:schemeClr w14:val="tx1"/>
                      </w14:solidFill>
                    </w14:textFill>
                  </w:rPr>
                </m:ctrlPr>
              </m:den>
            </m:f>
            <m:ctrlPr>
              <w:rPr>
                <w:rFonts w:ascii="Cambria Math" w:hAnsi="Cambria Math" w:eastAsia="Cambria Math" w:cs="HiddenHorzOCR"/>
                <w:color w:val="000000" w:themeColor="text1"/>
                <w:kern w:val="0"/>
                <w:szCs w:val="21"/>
                <w14:textFill>
                  <w14:solidFill>
                    <w14:schemeClr w14:val="tx1"/>
                  </w14:solidFill>
                </w14:textFill>
              </w:rPr>
            </m:ctrlPr>
          </m:e>
        </m:rad>
      </m:oMath>
      <w:r>
        <w:rPr>
          <w:rFonts w:hint="eastAsia" w:cs="HiddenHorzOCR" w:asciiTheme="minorEastAsia" w:hAnsiTheme="minorEastAsia"/>
          <w:color w:val="000000" w:themeColor="text1"/>
          <w:kern w:val="0"/>
          <w:szCs w:val="21"/>
          <w14:textFill>
            <w14:solidFill>
              <w14:schemeClr w14:val="tx1"/>
            </w14:solidFill>
          </w14:textFill>
        </w:rPr>
        <w:t>=</w:t>
      </w:r>
      <w:r>
        <w:rPr>
          <w:rFonts w:cs="HiddenHorzOCR" w:asciiTheme="minorEastAsia" w:hAnsiTheme="minorEastAsia"/>
          <w:color w:val="000000" w:themeColor="text1"/>
          <w:kern w:val="0"/>
          <w:szCs w:val="21"/>
          <w14:textFill>
            <w14:solidFill>
              <w14:schemeClr w14:val="tx1"/>
            </w14:solidFill>
          </w14:textFill>
        </w:rPr>
        <w:t>1.0</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ζ</w:t>
      </w:r>
      <w:r>
        <w:rPr>
          <w:rFonts w:hint="eastAsia" w:ascii="宋体" w:hAnsi="宋体" w:cs="HiddenHorzOCR"/>
          <w:color w:val="000000" w:themeColor="text1"/>
          <w:kern w:val="0"/>
          <w:szCs w:val="21"/>
          <w:vertAlign w:val="subscript"/>
          <w14:textFill>
            <w14:solidFill>
              <w14:schemeClr w14:val="tx1"/>
            </w14:solidFill>
          </w14:textFill>
        </w:rPr>
        <w:t>v</w:t>
      </w:r>
      <w:r>
        <w:rPr>
          <w:rFonts w:hint="eastAsia" w:ascii="宋体" w:hAnsi="宋体" w:cs="HiddenHorzOCR"/>
          <w:color w:val="000000" w:themeColor="text1"/>
          <w:kern w:val="0"/>
          <w:szCs w:val="21"/>
          <w14:textFill>
            <w14:solidFill>
              <w14:schemeClr w14:val="tx1"/>
            </w14:solidFill>
          </w14:textFill>
        </w:rPr>
        <w:t>＞0</w:t>
      </w:r>
      <w:r>
        <w:rPr>
          <w:rFonts w:ascii="宋体" w:hAnsi="宋体" w:cs="HiddenHorzOCR"/>
          <w:color w:val="000000" w:themeColor="text1"/>
          <w:kern w:val="0"/>
          <w:szCs w:val="21"/>
          <w14:textFill>
            <w14:solidFill>
              <w14:schemeClr w14:val="tx1"/>
            </w14:solidFill>
          </w14:textFill>
        </w:rPr>
        <w:t>.7</w:t>
      </w:r>
      <w:r>
        <w:rPr>
          <w:rFonts w:hint="eastAsia" w:ascii="宋体" w:hAnsi="宋体" w:cs="HiddenHorzOCR"/>
          <w:color w:val="000000" w:themeColor="text1"/>
          <w:kern w:val="0"/>
          <w:szCs w:val="21"/>
          <w14:textFill>
            <w14:solidFill>
              <w14:schemeClr w14:val="tx1"/>
            </w14:solidFill>
          </w14:textFill>
        </w:rPr>
        <w:t>时，取ζ</w:t>
      </w:r>
      <w:r>
        <w:rPr>
          <w:rFonts w:hint="eastAsia" w:ascii="宋体" w:hAnsi="宋体" w:cs="HiddenHorzOCR"/>
          <w:color w:val="000000" w:themeColor="text1"/>
          <w:kern w:val="0"/>
          <w:szCs w:val="21"/>
          <w:vertAlign w:val="subscript"/>
          <w14:textFill>
            <w14:solidFill>
              <w14:schemeClr w14:val="tx1"/>
            </w14:solidFill>
          </w14:textFill>
        </w:rPr>
        <w:t>v</w:t>
      </w:r>
      <w:r>
        <w:rPr>
          <w:rFonts w:ascii="宋体" w:hAnsi="宋体" w:cs="HiddenHorzOCR"/>
          <w:color w:val="000000" w:themeColor="text1"/>
          <w:kern w:val="0"/>
          <w:szCs w:val="21"/>
          <w14:textFill>
            <w14:solidFill>
              <w14:schemeClr w14:val="tx1"/>
            </w14:solidFill>
          </w14:textFill>
        </w:rPr>
        <w:t>=0.7</w:t>
      </w:r>
    </w:p>
    <w:p>
      <w:pPr>
        <w:autoSpaceDE w:val="0"/>
        <w:autoSpaceDN w:val="0"/>
        <w:spacing w:line="360" w:lineRule="auto"/>
        <w:ind w:left="1050" w:hanging="1050" w:hangingChars="5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式中：N</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预埋件承受的斜向拉力设计值，应采用按全截面抗拉设计强度计算的支撑斜杆轴向力；</w:t>
      </w:r>
    </w:p>
    <w:p>
      <w:pPr>
        <w:autoSpaceDE w:val="0"/>
        <w:autoSpaceDN w:val="0"/>
        <w:spacing w:line="360" w:lineRule="auto"/>
        <w:ind w:firstLine="630" w:firstLineChars="300"/>
        <w:jc w:val="left"/>
        <w:rPr>
          <w:rFonts w:ascii="MS Mincho" w:hAnsi="MS Mincho" w:cs="MS Mincho"/>
          <w:color w:val="000000" w:themeColor="text1"/>
          <w:kern w:val="0"/>
          <w:szCs w:val="21"/>
          <w14:textFill>
            <w14:solidFill>
              <w14:schemeClr w14:val="tx1"/>
            </w14:solidFill>
          </w14:textFill>
        </w:rPr>
      </w:pPr>
      <w:r>
        <w:rPr>
          <w:rFonts w:hint="eastAsia" w:ascii="MS Mincho" w:hAnsi="MS Mincho" w:eastAsia="MS Mincho" w:cs="MS Mincho"/>
          <w:color w:val="000000" w:themeColor="text1"/>
          <w:kern w:val="0"/>
          <w:szCs w:val="21"/>
          <w14:textFill>
            <w14:solidFill>
              <w14:schemeClr w14:val="tx1"/>
            </w14:solidFill>
          </w14:textFill>
        </w:rPr>
        <w:t>θ</w:t>
      </w:r>
      <w:r>
        <w:rPr>
          <w:rFonts w:hint="eastAsia" w:ascii="MS Mincho" w:hAnsi="MS Mincho" w:cs="MS Mincho"/>
          <w:color w:val="000000" w:themeColor="text1"/>
          <w:kern w:val="0"/>
          <w:szCs w:val="21"/>
          <w14:textFill>
            <w14:solidFill>
              <w14:schemeClr w14:val="tx1"/>
            </w14:solidFill>
          </w14:textFill>
        </w:rPr>
        <w:t>——斜向拉力与水平投影的夹角；</w:t>
      </w:r>
    </w:p>
    <w:p>
      <w:pPr>
        <w:autoSpaceDE w:val="0"/>
        <w:autoSpaceDN w:val="0"/>
        <w:spacing w:line="360" w:lineRule="auto"/>
        <w:ind w:firstLine="630" w:firstLineChars="30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ζ</w:t>
      </w:r>
      <w:r>
        <w:rPr>
          <w:rFonts w:hint="eastAsia" w:ascii="宋体" w:hAnsi="宋体" w:cs="HiddenHorzOCR"/>
          <w:color w:val="000000" w:themeColor="text1"/>
          <w:kern w:val="0"/>
          <w:szCs w:val="21"/>
          <w:vertAlign w:val="subscript"/>
          <w14:textFill>
            <w14:solidFill>
              <w14:schemeClr w14:val="tx1"/>
            </w14:solidFill>
          </w14:textFill>
        </w:rPr>
        <w:t>b</w:t>
      </w:r>
      <w:r>
        <w:rPr>
          <w:rFonts w:hint="eastAsia" w:ascii="宋体" w:hAnsi="宋体" w:cs="HiddenHorzOCR"/>
          <w:color w:val="000000" w:themeColor="text1"/>
          <w:kern w:val="0"/>
          <w:szCs w:val="21"/>
          <w14:textFill>
            <w14:solidFill>
              <w14:schemeClr w14:val="tx1"/>
            </w14:solidFill>
          </w14:textFill>
        </w:rPr>
        <w:t>——预埋板弯曲变形的影响系数，按式6</w:t>
      </w:r>
      <w:r>
        <w:rPr>
          <w:rFonts w:ascii="宋体" w:hAnsi="宋体" w:cs="HiddenHorzOCR"/>
          <w:color w:val="000000" w:themeColor="text1"/>
          <w:kern w:val="0"/>
          <w:szCs w:val="21"/>
          <w14:textFill>
            <w14:solidFill>
              <w14:schemeClr w14:val="tx1"/>
            </w14:solidFill>
          </w14:textFill>
        </w:rPr>
        <w:t>.4.9-4</w:t>
      </w:r>
      <w:r>
        <w:rPr>
          <w:rFonts w:hint="eastAsia" w:ascii="宋体" w:hAnsi="宋体" w:cs="HiddenHorzOCR"/>
          <w:color w:val="000000" w:themeColor="text1"/>
          <w:kern w:val="0"/>
          <w:szCs w:val="21"/>
          <w14:textFill>
            <w14:solidFill>
              <w14:schemeClr w14:val="tx1"/>
            </w14:solidFill>
          </w14:textFill>
        </w:rPr>
        <w:t>计算；当锚筋为角钢时，取</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ζ</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b</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                            1</m:t>
        </m:r>
      </m:oMath>
      <w:r>
        <w:rPr>
          <w:rFonts w:hint="eastAsia" w:ascii="宋体" w:hAnsi="宋体" w:cs="HiddenHorzOCR"/>
          <w:color w:val="000000" w:themeColor="text1"/>
          <w:kern w:val="0"/>
          <w:szCs w:val="21"/>
          <w14:textFill>
            <w14:solidFill>
              <w14:schemeClr w14:val="tx1"/>
            </w14:solidFill>
          </w14:textFill>
        </w:rPr>
        <w:t>；</w:t>
      </w:r>
    </w:p>
    <w:p>
      <w:pPr>
        <w:autoSpaceDE w:val="0"/>
        <w:autoSpaceDN w:val="0"/>
        <w:spacing w:line="360" w:lineRule="auto"/>
        <w:ind w:left="1260" w:leftChars="300" w:hanging="630" w:hangingChars="30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ζ</w:t>
      </w:r>
      <w:r>
        <w:rPr>
          <w:rFonts w:hint="eastAsia" w:ascii="宋体" w:hAnsi="宋体" w:cs="HiddenHorzOCR"/>
          <w:color w:val="000000" w:themeColor="text1"/>
          <w:kern w:val="0"/>
          <w:szCs w:val="21"/>
          <w:vertAlign w:val="subscript"/>
          <w14:textFill>
            <w14:solidFill>
              <w14:schemeClr w14:val="tx1"/>
            </w14:solidFill>
          </w14:textFill>
        </w:rPr>
        <w:t>r</w:t>
      </w:r>
      <w:r>
        <w:rPr>
          <w:rFonts w:hint="eastAsia" w:ascii="宋体" w:hAnsi="宋体" w:cs="HiddenHorzOCR"/>
          <w:color w:val="000000" w:themeColor="text1"/>
          <w:kern w:val="0"/>
          <w:szCs w:val="21"/>
          <w14:textFill>
            <w14:solidFill>
              <w14:schemeClr w14:val="tx1"/>
            </w14:solidFill>
          </w14:textFill>
        </w:rPr>
        <w:t>——验算方向锚筋排数的影响系数，对锚筋和锚固角钢均可按本章第7.3</w:t>
      </w:r>
      <w:r>
        <w:rPr>
          <w:rFonts w:ascii="宋体" w:hAnsi="宋体" w:cs="HiddenHorzOCR"/>
          <w:color w:val="000000" w:themeColor="text1"/>
          <w:kern w:val="0"/>
          <w:szCs w:val="21"/>
          <w14:textFill>
            <w14:solidFill>
              <w14:schemeClr w14:val="tx1"/>
            </w14:solidFill>
          </w14:textFill>
        </w:rPr>
        <w:t>.9</w:t>
      </w:r>
      <w:r>
        <w:rPr>
          <w:rFonts w:hint="eastAsia" w:ascii="宋体" w:hAnsi="宋体" w:cs="HiddenHorzOCR"/>
          <w:color w:val="000000" w:themeColor="text1"/>
          <w:kern w:val="0"/>
          <w:szCs w:val="21"/>
          <w14:textFill>
            <w14:solidFill>
              <w14:schemeClr w14:val="tx1"/>
            </w14:solidFill>
          </w14:textFill>
        </w:rPr>
        <w:t>条锚筋的规定采用；</w:t>
      </w:r>
    </w:p>
    <w:p>
      <w:pPr>
        <w:autoSpaceDE w:val="0"/>
        <w:autoSpaceDN w:val="0"/>
        <w:spacing w:line="360" w:lineRule="auto"/>
        <w:ind w:firstLine="630" w:firstLineChars="30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ζ</w:t>
      </w:r>
      <w:r>
        <w:rPr>
          <w:rFonts w:hint="eastAsia" w:ascii="宋体" w:hAnsi="宋体" w:cs="HiddenHorzOCR"/>
          <w:color w:val="000000" w:themeColor="text1"/>
          <w:kern w:val="0"/>
          <w:szCs w:val="21"/>
          <w:vertAlign w:val="subscript"/>
          <w14:textFill>
            <w14:solidFill>
              <w14:schemeClr w14:val="tx1"/>
            </w14:solidFill>
          </w14:textFill>
        </w:rPr>
        <w:t>v</w:t>
      </w:r>
      <w:r>
        <w:rPr>
          <w:rFonts w:ascii="宋体" w:hAnsi="宋体" w:cs="HiddenHorzOCR"/>
          <w:color w:val="000000" w:themeColor="text1"/>
          <w:kern w:val="0"/>
          <w:szCs w:val="21"/>
          <w14:textFill>
            <w14:solidFill>
              <w14:schemeClr w14:val="tx1"/>
            </w14:solidFill>
          </w14:textFill>
        </w:rPr>
        <w:t>——</w:t>
      </w:r>
      <w:r>
        <w:rPr>
          <w:rFonts w:hint="eastAsia" w:ascii="宋体" w:hAnsi="宋体" w:cs="HiddenHorzOCR"/>
          <w:color w:val="000000" w:themeColor="text1"/>
          <w:kern w:val="0"/>
          <w:szCs w:val="21"/>
          <w14:textFill>
            <w14:solidFill>
              <w14:schemeClr w14:val="tx1"/>
            </w14:solidFill>
          </w14:textFill>
        </w:rPr>
        <w:t>锚筋受剪承载力系数；</w:t>
      </w:r>
    </w:p>
    <w:p>
      <w:pPr>
        <w:autoSpaceDE w:val="0"/>
        <w:autoSpaceDN w:val="0"/>
        <w:spacing w:line="360" w:lineRule="auto"/>
        <w:ind w:firstLine="630" w:firstLineChars="300"/>
        <w:jc w:val="left"/>
        <w:rPr>
          <w:rFonts w:ascii="宋体" w:hAnsi="宋体" w:cs="HiddenHorzOCR"/>
          <w:color w:val="000000" w:themeColor="text1"/>
          <w:kern w:val="0"/>
          <w:szCs w:val="21"/>
          <w14:textFill>
            <w14:solidFill>
              <w14:schemeClr w14:val="tx1"/>
            </w14:solidFill>
          </w14:textFill>
        </w:rPr>
      </w:pPr>
      <m:oMath>
        <m:r>
          <w:rPr>
            <w:rFonts w:ascii="Cambria Math" w:hAnsi="Cambria Math" w:cs="HiddenHorzOCR"/>
            <w:color w:val="000000" w:themeColor="text1"/>
            <w:kern w:val="0"/>
            <w:szCs w:val="21"/>
            <w14:textFill>
              <w14:solidFill>
                <w14:schemeClr w14:val="tx1"/>
              </w14:solidFill>
            </w14:textFill>
          </w:rPr>
          <m:t>ψ</m:t>
        </m:r>
      </m:oMath>
      <w:r>
        <w:rPr>
          <w:rFonts w:hint="eastAsia" w:ascii="宋体" w:hAnsi="宋体" w:cs="HiddenHorzOCR"/>
          <w:color w:val="000000" w:themeColor="text1"/>
          <w:kern w:val="0"/>
          <w:szCs w:val="21"/>
          <w14:textFill>
            <w14:solidFill>
              <w14:schemeClr w14:val="tx1"/>
            </w14:solidFill>
          </w14:textFill>
        </w:rPr>
        <w:t>——偏心影响系数；</w:t>
      </w:r>
    </w:p>
    <w:p>
      <w:pPr>
        <w:autoSpaceDE w:val="0"/>
        <w:autoSpaceDN w:val="0"/>
        <w:spacing w:line="360" w:lineRule="auto"/>
        <w:ind w:left="1260" w:leftChars="300" w:hanging="630" w:hanging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e</w:t>
      </w:r>
      <w:r>
        <w:rPr>
          <w:rFonts w:cs="HiddenHorzOCR" w:asciiTheme="minorEastAsia" w:hAnsiTheme="minorEastAsia"/>
          <w:color w:val="000000" w:themeColor="text1"/>
          <w:kern w:val="0"/>
          <w:szCs w:val="21"/>
          <w:vertAlign w:val="subscript"/>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斜向拉力作用点对锚筋重心线的偏心距；e</w:t>
      </w:r>
      <w:r>
        <w:rPr>
          <w:rFonts w:cs="HiddenHorzOCR" w:asciiTheme="minorEastAsia" w:hAnsiTheme="minorEastAsia"/>
          <w:color w:val="000000" w:themeColor="text1"/>
          <w:kern w:val="0"/>
          <w:szCs w:val="21"/>
          <w:vertAlign w:val="subscript"/>
          <w14:textFill>
            <w14:solidFill>
              <w14:schemeClr w14:val="tx1"/>
            </w14:solidFill>
          </w14:textFill>
        </w:rPr>
        <w:t>0</w:t>
      </w:r>
      <w:r>
        <w:rPr>
          <w:rFonts w:hint="eastAsia" w:cs="HiddenHorzOCR" w:asciiTheme="minorEastAsia" w:hAnsiTheme="minorEastAsia"/>
          <w:color w:val="000000" w:themeColor="text1"/>
          <w:kern w:val="0"/>
          <w:szCs w:val="21"/>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.2z</w:t>
      </w:r>
      <w:r>
        <w:rPr>
          <w:rFonts w:hint="eastAsia" w:cs="HiddenHorzOCR" w:asciiTheme="minorEastAsia" w:hAnsiTheme="minorEastAsia"/>
          <w:color w:val="000000" w:themeColor="text1"/>
          <w:kern w:val="0"/>
          <w:szCs w:val="21"/>
          <w14:textFill>
            <w14:solidFill>
              <w14:schemeClr w14:val="tx1"/>
            </w14:solidFill>
          </w14:textFill>
        </w:rPr>
        <w:t>时，取e</w:t>
      </w:r>
      <w:r>
        <w:rPr>
          <w:rFonts w:cs="HiddenHorzOCR" w:asciiTheme="minorEastAsia" w:hAnsiTheme="minorEastAsia"/>
          <w:color w:val="000000" w:themeColor="text1"/>
          <w:kern w:val="0"/>
          <w:szCs w:val="21"/>
          <w:vertAlign w:val="subscript"/>
          <w14:textFill>
            <w14:solidFill>
              <w14:schemeClr w14:val="tx1"/>
            </w14:solidFill>
          </w14:textFill>
        </w:rPr>
        <w:t>0</w:t>
      </w:r>
      <w:r>
        <w:rPr>
          <w:rFonts w:cs="HiddenHorzOCR" w:asciiTheme="minorEastAsia" w:hAnsiTheme="minorEastAsia"/>
          <w:color w:val="000000" w:themeColor="text1"/>
          <w:kern w:val="0"/>
          <w:szCs w:val="21"/>
          <w14:textFill>
            <w14:solidFill>
              <w14:schemeClr w14:val="tx1"/>
            </w14:solidFill>
          </w14:textFill>
        </w:rPr>
        <w:t>=0.2z</w:t>
      </w:r>
      <w:r>
        <w:rPr>
          <w:rFonts w:hint="eastAsia" w:cs="HiddenHorzOCR" w:asciiTheme="minorEastAsia" w:hAnsiTheme="minorEastAsia"/>
          <w:color w:val="000000" w:themeColor="text1"/>
          <w:kern w:val="0"/>
          <w:szCs w:val="21"/>
          <w14:textFill>
            <w14:solidFill>
              <w14:schemeClr w14:val="tx1"/>
            </w14:solidFill>
          </w14:textFill>
        </w:rPr>
        <w:t>；在式（7.3</w:t>
      </w:r>
      <w:r>
        <w:rPr>
          <w:rFonts w:cs="HiddenHorzOCR" w:asciiTheme="minorEastAsia" w:hAnsiTheme="minorEastAsia"/>
          <w:color w:val="000000" w:themeColor="text1"/>
          <w:kern w:val="0"/>
          <w:szCs w:val="21"/>
          <w14:textFill>
            <w14:solidFill>
              <w14:schemeClr w14:val="tx1"/>
            </w14:solidFill>
          </w14:textFill>
        </w:rPr>
        <w:t>.10-2</w:t>
      </w:r>
      <w:r>
        <w:rPr>
          <w:rFonts w:hint="eastAsia" w:cs="HiddenHorzOCR" w:asciiTheme="minorEastAsia" w:hAnsiTheme="minorEastAsia"/>
          <w:color w:val="000000" w:themeColor="text1"/>
          <w:kern w:val="0"/>
          <w:szCs w:val="21"/>
          <w14:textFill>
            <w14:solidFill>
              <w14:schemeClr w14:val="tx1"/>
            </w14:solidFill>
          </w14:textFill>
        </w:rPr>
        <w:t>）中，不论偏心方向，e</w:t>
      </w:r>
      <w:r>
        <w:rPr>
          <w:rFonts w:cs="HiddenHorzOCR" w:asciiTheme="minorEastAsia" w:hAnsiTheme="minorEastAsia"/>
          <w:color w:val="000000" w:themeColor="text1"/>
          <w:kern w:val="0"/>
          <w:szCs w:val="21"/>
          <w:vertAlign w:val="subscript"/>
          <w14:textFill>
            <w14:solidFill>
              <w14:schemeClr w14:val="tx1"/>
            </w14:solidFill>
          </w14:textFill>
        </w:rPr>
        <w:t>0</w:t>
      </w:r>
      <w:r>
        <w:rPr>
          <w:rFonts w:hint="eastAsia" w:cs="HiddenHorzOCR" w:asciiTheme="minorEastAsia" w:hAnsiTheme="minorEastAsia"/>
          <w:color w:val="000000" w:themeColor="text1"/>
          <w:kern w:val="0"/>
          <w:szCs w:val="21"/>
          <w14:textFill>
            <w14:solidFill>
              <w14:schemeClr w14:val="tx1"/>
            </w14:solidFill>
          </w14:textFill>
        </w:rPr>
        <w:t>均取正值；</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z</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外排锚筋重心线之间的距离；</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d——锚筋直径，mm；</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c</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垂直剪力方向角钢锚件中心至构件边缘的最小距离（图7.3</w:t>
      </w:r>
      <w:r>
        <w:rPr>
          <w:rFonts w:cs="HiddenHorzOCR" w:asciiTheme="minorEastAsia" w:hAnsiTheme="minorEastAsia"/>
          <w:color w:val="000000" w:themeColor="text1"/>
          <w:kern w:val="0"/>
          <w:szCs w:val="21"/>
          <w14:textFill>
            <w14:solidFill>
              <w14:schemeClr w14:val="tx1"/>
            </w14:solidFill>
          </w14:textFill>
        </w:rPr>
        <w:t>.9-1</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b</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角钢锚件的肢宽。</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7.3.11 </w:t>
      </w:r>
      <w:r>
        <w:rPr>
          <w:rFonts w:hint="eastAsia" w:cs="HiddenHorzOCR" w:asciiTheme="minorEastAsia" w:hAnsiTheme="minorEastAsia"/>
          <w:color w:val="000000" w:themeColor="text1"/>
          <w:kern w:val="0"/>
          <w:szCs w:val="21"/>
          <w14:textFill>
            <w14:solidFill>
              <w14:schemeClr w14:val="tx1"/>
            </w14:solidFill>
          </w14:textFill>
        </w:rPr>
        <w:t>屋架（屋面梁）与柱</w:t>
      </w:r>
      <w:r>
        <w:rPr>
          <w:rFonts w:hint="eastAsia" w:cs="宋体" w:asciiTheme="minorEastAsia" w:hAnsiTheme="minorEastAsia"/>
          <w:color w:val="000000" w:themeColor="text1"/>
          <w:kern w:val="0"/>
          <w:szCs w:val="21"/>
          <w14:textFill>
            <w14:solidFill>
              <w14:schemeClr w14:val="tx1"/>
            </w14:solidFill>
          </w14:textFill>
        </w:rPr>
        <w:t>顶连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力抗震</w:t>
      </w:r>
      <w:r>
        <w:rPr>
          <w:rFonts w:hint="eastAsia" w:cs="宋体" w:asciiTheme="minorEastAsia" w:hAnsiTheme="minorEastAsia"/>
          <w:color w:val="000000" w:themeColor="text1"/>
          <w:kern w:val="0"/>
          <w:szCs w:val="21"/>
          <w14:textFill>
            <w14:solidFill>
              <w14:schemeClr w14:val="tx1"/>
            </w14:solidFill>
          </w14:textFill>
        </w:rPr>
        <w:t>验</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w:t>
      </w:r>
      <w:r>
        <w:rPr>
          <w:rFonts w:hint="eastAsia" w:cs="HiddenHorzOCR" w:asciiTheme="minorEastAsia" w:hAnsiTheme="minorEastAsia"/>
          <w:color w:val="000000" w:themeColor="text1"/>
          <w:kern w:val="0"/>
          <w:szCs w:val="21"/>
          <w14:textFill>
            <w14:solidFill>
              <w14:schemeClr w14:val="tx1"/>
            </w14:solidFill>
          </w14:textFill>
        </w:rPr>
        <w:t>合下列要求。</w:t>
      </w:r>
    </w:p>
    <w:p>
      <w:pPr>
        <w:autoSpaceDE w:val="0"/>
        <w:autoSpaceDN w:val="0"/>
        <w:spacing w:line="360" w:lineRule="auto"/>
        <w:ind w:firstLine="420"/>
        <w:jc w:val="left"/>
        <w:rPr>
          <w:rFonts w:cs="宋体"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采用螺栓</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时：</w:t>
      </w:r>
    </w:p>
    <w:p>
      <w:pPr>
        <w:autoSpaceDE w:val="0"/>
        <w:autoSpaceDN w:val="0"/>
        <w:spacing w:line="360" w:lineRule="auto"/>
        <w:ind w:firstLine="420"/>
        <w:jc w:val="left"/>
        <w:rPr>
          <w:rFonts w:ascii="宋体" w:hAnsi="宋体" w:cs="宋体"/>
          <w:i/>
          <w:color w:val="000000" w:themeColor="text1"/>
          <w:kern w:val="0"/>
          <w:szCs w:val="21"/>
          <w14:textFill>
            <w14:solidFill>
              <w14:schemeClr w14:val="tx1"/>
            </w14:solidFill>
          </w14:textFill>
        </w:rPr>
      </w:pPr>
      <m:oMathPara>
        <m:oMath>
          <m:r>
            <w:rPr>
              <w:rFonts w:ascii="Cambria Math" w:hAnsi="Cambria Math" w:eastAsia="Cambria Math" w:cs="Cambria Math"/>
              <w:color w:val="000000" w:themeColor="text1"/>
              <w:kern w:val="0"/>
              <w:szCs w:val="21"/>
              <w14:textFill>
                <w14:solidFill>
                  <w14:schemeClr w14:val="tx1"/>
                </w14:solidFill>
              </w14:textFill>
            </w:rPr>
            <m:t>V≤</m:t>
          </m:r>
          <m:f>
            <m:fPr>
              <m:ctrlPr>
                <w:rPr>
                  <w:rFonts w:ascii="Cambria Math" w:hAnsi="Cambria Math" w:eastAsia="Cambria Math" w:cs="宋体"/>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n</m:t>
              </m:r>
              <m:sSubSup>
                <m:sSubSupPr>
                  <m:ctrlPr>
                    <w:rPr>
                      <w:rFonts w:ascii="Cambria Math" w:hAnsi="Cambria Math" w:eastAsia="Cambria Math" w:cs="Cambria Math"/>
                      <w:color w:val="000000" w:themeColor="text1"/>
                      <w:kern w:val="0"/>
                      <w:szCs w:val="21"/>
                      <w14:textFill>
                        <w14:solidFill>
                          <w14:schemeClr w14:val="tx1"/>
                        </w14:solidFill>
                      </w14:textFill>
                    </w:rPr>
                  </m:ctrlPr>
                </m:sSubSupPr>
                <m:e>
                  <m:r>
                    <m:rPr>
                      <m:sty m:val="p"/>
                    </m:rPr>
                    <w:rPr>
                      <w:rFonts w:ascii="Cambria Math" w:hAnsi="Cambria Math" w:eastAsia="Cambria Math" w:cs="Cambria Math"/>
                      <w:color w:val="000000" w:themeColor="text1"/>
                      <w:kern w:val="0"/>
                      <w:szCs w:val="21"/>
                      <w14:textFill>
                        <w14:solidFill>
                          <w14:schemeClr w14:val="tx1"/>
                        </w14:solidFill>
                      </w14:textFill>
                    </w:rPr>
                    <m:t>N</m:t>
                  </m:r>
                  <m:ctrlPr>
                    <w:rPr>
                      <w:rFonts w:ascii="Cambria Math" w:hAnsi="Cambria Math" w:eastAsia="Cambria Math" w:cs="Cambria Math"/>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color w:val="000000" w:themeColor="text1"/>
                      <w:kern w:val="0"/>
                      <w:szCs w:val="21"/>
                      <w14:textFill>
                        <w14:solidFill>
                          <w14:schemeClr w14:val="tx1"/>
                        </w14:solidFill>
                      </w14:textFill>
                    </w:rPr>
                  </m:ctrlPr>
                </m:sub>
                <m:sup>
                  <m:r>
                    <w:rPr>
                      <w:rFonts w:ascii="Cambria Math" w:hAnsi="Cambria Math" w:eastAsia="Cambria Math" w:cs="Cambria Math"/>
                      <w:color w:val="000000" w:themeColor="text1"/>
                      <w:kern w:val="0"/>
                      <w:szCs w:val="21"/>
                      <w14:textFill>
                        <w14:solidFill>
                          <w14:schemeClr w14:val="tx1"/>
                        </w14:solidFill>
                      </w14:textFill>
                    </w:rPr>
                    <m:t>b</m:t>
                  </m:r>
                  <m:ctrlPr>
                    <w:rPr>
                      <w:rFonts w:ascii="Cambria Math" w:hAnsi="Cambria Math" w:eastAsia="Cambria Math" w:cs="Cambria Math"/>
                      <w:color w:val="000000" w:themeColor="text1"/>
                      <w:kern w:val="0"/>
                      <w:szCs w:val="21"/>
                      <w14:textFill>
                        <w14:solidFill>
                          <w14:schemeClr w14:val="tx1"/>
                        </w14:solidFill>
                      </w14:textFill>
                    </w:rPr>
                  </m:ctrlPr>
                </m:sup>
              </m:sSubSup>
              <m:ctrlPr>
                <w:rPr>
                  <w:rFonts w:ascii="Cambria Math" w:hAnsi="Cambria Math" w:eastAsia="Cambria Math" w:cs="宋体"/>
                  <w:color w:val="000000" w:themeColor="text1"/>
                  <w:kern w:val="0"/>
                  <w:szCs w:val="21"/>
                  <w14:textFill>
                    <w14:solidFill>
                      <w14:schemeClr w14:val="tx1"/>
                    </w14:solidFill>
                  </w14:textFill>
                </w:rPr>
              </m:ctrlPr>
            </m:num>
            <m:den>
              <m:r>
                <m:rPr>
                  <m:sty m:val="p"/>
                </m:rPr>
                <w:rPr>
                  <w:rFonts w:ascii="Cambria Math" w:hAnsi="Cambria Math" w:eastAsia="Cambria Math" w:cs="Cambria Math"/>
                  <w:color w:val="000000" w:themeColor="text1"/>
                  <w:kern w:val="0"/>
                  <w:szCs w:val="21"/>
                  <w14:textFill>
                    <w14:solidFill>
                      <w14:schemeClr w14:val="tx1"/>
                    </w14:solidFill>
                  </w14:textFill>
                </w:rPr>
                <m:t>1.5</m:t>
              </m:r>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ctrlPr>
                <w:rPr>
                  <w:rFonts w:ascii="Cambria Math" w:hAnsi="Cambria Math" w:eastAsia="Cambria Math" w:cs="宋体"/>
                  <w:color w:val="000000" w:themeColor="text1"/>
                  <w:kern w:val="0"/>
                  <w:szCs w:val="21"/>
                  <w14:textFill>
                    <w14:solidFill>
                      <w14:schemeClr w14:val="tx1"/>
                    </w14:solidFill>
                  </w14:textFill>
                </w:rPr>
              </m:ctrlPr>
            </m:den>
          </m:f>
          <m:r>
            <w:rPr>
              <w:rFonts w:ascii="Cambria Math" w:hAnsi="宋体" w:cs="宋体"/>
              <w:color w:val="000000" w:themeColor="text1"/>
              <w:kern w:val="0"/>
              <w:szCs w:val="21"/>
              <w14:textFill>
                <w14:solidFill>
                  <w14:schemeClr w14:val="tx1"/>
                </w14:solidFill>
              </w14:textFill>
            </w:rPr>
            <m:t xml:space="preserve">                       (7.3.11-1)</m:t>
          </m:r>
        </m:oMath>
      </m:oMathPara>
    </w:p>
    <w:p>
      <w:pPr>
        <w:autoSpaceDE w:val="0"/>
        <w:autoSpaceDN w:val="0"/>
        <w:spacing w:line="360" w:lineRule="auto"/>
        <w:ind w:firstLine="420"/>
        <w:jc w:val="left"/>
        <w:rPr>
          <w:rFonts w:cs="HiddenHorzOCR" w:asciiTheme="minorEastAsia" w:hAnsiTheme="minorEastAsia"/>
          <w:i/>
          <w:color w:val="000000" w:themeColor="text1"/>
          <w:kern w:val="0"/>
          <w:szCs w:val="21"/>
          <w14:textFill>
            <w14:solidFill>
              <w14:schemeClr w14:val="tx1"/>
            </w14:solidFill>
          </w14:textFill>
        </w:rPr>
      </w:pPr>
      <m:oMathPara>
        <m:oMath>
          <m:sSubSup>
            <m:sSubSupPr>
              <m:ctrlPr>
                <w:rPr>
                  <w:rFonts w:ascii="Cambria Math" w:hAnsi="Cambria Math" w:eastAsia="Cambria Math" w:cs="Cambria Math"/>
                  <w:iCs/>
                  <w:color w:val="000000" w:themeColor="text1"/>
                  <w:kern w:val="0"/>
                  <w:szCs w:val="21"/>
                  <w14:textFill>
                    <w14:solidFill>
                      <w14:schemeClr w14:val="tx1"/>
                    </w14:solidFill>
                  </w14:textFill>
                </w:rPr>
              </m:ctrlPr>
            </m:sSubSupPr>
            <m:e>
              <m:r>
                <m:rPr>
                  <m:sty m:val="p"/>
                </m:rPr>
                <w:rPr>
                  <w:rFonts w:ascii="Cambria Math" w:hAnsi="Cambria Math" w:eastAsia="Cambria Math" w:cs="Cambria Math"/>
                  <w:color w:val="000000" w:themeColor="text1"/>
                  <w:kern w:val="0"/>
                  <w:szCs w:val="21"/>
                  <w14:textFill>
                    <w14:solidFill>
                      <w14:schemeClr w14:val="tx1"/>
                    </w14:solidFill>
                  </w14:textFill>
                </w:rPr>
                <m:t>N</m:t>
              </m:r>
              <m:ctrlPr>
                <w:rPr>
                  <w:rFonts w:ascii="Cambria Math" w:hAnsi="Cambria Math" w:eastAsia="Cambria Math" w:cs="Cambria Math"/>
                  <w:iCs/>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Cs/>
                  <w:color w:val="000000" w:themeColor="text1"/>
                  <w:kern w:val="0"/>
                  <w:szCs w:val="21"/>
                  <w14:textFill>
                    <w14:solidFill>
                      <w14:schemeClr w14:val="tx1"/>
                    </w14:solidFill>
                  </w14:textFill>
                </w:rPr>
              </m:ctrlPr>
            </m:sub>
            <m:sup>
              <m:r>
                <m:rPr>
                  <m:sty m:val="p"/>
                </m:rPr>
                <w:rPr>
                  <w:rFonts w:ascii="Cambria Math" w:hAnsi="Cambria Math" w:eastAsia="Cambria Math" w:cs="Cambria Math"/>
                  <w:color w:val="000000" w:themeColor="text1"/>
                  <w:kern w:val="0"/>
                  <w:szCs w:val="21"/>
                  <w14:textFill>
                    <w14:solidFill>
                      <w14:schemeClr w14:val="tx1"/>
                    </w14:solidFill>
                  </w14:textFill>
                </w:rPr>
                <m:t>b</m:t>
              </m:r>
              <m:ctrlPr>
                <w:rPr>
                  <w:rFonts w:ascii="Cambria Math" w:hAnsi="Cambria Math" w:eastAsia="Cambria Math" w:cs="Cambria Math"/>
                  <w:iCs/>
                  <w:color w:val="000000" w:themeColor="text1"/>
                  <w:kern w:val="0"/>
                  <w:szCs w:val="21"/>
                  <w14:textFill>
                    <w14:solidFill>
                      <w14:schemeClr w14:val="tx1"/>
                    </w14:solidFill>
                  </w14:textFill>
                </w:rPr>
              </m:ctrlPr>
            </m:sup>
          </m:sSubSup>
          <m:r>
            <m:rPr>
              <m:sty m:val="p"/>
            </m:rPr>
            <w:rPr>
              <w:rFonts w:ascii="Cambria Math" w:hAnsi="Cambria Math" w:eastAsia="Cambria Math" w:cs="Cambria Math"/>
              <w:color w:val="000000" w:themeColor="text1"/>
              <w:kern w:val="0"/>
              <w:szCs w:val="21"/>
              <w14:textFill>
                <w14:solidFill>
                  <w14:schemeClr w14:val="tx1"/>
                </w14:solidFill>
              </w14:textFill>
            </w:rPr>
            <m:t>=</m:t>
          </m:r>
          <m:f>
            <m:fPr>
              <m:ctrlPr>
                <w:rPr>
                  <w:rFonts w:ascii="Cambria Math" w:hAnsi="Cambria Math" w:eastAsia="Cambria Math" w:cs="HiddenHorzOCR"/>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π</m:t>
              </m:r>
              <m:ctrlPr>
                <w:rPr>
                  <w:rFonts w:ascii="Cambria Math" w:hAnsi="Cambria Math" w:eastAsia="Cambria Math" w:cs="HiddenHorzOCR"/>
                  <w:color w:val="000000" w:themeColor="text1"/>
                  <w:kern w:val="0"/>
                  <w:szCs w:val="21"/>
                  <w14:textFill>
                    <w14:solidFill>
                      <w14:schemeClr w14:val="tx1"/>
                    </w14:solidFill>
                  </w14:textFill>
                </w:rPr>
              </m:ctrlPr>
            </m:num>
            <m:den>
              <m:r>
                <m:rPr>
                  <m:sty m:val="p"/>
                </m:rPr>
                <w:rPr>
                  <w:rFonts w:ascii="Cambria Math" w:hAnsi="Cambria Math" w:eastAsia="Cambria Math" w:cs="Cambria Math"/>
                  <w:color w:val="000000" w:themeColor="text1"/>
                  <w:kern w:val="0"/>
                  <w:szCs w:val="21"/>
                  <w14:textFill>
                    <w14:solidFill>
                      <w14:schemeClr w14:val="tx1"/>
                    </w14:solidFill>
                  </w14:textFill>
                </w:rPr>
                <m:t>4</m:t>
              </m:r>
              <m:ctrlPr>
                <w:rPr>
                  <w:rFonts w:ascii="Cambria Math" w:hAnsi="Cambria Math" w:eastAsia="Cambria Math" w:cs="HiddenHorzOCR"/>
                  <w:color w:val="000000" w:themeColor="text1"/>
                  <w:kern w:val="0"/>
                  <w:szCs w:val="21"/>
                  <w14:textFill>
                    <w14:solidFill>
                      <w14:schemeClr w14:val="tx1"/>
                    </w14:solidFill>
                  </w14:textFill>
                </w:rPr>
              </m:ctrlPr>
            </m:den>
          </m:f>
          <m:sSup>
            <m:sSupPr>
              <m:ctrlPr>
                <w:rPr>
                  <w:rFonts w:ascii="Cambria Math" w:hAnsi="Cambria Math" w:eastAsia="Cambria Math" w:cs="HiddenHorzOCR"/>
                  <w:i/>
                  <w:color w:val="000000" w:themeColor="text1"/>
                  <w:kern w:val="0"/>
                  <w:szCs w:val="21"/>
                  <w14:textFill>
                    <w14:solidFill>
                      <w14:schemeClr w14:val="tx1"/>
                    </w14:solidFill>
                  </w14:textFill>
                </w:rPr>
              </m:ctrlPr>
            </m:sSupPr>
            <m:e>
              <m:r>
                <w:rPr>
                  <w:rFonts w:ascii="Cambria Math" w:hAnsi="Cambria Math" w:eastAsia="Cambria Math" w:cs="HiddenHorzOCR"/>
                  <w:color w:val="000000" w:themeColor="text1"/>
                  <w:kern w:val="0"/>
                  <w:szCs w:val="21"/>
                  <w14:textFill>
                    <w14:solidFill>
                      <w14:schemeClr w14:val="tx1"/>
                    </w14:solidFill>
                  </w14:textFill>
                </w:rPr>
                <m:t>d</m:t>
              </m:r>
              <m:ctrlPr>
                <w:rPr>
                  <w:rFonts w:ascii="Cambria Math" w:hAnsi="Cambria Math" w:eastAsia="Cambria Math" w:cs="HiddenHorzOCR"/>
                  <w:i/>
                  <w:color w:val="000000" w:themeColor="text1"/>
                  <w:kern w:val="0"/>
                  <w:szCs w:val="21"/>
                  <w14:textFill>
                    <w14:solidFill>
                      <w14:schemeClr w14:val="tx1"/>
                    </w14:solidFill>
                  </w14:textFill>
                </w:rPr>
              </m:ctrlPr>
            </m:e>
            <m:sup>
              <m:r>
                <w:rPr>
                  <w:rFonts w:ascii="Cambria Math" w:hAnsi="Cambria Math" w:eastAsia="Cambria Math" w:cs="HiddenHorzOCR"/>
                  <w:color w:val="000000" w:themeColor="text1"/>
                  <w:kern w:val="0"/>
                  <w:szCs w:val="21"/>
                  <w14:textFill>
                    <w14:solidFill>
                      <w14:schemeClr w14:val="tx1"/>
                    </w14:solidFill>
                  </w14:textFill>
                </w:rPr>
                <m:t>2</m:t>
              </m:r>
              <m:ctrlPr>
                <w:rPr>
                  <w:rFonts w:ascii="Cambria Math" w:hAnsi="Cambria Math" w:eastAsia="Cambria Math" w:cs="HiddenHorzOCR"/>
                  <w:i/>
                  <w:color w:val="000000" w:themeColor="text1"/>
                  <w:kern w:val="0"/>
                  <w:szCs w:val="21"/>
                  <w14:textFill>
                    <w14:solidFill>
                      <w14:schemeClr w14:val="tx1"/>
                    </w14:solidFill>
                  </w14:textFill>
                </w:rPr>
              </m:ctrlPr>
            </m:sup>
          </m:sSup>
          <m:sSubSup>
            <m:sSubSupPr>
              <m:ctrlPr>
                <w:rPr>
                  <w:rFonts w:ascii="Cambria Math" w:hAnsi="Cambria Math" w:eastAsia="楷体_GB2312" w:cs="Calibri"/>
                  <w:color w:val="000000" w:themeColor="text1"/>
                  <w:kern w:val="0"/>
                  <w:szCs w:val="21"/>
                  <w14:textFill>
                    <w14:solidFill>
                      <w14:schemeClr w14:val="tx1"/>
                    </w14:solidFill>
                  </w14:textFill>
                </w:rPr>
              </m:ctrlPr>
            </m:sSubSup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v</m:t>
              </m:r>
              <m:ctrlPr>
                <w:rPr>
                  <w:rFonts w:ascii="Cambria Math" w:hAnsi="Cambria Math" w:eastAsia="楷体_GB2312" w:cs="Calibri"/>
                  <w:color w:val="000000" w:themeColor="text1"/>
                  <w:kern w:val="0"/>
                  <w:szCs w:val="21"/>
                  <w14:textFill>
                    <w14:solidFill>
                      <w14:schemeClr w14:val="tx1"/>
                    </w14:solidFill>
                  </w14:textFill>
                </w:rPr>
              </m:ctrlPr>
            </m:sub>
            <m:sup>
              <m:r>
                <w:rPr>
                  <w:rFonts w:ascii="Cambria Math" w:hAnsi="Cambria Math" w:eastAsia="楷体_GB2312" w:cs="Calibri"/>
                  <w:color w:val="000000" w:themeColor="text1"/>
                  <w:kern w:val="0"/>
                  <w:szCs w:val="21"/>
                  <w14:textFill>
                    <w14:solidFill>
                      <w14:schemeClr w14:val="tx1"/>
                    </w14:solidFill>
                  </w14:textFill>
                </w:rPr>
                <m:t>b</m:t>
              </m:r>
              <m:ctrlPr>
                <w:rPr>
                  <w:rFonts w:ascii="Cambria Math" w:hAnsi="Cambria Math" w:eastAsia="楷体_GB2312" w:cs="Calibri"/>
                  <w:color w:val="000000" w:themeColor="text1"/>
                  <w:kern w:val="0"/>
                  <w:szCs w:val="21"/>
                  <w14:textFill>
                    <w14:solidFill>
                      <w14:schemeClr w14:val="tx1"/>
                    </w14:solidFill>
                  </w14:textFill>
                </w:rPr>
              </m:ctrlPr>
            </m:sup>
          </m:sSubSup>
          <m:r>
            <w:rPr>
              <w:rFonts w:ascii="Cambria Math" w:hAnsi="Cambria Math" w:eastAsia="楷体_GB2312" w:cs="Calibri"/>
              <w:color w:val="000000" w:themeColor="text1"/>
              <w:kern w:val="0"/>
              <w:szCs w:val="21"/>
              <w14:textFill>
                <w14:solidFill>
                  <w14:schemeClr w14:val="tx1"/>
                </w14:solidFill>
              </w14:textFill>
            </w:rPr>
            <m:t xml:space="preserve">                       (7.3.11-2)</m:t>
          </m:r>
        </m:oMath>
      </m:oMathPara>
    </w:p>
    <w:p>
      <w:pPr>
        <w:autoSpaceDE w:val="0"/>
        <w:autoSpaceDN w:val="0"/>
        <w:spacing w:line="360" w:lineRule="auto"/>
        <w:ind w:firstLine="0" w:firstLineChars="0"/>
        <w:jc w:val="left"/>
        <w:rPr>
          <w:rFonts w:cs="HiddenHorzOCR" w:asciiTheme="minorEastAsia" w:hAnsiTheme="minorEastAsia"/>
          <w:iCs/>
          <w:color w:val="000000" w:themeColor="text1"/>
          <w:kern w:val="0"/>
          <w:szCs w:val="21"/>
          <w14:textFill>
            <w14:solidFill>
              <w14:schemeClr w14:val="tx1"/>
            </w14:solidFill>
          </w14:textFill>
        </w:rPr>
      </w:pPr>
      <w:r>
        <w:rPr>
          <w:rFonts w:hint="eastAsia" w:cs="HiddenHorzOCR" w:asciiTheme="minorEastAsia" w:hAnsiTheme="minorEastAsia"/>
          <w:iCs/>
          <w:color w:val="000000" w:themeColor="text1"/>
          <w:kern w:val="0"/>
          <w:szCs w:val="21"/>
          <w14:textFill>
            <w14:solidFill>
              <w14:schemeClr w14:val="tx1"/>
            </w14:solidFill>
          </w14:textFill>
        </w:rPr>
        <w:t>式中：</w:t>
      </w:r>
      <w:r>
        <w:rPr>
          <w:rFonts w:cs="HiddenHorzOCR" w:asciiTheme="minorEastAsia" w:hAnsiTheme="minorEastAsia"/>
          <w:iCs/>
          <w:color w:val="000000" w:themeColor="text1"/>
          <w:kern w:val="0"/>
          <w:szCs w:val="21"/>
          <w14:textFill>
            <w14:solidFill>
              <w14:schemeClr w14:val="tx1"/>
            </w14:solidFill>
          </w14:textFill>
        </w:rPr>
        <w:t>1.5——</w:t>
      </w:r>
      <w:r>
        <w:rPr>
          <w:rFonts w:hint="eastAsia" w:cs="HiddenHorzOCR" w:asciiTheme="minorEastAsia" w:hAnsiTheme="minorEastAsia"/>
          <w:iCs/>
          <w:color w:val="000000" w:themeColor="text1"/>
          <w:kern w:val="0"/>
          <w:szCs w:val="21"/>
          <w14:textFill>
            <w14:solidFill>
              <w14:schemeClr w14:val="tx1"/>
            </w14:solidFill>
          </w14:textFill>
        </w:rPr>
        <w:t>内力增大系数；</w:t>
      </w:r>
    </w:p>
    <w:p>
      <w:pPr>
        <w:autoSpaceDE w:val="0"/>
        <w:autoSpaceDN w:val="0"/>
        <w:spacing w:line="360" w:lineRule="auto"/>
        <w:ind w:left="1260" w:leftChars="300" w:hanging="630" w:hangingChars="300"/>
        <w:jc w:val="left"/>
        <w:rPr>
          <w:rFonts w:cs="HiddenHorzOCR" w:asciiTheme="minorEastAsia" w:hAnsiTheme="minorEastAsia"/>
          <w:iCs/>
          <w:color w:val="000000" w:themeColor="text1"/>
          <w:kern w:val="0"/>
          <w:szCs w:val="21"/>
          <w14:textFill>
            <w14:solidFill>
              <w14:schemeClr w14:val="tx1"/>
            </w14:solidFill>
          </w14:textFill>
        </w:rPr>
      </w:pPr>
      <w:r>
        <w:rPr>
          <w:rFonts w:hint="eastAsia" w:cs="HiddenHorzOCR" w:asciiTheme="minorEastAsia" w:hAnsiTheme="minorEastAsia"/>
          <w:iCs/>
          <w:color w:val="000000" w:themeColor="text1"/>
          <w:kern w:val="0"/>
          <w:szCs w:val="21"/>
          <w14:textFill>
            <w14:solidFill>
              <w14:schemeClr w14:val="tx1"/>
            </w14:solidFill>
          </w14:textFill>
        </w:rPr>
        <w:t>V</w:t>
      </w:r>
      <w:r>
        <w:rPr>
          <w:rFonts w:cs="HiddenHorzOCR" w:asciiTheme="minorEastAsia" w:hAnsiTheme="minorEastAsia"/>
          <w:iCs/>
          <w:color w:val="000000" w:themeColor="text1"/>
          <w:kern w:val="0"/>
          <w:szCs w:val="21"/>
          <w14:textFill>
            <w14:solidFill>
              <w14:schemeClr w14:val="tx1"/>
            </w14:solidFill>
          </w14:textFill>
        </w:rPr>
        <w:t>——</w:t>
      </w:r>
      <w:r>
        <w:rPr>
          <w:rFonts w:hint="eastAsia" w:cs="HiddenHorzOCR" w:asciiTheme="minorEastAsia" w:hAnsiTheme="minorEastAsia"/>
          <w:iCs/>
          <w:color w:val="000000" w:themeColor="text1"/>
          <w:kern w:val="0"/>
          <w:szCs w:val="21"/>
          <w14:textFill>
            <w14:solidFill>
              <w14:schemeClr w14:val="tx1"/>
            </w14:solidFill>
          </w14:textFill>
        </w:rPr>
        <w:t>考虑地震作用效应组合由屋架端节点承受的水平剪力设计值，由排架分析确定；</w:t>
      </w:r>
    </w:p>
    <w:p>
      <w:pPr>
        <w:autoSpaceDE w:val="0"/>
        <w:autoSpaceDN w:val="0"/>
        <w:spacing w:line="360" w:lineRule="auto"/>
        <w:ind w:firstLine="630" w:firstLineChars="300"/>
        <w:jc w:val="left"/>
        <w:rPr>
          <w:rFonts w:cs="HiddenHorzOCR" w:asciiTheme="minorEastAsia" w:hAnsiTheme="minorEastAsia"/>
          <w:iCs/>
          <w:color w:val="000000" w:themeColor="text1"/>
          <w:kern w:val="0"/>
          <w:szCs w:val="21"/>
          <w14:textFill>
            <w14:solidFill>
              <w14:schemeClr w14:val="tx1"/>
            </w14:solidFill>
          </w14:textFill>
        </w:rPr>
      </w:pPr>
      <w:r>
        <w:rPr>
          <w:rFonts w:hint="eastAsia" w:cs="HiddenHorzOCR" w:asciiTheme="minorEastAsia" w:hAnsiTheme="minorEastAsia"/>
          <w:iCs/>
          <w:color w:val="000000" w:themeColor="text1"/>
          <w:kern w:val="0"/>
          <w:szCs w:val="21"/>
          <w14:textFill>
            <w14:solidFill>
              <w14:schemeClr w14:val="tx1"/>
            </w14:solidFill>
          </w14:textFill>
        </w:rPr>
        <w:t>n</w:t>
      </w:r>
      <w:r>
        <w:rPr>
          <w:rFonts w:cs="HiddenHorzOCR" w:asciiTheme="minorEastAsia" w:hAnsiTheme="minorEastAsia"/>
          <w:iCs/>
          <w:color w:val="000000" w:themeColor="text1"/>
          <w:kern w:val="0"/>
          <w:szCs w:val="21"/>
          <w14:textFill>
            <w14:solidFill>
              <w14:schemeClr w14:val="tx1"/>
            </w14:solidFill>
          </w14:textFill>
        </w:rPr>
        <w:t>——</w:t>
      </w:r>
      <w:r>
        <w:rPr>
          <w:rFonts w:hint="eastAsia" w:cs="HiddenHorzOCR" w:asciiTheme="minorEastAsia" w:hAnsiTheme="minorEastAsia"/>
          <w:iCs/>
          <w:color w:val="000000" w:themeColor="text1"/>
          <w:kern w:val="0"/>
          <w:szCs w:val="21"/>
          <w14:textFill>
            <w14:solidFill>
              <w14:schemeClr w14:val="tx1"/>
            </w14:solidFill>
          </w14:textFill>
        </w:rPr>
        <w:t>每榀屋架的连接螺栓个数，一般情况n</w:t>
      </w:r>
      <w:r>
        <w:rPr>
          <w:rFonts w:cs="HiddenHorzOCR" w:asciiTheme="minorEastAsia" w:hAnsiTheme="minorEastAsia"/>
          <w:iCs/>
          <w:color w:val="000000" w:themeColor="text1"/>
          <w:kern w:val="0"/>
          <w:szCs w:val="21"/>
          <w14:textFill>
            <w14:solidFill>
              <w14:schemeClr w14:val="tx1"/>
            </w14:solidFill>
          </w14:textFill>
        </w:rPr>
        <w:t>=2</w:t>
      </w:r>
      <w:r>
        <w:rPr>
          <w:rFonts w:hint="eastAsia" w:cs="HiddenHorzOCR" w:asciiTheme="minorEastAsia" w:hAnsiTheme="minorEastAsia"/>
          <w:iCs/>
          <w:color w:val="000000" w:themeColor="text1"/>
          <w:kern w:val="0"/>
          <w:szCs w:val="21"/>
          <w14:textFill>
            <w14:solidFill>
              <w14:schemeClr w14:val="tx1"/>
            </w14:solidFill>
          </w14:textFill>
        </w:rPr>
        <w:t>；</w:t>
      </w:r>
    </w:p>
    <w:p>
      <w:pPr>
        <w:autoSpaceDE w:val="0"/>
        <w:autoSpaceDN w:val="0"/>
        <w:spacing w:line="360" w:lineRule="auto"/>
        <w:ind w:firstLine="630" w:firstLineChars="300"/>
        <w:jc w:val="left"/>
        <w:rPr>
          <w:rFonts w:cs="HiddenHorzOCR" w:asciiTheme="minorEastAsia" w:hAnsiTheme="minorEastAsia"/>
          <w:iCs/>
          <w:color w:val="000000" w:themeColor="text1"/>
          <w:kern w:val="0"/>
          <w:szCs w:val="21"/>
          <w14:textFill>
            <w14:solidFill>
              <w14:schemeClr w14:val="tx1"/>
            </w14:solidFill>
          </w14:textFill>
        </w:rPr>
      </w:pPr>
      <m:oMath>
        <m:sSubSup>
          <m:sSubSupPr>
            <m:ctrlPr>
              <w:rPr>
                <w:rFonts w:ascii="Cambria Math" w:hAnsi="Cambria Math" w:eastAsia="Cambria Math" w:cs="Cambria Math"/>
                <w:iCs/>
                <w:color w:val="000000" w:themeColor="text1"/>
                <w:kern w:val="0"/>
                <w:szCs w:val="21"/>
                <w14:textFill>
                  <w14:solidFill>
                    <w14:schemeClr w14:val="tx1"/>
                  </w14:solidFill>
                </w14:textFill>
              </w:rPr>
            </m:ctrlPr>
          </m:sSubSupPr>
          <m:e>
            <m:r>
              <m:rPr>
                <m:sty m:val="p"/>
              </m:rPr>
              <w:rPr>
                <w:rFonts w:ascii="Cambria Math" w:hAnsi="Cambria Math" w:eastAsia="Cambria Math" w:cs="Cambria Math"/>
                <w:color w:val="000000" w:themeColor="text1"/>
                <w:kern w:val="0"/>
                <w:szCs w:val="21"/>
                <w14:textFill>
                  <w14:solidFill>
                    <w14:schemeClr w14:val="tx1"/>
                  </w14:solidFill>
                </w14:textFill>
              </w:rPr>
              <m:t>N</m:t>
            </m:r>
            <m:ctrlPr>
              <w:rPr>
                <w:rFonts w:ascii="Cambria Math" w:hAnsi="Cambria Math" w:eastAsia="Cambria Math" w:cs="Cambria Math"/>
                <w:iCs/>
                <w:color w:val="000000" w:themeColor="text1"/>
                <w:kern w:val="0"/>
                <w:szCs w:val="21"/>
                <w14:textFill>
                  <w14:solidFill>
                    <w14:schemeClr w14:val="tx1"/>
                  </w14:solidFill>
                </w14:textFill>
              </w:rPr>
            </m:ctrlPr>
          </m:e>
          <m:sub>
            <m:r>
              <m:rPr>
                <m:sty m:val="p"/>
              </m:rP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Cs/>
                <w:color w:val="000000" w:themeColor="text1"/>
                <w:kern w:val="0"/>
                <w:szCs w:val="21"/>
                <w14:textFill>
                  <w14:solidFill>
                    <w14:schemeClr w14:val="tx1"/>
                  </w14:solidFill>
                </w14:textFill>
              </w:rPr>
            </m:ctrlPr>
          </m:sub>
          <m:sup>
            <m:r>
              <m:rPr>
                <m:sty m:val="p"/>
              </m:rPr>
              <w:rPr>
                <w:rFonts w:ascii="Cambria Math" w:hAnsi="Cambria Math" w:eastAsia="Cambria Math" w:cs="Cambria Math"/>
                <w:color w:val="000000" w:themeColor="text1"/>
                <w:kern w:val="0"/>
                <w:szCs w:val="21"/>
                <w14:textFill>
                  <w14:solidFill>
                    <w14:schemeClr w14:val="tx1"/>
                  </w14:solidFill>
                </w14:textFill>
              </w:rPr>
              <m:t>b</m:t>
            </m:r>
            <m:ctrlPr>
              <w:rPr>
                <w:rFonts w:ascii="Cambria Math" w:hAnsi="Cambria Math" w:eastAsia="Cambria Math" w:cs="Cambria Math"/>
                <w:iCs/>
                <w:color w:val="000000" w:themeColor="text1"/>
                <w:kern w:val="0"/>
                <w:szCs w:val="21"/>
                <w14:textFill>
                  <w14:solidFill>
                    <w14:schemeClr w14:val="tx1"/>
                  </w14:solidFill>
                </w14:textFill>
              </w:rPr>
            </m:ctrlPr>
          </m:sup>
        </m:sSubSup>
      </m:oMath>
      <w:r>
        <w:rPr>
          <w:rFonts w:hint="eastAsia" w:cs="HiddenHorzOCR" w:asciiTheme="minorEastAsia" w:hAnsiTheme="minorEastAsia"/>
          <w:iCs/>
          <w:color w:val="000000" w:themeColor="text1"/>
          <w:kern w:val="0"/>
          <w:szCs w:val="21"/>
          <w14:textFill>
            <w14:solidFill>
              <w14:schemeClr w14:val="tx1"/>
            </w14:solidFill>
          </w14:textFill>
        </w:rPr>
        <w:t>——单个螺栓受剪承载力设计值；</w:t>
      </w:r>
    </w:p>
    <w:p>
      <w:pPr>
        <w:autoSpaceDE w:val="0"/>
        <w:autoSpaceDN w:val="0"/>
        <w:spacing w:line="360" w:lineRule="auto"/>
        <w:ind w:firstLine="630" w:firstLineChars="300"/>
        <w:jc w:val="left"/>
        <w:rPr>
          <w:rFonts w:cs="HiddenHorzOCR" w:asciiTheme="minorEastAsia" w:hAnsiTheme="minorEastAsia"/>
          <w:iCs/>
          <w:color w:val="000000" w:themeColor="text1"/>
          <w:kern w:val="0"/>
          <w:szCs w:val="21"/>
          <w14:textFill>
            <w14:solidFill>
              <w14:schemeClr w14:val="tx1"/>
            </w14:solidFill>
          </w14:textFill>
        </w:rPr>
      </w:pPr>
      <w:r>
        <w:rPr>
          <w:rFonts w:hint="eastAsia" w:cs="HiddenHorzOCR" w:asciiTheme="minorEastAsia" w:hAnsiTheme="minorEastAsia"/>
          <w:iCs/>
          <w:color w:val="000000" w:themeColor="text1"/>
          <w:kern w:val="0"/>
          <w:szCs w:val="21"/>
          <w14:textFill>
            <w14:solidFill>
              <w14:schemeClr w14:val="tx1"/>
            </w14:solidFill>
          </w14:textFill>
        </w:rPr>
        <w:t>d</w:t>
      </w:r>
      <w:r>
        <w:rPr>
          <w:rFonts w:cs="HiddenHorzOCR" w:asciiTheme="minorEastAsia" w:hAnsiTheme="minorEastAsia"/>
          <w:iCs/>
          <w:color w:val="000000" w:themeColor="text1"/>
          <w:kern w:val="0"/>
          <w:szCs w:val="21"/>
          <w14:textFill>
            <w14:solidFill>
              <w14:schemeClr w14:val="tx1"/>
            </w14:solidFill>
          </w14:textFill>
        </w:rPr>
        <w:t>——</w:t>
      </w:r>
      <w:r>
        <w:rPr>
          <w:rFonts w:hint="eastAsia" w:cs="HiddenHorzOCR" w:asciiTheme="minorEastAsia" w:hAnsiTheme="minorEastAsia"/>
          <w:iCs/>
          <w:color w:val="000000" w:themeColor="text1"/>
          <w:kern w:val="0"/>
          <w:szCs w:val="21"/>
          <w14:textFill>
            <w14:solidFill>
              <w14:schemeClr w14:val="tx1"/>
            </w14:solidFill>
          </w14:textFill>
        </w:rPr>
        <w:t>螺栓杆直径；</w:t>
      </w:r>
    </w:p>
    <w:p>
      <w:pPr>
        <w:autoSpaceDE w:val="0"/>
        <w:autoSpaceDN w:val="0"/>
        <w:spacing w:line="360" w:lineRule="auto"/>
        <w:ind w:left="1260" w:leftChars="300" w:hanging="630" w:hangingChars="300"/>
        <w:jc w:val="left"/>
        <w:rPr>
          <w:rFonts w:cs="HiddenHorzOCR" w:asciiTheme="minorEastAsia" w:hAnsiTheme="minorEastAsia"/>
          <w:b/>
          <w:bCs/>
          <w:iCs/>
          <w:color w:val="000000" w:themeColor="text1"/>
          <w:kern w:val="0"/>
          <w:szCs w:val="21"/>
          <w14:textFill>
            <w14:solidFill>
              <w14:schemeClr w14:val="tx1"/>
            </w14:solidFill>
          </w14:textFill>
        </w:rPr>
      </w:pPr>
      <m:oMath>
        <m:sSubSup>
          <m:sSubSupPr>
            <m:ctrlPr>
              <w:rPr>
                <w:rFonts w:ascii="Cambria Math" w:hAnsi="Cambria Math" w:eastAsia="楷体_GB2312" w:cs="Calibri"/>
                <w:color w:val="000000" w:themeColor="text1"/>
                <w:kern w:val="0"/>
                <w:szCs w:val="21"/>
                <w14:textFill>
                  <w14:solidFill>
                    <w14:schemeClr w14:val="tx1"/>
                  </w14:solidFill>
                </w14:textFill>
              </w:rPr>
            </m:ctrlPr>
          </m:sSubSup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v</m:t>
            </m:r>
            <m:ctrlPr>
              <w:rPr>
                <w:rFonts w:ascii="Cambria Math" w:hAnsi="Cambria Math" w:eastAsia="楷体_GB2312" w:cs="Calibri"/>
                <w:color w:val="000000" w:themeColor="text1"/>
                <w:kern w:val="0"/>
                <w:szCs w:val="21"/>
                <w14:textFill>
                  <w14:solidFill>
                    <w14:schemeClr w14:val="tx1"/>
                  </w14:solidFill>
                </w14:textFill>
              </w:rPr>
            </m:ctrlPr>
          </m:sub>
          <m:sup>
            <m:r>
              <w:rPr>
                <w:rFonts w:ascii="Cambria Math" w:hAnsi="Cambria Math" w:eastAsia="楷体_GB2312" w:cs="Calibri"/>
                <w:color w:val="000000" w:themeColor="text1"/>
                <w:kern w:val="0"/>
                <w:szCs w:val="21"/>
                <w14:textFill>
                  <w14:solidFill>
                    <w14:schemeClr w14:val="tx1"/>
                  </w14:solidFill>
                </w14:textFill>
              </w:rPr>
              <m:t>b</m:t>
            </m:r>
            <m:ctrlPr>
              <w:rPr>
                <w:rFonts w:ascii="Cambria Math" w:hAnsi="Cambria Math" w:eastAsia="楷体_GB2312" w:cs="Calibri"/>
                <w:color w:val="000000" w:themeColor="text1"/>
                <w:kern w:val="0"/>
                <w:szCs w:val="21"/>
                <w14:textFill>
                  <w14:solidFill>
                    <w14:schemeClr w14:val="tx1"/>
                  </w14:solidFill>
                </w14:textFill>
              </w:rPr>
            </m:ctrlPr>
          </m:sup>
        </m:sSubSup>
      </m:oMath>
      <w:r>
        <w:rPr>
          <w:rFonts w:hint="eastAsia" w:cs="HiddenHorzOCR" w:asciiTheme="minorEastAsia" w:hAnsiTheme="minorEastAsia"/>
          <w:color w:val="000000" w:themeColor="text1"/>
          <w:kern w:val="0"/>
          <w:szCs w:val="21"/>
          <w14:textFill>
            <w14:solidFill>
              <w14:schemeClr w14:val="tx1"/>
            </w14:solidFill>
          </w14:textFill>
        </w:rPr>
        <w:t>——螺栓的抗剪强度设计值，应按《钢结构设计标准》G</w:t>
      </w:r>
      <w:r>
        <w:rPr>
          <w:rFonts w:cs="HiddenHorzOCR" w:asciiTheme="minorEastAsia" w:hAnsiTheme="minorEastAsia"/>
          <w:color w:val="000000" w:themeColor="text1"/>
          <w:kern w:val="0"/>
          <w:szCs w:val="21"/>
          <w14:textFill>
            <w14:solidFill>
              <w14:schemeClr w14:val="tx1"/>
            </w14:solidFill>
          </w14:textFill>
        </w:rPr>
        <w:t>B</w:t>
      </w:r>
      <w:r>
        <w:rPr>
          <w:rFonts w:hint="eastAsia" w:cs="HiddenHorzOCR" w:asciiTheme="minorEastAsia" w:hAnsiTheme="minorEastAsia"/>
          <w:color w:val="000000" w:themeColor="text1"/>
          <w:kern w:val="0"/>
          <w:szCs w:val="21"/>
          <w14:textFill>
            <w14:solidFill>
              <w14:schemeClr w14:val="tx1"/>
            </w14:solidFill>
          </w14:textFill>
        </w:rPr>
        <w:t>50017中C级普通螺栓的规定值采用。</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i/>
          <w:color w:val="000000" w:themeColor="text1"/>
          <w:kern w:val="0"/>
          <w:szCs w:val="21"/>
          <w14:textFill>
            <w14:solidFill>
              <w14:schemeClr w14:val="tx1"/>
            </w14:solidFill>
          </w14:textFill>
        </w:rPr>
      </w:pPr>
      <m:oMathPara>
        <m:oMath>
          <m:r>
            <w:rPr>
              <w:rFonts w:ascii="Cambria Math" w:hAnsi="Cambria Math" w:eastAsia="Cambria Math" w:cs="Cambria Math"/>
              <w:color w:val="000000" w:themeColor="text1"/>
              <w:kern w:val="0"/>
              <w:szCs w:val="21"/>
              <w14:textFill>
                <w14:solidFill>
                  <w14:schemeClr w14:val="tx1"/>
                </w14:solidFill>
              </w14:textFill>
            </w:rPr>
            <m:t>V≤</m:t>
          </m:r>
          <m:f>
            <m:fPr>
              <m:ctrlPr>
                <w:rPr>
                  <w:rFonts w:ascii="Cambria Math" w:hAnsi="Cambria Math" w:eastAsia="Cambria Math" w:cs="HiddenHorzOCR"/>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0.47</m:t>
              </m:r>
              <m:ctrlPr>
                <w:rPr>
                  <w:rFonts w:ascii="Cambria Math" w:hAnsi="Cambria Math" w:eastAsia="Cambria Math" w:cs="HiddenHorzOCR"/>
                  <w:color w:val="000000" w:themeColor="text1"/>
                  <w:kern w:val="0"/>
                  <w:szCs w:val="21"/>
                  <w14:textFill>
                    <w14:solidFill>
                      <w14:schemeClr w14:val="tx1"/>
                    </w14:solidFill>
                  </w14:textFill>
                </w:rPr>
              </m:ctrlPr>
            </m:num>
            <m:den>
              <m:sSub>
                <m:sSubPr>
                  <m:ctrlPr>
                    <w:rPr>
                      <w:rFonts w:ascii="Cambria Math" w:hAnsi="Cambria Math" w:eastAsia="Cambria Math" w:cs="Cambria Math"/>
                      <w:color w:val="000000" w:themeColor="text1"/>
                      <w:kern w:val="0"/>
                      <w:szCs w:val="21"/>
                      <w14:textFill>
                        <w14:solidFill>
                          <w14:schemeClr w14:val="tx1"/>
                        </w14:solidFill>
                      </w14:textFill>
                    </w:rPr>
                  </m:ctrlPr>
                </m:sSubPr>
                <m:e>
                  <m:r>
                    <m:rPr>
                      <m:sty m:val="p"/>
                    </m:rP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color w:val="000000" w:themeColor="text1"/>
                      <w:kern w:val="0"/>
                      <w:szCs w:val="21"/>
                      <w14:textFill>
                        <w14:solidFill>
                          <w14:schemeClr w14:val="tx1"/>
                        </w14:solidFill>
                      </w14:textFill>
                    </w:rPr>
                  </m:ctrlPr>
                </m:sub>
              </m:sSub>
              <m:ctrlPr>
                <w:rPr>
                  <w:rFonts w:ascii="Cambria Math" w:hAnsi="Cambria Math" w:eastAsia="Cambria Math" w:cs="HiddenHorzOCR"/>
                  <w:color w:val="000000" w:themeColor="text1"/>
                  <w:kern w:val="0"/>
                  <w:szCs w:val="21"/>
                  <w14:textFill>
                    <w14:solidFill>
                      <w14:schemeClr w14:val="tx1"/>
                    </w14:solidFill>
                  </w14:textFill>
                </w:rPr>
              </m:ctrlPr>
            </m:den>
          </m:f>
          <m:sSub>
            <m:sSubPr>
              <m:ctrlPr>
                <w:rPr>
                  <w:rFonts w:ascii="Cambria Math" w:hAnsi="Cambria Math" w:eastAsia="Cambria Math" w:cs="HiddenHorzOCR"/>
                  <w:i/>
                  <w:color w:val="000000" w:themeColor="text1"/>
                  <w:kern w:val="0"/>
                  <w:szCs w:val="21"/>
                  <w14:textFill>
                    <w14:solidFill>
                      <w14:schemeClr w14:val="tx1"/>
                    </w14:solidFill>
                  </w14:textFill>
                </w:rPr>
              </m:ctrlPr>
            </m:sSubPr>
            <m:e>
              <m:r>
                <w:rPr>
                  <w:rFonts w:ascii="Cambria Math" w:hAnsi="Cambria Math" w:eastAsia="Cambria Math" w:cs="HiddenHorzOCR"/>
                  <w:color w:val="000000" w:themeColor="text1"/>
                  <w:kern w:val="0"/>
                  <w:szCs w:val="21"/>
                  <w14:textFill>
                    <w14:solidFill>
                      <w14:schemeClr w14:val="tx1"/>
                    </w14:solidFill>
                  </w14:textFill>
                </w:rPr>
                <m:t>h</m:t>
              </m:r>
              <m:ctrlPr>
                <w:rPr>
                  <w:rFonts w:ascii="Cambria Math" w:hAnsi="Cambria Math" w:eastAsia="Cambria Math" w:cs="HiddenHorzOCR"/>
                  <w:i/>
                  <w:color w:val="000000" w:themeColor="text1"/>
                  <w:kern w:val="0"/>
                  <w:szCs w:val="21"/>
                  <w14:textFill>
                    <w14:solidFill>
                      <w14:schemeClr w14:val="tx1"/>
                    </w14:solidFill>
                  </w14:textFill>
                </w:rPr>
              </m:ctrlPr>
            </m:e>
            <m:sub>
              <m:r>
                <w:rPr>
                  <w:rFonts w:ascii="Cambria Math" w:hAnsi="Cambria Math" w:eastAsia="Cambria Math" w:cs="HiddenHorzOCR"/>
                  <w:color w:val="000000" w:themeColor="text1"/>
                  <w:kern w:val="0"/>
                  <w:szCs w:val="21"/>
                  <w14:textFill>
                    <w14:solidFill>
                      <w14:schemeClr w14:val="tx1"/>
                    </w14:solidFill>
                  </w14:textFill>
                </w:rPr>
                <m:t>f</m:t>
              </m:r>
              <m:ctrlPr>
                <w:rPr>
                  <w:rFonts w:ascii="Cambria Math" w:hAnsi="Cambria Math" w:eastAsia="Cambria Math" w:cs="HiddenHorzOCR"/>
                  <w:i/>
                  <w:color w:val="000000" w:themeColor="text1"/>
                  <w:kern w:val="0"/>
                  <w:szCs w:val="21"/>
                  <w14:textFill>
                    <w14:solidFill>
                      <w14:schemeClr w14:val="tx1"/>
                    </w14:solidFill>
                  </w14:textFill>
                </w:rPr>
              </m:ctrlPr>
            </m:sub>
          </m:sSub>
          <m:sSub>
            <m:sSubPr>
              <m:ctrlPr>
                <w:rPr>
                  <w:rFonts w:ascii="Cambria Math" w:hAnsi="Cambria Math" w:eastAsia="Cambria Math" w:cs="HiddenHorzOCR"/>
                  <w:i/>
                  <w:color w:val="000000" w:themeColor="text1"/>
                  <w:kern w:val="0"/>
                  <w:szCs w:val="21"/>
                  <w14:textFill>
                    <w14:solidFill>
                      <w14:schemeClr w14:val="tx1"/>
                    </w14:solidFill>
                  </w14:textFill>
                </w:rPr>
              </m:ctrlPr>
            </m:sSubPr>
            <m:e>
              <m:r>
                <w:rPr>
                  <w:rFonts w:ascii="Cambria Math" w:hAnsi="Cambria Math" w:eastAsia="Cambria Math" w:cs="HiddenHorzOCR"/>
                  <w:color w:val="000000" w:themeColor="text1"/>
                  <w:kern w:val="0"/>
                  <w:szCs w:val="21"/>
                  <w14:textFill>
                    <w14:solidFill>
                      <w14:schemeClr w14:val="tx1"/>
                    </w14:solidFill>
                  </w14:textFill>
                </w:rPr>
                <m:t>l</m:t>
              </m:r>
              <m:ctrlPr>
                <w:rPr>
                  <w:rFonts w:ascii="Cambria Math" w:hAnsi="Cambria Math" w:eastAsia="Cambria Math" w:cs="HiddenHorzOCR"/>
                  <w:i/>
                  <w:color w:val="000000" w:themeColor="text1"/>
                  <w:kern w:val="0"/>
                  <w:szCs w:val="21"/>
                  <w14:textFill>
                    <w14:solidFill>
                      <w14:schemeClr w14:val="tx1"/>
                    </w14:solidFill>
                  </w14:textFill>
                </w:rPr>
              </m:ctrlPr>
            </m:e>
            <m:sub>
              <m:r>
                <w:rPr>
                  <w:rFonts w:ascii="Cambria Math" w:hAnsi="Cambria Math" w:eastAsia="Cambria Math" w:cs="HiddenHorzOCR"/>
                  <w:color w:val="000000" w:themeColor="text1"/>
                  <w:kern w:val="0"/>
                  <w:szCs w:val="21"/>
                  <w14:textFill>
                    <w14:solidFill>
                      <w14:schemeClr w14:val="tx1"/>
                    </w14:solidFill>
                  </w14:textFill>
                </w:rPr>
                <m:t>w</m:t>
              </m:r>
              <m:ctrlPr>
                <w:rPr>
                  <w:rFonts w:ascii="Cambria Math" w:hAnsi="Cambria Math" w:eastAsia="Cambria Math" w:cs="HiddenHorzOCR"/>
                  <w:i/>
                  <w:color w:val="000000" w:themeColor="text1"/>
                  <w:kern w:val="0"/>
                  <w:szCs w:val="21"/>
                  <w14:textFill>
                    <w14:solidFill>
                      <w14:schemeClr w14:val="tx1"/>
                    </w14:solidFill>
                  </w14:textFill>
                </w:rPr>
              </m:ctrlPr>
            </m:sub>
          </m:sSub>
          <m:sSubSup>
            <m:sSubSupPr>
              <m:ctrlPr>
                <w:rPr>
                  <w:rFonts w:ascii="Cambria Math" w:hAnsi="Cambria Math" w:eastAsia="楷体_GB2312" w:cs="Calibri"/>
                  <w:color w:val="000000" w:themeColor="text1"/>
                  <w:kern w:val="0"/>
                  <w:szCs w:val="21"/>
                  <w14:textFill>
                    <w14:solidFill>
                      <w14:schemeClr w14:val="tx1"/>
                    </w14:solidFill>
                  </w14:textFill>
                </w:rPr>
              </m:ctrlPr>
            </m:sSubSup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f</m:t>
              </m:r>
              <m:ctrlPr>
                <w:rPr>
                  <w:rFonts w:ascii="Cambria Math" w:hAnsi="Cambria Math" w:eastAsia="楷体_GB2312" w:cs="Calibri"/>
                  <w:color w:val="000000" w:themeColor="text1"/>
                  <w:kern w:val="0"/>
                  <w:szCs w:val="21"/>
                  <w14:textFill>
                    <w14:solidFill>
                      <w14:schemeClr w14:val="tx1"/>
                    </w14:solidFill>
                  </w14:textFill>
                </w:rPr>
              </m:ctrlPr>
            </m:sub>
            <m:sup>
              <m:r>
                <w:rPr>
                  <w:rFonts w:ascii="Cambria Math" w:hAnsi="Cambria Math" w:eastAsia="楷体_GB2312" w:cs="Calibri"/>
                  <w:color w:val="000000" w:themeColor="text1"/>
                  <w:kern w:val="0"/>
                  <w:szCs w:val="21"/>
                  <w14:textFill>
                    <w14:solidFill>
                      <w14:schemeClr w14:val="tx1"/>
                    </w14:solidFill>
                  </w14:textFill>
                </w:rPr>
                <m:t>w</m:t>
              </m:r>
              <m:ctrlPr>
                <w:rPr>
                  <w:rFonts w:ascii="Cambria Math" w:hAnsi="Cambria Math" w:eastAsia="楷体_GB2312" w:cs="Calibri"/>
                  <w:color w:val="000000" w:themeColor="text1"/>
                  <w:kern w:val="0"/>
                  <w:szCs w:val="21"/>
                  <w14:textFill>
                    <w14:solidFill>
                      <w14:schemeClr w14:val="tx1"/>
                    </w14:solidFill>
                  </w14:textFill>
                </w:rPr>
              </m:ctrlPr>
            </m:sup>
          </m:sSubSup>
          <m:r>
            <w:rPr>
              <w:rFonts w:ascii="Cambria Math" w:hAnsi="Cambria Math" w:eastAsia="楷体_GB2312" w:cs="Calibri"/>
              <w:color w:val="000000" w:themeColor="text1"/>
              <w:kern w:val="0"/>
              <w:szCs w:val="21"/>
              <w14:textFill>
                <w14:solidFill>
                  <w14:schemeClr w14:val="tx1"/>
                </w14:solidFill>
              </w14:textFill>
            </w:rPr>
            <m:t xml:space="preserve">                   (</m:t>
          </m:r>
          <m:r>
            <w:rPr>
              <w:rFonts w:hint="eastAsia" w:ascii="Cambria Math" w:hAnsi="Cambria Math" w:eastAsia="楷体_GB2312" w:cs="Calibri"/>
              <w:color w:val="000000" w:themeColor="text1"/>
              <w:kern w:val="0"/>
              <w:szCs w:val="21"/>
              <w14:textFill>
                <w14:solidFill>
                  <w14:schemeClr w14:val="tx1"/>
                </w14:solidFill>
              </w14:textFill>
            </w:rPr>
            <m:t>7.3</m:t>
          </m:r>
          <m:r>
            <w:rPr>
              <w:rFonts w:ascii="Cambria Math" w:hAnsi="Cambria Math" w:eastAsia="楷体_GB2312" w:cs="Calibri"/>
              <w:color w:val="000000" w:themeColor="text1"/>
              <w:kern w:val="0"/>
              <w:szCs w:val="21"/>
              <w14:textFill>
                <w14:solidFill>
                  <w14:schemeClr w14:val="tx1"/>
                </w14:solidFill>
              </w14:textFill>
            </w:rPr>
            <m:t>.11-3)</m:t>
          </m:r>
        </m:oMath>
      </m:oMathPara>
    </w:p>
    <w:p>
      <w:pPr>
        <w:autoSpaceDE w:val="0"/>
        <w:autoSpaceDN w:val="0"/>
        <w:spacing w:line="360" w:lineRule="auto"/>
        <w:ind w:firstLine="0" w:firstLineChars="0"/>
        <w:jc w:val="left"/>
        <w:rPr>
          <w:rFonts w:cs="HiddenHorzOCR" w:asciiTheme="minorEastAsia" w:hAnsiTheme="minorEastAsia"/>
          <w:iCs/>
          <w:color w:val="000000" w:themeColor="text1"/>
          <w:kern w:val="0"/>
          <w:szCs w:val="21"/>
          <w14:textFill>
            <w14:solidFill>
              <w14:schemeClr w14:val="tx1"/>
            </w14:solidFill>
          </w14:textFill>
        </w:rPr>
      </w:pPr>
      <w:r>
        <w:rPr>
          <w:rFonts w:hint="eastAsia" w:cs="HiddenHorzOCR" w:asciiTheme="minorEastAsia" w:hAnsiTheme="minorEastAsia"/>
          <w:iCs/>
          <w:color w:val="000000" w:themeColor="text1"/>
          <w:kern w:val="0"/>
          <w:szCs w:val="21"/>
          <w14:textFill>
            <w14:solidFill>
              <w14:schemeClr w14:val="tx1"/>
            </w14:solidFill>
          </w14:textFill>
        </w:rPr>
        <w:t>式中：</w:t>
      </w:r>
      <m:oMath>
        <m:sSub>
          <m:sSubPr>
            <m:ctrlPr>
              <w:rPr>
                <w:rFonts w:ascii="Cambria Math" w:hAnsi="Cambria Math" w:eastAsia="Cambria Math" w:cs="HiddenHorzOCR"/>
                <w:i/>
                <w:color w:val="000000" w:themeColor="text1"/>
                <w:kern w:val="0"/>
                <w:szCs w:val="21"/>
                <w14:textFill>
                  <w14:solidFill>
                    <w14:schemeClr w14:val="tx1"/>
                  </w14:solidFill>
                </w14:textFill>
              </w:rPr>
            </m:ctrlPr>
          </m:sSubPr>
          <m:e>
            <m:r>
              <w:rPr>
                <w:rFonts w:ascii="Cambria Math" w:hAnsi="Cambria Math" w:eastAsia="Cambria Math" w:cs="HiddenHorzOCR"/>
                <w:color w:val="000000" w:themeColor="text1"/>
                <w:kern w:val="0"/>
                <w:szCs w:val="21"/>
                <w14:textFill>
                  <w14:solidFill>
                    <w14:schemeClr w14:val="tx1"/>
                  </w14:solidFill>
                </w14:textFill>
              </w:rPr>
              <m:t>l</m:t>
            </m:r>
            <m:ctrlPr>
              <w:rPr>
                <w:rFonts w:ascii="Cambria Math" w:hAnsi="Cambria Math" w:eastAsia="Cambria Math" w:cs="HiddenHorzOCR"/>
                <w:i/>
                <w:color w:val="000000" w:themeColor="text1"/>
                <w:kern w:val="0"/>
                <w:szCs w:val="21"/>
                <w14:textFill>
                  <w14:solidFill>
                    <w14:schemeClr w14:val="tx1"/>
                  </w14:solidFill>
                </w14:textFill>
              </w:rPr>
            </m:ctrlPr>
          </m:e>
          <m:sub>
            <m:r>
              <w:rPr>
                <w:rFonts w:ascii="Cambria Math" w:hAnsi="Cambria Math" w:eastAsia="Cambria Math" w:cs="HiddenHorzOCR"/>
                <w:color w:val="000000" w:themeColor="text1"/>
                <w:kern w:val="0"/>
                <w:szCs w:val="21"/>
                <w14:textFill>
                  <w14:solidFill>
                    <w14:schemeClr w14:val="tx1"/>
                  </w14:solidFill>
                </w14:textFill>
              </w:rPr>
              <m:t>w</m:t>
            </m:r>
            <m:ctrlPr>
              <w:rPr>
                <w:rFonts w:ascii="Cambria Math" w:hAnsi="Cambria Math" w:eastAsia="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iCs/>
          <w:color w:val="000000" w:themeColor="text1"/>
          <w:kern w:val="0"/>
          <w:szCs w:val="21"/>
          <w14:textFill>
            <w14:solidFill>
              <w14:schemeClr w14:val="tx1"/>
            </w14:solidFill>
          </w14:textFill>
        </w:rPr>
        <w:t>——</w:t>
      </w:r>
      <w:r>
        <w:rPr>
          <w:rFonts w:hint="eastAsia" w:cs="HiddenHorzOCR" w:asciiTheme="minorEastAsia" w:hAnsiTheme="minorEastAsia"/>
          <w:iCs/>
          <w:color w:val="000000" w:themeColor="text1"/>
          <w:kern w:val="0"/>
          <w:szCs w:val="21"/>
          <w14:textFill>
            <w14:solidFill>
              <w14:schemeClr w14:val="tx1"/>
            </w14:solidFill>
          </w14:textFill>
        </w:rPr>
        <w:t>连接焊缝计算长度，取每条焊缝实际长度减去1</w:t>
      </w:r>
      <w:r>
        <w:rPr>
          <w:rFonts w:cs="HiddenHorzOCR" w:asciiTheme="minorEastAsia" w:hAnsiTheme="minorEastAsia"/>
          <w:iCs/>
          <w:color w:val="000000" w:themeColor="text1"/>
          <w:kern w:val="0"/>
          <w:szCs w:val="21"/>
          <w14:textFill>
            <w14:solidFill>
              <w14:schemeClr w14:val="tx1"/>
            </w14:solidFill>
          </w14:textFill>
        </w:rPr>
        <w:t>0mm</w:t>
      </w:r>
      <w:r>
        <w:rPr>
          <w:rFonts w:hint="eastAsia" w:cs="HiddenHorzOCR" w:asciiTheme="minorEastAsia" w:hAnsiTheme="minorEastAsia"/>
          <w:iCs/>
          <w:color w:val="000000" w:themeColor="text1"/>
          <w:kern w:val="0"/>
          <w:szCs w:val="21"/>
          <w14:textFill>
            <w14:solidFill>
              <w14:schemeClr w14:val="tx1"/>
            </w14:solidFill>
          </w14:textFill>
        </w:rPr>
        <w:t>之和；</w:t>
      </w:r>
    </w:p>
    <w:p>
      <w:pPr>
        <w:autoSpaceDE w:val="0"/>
        <w:autoSpaceDN w:val="0"/>
        <w:spacing w:line="360" w:lineRule="auto"/>
        <w:ind w:firstLine="630" w:firstLineChars="300"/>
        <w:jc w:val="left"/>
        <w:rPr>
          <w:rFonts w:cs="HiddenHorzOCR" w:asciiTheme="minorEastAsia" w:hAnsiTheme="minorEastAsia"/>
          <w:iCs/>
          <w:color w:val="000000" w:themeColor="text1"/>
          <w:kern w:val="0"/>
          <w:szCs w:val="21"/>
          <w14:textFill>
            <w14:solidFill>
              <w14:schemeClr w14:val="tx1"/>
            </w14:solidFill>
          </w14:textFill>
        </w:rPr>
      </w:pPr>
      <m:oMath>
        <m:sSub>
          <m:sSubPr>
            <m:ctrlPr>
              <w:rPr>
                <w:rFonts w:ascii="Cambria Math" w:hAnsi="Cambria Math" w:eastAsia="Cambria Math" w:cs="HiddenHorzOCR"/>
                <w:i/>
                <w:color w:val="000000" w:themeColor="text1"/>
                <w:kern w:val="0"/>
                <w:szCs w:val="21"/>
                <w14:textFill>
                  <w14:solidFill>
                    <w14:schemeClr w14:val="tx1"/>
                  </w14:solidFill>
                </w14:textFill>
              </w:rPr>
            </m:ctrlPr>
          </m:sSubPr>
          <m:e>
            <m:r>
              <w:rPr>
                <w:rFonts w:ascii="Cambria Math" w:hAnsi="Cambria Math" w:eastAsia="Cambria Math" w:cs="HiddenHorzOCR"/>
                <w:color w:val="000000" w:themeColor="text1"/>
                <w:kern w:val="0"/>
                <w:szCs w:val="21"/>
                <w14:textFill>
                  <w14:solidFill>
                    <w14:schemeClr w14:val="tx1"/>
                  </w14:solidFill>
                </w14:textFill>
              </w:rPr>
              <m:t>h</m:t>
            </m:r>
            <m:ctrlPr>
              <w:rPr>
                <w:rFonts w:ascii="Cambria Math" w:hAnsi="Cambria Math" w:eastAsia="Cambria Math" w:cs="HiddenHorzOCR"/>
                <w:i/>
                <w:color w:val="000000" w:themeColor="text1"/>
                <w:kern w:val="0"/>
                <w:szCs w:val="21"/>
                <w14:textFill>
                  <w14:solidFill>
                    <w14:schemeClr w14:val="tx1"/>
                  </w14:solidFill>
                </w14:textFill>
              </w:rPr>
            </m:ctrlPr>
          </m:e>
          <m:sub>
            <m:r>
              <w:rPr>
                <w:rFonts w:ascii="Cambria Math" w:hAnsi="Cambria Math" w:eastAsia="Cambria Math" w:cs="HiddenHorzOCR"/>
                <w:color w:val="000000" w:themeColor="text1"/>
                <w:kern w:val="0"/>
                <w:szCs w:val="21"/>
                <w14:textFill>
                  <w14:solidFill>
                    <w14:schemeClr w14:val="tx1"/>
                  </w14:solidFill>
                </w14:textFill>
              </w:rPr>
              <m:t>f</m:t>
            </m:r>
            <m:ctrlPr>
              <w:rPr>
                <w:rFonts w:ascii="Cambria Math" w:hAnsi="Cambria Math" w:eastAsia="Cambria Math" w:cs="HiddenHorzOCR"/>
                <w:i/>
                <w:color w:val="000000" w:themeColor="text1"/>
                <w:kern w:val="0"/>
                <w:szCs w:val="21"/>
                <w14:textFill>
                  <w14:solidFill>
                    <w14:schemeClr w14:val="tx1"/>
                  </w14:solidFill>
                </w14:textFill>
              </w:rPr>
            </m:ctrlPr>
          </m:sub>
        </m:sSub>
      </m:oMath>
      <w:r>
        <w:rPr>
          <w:rFonts w:cs="HiddenHorzOCR" w:asciiTheme="minorEastAsia" w:hAnsiTheme="minorEastAsia"/>
          <w:iCs/>
          <w:color w:val="000000" w:themeColor="text1"/>
          <w:kern w:val="0"/>
          <w:szCs w:val="21"/>
          <w14:textFill>
            <w14:solidFill>
              <w14:schemeClr w14:val="tx1"/>
            </w14:solidFill>
          </w14:textFill>
        </w:rPr>
        <w:t>——</w:t>
      </w:r>
      <w:r>
        <w:rPr>
          <w:rFonts w:hint="eastAsia" w:cs="HiddenHorzOCR" w:asciiTheme="minorEastAsia" w:hAnsiTheme="minorEastAsia"/>
          <w:iCs/>
          <w:color w:val="000000" w:themeColor="text1"/>
          <w:kern w:val="0"/>
          <w:szCs w:val="21"/>
          <w14:textFill>
            <w14:solidFill>
              <w14:schemeClr w14:val="tx1"/>
            </w14:solidFill>
          </w14:textFill>
        </w:rPr>
        <w:t>角焊缝的焊脚尺寸；</w:t>
      </w:r>
    </w:p>
    <w:p>
      <w:pPr>
        <w:autoSpaceDE w:val="0"/>
        <w:autoSpaceDN w:val="0"/>
        <w:spacing w:line="360" w:lineRule="auto"/>
        <w:ind w:firstLine="630" w:firstLineChars="300"/>
        <w:jc w:val="left"/>
        <w:rPr>
          <w:rFonts w:cs="HiddenHorzOCR" w:asciiTheme="minorEastAsia" w:hAnsiTheme="minorEastAsia"/>
          <w:iCs/>
          <w:color w:val="000000" w:themeColor="text1"/>
          <w:kern w:val="0"/>
          <w:szCs w:val="21"/>
          <w14:textFill>
            <w14:solidFill>
              <w14:schemeClr w14:val="tx1"/>
            </w14:solidFill>
          </w14:textFill>
        </w:rPr>
      </w:pPr>
      <m:oMath>
        <m:sSubSup>
          <m:sSubSupPr>
            <m:ctrlPr>
              <w:rPr>
                <w:rFonts w:ascii="Cambria Math" w:hAnsi="Cambria Math" w:eastAsia="楷体_GB2312" w:cs="Calibri"/>
                <w:color w:val="000000" w:themeColor="text1"/>
                <w:kern w:val="0"/>
                <w:szCs w:val="21"/>
                <w14:textFill>
                  <w14:solidFill>
                    <w14:schemeClr w14:val="tx1"/>
                  </w14:solidFill>
                </w14:textFill>
              </w:rPr>
            </m:ctrlPr>
          </m:sSubSup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f</m:t>
            </m:r>
            <m:ctrlPr>
              <w:rPr>
                <w:rFonts w:ascii="Cambria Math" w:hAnsi="Cambria Math" w:eastAsia="楷体_GB2312" w:cs="Calibri"/>
                <w:color w:val="000000" w:themeColor="text1"/>
                <w:kern w:val="0"/>
                <w:szCs w:val="21"/>
                <w14:textFill>
                  <w14:solidFill>
                    <w14:schemeClr w14:val="tx1"/>
                  </w14:solidFill>
                </w14:textFill>
              </w:rPr>
            </m:ctrlPr>
          </m:sub>
          <m:sup>
            <m:r>
              <w:rPr>
                <w:rFonts w:ascii="Cambria Math" w:hAnsi="Cambria Math" w:eastAsia="楷体_GB2312" w:cs="Calibri"/>
                <w:color w:val="000000" w:themeColor="text1"/>
                <w:kern w:val="0"/>
                <w:szCs w:val="21"/>
                <w14:textFill>
                  <w14:solidFill>
                    <w14:schemeClr w14:val="tx1"/>
                  </w14:solidFill>
                </w14:textFill>
              </w:rPr>
              <m:t>w</m:t>
            </m:r>
            <m:ctrlPr>
              <w:rPr>
                <w:rFonts w:ascii="Cambria Math" w:hAnsi="Cambria Math" w:eastAsia="楷体_GB2312" w:cs="Calibri"/>
                <w:color w:val="000000" w:themeColor="text1"/>
                <w:kern w:val="0"/>
                <w:szCs w:val="21"/>
                <w14:textFill>
                  <w14:solidFill>
                    <w14:schemeClr w14:val="tx1"/>
                  </w14:solidFill>
                </w14:textFill>
              </w:rPr>
            </m:ctrlPr>
          </m:sup>
        </m:sSubSup>
      </m:oMath>
      <w:r>
        <w:rPr>
          <w:rFonts w:hint="eastAsia" w:cs="HiddenHorzOCR" w:asciiTheme="minorEastAsia" w:hAnsiTheme="minorEastAsia"/>
          <w:color w:val="000000" w:themeColor="text1"/>
          <w:kern w:val="0"/>
          <w:szCs w:val="21"/>
          <w14:textFill>
            <w14:solidFill>
              <w14:schemeClr w14:val="tx1"/>
            </w14:solidFill>
          </w14:textFill>
        </w:rPr>
        <w:t>——角焊缝的抗垃、抗剪、抗压强度设计值。</w:t>
      </w:r>
    </w:p>
    <w:p>
      <w:pPr>
        <w:autoSpaceDE w:val="0"/>
        <w:autoSpaceDN w:val="0"/>
        <w:spacing w:line="360" w:lineRule="auto"/>
        <w:ind w:firstLine="409" w:firstLineChars="195"/>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板铰</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7.6.1-1）</w:t>
      </w:r>
      <w:r>
        <w:rPr>
          <w:rFonts w:hint="eastAsia" w:cs="Times New Roman"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09" w:firstLineChars="195"/>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接两</w:t>
      </w:r>
      <w:r>
        <w:rPr>
          <w:rFonts w:hint="eastAsia" w:cs="宋体" w:asciiTheme="minorEastAsia" w:hAnsiTheme="minorEastAsia"/>
          <w:color w:val="000000" w:themeColor="text1"/>
          <w:kern w:val="0"/>
          <w:szCs w:val="21"/>
          <w14:textFill>
            <w14:solidFill>
              <w14:schemeClr w14:val="tx1"/>
            </w14:solidFill>
          </w14:textFill>
        </w:rPr>
        <w:t>层垫</w:t>
      </w:r>
      <w:r>
        <w:rPr>
          <w:rFonts w:hint="eastAsia" w:cs="MS Mincho" w:asciiTheme="minorEastAsia" w:hAnsiTheme="minorEastAsia"/>
          <w:color w:val="000000" w:themeColor="text1"/>
          <w:kern w:val="0"/>
          <w:szCs w:val="21"/>
          <w14:textFill>
            <w14:solidFill>
              <w14:schemeClr w14:val="tx1"/>
            </w14:solidFill>
          </w14:textFill>
        </w:rPr>
        <w:t>板的螺栓受剪承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力，可按式（</w:t>
      </w:r>
      <w:r>
        <w:rPr>
          <w:rFonts w:hint="eastAsia" w:cs="HiddenHorzOCR" w:asciiTheme="minorEastAsia" w:hAnsiTheme="minorEastAsia"/>
          <w:color w:val="000000" w:themeColor="text1"/>
          <w:kern w:val="0"/>
          <w:szCs w:val="21"/>
          <w14:textFill>
            <w14:solidFill>
              <w14:schemeClr w14:val="tx1"/>
            </w14:solidFill>
          </w14:textFill>
        </w:rPr>
        <w:t>7.3.11-1</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和式（7.3.11-2）</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09" w:firstLineChars="195"/>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 屋架与上</w:t>
      </w:r>
      <w:r>
        <w:rPr>
          <w:rFonts w:hint="eastAsia" w:cs="宋体" w:asciiTheme="minorEastAsia" w:hAnsiTheme="minorEastAsia"/>
          <w:color w:val="000000" w:themeColor="text1"/>
          <w:kern w:val="0"/>
          <w:szCs w:val="21"/>
          <w14:textFill>
            <w14:solidFill>
              <w14:schemeClr w14:val="tx1"/>
            </w14:solidFill>
          </w14:textFill>
        </w:rPr>
        <w:t>层垫</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HiddenHorzOCR" w:asciiTheme="minorEastAsia" w:hAnsiTheme="minorEastAsia"/>
          <w:color w:val="000000" w:themeColor="text1"/>
          <w:kern w:val="0"/>
          <w:szCs w:val="21"/>
          <w14:textFill>
            <w14:solidFill>
              <w14:schemeClr w14:val="tx1"/>
            </w14:solidFill>
          </w14:textFill>
        </w:rPr>
        <w:t>力，可按式（7.3.11-3）</w:t>
      </w:r>
      <w:r>
        <w:rPr>
          <w:rFonts w:hint="eastAsia" w:cs="宋体" w:asciiTheme="minorEastAsia" w:hAnsiTheme="minorEastAsia"/>
          <w:color w:val="000000" w:themeColor="text1"/>
          <w:kern w:val="0"/>
          <w:szCs w:val="21"/>
          <w14:textFill>
            <w14:solidFill>
              <w14:schemeClr w14:val="tx1"/>
            </w14:solidFill>
          </w14:textFill>
        </w:rPr>
        <w:t>计</w:t>
      </w:r>
      <w:r>
        <w:rPr>
          <w:rFonts w:hint="eastAsia" w:cs="HiddenHorzOCR" w:asciiTheme="minorEastAsia" w:hAnsiTheme="minorEastAsia"/>
          <w:color w:val="000000" w:themeColor="text1"/>
          <w:kern w:val="0"/>
          <w:szCs w:val="21"/>
          <w14:textFill>
            <w14:solidFill>
              <w14:schemeClr w14:val="tx1"/>
            </w14:solidFill>
          </w14:textFill>
        </w:rPr>
        <w:t>算；</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3）上</w:t>
      </w:r>
      <w:r>
        <w:rPr>
          <w:rFonts w:hint="eastAsia" w:cs="宋体" w:asciiTheme="minorEastAsia" w:hAnsiTheme="minorEastAsia"/>
          <w:color w:val="000000" w:themeColor="text1"/>
          <w:kern w:val="0"/>
          <w:szCs w:val="21"/>
          <w14:textFill>
            <w14:solidFill>
              <w14:schemeClr w14:val="tx1"/>
            </w14:solidFill>
          </w14:textFill>
        </w:rPr>
        <w:t>层垫</w:t>
      </w:r>
      <w:r>
        <w:rPr>
          <w:rFonts w:hint="eastAsia" w:cs="MS Mincho" w:asciiTheme="minorEastAsia" w:hAnsiTheme="minorEastAsia"/>
          <w:color w:val="000000" w:themeColor="text1"/>
          <w:kern w:val="0"/>
          <w:szCs w:val="21"/>
          <w14:textFill>
            <w14:solidFill>
              <w14:schemeClr w14:val="tx1"/>
            </w14:solidFill>
          </w14:textFill>
        </w:rPr>
        <w:t>板的厚度，可按下式</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ascii="宋体" w:hAnsi="宋体" w:cs="宋体"/>
          <w:color w:val="000000" w:themeColor="text1"/>
          <w:kern w:val="0"/>
          <w:szCs w:val="21"/>
          <w14:textFill>
            <w14:solidFill>
              <w14:schemeClr w14:val="tx1"/>
            </w14:solidFill>
          </w14:textFill>
        </w:rPr>
      </w:pPr>
      <m:oMathPara>
        <m:oMath>
          <m:r>
            <w:rPr>
              <w:rFonts w:ascii="Cambria Math" w:hAnsi="Cambria Math" w:eastAsia="Cambria Math" w:cs="Cambria Math"/>
              <w:color w:val="000000" w:themeColor="text1"/>
              <w:kern w:val="0"/>
              <w:szCs w:val="21"/>
              <w14:textFill>
                <w14:solidFill>
                  <w14:schemeClr w14:val="tx1"/>
                </w14:solidFill>
              </w14:textFill>
            </w:rPr>
            <m:t>t≥</m:t>
          </m:r>
          <m:sSub>
            <m:sSubPr>
              <m:ctrlPr>
                <w:rPr>
                  <w:rFonts w:ascii="Cambria Math" w:hAnsi="Cambria Math" w:eastAsia="Cambria Math" w:cs="Cambria Math"/>
                  <w:i/>
                  <w:iCs/>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i/>
                  <w:iCs/>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i/>
                  <w:iCs/>
                  <w:color w:val="000000" w:themeColor="text1"/>
                  <w:kern w:val="0"/>
                  <w:szCs w:val="21"/>
                  <w14:textFill>
                    <w14:solidFill>
                      <w14:schemeClr w14:val="tx1"/>
                    </w14:solidFill>
                  </w14:textFill>
                </w:rPr>
              </m:ctrlPr>
            </m:sub>
          </m:sSub>
          <m:f>
            <m:fPr>
              <m:ctrlPr>
                <w:rPr>
                  <w:rFonts w:ascii="Cambria Math" w:hAnsi="Cambria Math" w:eastAsia="Cambria Math" w:cs="宋体"/>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4.5</m:t>
              </m:r>
              <m:r>
                <w:rPr>
                  <w:rFonts w:ascii="Cambria Math" w:hAnsi="Cambria Math" w:eastAsia="Cambria Math" w:cs="Cambria Math"/>
                  <w:color w:val="000000" w:themeColor="text1"/>
                  <w:kern w:val="0"/>
                  <w:szCs w:val="21"/>
                  <w14:textFill>
                    <w14:solidFill>
                      <w14:schemeClr w14:val="tx1"/>
                    </w14:solidFill>
                  </w14:textFill>
                </w:rPr>
                <m:t>V</m:t>
              </m:r>
              <m:r>
                <w:rPr>
                  <w:rFonts w:hint="eastAsia" w:ascii="Cambria Math" w:hAnsi="Cambria Math" w:cs="Cambria Math" w:eastAsiaTheme="minorEastAsia"/>
                  <w:color w:val="000000" w:themeColor="text1"/>
                  <w:kern w:val="0"/>
                  <w:szCs w:val="21"/>
                  <w14:textFill>
                    <w14:solidFill>
                      <w14:schemeClr w14:val="tx1"/>
                    </w14:solidFill>
                  </w14:textFill>
                </w:rPr>
                <m:t>a</m:t>
              </m:r>
              <m:ctrlPr>
                <w:rPr>
                  <w:rFonts w:ascii="Cambria Math" w:hAnsi="Cambria Math" w:eastAsia="Cambria Math" w:cs="宋体"/>
                  <w:color w:val="000000" w:themeColor="text1"/>
                  <w:kern w:val="0"/>
                  <w:szCs w:val="21"/>
                  <w14:textFill>
                    <w14:solidFill>
                      <w14:schemeClr w14:val="tx1"/>
                    </w14:solidFill>
                  </w14:textFill>
                </w:rPr>
              </m:ctrlPr>
            </m:num>
            <m:den>
              <m:r>
                <m:rPr>
                  <m:sty m:val="p"/>
                </m:rPr>
                <w:rPr>
                  <w:rFonts w:ascii="Cambria Math" w:hAnsi="Cambria Math" w:eastAsia="楷体_GB2312" w:cs="Calibri"/>
                  <w:color w:val="000000" w:themeColor="text1"/>
                  <w:kern w:val="0"/>
                  <w:szCs w:val="21"/>
                  <w14:textFill>
                    <w14:solidFill>
                      <w14:schemeClr w14:val="tx1"/>
                    </w14:solidFill>
                  </w14:textFill>
                </w:rPr>
                <m:t>ƒ</m:t>
              </m:r>
              <m:sSup>
                <m:sSupPr>
                  <m:ctrlPr>
                    <w:rPr>
                      <w:rFonts w:ascii="Cambria Math" w:hAnsi="Calibri" w:eastAsia="楷体_GB2312" w:cs="Calibri"/>
                      <w:color w:val="000000" w:themeColor="text1"/>
                      <w:kern w:val="0"/>
                      <w:szCs w:val="21"/>
                      <w14:textFill>
                        <w14:solidFill>
                          <w14:schemeClr w14:val="tx1"/>
                        </w14:solidFill>
                      </w14:textFill>
                    </w:rPr>
                  </m:ctrlPr>
                </m:sSupPr>
                <m:e>
                  <m:r>
                    <m:rPr>
                      <m:sty m:val="p"/>
                    </m:rPr>
                    <w:rPr>
                      <w:rFonts w:ascii="Cambria Math" w:hAnsi="Calibri" w:eastAsia="楷体_GB2312" w:cs="Calibri"/>
                      <w:color w:val="000000" w:themeColor="text1"/>
                      <w:kern w:val="0"/>
                      <w:szCs w:val="21"/>
                      <w14:textFill>
                        <w14:solidFill>
                          <w14:schemeClr w14:val="tx1"/>
                        </w14:solidFill>
                      </w14:textFill>
                    </w:rPr>
                    <m:t>b</m:t>
                  </m:r>
                  <m:ctrlPr>
                    <w:rPr>
                      <w:rFonts w:ascii="Cambria Math" w:hAnsi="Calibri" w:eastAsia="楷体_GB2312" w:cs="Calibri"/>
                      <w:color w:val="000000" w:themeColor="text1"/>
                      <w:kern w:val="0"/>
                      <w:szCs w:val="21"/>
                      <w14:textFill>
                        <w14:solidFill>
                          <w14:schemeClr w14:val="tx1"/>
                        </w14:solidFill>
                      </w14:textFill>
                    </w:rPr>
                  </m:ctrlPr>
                </m:e>
                <m:sup>
                  <m:r>
                    <m:rPr>
                      <m:sty m:val="p"/>
                    </m:rPr>
                    <w:rPr>
                      <w:rFonts w:ascii="Cambria Math" w:hAnsi="Calibri" w:eastAsia="楷体_GB2312" w:cs="Calibri"/>
                      <w:color w:val="000000" w:themeColor="text1"/>
                      <w:kern w:val="0"/>
                      <w:szCs w:val="21"/>
                      <w14:textFill>
                        <w14:solidFill>
                          <w14:schemeClr w14:val="tx1"/>
                        </w14:solidFill>
                      </w14:textFill>
                    </w:rPr>
                    <m:t>2</m:t>
                  </m:r>
                  <m:ctrlPr>
                    <w:rPr>
                      <w:rFonts w:ascii="Cambria Math" w:hAnsi="Calibri" w:eastAsia="楷体_GB2312" w:cs="Calibri"/>
                      <w:color w:val="000000" w:themeColor="text1"/>
                      <w:kern w:val="0"/>
                      <w:szCs w:val="21"/>
                      <w14:textFill>
                        <w14:solidFill>
                          <w14:schemeClr w14:val="tx1"/>
                        </w14:solidFill>
                      </w14:textFill>
                    </w:rPr>
                  </m:ctrlPr>
                </m:sup>
              </m:sSup>
              <m:ctrlPr>
                <w:rPr>
                  <w:rFonts w:ascii="Cambria Math" w:hAnsi="Cambria Math" w:eastAsia="Cambria Math" w:cs="宋体"/>
                  <w:color w:val="000000" w:themeColor="text1"/>
                  <w:kern w:val="0"/>
                  <w:szCs w:val="21"/>
                  <w14:textFill>
                    <w14:solidFill>
                      <w14:schemeClr w14:val="tx1"/>
                    </w14:solidFill>
                  </w14:textFill>
                </w:rPr>
              </m:ctrlPr>
            </m:den>
          </m:f>
          <m:r>
            <m:rPr>
              <m:sty m:val="p"/>
            </m:rPr>
            <w:rPr>
              <w:rFonts w:ascii="Cambria Math" w:hAnsi="Cambria Math" w:cs="宋体"/>
              <w:color w:val="000000" w:themeColor="text1"/>
              <w:kern w:val="0"/>
              <w:szCs w:val="21"/>
              <w14:textFill>
                <w14:solidFill>
                  <w14:schemeClr w14:val="tx1"/>
                </w14:solidFill>
              </w14:textFill>
            </w:rPr>
            <m:t xml:space="preserve">                                           </m:t>
          </m:r>
          <m:r>
            <m:rPr>
              <m:sty m:val="p"/>
            </m:rPr>
            <w:rPr>
              <w:rFonts w:hint="eastAsia" w:ascii="Cambria Math" w:hAnsi="Cambria Math" w:cs="宋体"/>
              <w:color w:val="000000" w:themeColor="text1"/>
              <w:kern w:val="0"/>
              <w:szCs w:val="21"/>
              <w14:textFill>
                <w14:solidFill>
                  <w14:schemeClr w14:val="tx1"/>
                </w14:solidFill>
              </w14:textFill>
            </w:rPr>
            <m:t>（</m:t>
          </m:r>
          <m:r>
            <m:rPr>
              <m:sty m:val="p"/>
            </m:rPr>
            <w:rPr>
              <w:rFonts w:hint="eastAsia" w:ascii="Cambria Math" w:hAnsi="宋体" w:cs="宋体"/>
              <w:color w:val="000000" w:themeColor="text1"/>
              <w:kern w:val="0"/>
              <w:szCs w:val="21"/>
              <w14:textFill>
                <w14:solidFill>
                  <w14:schemeClr w14:val="tx1"/>
                </w14:solidFill>
              </w14:textFill>
            </w:rPr>
            <m:t>7.3</m:t>
          </m:r>
          <m:r>
            <m:rPr>
              <m:sty m:val="p"/>
            </m:rPr>
            <w:rPr>
              <w:rFonts w:ascii="Cambria Math" w:hAnsi="宋体" w:cs="宋体"/>
              <w:color w:val="000000" w:themeColor="text1"/>
              <w:kern w:val="0"/>
              <w:szCs w:val="21"/>
              <w14:textFill>
                <w14:solidFill>
                  <w14:schemeClr w14:val="tx1"/>
                </w14:solidFill>
              </w14:textFill>
            </w:rPr>
            <m:t>.11</m:t>
          </m:r>
          <m:r>
            <m:rPr>
              <m:sty m:val="p"/>
            </m:rPr>
            <w:rPr>
              <w:rFonts w:hint="eastAsia" w:ascii="微软雅黑" w:hAnsi="微软雅黑" w:eastAsia="微软雅黑" w:cs="微软雅黑"/>
              <w:color w:val="000000" w:themeColor="text1"/>
              <w:kern w:val="0"/>
              <w:szCs w:val="21"/>
              <w14:textFill>
                <w14:solidFill>
                  <w14:schemeClr w14:val="tx1"/>
                </w14:solidFill>
              </w14:textFill>
            </w:rPr>
            <m:t>-</m:t>
          </m:r>
          <m:r>
            <m:rPr>
              <m:sty m:val="p"/>
            </m:rPr>
            <w:rPr>
              <w:rFonts w:ascii="Cambria Math" w:hAnsi="宋体" w:cs="宋体"/>
              <w:color w:val="000000" w:themeColor="text1"/>
              <w:kern w:val="0"/>
              <w:szCs w:val="21"/>
              <w14:textFill>
                <w14:solidFill>
                  <w14:schemeClr w14:val="tx1"/>
                </w14:solidFill>
              </w14:textFill>
            </w:rPr>
            <m:t>4</m:t>
          </m:r>
          <m:r>
            <m:rPr>
              <m:sty m:val="p"/>
            </m:rPr>
            <w:rPr>
              <w:rFonts w:hint="eastAsia" w:ascii="Cambria Math" w:hAnsi="Cambria Math" w:cs="宋体"/>
              <w:color w:val="000000" w:themeColor="text1"/>
              <w:kern w:val="0"/>
              <w:szCs w:val="21"/>
              <w14:textFill>
                <w14:solidFill>
                  <w14:schemeClr w14:val="tx1"/>
                </w14:solidFill>
              </w14:textFill>
            </w:rPr>
            <m:t>）</m:t>
          </m:r>
        </m:oMath>
      </m:oMathPara>
    </w:p>
    <w:p>
      <w:pPr>
        <w:autoSpaceDE w:val="0"/>
        <w:autoSpaceDN w:val="0"/>
        <w:spacing w:line="360" w:lineRule="auto"/>
        <w:ind w:firstLine="0" w:firstLineChars="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式中：</w:t>
      </w:r>
      <w:r>
        <w:rPr>
          <w:rFonts w:ascii="宋体" w:hAnsi="宋体" w:cs="宋体"/>
          <w:color w:val="000000" w:themeColor="text1"/>
          <w:kern w:val="0"/>
          <w:szCs w:val="21"/>
          <w14:textFill>
            <w14:solidFill>
              <w14:schemeClr w14:val="tx1"/>
            </w14:solidFill>
          </w14:textFill>
        </w:rPr>
        <w:t>t——</w:t>
      </w:r>
      <w:r>
        <w:rPr>
          <w:rFonts w:hint="eastAsia" w:ascii="宋体" w:hAnsi="宋体" w:cs="宋体"/>
          <w:color w:val="000000" w:themeColor="text1"/>
          <w:kern w:val="0"/>
          <w:szCs w:val="21"/>
          <w14:textFill>
            <w14:solidFill>
              <w14:schemeClr w14:val="tx1"/>
            </w14:solidFill>
          </w14:textFill>
        </w:rPr>
        <w:t>上层垫板的厚度；</w:t>
      </w:r>
    </w:p>
    <w:p>
      <w:pPr>
        <w:autoSpaceDE w:val="0"/>
        <w:autoSpaceDN w:val="0"/>
        <w:spacing w:line="360" w:lineRule="auto"/>
        <w:ind w:firstLine="630" w:firstLineChars="300"/>
        <w:jc w:val="left"/>
        <w:rPr>
          <w:rFonts w:ascii="宋体" w:hAnsi="宋体" w:cs="宋体"/>
          <w:color w:val="000000" w:themeColor="text1"/>
          <w:kern w:val="0"/>
          <w:szCs w:val="21"/>
          <w14:textFill>
            <w14:solidFill>
              <w14:schemeClr w14:val="tx1"/>
            </w14:solidFill>
          </w14:textFill>
        </w:rPr>
      </w:pPr>
      <m:oMath>
        <m:r>
          <w:rPr>
            <w:rFonts w:hint="eastAsia" w:ascii="Cambria Math" w:hAnsi="Cambria Math" w:cs="Cambria Math" w:eastAsiaTheme="minorEastAsia"/>
            <w:color w:val="000000" w:themeColor="text1"/>
            <w:kern w:val="0"/>
            <w:szCs w:val="21"/>
            <w14:textFill>
              <w14:solidFill>
                <w14:schemeClr w14:val="tx1"/>
              </w14:solidFill>
            </w14:textFill>
          </w:rPr>
          <m:t>a</m:t>
        </m:r>
      </m:oMath>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螺栓中心至屋架侧边的距离；</w:t>
      </w:r>
    </w:p>
    <w:p>
      <w:pPr>
        <w:autoSpaceDE w:val="0"/>
        <w:autoSpaceDN w:val="0"/>
        <w:spacing w:line="360" w:lineRule="auto"/>
        <w:ind w:firstLine="630" w:firstLineChars="300"/>
        <w:jc w:val="left"/>
        <w:rPr>
          <w:rFonts w:ascii="宋体" w:hAnsi="宋体" w:cs="宋体"/>
          <w:color w:val="000000" w:themeColor="text1"/>
          <w:kern w:val="0"/>
          <w:szCs w:val="21"/>
          <w14:textFill>
            <w14:solidFill>
              <w14:schemeClr w14:val="tx1"/>
            </w14:solidFill>
          </w14:textFill>
        </w:rPr>
      </w:pPr>
      <m:oMath>
        <m:r>
          <m:rPr>
            <m:sty m:val="p"/>
          </m:rPr>
          <w:rPr>
            <w:rFonts w:ascii="Cambria Math" w:hAnsi="Cambria Math" w:eastAsia="楷体_GB2312" w:cs="Calibri"/>
            <w:color w:val="000000" w:themeColor="text1"/>
            <w:kern w:val="0"/>
            <w:szCs w:val="21"/>
            <w14:textFill>
              <w14:solidFill>
                <w14:schemeClr w14:val="tx1"/>
              </w14:solidFill>
            </w14:textFill>
          </w:rPr>
          <m:t>ƒ</m:t>
        </m:r>
      </m:oMath>
      <w:r>
        <w:rPr>
          <w:rFonts w:hint="eastAsia" w:ascii="宋体" w:hAnsi="宋体" w:cs="宋体"/>
          <w:color w:val="000000" w:themeColor="text1"/>
          <w:kern w:val="0"/>
          <w:szCs w:val="21"/>
          <w14:textFill>
            <w14:solidFill>
              <w14:schemeClr w14:val="tx1"/>
            </w14:solidFill>
          </w14:textFill>
        </w:rPr>
        <w:t>——上层垫板钢材的抗弯强度设计值，按《钢结构设计标准》G</w:t>
      </w:r>
      <w:r>
        <w:rPr>
          <w:rFonts w:ascii="宋体" w:hAnsi="宋体" w:cs="宋体"/>
          <w:color w:val="000000" w:themeColor="text1"/>
          <w:kern w:val="0"/>
          <w:szCs w:val="21"/>
          <w14:textFill>
            <w14:solidFill>
              <w14:schemeClr w14:val="tx1"/>
            </w14:solidFill>
          </w14:textFill>
        </w:rPr>
        <w:t>B</w:t>
      </w:r>
      <w:r>
        <w:rPr>
          <w:rFonts w:hint="eastAsia" w:ascii="宋体" w:hAnsi="宋体" w:cs="宋体"/>
          <w:color w:val="000000" w:themeColor="text1"/>
          <w:kern w:val="0"/>
          <w:szCs w:val="21"/>
          <w14:textFill>
            <w14:solidFill>
              <w14:schemeClr w14:val="tx1"/>
            </w14:solidFill>
          </w14:textFill>
        </w:rPr>
        <w:t>500</w:t>
      </w:r>
      <w:r>
        <w:rPr>
          <w:rFonts w:ascii="宋体" w:hAnsi="宋体" w:cs="宋体"/>
          <w:color w:val="000000" w:themeColor="text1"/>
          <w:kern w:val="0"/>
          <w:szCs w:val="21"/>
          <w14:textFill>
            <w14:solidFill>
              <w14:schemeClr w14:val="tx1"/>
            </w14:solidFill>
          </w14:textFill>
        </w:rPr>
        <w:t>17</w:t>
      </w:r>
      <w:r>
        <w:rPr>
          <w:rFonts w:hint="eastAsia" w:ascii="宋体" w:hAnsi="宋体" w:cs="宋体"/>
          <w:color w:val="000000" w:themeColor="text1"/>
          <w:kern w:val="0"/>
          <w:szCs w:val="21"/>
          <w14:textFill>
            <w14:solidFill>
              <w14:schemeClr w14:val="tx1"/>
            </w14:solidFill>
          </w14:textFill>
        </w:rPr>
        <w:t>采用；</w:t>
      </w:r>
    </w:p>
    <w:p>
      <w:pPr>
        <w:autoSpaceDE w:val="0"/>
        <w:autoSpaceDN w:val="0"/>
        <w:spacing w:line="360" w:lineRule="auto"/>
        <w:ind w:firstLine="630" w:firstLineChars="3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b</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上层垫板平行于剪力作用方向的边长。</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7.3.12 </w:t>
      </w:r>
      <w:r>
        <w:rPr>
          <w:rFonts w:hint="eastAsia" w:cs="HiddenHorzOCR" w:asciiTheme="minorEastAsia" w:hAnsiTheme="minorEastAsia"/>
          <w:color w:val="000000" w:themeColor="text1"/>
          <w:kern w:val="0"/>
          <w:szCs w:val="21"/>
          <w14:textFill>
            <w14:solidFill>
              <w14:schemeClr w14:val="tx1"/>
            </w14:solidFill>
          </w14:textFill>
        </w:rPr>
        <w:t>屋盖支撑系</w:t>
      </w:r>
      <w:r>
        <w:rPr>
          <w:rFonts w:hint="eastAsia" w:cs="宋体" w:asciiTheme="minorEastAsia" w:hAnsiTheme="minorEastAsia"/>
          <w:color w:val="000000" w:themeColor="text1"/>
          <w:kern w:val="0"/>
          <w:szCs w:val="21"/>
          <w14:textFill>
            <w14:solidFill>
              <w14:schemeClr w14:val="tx1"/>
            </w14:solidFill>
          </w14:textFill>
        </w:rPr>
        <w:t>统</w:t>
      </w:r>
      <w:r>
        <w:rPr>
          <w:rFonts w:hint="eastAsia" w:cs="MS Mincho" w:asciiTheme="minorEastAsia" w:hAnsiTheme="minorEastAsia"/>
          <w:color w:val="000000" w:themeColor="text1"/>
          <w:kern w:val="0"/>
          <w:szCs w:val="21"/>
          <w14:textFill>
            <w14:solidFill>
              <w14:schemeClr w14:val="tx1"/>
            </w14:solidFill>
          </w14:textFill>
        </w:rPr>
        <w:t>与屋架采用螺栓</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接、且承受斜向拉力</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螺栓的承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符合下列公式要求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ascii="宋体" w:hAnsi="宋体" w:cs="宋体"/>
          <w:iCs/>
          <w:color w:val="000000" w:themeColor="text1"/>
          <w:kern w:val="0"/>
          <w:szCs w:val="21"/>
          <w14:textFill>
            <w14:solidFill>
              <w14:schemeClr w14:val="tx1"/>
            </w14:solidFill>
          </w14:textFill>
        </w:rPr>
      </w:pPr>
      <m:oMathPara>
        <m:oMath>
          <m:sSub>
            <m:sSubPr>
              <m:ctrlPr>
                <w:rPr>
                  <w:rFonts w:ascii="Cambria Math" w:hAnsi="Cambria Math" w:eastAsia="Cambria Math" w:cs="Cambria Math"/>
                  <w:i/>
                  <w:color w:val="000000" w:themeColor="text1"/>
                  <w:kern w:val="0"/>
                  <w:szCs w:val="21"/>
                  <w14:textFill>
                    <w14:solidFill>
                      <w14:schemeClr w14:val="tx1"/>
                    </w14:solidFill>
                  </w14:textFill>
                </w:rPr>
              </m:ctrlPr>
            </m:sSubPr>
            <m:e>
              <m:r>
                <w:rPr>
                  <w:rFonts w:ascii="Cambria Math" w:hAnsi="Cambria Math" w:eastAsia="Cambria Math" w:cs="Cambria Math"/>
                  <w:color w:val="000000" w:themeColor="text1"/>
                  <w:kern w:val="0"/>
                  <w:szCs w:val="21"/>
                  <w14:textFill>
                    <w14:solidFill>
                      <w14:schemeClr w14:val="tx1"/>
                    </w14:solidFill>
                  </w14:textFill>
                </w:rPr>
                <m:t>γ</m:t>
              </m:r>
              <m:ctrlPr>
                <w:rPr>
                  <w:rFonts w:ascii="Cambria Math" w:hAnsi="Cambria Math" w:eastAsia="Cambria Math" w:cs="Cambria Math"/>
                  <w:i/>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RE</m:t>
              </m:r>
              <m:ctrlPr>
                <w:rPr>
                  <w:rFonts w:ascii="Cambria Math" w:hAnsi="Cambria Math" w:eastAsia="Cambria Math" w:cs="Cambria Math"/>
                  <w:i/>
                  <w:color w:val="000000" w:themeColor="text1"/>
                  <w:kern w:val="0"/>
                  <w:szCs w:val="21"/>
                  <w14:textFill>
                    <w14:solidFill>
                      <w14:schemeClr w14:val="tx1"/>
                    </w14:solidFill>
                  </w14:textFill>
                </w:rPr>
              </m:ctrlPr>
            </m:sub>
          </m:sSub>
          <m:r>
            <m:rPr>
              <m:sty m:val="p"/>
            </m:rPr>
            <w:rPr>
              <w:rFonts w:ascii="Cambria Math" w:hAnsi="Cambria Math" w:eastAsia="Cambria Math" w:cs="Cambria Math"/>
              <w:color w:val="000000" w:themeColor="text1"/>
              <w:kern w:val="0"/>
              <w:szCs w:val="21"/>
              <w14:textFill>
                <w14:solidFill>
                  <w14:schemeClr w14:val="tx1"/>
                </w14:solidFill>
              </w14:textFill>
            </w:rPr>
            <m:t>=</m:t>
          </m:r>
          <m:sSup>
            <m:sSupPr>
              <m:ctrlPr>
                <w:rPr>
                  <w:rFonts w:ascii="Cambria Math" w:hAnsi="Cambria Math" w:eastAsia="Cambria Math" w:cs="HiddenHorzOCR"/>
                  <w:color w:val="000000" w:themeColor="text1"/>
                  <w:kern w:val="0"/>
                  <w:szCs w:val="21"/>
                  <w14:textFill>
                    <w14:solidFill>
                      <w14:schemeClr w14:val="tx1"/>
                    </w14:solidFill>
                  </w14:textFill>
                </w:rPr>
              </m:ctrlPr>
            </m:sSupPr>
            <m:e>
              <m:d>
                <m:dPr>
                  <m:ctrlPr>
                    <w:rPr>
                      <w:rFonts w:ascii="Cambria Math" w:hAnsi="Cambria Math" w:eastAsia="Cambria Math" w:cs="HiddenHorzOCR"/>
                      <w:color w:val="000000" w:themeColor="text1"/>
                      <w:kern w:val="0"/>
                      <w:szCs w:val="21"/>
                      <w14:textFill>
                        <w14:solidFill>
                          <w14:schemeClr w14:val="tx1"/>
                        </w14:solidFill>
                      </w14:textFill>
                    </w:rPr>
                  </m:ctrlPr>
                </m:dPr>
                <m:e>
                  <m:f>
                    <m:fPr>
                      <m:ctrlPr>
                        <w:rPr>
                          <w:rFonts w:ascii="Cambria Math" w:hAnsi="Cambria Math" w:eastAsia="Cambria Math" w:cs="HiddenHorzOCR"/>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Nsinθ</m:t>
                      </m:r>
                      <m:ctrlPr>
                        <w:rPr>
                          <w:rFonts w:ascii="Cambria Math" w:hAnsi="Cambria Math" w:eastAsia="Cambria Math" w:cs="HiddenHorzOCR"/>
                          <w:color w:val="000000" w:themeColor="text1"/>
                          <w:kern w:val="0"/>
                          <w:szCs w:val="21"/>
                          <w14:textFill>
                            <w14:solidFill>
                              <w14:schemeClr w14:val="tx1"/>
                            </w14:solidFill>
                          </w14:textFill>
                        </w:rPr>
                      </m:ctrlPr>
                    </m:num>
                    <m:den>
                      <m:r>
                        <m:rPr>
                          <m:sty m:val="p"/>
                        </m:rPr>
                        <w:rPr>
                          <w:rFonts w:ascii="Cambria Math" w:hAnsi="Cambria Math" w:eastAsia="Cambria Math" w:cs="Cambria Math"/>
                          <w:color w:val="000000" w:themeColor="text1"/>
                          <w:kern w:val="0"/>
                          <w:szCs w:val="21"/>
                          <w14:textFill>
                            <w14:solidFill>
                              <w14:schemeClr w14:val="tx1"/>
                            </w14:solidFill>
                          </w14:textFill>
                        </w:rPr>
                        <m:t>n</m:t>
                      </m:r>
                      <m:sSubSup>
                        <m:sSubSupPr>
                          <m:ctrlPr>
                            <w:rPr>
                              <w:rFonts w:ascii="Cambria Math" w:hAnsi="Cambria Math" w:eastAsia="Cambria Math" w:cs="Cambria Math"/>
                              <w:color w:val="000000" w:themeColor="text1"/>
                              <w:kern w:val="0"/>
                              <w:szCs w:val="21"/>
                              <w14:textFill>
                                <w14:solidFill>
                                  <w14:schemeClr w14:val="tx1"/>
                                </w14:solidFill>
                              </w14:textFill>
                            </w:rPr>
                          </m:ctrlPr>
                        </m:sSubSupPr>
                        <m:e>
                          <m:r>
                            <m:rPr>
                              <m:sty m:val="p"/>
                            </m:rPr>
                            <w:rPr>
                              <w:rFonts w:ascii="Cambria Math" w:hAnsi="Cambria Math" w:eastAsia="Cambria Math" w:cs="Cambria Math"/>
                              <w:color w:val="000000" w:themeColor="text1"/>
                              <w:kern w:val="0"/>
                              <w:szCs w:val="21"/>
                              <w14:textFill>
                                <w14:solidFill>
                                  <w14:schemeClr w14:val="tx1"/>
                                </w14:solidFill>
                              </w14:textFill>
                            </w:rPr>
                            <m:t>N</m:t>
                          </m:r>
                          <m:ctrlPr>
                            <w:rPr>
                              <w:rFonts w:ascii="Cambria Math" w:hAnsi="Cambria Math" w:eastAsia="Cambria Math" w:cs="Cambria Math"/>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color w:val="000000" w:themeColor="text1"/>
                              <w:kern w:val="0"/>
                              <w:szCs w:val="21"/>
                              <w14:textFill>
                                <w14:solidFill>
                                  <w14:schemeClr w14:val="tx1"/>
                                </w14:solidFill>
                              </w14:textFill>
                            </w:rPr>
                          </m:ctrlPr>
                        </m:sub>
                        <m:sup>
                          <m:r>
                            <w:rPr>
                              <w:rFonts w:ascii="Cambria Math" w:hAnsi="Cambria Math" w:eastAsia="Cambria Math" w:cs="Cambria Math"/>
                              <w:color w:val="000000" w:themeColor="text1"/>
                              <w:kern w:val="0"/>
                              <w:szCs w:val="21"/>
                              <w14:textFill>
                                <w14:solidFill>
                                  <w14:schemeClr w14:val="tx1"/>
                                </w14:solidFill>
                              </w14:textFill>
                            </w:rPr>
                            <m:t>b</m:t>
                          </m:r>
                          <m:ctrlPr>
                            <w:rPr>
                              <w:rFonts w:ascii="Cambria Math" w:hAnsi="Cambria Math" w:eastAsia="Cambria Math" w:cs="Cambria Math"/>
                              <w:color w:val="000000" w:themeColor="text1"/>
                              <w:kern w:val="0"/>
                              <w:szCs w:val="21"/>
                              <w14:textFill>
                                <w14:solidFill>
                                  <w14:schemeClr w14:val="tx1"/>
                                </w14:solidFill>
                              </w14:textFill>
                            </w:rPr>
                          </m:ctrlPr>
                        </m:sup>
                      </m:sSubSup>
                      <m:ctrlPr>
                        <w:rPr>
                          <w:rFonts w:ascii="Cambria Math" w:hAnsi="Cambria Math" w:eastAsia="Cambria Math" w:cs="HiddenHorzOCR"/>
                          <w:color w:val="000000" w:themeColor="text1"/>
                          <w:kern w:val="0"/>
                          <w:szCs w:val="21"/>
                          <w14:textFill>
                            <w14:solidFill>
                              <w14:schemeClr w14:val="tx1"/>
                            </w14:solidFill>
                          </w14:textFill>
                        </w:rPr>
                      </m:ctrlPr>
                    </m:den>
                  </m:f>
                  <m:ctrlPr>
                    <w:rPr>
                      <w:rFonts w:ascii="Cambria Math" w:hAnsi="Cambria Math" w:eastAsia="Cambria Math" w:cs="HiddenHorzOCR"/>
                      <w:color w:val="000000" w:themeColor="text1"/>
                      <w:kern w:val="0"/>
                      <w:szCs w:val="21"/>
                      <w14:textFill>
                        <w14:solidFill>
                          <w14:schemeClr w14:val="tx1"/>
                        </w14:solidFill>
                      </w14:textFill>
                    </w:rPr>
                  </m:ctrlPr>
                </m:e>
              </m:d>
              <m:ctrlPr>
                <w:rPr>
                  <w:rFonts w:ascii="Cambria Math" w:hAnsi="Cambria Math" w:eastAsia="Cambria Math" w:cs="HiddenHorzOCR"/>
                  <w:color w:val="000000" w:themeColor="text1"/>
                  <w:kern w:val="0"/>
                  <w:szCs w:val="21"/>
                  <w14:textFill>
                    <w14:solidFill>
                      <w14:schemeClr w14:val="tx1"/>
                    </w14:solidFill>
                  </w14:textFill>
                </w:rPr>
              </m:ctrlPr>
            </m:e>
            <m:sup>
              <m:r>
                <w:rPr>
                  <w:rFonts w:ascii="Cambria Math" w:hAnsi="Cambria Math" w:eastAsia="Cambria Math" w:cs="HiddenHorzOCR"/>
                  <w:color w:val="000000" w:themeColor="text1"/>
                  <w:kern w:val="0"/>
                  <w:szCs w:val="21"/>
                  <w14:textFill>
                    <w14:solidFill>
                      <w14:schemeClr w14:val="tx1"/>
                    </w14:solidFill>
                  </w14:textFill>
                </w:rPr>
                <m:t>2</m:t>
              </m:r>
              <m:ctrlPr>
                <w:rPr>
                  <w:rFonts w:ascii="Cambria Math" w:hAnsi="Cambria Math" w:eastAsia="Cambria Math" w:cs="HiddenHorzOCR"/>
                  <w:color w:val="000000" w:themeColor="text1"/>
                  <w:kern w:val="0"/>
                  <w:szCs w:val="21"/>
                  <w14:textFill>
                    <w14:solidFill>
                      <w14:schemeClr w14:val="tx1"/>
                    </w14:solidFill>
                  </w14:textFill>
                </w:rPr>
              </m:ctrlPr>
            </m:sup>
          </m:sSup>
          <m:r>
            <w:rPr>
              <w:rFonts w:ascii="Cambria Math" w:hAnsi="Cambria Math" w:eastAsia="Cambria Math" w:cs="HiddenHorzOCR"/>
              <w:color w:val="000000" w:themeColor="text1"/>
              <w:kern w:val="0"/>
              <w:szCs w:val="21"/>
              <w14:textFill>
                <w14:solidFill>
                  <w14:schemeClr w14:val="tx1"/>
                </w14:solidFill>
              </w14:textFill>
            </w:rPr>
            <m:t>+</m:t>
          </m:r>
          <m:sSup>
            <m:sSupPr>
              <m:ctrlPr>
                <w:rPr>
                  <w:rFonts w:ascii="Cambria Math" w:hAnsi="Cambria Math" w:eastAsia="Cambria Math" w:cs="HiddenHorzOCR"/>
                  <w:i/>
                  <w:color w:val="000000" w:themeColor="text1"/>
                  <w:kern w:val="0"/>
                  <w:szCs w:val="21"/>
                  <w14:textFill>
                    <w14:solidFill>
                      <w14:schemeClr w14:val="tx1"/>
                    </w14:solidFill>
                  </w14:textFill>
                </w:rPr>
              </m:ctrlPr>
            </m:sSupPr>
            <m:e>
              <m:d>
                <m:dPr>
                  <m:ctrlPr>
                    <w:rPr>
                      <w:rFonts w:ascii="Cambria Math" w:hAnsi="Cambria Math" w:eastAsia="Cambria Math" w:cs="HiddenHorzOCR"/>
                      <w:i/>
                      <w:color w:val="000000" w:themeColor="text1"/>
                      <w:kern w:val="0"/>
                      <w:szCs w:val="21"/>
                      <w14:textFill>
                        <w14:solidFill>
                          <w14:schemeClr w14:val="tx1"/>
                        </w14:solidFill>
                      </w14:textFill>
                    </w:rPr>
                  </m:ctrlPr>
                </m:dPr>
                <m:e>
                  <m:f>
                    <m:fPr>
                      <m:ctrlPr>
                        <w:rPr>
                          <w:rFonts w:ascii="Cambria Math" w:hAnsi="Cambria Math" w:eastAsia="Cambria Math" w:cs="HiddenHorzOCR"/>
                          <w:i/>
                          <w:color w:val="000000" w:themeColor="text1"/>
                          <w:kern w:val="0"/>
                          <w:szCs w:val="21"/>
                          <w14:textFill>
                            <w14:solidFill>
                              <w14:schemeClr w14:val="tx1"/>
                            </w14:solidFill>
                          </w14:textFill>
                        </w:rPr>
                      </m:ctrlPr>
                    </m:fPr>
                    <m:num>
                      <m:r>
                        <w:rPr>
                          <w:rFonts w:ascii="Cambria Math" w:hAnsi="Cambria Math" w:eastAsia="Cambria Math" w:cs="HiddenHorzOCR"/>
                          <w:color w:val="000000" w:themeColor="text1"/>
                          <w:kern w:val="0"/>
                          <w:szCs w:val="21"/>
                          <w14:textFill>
                            <w14:solidFill>
                              <w14:schemeClr w14:val="tx1"/>
                            </w14:solidFill>
                          </w14:textFill>
                        </w:rPr>
                        <m:t>Ncosθ</m:t>
                      </m:r>
                      <m:ctrlPr>
                        <w:rPr>
                          <w:rFonts w:ascii="Cambria Math" w:hAnsi="Cambria Math" w:eastAsia="Cambria Math" w:cs="HiddenHorzOCR"/>
                          <w:i/>
                          <w:color w:val="000000" w:themeColor="text1"/>
                          <w:kern w:val="0"/>
                          <w:szCs w:val="21"/>
                          <w14:textFill>
                            <w14:solidFill>
                              <w14:schemeClr w14:val="tx1"/>
                            </w14:solidFill>
                          </w14:textFill>
                        </w:rPr>
                      </m:ctrlPr>
                    </m:num>
                    <m:den>
                      <m:r>
                        <w:rPr>
                          <w:rFonts w:ascii="Cambria Math" w:hAnsi="Cambria Math" w:eastAsia="Cambria Math" w:cs="HiddenHorzOCR"/>
                          <w:color w:val="000000" w:themeColor="text1"/>
                          <w:kern w:val="0"/>
                          <w:szCs w:val="21"/>
                          <w14:textFill>
                            <w14:solidFill>
                              <w14:schemeClr w14:val="tx1"/>
                            </w14:solidFill>
                          </w14:textFill>
                        </w:rPr>
                        <m:t>n</m:t>
                      </m:r>
                      <m:sSubSup>
                        <m:sSubSupPr>
                          <m:ctrlPr>
                            <w:rPr>
                              <w:rFonts w:ascii="Cambria Math" w:hAnsi="Cambria Math" w:eastAsia="Cambria Math" w:cs="HiddenHorzOCR"/>
                              <w:i/>
                              <w:color w:val="000000" w:themeColor="text1"/>
                              <w:kern w:val="0"/>
                              <w:szCs w:val="21"/>
                              <w14:textFill>
                                <w14:solidFill>
                                  <w14:schemeClr w14:val="tx1"/>
                                </w14:solidFill>
                              </w14:textFill>
                            </w:rPr>
                          </m:ctrlPr>
                        </m:sSubSupPr>
                        <m:e>
                          <m:r>
                            <w:rPr>
                              <w:rFonts w:ascii="Cambria Math" w:hAnsi="Cambria Math" w:eastAsia="Cambria Math" w:cs="HiddenHorzOCR"/>
                              <w:color w:val="000000" w:themeColor="text1"/>
                              <w:kern w:val="0"/>
                              <w:szCs w:val="21"/>
                              <w14:textFill>
                                <w14:solidFill>
                                  <w14:schemeClr w14:val="tx1"/>
                                </w14:solidFill>
                              </w14:textFill>
                            </w:rPr>
                            <m:t>N</m:t>
                          </m:r>
                          <m:ctrlPr>
                            <w:rPr>
                              <w:rFonts w:ascii="Cambria Math" w:hAnsi="Cambria Math" w:eastAsia="Cambria Math" w:cs="HiddenHorzOCR"/>
                              <w:i/>
                              <w:color w:val="000000" w:themeColor="text1"/>
                              <w:kern w:val="0"/>
                              <w:szCs w:val="21"/>
                              <w14:textFill>
                                <w14:solidFill>
                                  <w14:schemeClr w14:val="tx1"/>
                                </w14:solidFill>
                              </w14:textFill>
                            </w:rPr>
                          </m:ctrlPr>
                        </m:e>
                        <m:sub>
                          <m:r>
                            <w:rPr>
                              <w:rFonts w:ascii="Cambria Math" w:hAnsi="Cambria Math" w:eastAsia="Cambria Math" w:cs="HiddenHorzOCR"/>
                              <w:color w:val="000000" w:themeColor="text1"/>
                              <w:kern w:val="0"/>
                              <w:szCs w:val="21"/>
                              <w14:textFill>
                                <w14:solidFill>
                                  <w14:schemeClr w14:val="tx1"/>
                                </w14:solidFill>
                              </w14:textFill>
                            </w:rPr>
                            <m:t>t</m:t>
                          </m:r>
                          <m:ctrlPr>
                            <w:rPr>
                              <w:rFonts w:ascii="Cambria Math" w:hAnsi="Cambria Math" w:eastAsia="Cambria Math" w:cs="HiddenHorzOCR"/>
                              <w:i/>
                              <w:color w:val="000000" w:themeColor="text1"/>
                              <w:kern w:val="0"/>
                              <w:szCs w:val="21"/>
                              <w14:textFill>
                                <w14:solidFill>
                                  <w14:schemeClr w14:val="tx1"/>
                                </w14:solidFill>
                              </w14:textFill>
                            </w:rPr>
                          </m:ctrlPr>
                        </m:sub>
                        <m:sup>
                          <m:r>
                            <w:rPr>
                              <w:rFonts w:ascii="Cambria Math" w:hAnsi="Cambria Math" w:eastAsia="Cambria Math" w:cs="HiddenHorzOCR"/>
                              <w:color w:val="000000" w:themeColor="text1"/>
                              <w:kern w:val="0"/>
                              <w:szCs w:val="21"/>
                              <w14:textFill>
                                <w14:solidFill>
                                  <w14:schemeClr w14:val="tx1"/>
                                </w14:solidFill>
                              </w14:textFill>
                            </w:rPr>
                            <m:t>b</m:t>
                          </m:r>
                          <m:ctrlPr>
                            <w:rPr>
                              <w:rFonts w:ascii="Cambria Math" w:hAnsi="Cambria Math" w:eastAsia="Cambria Math" w:cs="HiddenHorzOCR"/>
                              <w:i/>
                              <w:color w:val="000000" w:themeColor="text1"/>
                              <w:kern w:val="0"/>
                              <w:szCs w:val="21"/>
                              <w14:textFill>
                                <w14:solidFill>
                                  <w14:schemeClr w14:val="tx1"/>
                                </w14:solidFill>
                              </w14:textFill>
                            </w:rPr>
                          </m:ctrlPr>
                        </m:sup>
                      </m:sSubSup>
                      <m:ctrlPr>
                        <w:rPr>
                          <w:rFonts w:ascii="Cambria Math" w:hAnsi="Cambria Math" w:eastAsia="Cambria Math" w:cs="HiddenHorzOCR"/>
                          <w:i/>
                          <w:color w:val="000000" w:themeColor="text1"/>
                          <w:kern w:val="0"/>
                          <w:szCs w:val="21"/>
                          <w14:textFill>
                            <w14:solidFill>
                              <w14:schemeClr w14:val="tx1"/>
                            </w14:solidFill>
                          </w14:textFill>
                        </w:rPr>
                      </m:ctrlPr>
                    </m:den>
                  </m:f>
                  <m:ctrlPr>
                    <w:rPr>
                      <w:rFonts w:ascii="Cambria Math" w:hAnsi="Cambria Math" w:eastAsia="Cambria Math" w:cs="HiddenHorzOCR"/>
                      <w:i/>
                      <w:color w:val="000000" w:themeColor="text1"/>
                      <w:kern w:val="0"/>
                      <w:szCs w:val="21"/>
                      <w14:textFill>
                        <w14:solidFill>
                          <w14:schemeClr w14:val="tx1"/>
                        </w14:solidFill>
                      </w14:textFill>
                    </w:rPr>
                  </m:ctrlPr>
                </m:e>
              </m:d>
              <m:ctrlPr>
                <w:rPr>
                  <w:rFonts w:ascii="Cambria Math" w:hAnsi="Cambria Math" w:eastAsia="Cambria Math" w:cs="HiddenHorzOCR"/>
                  <w:i/>
                  <w:color w:val="000000" w:themeColor="text1"/>
                  <w:kern w:val="0"/>
                  <w:szCs w:val="21"/>
                  <w14:textFill>
                    <w14:solidFill>
                      <w14:schemeClr w14:val="tx1"/>
                    </w14:solidFill>
                  </w14:textFill>
                </w:rPr>
              </m:ctrlPr>
            </m:e>
            <m:sup>
              <m:r>
                <w:rPr>
                  <w:rFonts w:ascii="Cambria Math" w:hAnsi="Cambria Math" w:eastAsia="Cambria Math" w:cs="HiddenHorzOCR"/>
                  <w:color w:val="000000" w:themeColor="text1"/>
                  <w:kern w:val="0"/>
                  <w:szCs w:val="21"/>
                  <w14:textFill>
                    <w14:solidFill>
                      <w14:schemeClr w14:val="tx1"/>
                    </w14:solidFill>
                  </w14:textFill>
                </w:rPr>
                <m:t>2</m:t>
              </m:r>
              <m:ctrlPr>
                <w:rPr>
                  <w:rFonts w:ascii="Cambria Math" w:hAnsi="Cambria Math" w:eastAsia="Cambria Math" w:cs="HiddenHorzOCR"/>
                  <w:i/>
                  <w:color w:val="000000" w:themeColor="text1"/>
                  <w:kern w:val="0"/>
                  <w:szCs w:val="21"/>
                  <w14:textFill>
                    <w14:solidFill>
                      <w14:schemeClr w14:val="tx1"/>
                    </w14:solidFill>
                  </w14:textFill>
                </w:rPr>
              </m:ctrlPr>
            </m:sup>
          </m:sSup>
          <m:r>
            <w:rPr>
              <w:rFonts w:ascii="Cambria Math" w:hAnsi="Cambria Math" w:eastAsia="Cambria Math" w:cs="HiddenHorzOCR"/>
              <w:color w:val="000000" w:themeColor="text1"/>
              <w:kern w:val="0"/>
              <w:szCs w:val="21"/>
              <w14:textFill>
                <w14:solidFill>
                  <w14:schemeClr w14:val="tx1"/>
                </w14:solidFill>
              </w14:textFill>
            </w:rPr>
            <m:t xml:space="preserve">≤1                </m:t>
          </m:r>
          <m:r>
            <m:rPr>
              <m:sty m:val="p"/>
            </m:rPr>
            <w:rPr>
              <w:rFonts w:hint="eastAsia" w:ascii="Cambria Math" w:hAnsi="Cambria Math" w:cs="宋体"/>
              <w:color w:val="000000" w:themeColor="text1"/>
              <w:kern w:val="0"/>
              <w:szCs w:val="21"/>
              <w14:textFill>
                <w14:solidFill>
                  <w14:schemeClr w14:val="tx1"/>
                </w14:solidFill>
              </w14:textFill>
            </w:rPr>
            <m:t>（</m:t>
          </m:r>
          <m:r>
            <m:rPr>
              <m:sty m:val="p"/>
            </m:rPr>
            <w:rPr>
              <w:rFonts w:hint="eastAsia" w:ascii="Cambria Math" w:hAnsi="宋体" w:cs="宋体"/>
              <w:color w:val="000000" w:themeColor="text1"/>
              <w:kern w:val="0"/>
              <w:szCs w:val="21"/>
              <w14:textFill>
                <w14:solidFill>
                  <w14:schemeClr w14:val="tx1"/>
                </w14:solidFill>
              </w14:textFill>
            </w:rPr>
            <m:t>7.3</m:t>
          </m:r>
          <m:r>
            <m:rPr>
              <m:sty m:val="p"/>
            </m:rPr>
            <w:rPr>
              <w:rFonts w:ascii="Cambria Math" w:hAnsi="宋体" w:cs="宋体"/>
              <w:color w:val="000000" w:themeColor="text1"/>
              <w:kern w:val="0"/>
              <w:szCs w:val="21"/>
              <w14:textFill>
                <w14:solidFill>
                  <w14:schemeClr w14:val="tx1"/>
                </w14:solidFill>
              </w14:textFill>
            </w:rPr>
            <m:t>.12</m:t>
          </m:r>
          <m:r>
            <m:rPr>
              <m:sty m:val="p"/>
            </m:rPr>
            <w:rPr>
              <w:rFonts w:hint="eastAsia" w:ascii="微软雅黑" w:hAnsi="微软雅黑" w:eastAsia="微软雅黑" w:cs="微软雅黑"/>
              <w:color w:val="000000" w:themeColor="text1"/>
              <w:kern w:val="0"/>
              <w:szCs w:val="21"/>
              <w14:textFill>
                <w14:solidFill>
                  <w14:schemeClr w14:val="tx1"/>
                </w14:solidFill>
              </w14:textFill>
            </w:rPr>
            <m:t>-</m:t>
          </m:r>
          <m:r>
            <m:rPr>
              <m:sty m:val="p"/>
            </m:rPr>
            <w:rPr>
              <w:rFonts w:ascii="Cambria Math" w:hAnsi="宋体" w:cs="宋体"/>
              <w:color w:val="000000" w:themeColor="text1"/>
              <w:kern w:val="0"/>
              <w:szCs w:val="21"/>
              <w14:textFill>
                <w14:solidFill>
                  <w14:schemeClr w14:val="tx1"/>
                </w14:solidFill>
              </w14:textFill>
            </w:rPr>
            <m:t>1</m:t>
          </m:r>
          <m:r>
            <m:rPr>
              <m:sty m:val="p"/>
            </m:rPr>
            <w:rPr>
              <w:rFonts w:hint="eastAsia" w:ascii="Cambria Math" w:hAnsi="Cambria Math" w:cs="宋体"/>
              <w:color w:val="000000" w:themeColor="text1"/>
              <w:kern w:val="0"/>
              <w:szCs w:val="21"/>
              <w14:textFill>
                <w14:solidFill>
                  <w14:schemeClr w14:val="tx1"/>
                </w14:solidFill>
              </w14:textFill>
            </w:rPr>
            <m:t>）</m:t>
          </m:r>
        </m:oMath>
      </m:oMathPara>
    </w:p>
    <w:p>
      <w:pPr>
        <w:autoSpaceDE w:val="0"/>
        <w:autoSpaceDN w:val="0"/>
        <w:spacing w:line="360" w:lineRule="auto"/>
        <w:ind w:firstLine="420"/>
        <w:jc w:val="left"/>
        <w:rPr>
          <w:rFonts w:ascii="宋体" w:hAnsi="宋体" w:cs="宋体"/>
          <w:iCs/>
          <w:color w:val="000000" w:themeColor="text1"/>
          <w:kern w:val="0"/>
          <w:szCs w:val="21"/>
          <w14:textFill>
            <w14:solidFill>
              <w14:schemeClr w14:val="tx1"/>
            </w14:solidFill>
          </w14:textFill>
        </w:rPr>
      </w:pPr>
      <m:oMathPara>
        <m:oMath>
          <m:sSubSup>
            <m:sSubSupPr>
              <m:ctrlPr>
                <w:rPr>
                  <w:rFonts w:ascii="Cambria Math" w:hAnsi="Cambria Math" w:eastAsia="Cambria Math" w:cs="Cambria Math"/>
                  <w:i/>
                  <w:iCs/>
                  <w:color w:val="000000" w:themeColor="text1"/>
                  <w:kern w:val="0"/>
                  <w:szCs w:val="21"/>
                  <w14:textFill>
                    <w14:solidFill>
                      <w14:schemeClr w14:val="tx1"/>
                    </w14:solidFill>
                  </w14:textFill>
                </w:rPr>
              </m:ctrlPr>
            </m:sSubSupPr>
            <m:e>
              <m:r>
                <w:rPr>
                  <w:rFonts w:ascii="Cambria Math" w:hAnsi="Cambria Math" w:eastAsia="Cambria Math" w:cs="Cambria Math"/>
                  <w:color w:val="000000" w:themeColor="text1"/>
                  <w:kern w:val="0"/>
                  <w:szCs w:val="21"/>
                  <w14:textFill>
                    <w14:solidFill>
                      <w14:schemeClr w14:val="tx1"/>
                    </w14:solidFill>
                  </w14:textFill>
                </w:rPr>
                <m:t>N</m:t>
              </m:r>
              <m:ctrlPr>
                <w:rPr>
                  <w:rFonts w:ascii="Cambria Math" w:hAnsi="Cambria Math" w:eastAsia="Cambria Math" w:cs="Cambria Math"/>
                  <w:i/>
                  <w:iCs/>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t</m:t>
              </m:r>
              <m:ctrlPr>
                <w:rPr>
                  <w:rFonts w:ascii="Cambria Math" w:hAnsi="Cambria Math" w:eastAsia="Cambria Math" w:cs="Cambria Math"/>
                  <w:i/>
                  <w:iCs/>
                  <w:color w:val="000000" w:themeColor="text1"/>
                  <w:kern w:val="0"/>
                  <w:szCs w:val="21"/>
                  <w14:textFill>
                    <w14:solidFill>
                      <w14:schemeClr w14:val="tx1"/>
                    </w14:solidFill>
                  </w14:textFill>
                </w:rPr>
              </m:ctrlPr>
            </m:sub>
            <m:sup>
              <m:r>
                <w:rPr>
                  <w:rFonts w:ascii="Cambria Math" w:hAnsi="Cambria Math" w:eastAsia="Cambria Math" w:cs="Cambria Math"/>
                  <w:color w:val="000000" w:themeColor="text1"/>
                  <w:kern w:val="0"/>
                  <w:szCs w:val="21"/>
                  <w14:textFill>
                    <w14:solidFill>
                      <w14:schemeClr w14:val="tx1"/>
                    </w14:solidFill>
                  </w14:textFill>
                </w:rPr>
                <m:t>b</m:t>
              </m:r>
              <m:ctrlPr>
                <w:rPr>
                  <w:rFonts w:ascii="Cambria Math" w:hAnsi="Cambria Math" w:eastAsia="Cambria Math" w:cs="Cambria Math"/>
                  <w:i/>
                  <w:iCs/>
                  <w:color w:val="000000" w:themeColor="text1"/>
                  <w:kern w:val="0"/>
                  <w:szCs w:val="21"/>
                  <w14:textFill>
                    <w14:solidFill>
                      <w14:schemeClr w14:val="tx1"/>
                    </w14:solidFill>
                  </w14:textFill>
                </w:rPr>
              </m:ctrlPr>
            </m:sup>
          </m:sSubSup>
          <m:r>
            <m:rPr>
              <m:sty m:val="p"/>
            </m:rPr>
            <w:rPr>
              <w:rFonts w:ascii="Cambria Math" w:hAnsi="Cambria Math" w:eastAsia="Cambria Math" w:cs="Cambria Math"/>
              <w:color w:val="000000" w:themeColor="text1"/>
              <w:kern w:val="0"/>
              <w:szCs w:val="21"/>
              <w14:textFill>
                <w14:solidFill>
                  <w14:schemeClr w14:val="tx1"/>
                </w14:solidFill>
              </w14:textFill>
            </w:rPr>
            <m:t>=</m:t>
          </m:r>
          <m:f>
            <m:fPr>
              <m:ctrlPr>
                <w:rPr>
                  <w:rFonts w:ascii="Cambria Math" w:hAnsi="Cambria Math" w:eastAsia="Cambria Math" w:cs="宋体"/>
                  <w:iCs/>
                  <w:color w:val="000000" w:themeColor="text1"/>
                  <w:kern w:val="0"/>
                  <w:szCs w:val="21"/>
                  <w14:textFill>
                    <w14:solidFill>
                      <w14:schemeClr w14:val="tx1"/>
                    </w14:solidFill>
                  </w14:textFill>
                </w:rPr>
              </m:ctrlPr>
            </m:fPr>
            <m:num>
              <m:r>
                <m:rPr>
                  <m:sty m:val="p"/>
                </m:rPr>
                <w:rPr>
                  <w:rFonts w:ascii="Cambria Math" w:hAnsi="Cambria Math" w:eastAsia="Cambria Math" w:cs="Cambria Math"/>
                  <w:color w:val="000000" w:themeColor="text1"/>
                  <w:kern w:val="0"/>
                  <w:szCs w:val="21"/>
                  <w14:textFill>
                    <w14:solidFill>
                      <w14:schemeClr w14:val="tx1"/>
                    </w14:solidFill>
                  </w14:textFill>
                </w:rPr>
                <m:t>π</m:t>
              </m:r>
              <m:sSubSup>
                <m:sSubSupPr>
                  <m:ctrlPr>
                    <w:rPr>
                      <w:rFonts w:ascii="Cambria Math" w:hAnsi="Cambria Math" w:eastAsia="Cambria Math" w:cs="Cambria Math"/>
                      <w:iCs/>
                      <w:color w:val="000000" w:themeColor="text1"/>
                      <w:kern w:val="0"/>
                      <w:szCs w:val="21"/>
                      <w14:textFill>
                        <w14:solidFill>
                          <w14:schemeClr w14:val="tx1"/>
                        </w14:solidFill>
                      </w14:textFill>
                    </w:rPr>
                  </m:ctrlPr>
                </m:sSubSupPr>
                <m:e>
                  <m:r>
                    <m:rPr>
                      <m:sty m:val="p"/>
                    </m:rPr>
                    <w:rPr>
                      <w:rFonts w:ascii="Cambria Math" w:hAnsi="Cambria Math" w:eastAsia="Cambria Math" w:cs="Cambria Math"/>
                      <w:color w:val="000000" w:themeColor="text1"/>
                      <w:kern w:val="0"/>
                      <w:szCs w:val="21"/>
                      <w14:textFill>
                        <w14:solidFill>
                          <w14:schemeClr w14:val="tx1"/>
                        </w14:solidFill>
                      </w14:textFill>
                    </w:rPr>
                    <m:t>d</m:t>
                  </m:r>
                  <m:ctrlPr>
                    <w:rPr>
                      <w:rFonts w:ascii="Cambria Math" w:hAnsi="Cambria Math" w:eastAsia="Cambria Math" w:cs="Cambria Math"/>
                      <w:iCs/>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e</m:t>
                  </m:r>
                  <m:ctrlPr>
                    <w:rPr>
                      <w:rFonts w:ascii="Cambria Math" w:hAnsi="Cambria Math" w:eastAsia="Cambria Math" w:cs="Cambria Math"/>
                      <w:iCs/>
                      <w:color w:val="000000" w:themeColor="text1"/>
                      <w:kern w:val="0"/>
                      <w:szCs w:val="21"/>
                      <w14:textFill>
                        <w14:solidFill>
                          <w14:schemeClr w14:val="tx1"/>
                        </w14:solidFill>
                      </w14:textFill>
                    </w:rPr>
                  </m:ctrlPr>
                </m:sub>
                <m:sup>
                  <m:r>
                    <w:rPr>
                      <w:rFonts w:ascii="Cambria Math" w:hAnsi="Cambria Math" w:eastAsia="Cambria Math" w:cs="Cambria Math"/>
                      <w:color w:val="000000" w:themeColor="text1"/>
                      <w:kern w:val="0"/>
                      <w:szCs w:val="21"/>
                      <w14:textFill>
                        <w14:solidFill>
                          <w14:schemeClr w14:val="tx1"/>
                        </w14:solidFill>
                      </w14:textFill>
                    </w:rPr>
                    <m:t>2</m:t>
                  </m:r>
                  <m:ctrlPr>
                    <w:rPr>
                      <w:rFonts w:ascii="Cambria Math" w:hAnsi="Cambria Math" w:eastAsia="Cambria Math" w:cs="Cambria Math"/>
                      <w:iCs/>
                      <w:color w:val="000000" w:themeColor="text1"/>
                      <w:kern w:val="0"/>
                      <w:szCs w:val="21"/>
                      <w14:textFill>
                        <w14:solidFill>
                          <w14:schemeClr w14:val="tx1"/>
                        </w14:solidFill>
                      </w14:textFill>
                    </w:rPr>
                  </m:ctrlPr>
                </m:sup>
              </m:sSubSup>
              <m:ctrlPr>
                <w:rPr>
                  <w:rFonts w:ascii="Cambria Math" w:hAnsi="Cambria Math" w:eastAsia="Cambria Math" w:cs="宋体"/>
                  <w:iCs/>
                  <w:color w:val="000000" w:themeColor="text1"/>
                  <w:kern w:val="0"/>
                  <w:szCs w:val="21"/>
                  <w14:textFill>
                    <w14:solidFill>
                      <w14:schemeClr w14:val="tx1"/>
                    </w14:solidFill>
                  </w14:textFill>
                </w:rPr>
              </m:ctrlPr>
            </m:num>
            <m:den>
              <m:r>
                <w:rPr>
                  <w:rFonts w:ascii="Cambria Math" w:hAnsi="Cambria Math" w:eastAsia="Cambria Math" w:cs="Cambria Math"/>
                  <w:color w:val="000000" w:themeColor="text1"/>
                  <w:kern w:val="0"/>
                  <w:szCs w:val="21"/>
                  <w14:textFill>
                    <w14:solidFill>
                      <w14:schemeClr w14:val="tx1"/>
                    </w14:solidFill>
                  </w14:textFill>
                </w:rPr>
                <m:t>4</m:t>
              </m:r>
              <m:ctrlPr>
                <w:rPr>
                  <w:rFonts w:ascii="Cambria Math" w:hAnsi="Cambria Math" w:eastAsia="Cambria Math" w:cs="宋体"/>
                  <w:iCs/>
                  <w:color w:val="000000" w:themeColor="text1"/>
                  <w:kern w:val="0"/>
                  <w:szCs w:val="21"/>
                  <w14:textFill>
                    <w14:solidFill>
                      <w14:schemeClr w14:val="tx1"/>
                    </w14:solidFill>
                  </w14:textFill>
                </w:rPr>
              </m:ctrlPr>
            </m:den>
          </m:f>
          <m:sSubSup>
            <m:sSubSupPr>
              <m:ctrlPr>
                <w:rPr>
                  <w:rFonts w:ascii="Cambria Math" w:hAnsi="Cambria Math" w:eastAsia="楷体_GB2312" w:cs="Calibri"/>
                  <w:color w:val="000000" w:themeColor="text1"/>
                  <w:kern w:val="0"/>
                  <w:szCs w:val="21"/>
                  <w14:textFill>
                    <w14:solidFill>
                      <w14:schemeClr w14:val="tx1"/>
                    </w14:solidFill>
                  </w14:textFill>
                </w:rPr>
              </m:ctrlPr>
            </m:sSubSup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t</m:t>
              </m:r>
              <m:ctrlPr>
                <w:rPr>
                  <w:rFonts w:ascii="Cambria Math" w:hAnsi="Cambria Math" w:eastAsia="楷体_GB2312" w:cs="Calibri"/>
                  <w:color w:val="000000" w:themeColor="text1"/>
                  <w:kern w:val="0"/>
                  <w:szCs w:val="21"/>
                  <w14:textFill>
                    <w14:solidFill>
                      <w14:schemeClr w14:val="tx1"/>
                    </w14:solidFill>
                  </w14:textFill>
                </w:rPr>
              </m:ctrlPr>
            </m:sub>
            <m:sup>
              <m:r>
                <w:rPr>
                  <w:rFonts w:ascii="Cambria Math" w:hAnsi="Cambria Math" w:eastAsia="楷体_GB2312" w:cs="Calibri"/>
                  <w:color w:val="000000" w:themeColor="text1"/>
                  <w:kern w:val="0"/>
                  <w:szCs w:val="21"/>
                  <w14:textFill>
                    <w14:solidFill>
                      <w14:schemeClr w14:val="tx1"/>
                    </w14:solidFill>
                  </w14:textFill>
                </w:rPr>
                <m:t>b</m:t>
              </m:r>
              <m:ctrlPr>
                <w:rPr>
                  <w:rFonts w:ascii="Cambria Math" w:hAnsi="Cambria Math" w:eastAsia="楷体_GB2312" w:cs="Calibri"/>
                  <w:color w:val="000000" w:themeColor="text1"/>
                  <w:kern w:val="0"/>
                  <w:szCs w:val="21"/>
                  <w14:textFill>
                    <w14:solidFill>
                      <w14:schemeClr w14:val="tx1"/>
                    </w14:solidFill>
                  </w14:textFill>
                </w:rPr>
              </m:ctrlPr>
            </m:sup>
          </m:sSubSup>
          <m:r>
            <w:rPr>
              <w:rFonts w:ascii="Cambria Math" w:hAnsi="Cambria Math" w:eastAsia="楷体_GB2312" w:cs="Calibri"/>
              <w:color w:val="000000" w:themeColor="text1"/>
              <w:kern w:val="0"/>
              <w:szCs w:val="21"/>
              <w14:textFill>
                <w14:solidFill>
                  <w14:schemeClr w14:val="tx1"/>
                </w14:solidFill>
              </w14:textFill>
            </w:rPr>
            <m:t xml:space="preserve">     </m:t>
          </m:r>
          <m:r>
            <m:rPr>
              <m:sty m:val="p"/>
            </m:rPr>
            <w:rPr>
              <w:rFonts w:ascii="Cambria Math" w:hAnsi="Cambria Math" w:eastAsia="楷体_GB2312" w:cs="Calibri"/>
              <w:color w:val="000000" w:themeColor="text1"/>
              <w:kern w:val="0"/>
              <w:szCs w:val="21"/>
              <w14:textFill>
                <w14:solidFill>
                  <w14:schemeClr w14:val="tx1"/>
                </w14:solidFill>
              </w14:textFill>
            </w:rPr>
            <m:t xml:space="preserve">                                                    </m:t>
          </m:r>
          <m:r>
            <m:rPr>
              <m:sty m:val="p"/>
            </m:rPr>
            <w:rPr>
              <w:rFonts w:hint="eastAsia" w:ascii="Cambria Math" w:hAnsi="Cambria Math" w:eastAsia="楷体_GB2312" w:cs="Calibri"/>
              <w:color w:val="000000" w:themeColor="text1"/>
              <w:kern w:val="0"/>
              <w:szCs w:val="21"/>
              <w14:textFill>
                <w14:solidFill>
                  <w14:schemeClr w14:val="tx1"/>
                </w14:solidFill>
              </w14:textFill>
            </w:rPr>
            <m:t>（7.3</m:t>
          </m:r>
          <m:r>
            <m:rPr>
              <m:sty m:val="p"/>
            </m:rPr>
            <w:rPr>
              <w:rFonts w:ascii="Cambria Math" w:hAnsi="Cambria Math" w:eastAsia="楷体_GB2312" w:cs="Calibri"/>
              <w:color w:val="000000" w:themeColor="text1"/>
              <w:kern w:val="0"/>
              <w:szCs w:val="21"/>
              <w14:textFill>
                <w14:solidFill>
                  <w14:schemeClr w14:val="tx1"/>
                </w14:solidFill>
              </w14:textFill>
            </w:rPr>
            <m:t>.12-2</m:t>
          </m:r>
          <m:r>
            <m:rPr>
              <m:sty m:val="p"/>
            </m:rPr>
            <w:rPr>
              <w:rFonts w:hint="eastAsia" w:ascii="Cambria Math" w:hAnsi="Cambria Math" w:eastAsia="楷体_GB2312" w:cs="Calibri"/>
              <w:color w:val="000000" w:themeColor="text1"/>
              <w:kern w:val="0"/>
              <w:szCs w:val="21"/>
              <w14:textFill>
                <w14:solidFill>
                  <w14:schemeClr w14:val="tx1"/>
                </w14:solidFill>
              </w14:textFill>
            </w:rPr>
            <m:t>）</m:t>
          </m:r>
        </m:oMath>
      </m:oMathPara>
    </w:p>
    <w:p>
      <w:pPr>
        <w:autoSpaceDE w:val="0"/>
        <w:autoSpaceDN w:val="0"/>
        <w:spacing w:line="360" w:lineRule="auto"/>
        <w:ind w:firstLine="0" w:firstLineChars="0"/>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式中：</w:t>
      </w:r>
      <w:r>
        <w:rPr>
          <w:rFonts w:ascii="宋体" w:hAnsi="宋体" w:cs="宋体"/>
          <w:iCs/>
          <w:color w:val="000000" w:themeColor="text1"/>
          <w:kern w:val="0"/>
          <w:szCs w:val="21"/>
          <w14:textFill>
            <w14:solidFill>
              <w14:schemeClr w14:val="tx1"/>
            </w14:solidFill>
          </w14:textFill>
        </w:rPr>
        <w:t>N——</w:t>
      </w:r>
      <w:r>
        <w:rPr>
          <w:rFonts w:hint="eastAsia" w:ascii="宋体" w:hAnsi="宋体" w:cs="宋体"/>
          <w:iCs/>
          <w:color w:val="000000" w:themeColor="text1"/>
          <w:kern w:val="0"/>
          <w:szCs w:val="21"/>
          <w14:textFill>
            <w14:solidFill>
              <w14:schemeClr w14:val="tx1"/>
            </w14:solidFill>
          </w14:textFill>
        </w:rPr>
        <w:t>斜向拉力的计算值，应采用按全截面抗拉强度设计值计算的斜杆轴向力；</w:t>
      </w:r>
    </w:p>
    <w:p>
      <w:pPr>
        <w:autoSpaceDE w:val="0"/>
        <w:autoSpaceDN w:val="0"/>
        <w:spacing w:line="360" w:lineRule="auto"/>
        <w:ind w:firstLine="630" w:firstLineChars="300"/>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θ——斜杆与螺栓杆轴方向的夹角；</w:t>
      </w:r>
    </w:p>
    <w:p>
      <w:pPr>
        <w:autoSpaceDE w:val="0"/>
        <w:autoSpaceDN w:val="0"/>
        <w:spacing w:line="360" w:lineRule="auto"/>
        <w:ind w:firstLine="630" w:firstLineChars="300"/>
        <w:jc w:val="left"/>
        <w:rPr>
          <w:rFonts w:ascii="宋体" w:hAnsi="宋体" w:cs="宋体"/>
          <w:iCs/>
          <w:color w:val="000000" w:themeColor="text1"/>
          <w:kern w:val="0"/>
          <w:szCs w:val="21"/>
          <w14:textFill>
            <w14:solidFill>
              <w14:schemeClr w14:val="tx1"/>
            </w14:solidFill>
          </w14:textFill>
        </w:rPr>
      </w:pPr>
      <w:r>
        <w:rPr>
          <w:rFonts w:ascii="宋体" w:hAnsi="宋体" w:cs="宋体"/>
          <w:iCs/>
          <w:color w:val="000000" w:themeColor="text1"/>
          <w:kern w:val="0"/>
          <w:szCs w:val="21"/>
          <w14:textFill>
            <w14:solidFill>
              <w14:schemeClr w14:val="tx1"/>
            </w14:solidFill>
          </w14:textFill>
        </w:rPr>
        <w:t>n——</w:t>
      </w:r>
      <w:r>
        <w:rPr>
          <w:rFonts w:hint="eastAsia" w:ascii="宋体" w:hAnsi="宋体" w:cs="宋体"/>
          <w:iCs/>
          <w:color w:val="000000" w:themeColor="text1"/>
          <w:kern w:val="0"/>
          <w:szCs w:val="21"/>
          <w14:textFill>
            <w14:solidFill>
              <w14:schemeClr w14:val="tx1"/>
            </w14:solidFill>
          </w14:textFill>
        </w:rPr>
        <w:t>受力螺栓的个数；</w:t>
      </w:r>
    </w:p>
    <w:p>
      <w:pPr>
        <w:autoSpaceDE w:val="0"/>
        <w:autoSpaceDN w:val="0"/>
        <w:spacing w:line="360" w:lineRule="auto"/>
        <w:ind w:firstLine="630" w:firstLineChars="300"/>
        <w:jc w:val="left"/>
        <w:rPr>
          <w:rFonts w:ascii="宋体" w:hAnsi="宋体" w:cs="宋体"/>
          <w:iCs/>
          <w:color w:val="000000" w:themeColor="text1"/>
          <w:kern w:val="0"/>
          <w:szCs w:val="21"/>
          <w14:textFill>
            <w14:solidFill>
              <w14:schemeClr w14:val="tx1"/>
            </w14:solidFill>
          </w14:textFill>
        </w:rPr>
      </w:pPr>
      <m:oMath>
        <m:sSubSup>
          <m:sSubSupPr>
            <m:ctrlPr>
              <w:rPr>
                <w:rFonts w:ascii="Cambria Math" w:hAnsi="Cambria Math" w:eastAsia="Cambria Math" w:cs="Cambria Math"/>
                <w:i/>
                <w:iCs/>
                <w:color w:val="000000" w:themeColor="text1"/>
                <w:kern w:val="0"/>
                <w:szCs w:val="21"/>
                <w14:textFill>
                  <w14:solidFill>
                    <w14:schemeClr w14:val="tx1"/>
                  </w14:solidFill>
                </w14:textFill>
              </w:rPr>
            </m:ctrlPr>
          </m:sSubSupPr>
          <m:e>
            <m:r>
              <w:rPr>
                <w:rFonts w:ascii="Cambria Math" w:hAnsi="Cambria Math" w:eastAsia="Cambria Math" w:cs="Cambria Math"/>
                <w:color w:val="000000" w:themeColor="text1"/>
                <w:kern w:val="0"/>
                <w:szCs w:val="21"/>
                <w14:textFill>
                  <w14:solidFill>
                    <w14:schemeClr w14:val="tx1"/>
                  </w14:solidFill>
                </w14:textFill>
              </w:rPr>
              <m:t>N</m:t>
            </m:r>
            <m:ctrlPr>
              <w:rPr>
                <w:rFonts w:ascii="Cambria Math" w:hAnsi="Cambria Math" w:eastAsia="Cambria Math" w:cs="Cambria Math"/>
                <w:i/>
                <w:iCs/>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v</m:t>
            </m:r>
            <m:ctrlPr>
              <w:rPr>
                <w:rFonts w:ascii="Cambria Math" w:hAnsi="Cambria Math" w:eastAsia="Cambria Math" w:cs="Cambria Math"/>
                <w:i/>
                <w:iCs/>
                <w:color w:val="000000" w:themeColor="text1"/>
                <w:kern w:val="0"/>
                <w:szCs w:val="21"/>
                <w14:textFill>
                  <w14:solidFill>
                    <w14:schemeClr w14:val="tx1"/>
                  </w14:solidFill>
                </w14:textFill>
              </w:rPr>
            </m:ctrlPr>
          </m:sub>
          <m:sup>
            <m:r>
              <w:rPr>
                <w:rFonts w:ascii="Cambria Math" w:hAnsi="Cambria Math" w:eastAsia="Cambria Math" w:cs="Cambria Math"/>
                <w:color w:val="000000" w:themeColor="text1"/>
                <w:kern w:val="0"/>
                <w:szCs w:val="21"/>
                <w14:textFill>
                  <w14:solidFill>
                    <w14:schemeClr w14:val="tx1"/>
                  </w14:solidFill>
                </w14:textFill>
              </w:rPr>
              <m:t>b</m:t>
            </m:r>
            <m:ctrlPr>
              <w:rPr>
                <w:rFonts w:ascii="Cambria Math" w:hAnsi="Cambria Math" w:eastAsia="Cambria Math" w:cs="Cambria Math"/>
                <w:i/>
                <w:iCs/>
                <w:color w:val="000000" w:themeColor="text1"/>
                <w:kern w:val="0"/>
                <w:szCs w:val="21"/>
                <w14:textFill>
                  <w14:solidFill>
                    <w14:schemeClr w14:val="tx1"/>
                  </w14:solidFill>
                </w14:textFill>
              </w:rPr>
            </m:ctrlPr>
          </m:sup>
        </m:sSubSup>
      </m:oMath>
      <w:r>
        <w:rPr>
          <w:rFonts w:hint="eastAsia" w:ascii="宋体" w:hAnsi="宋体" w:cs="宋体"/>
          <w:iCs/>
          <w:color w:val="000000" w:themeColor="text1"/>
          <w:kern w:val="0"/>
          <w:szCs w:val="21"/>
          <w14:textFill>
            <w14:solidFill>
              <w14:schemeClr w14:val="tx1"/>
            </w14:solidFill>
          </w14:textFill>
        </w:rPr>
        <w:t>——单个螺栓受剪承载力设计值，可按本章式（7.3</w:t>
      </w:r>
      <w:r>
        <w:rPr>
          <w:rFonts w:ascii="宋体" w:hAnsi="宋体" w:cs="宋体"/>
          <w:iCs/>
          <w:color w:val="000000" w:themeColor="text1"/>
          <w:kern w:val="0"/>
          <w:szCs w:val="21"/>
          <w14:textFill>
            <w14:solidFill>
              <w14:schemeClr w14:val="tx1"/>
            </w14:solidFill>
          </w14:textFill>
        </w:rPr>
        <w:t>.11-2</w:t>
      </w:r>
      <w:r>
        <w:rPr>
          <w:rFonts w:hint="eastAsia" w:ascii="宋体" w:hAnsi="宋体" w:cs="宋体"/>
          <w:iCs/>
          <w:color w:val="000000" w:themeColor="text1"/>
          <w:kern w:val="0"/>
          <w:szCs w:val="21"/>
          <w14:textFill>
            <w14:solidFill>
              <w14:schemeClr w14:val="tx1"/>
            </w14:solidFill>
          </w14:textFill>
        </w:rPr>
        <w:t>）计算；</w:t>
      </w:r>
    </w:p>
    <w:p>
      <w:pPr>
        <w:autoSpaceDE w:val="0"/>
        <w:autoSpaceDN w:val="0"/>
        <w:spacing w:line="360" w:lineRule="auto"/>
        <w:ind w:firstLine="630" w:firstLineChars="300"/>
        <w:jc w:val="left"/>
        <w:rPr>
          <w:rFonts w:ascii="宋体" w:hAnsi="宋体" w:cs="宋体"/>
          <w:iCs/>
          <w:color w:val="000000" w:themeColor="text1"/>
          <w:kern w:val="0"/>
          <w:szCs w:val="21"/>
          <w14:textFill>
            <w14:solidFill>
              <w14:schemeClr w14:val="tx1"/>
            </w14:solidFill>
          </w14:textFill>
        </w:rPr>
      </w:pPr>
      <m:oMath>
        <m:sSubSup>
          <m:sSubSupPr>
            <m:ctrlPr>
              <w:rPr>
                <w:rFonts w:ascii="Cambria Math" w:hAnsi="Cambria Math" w:eastAsia="Cambria Math" w:cs="Cambria Math"/>
                <w:i/>
                <w:iCs/>
                <w:color w:val="000000" w:themeColor="text1"/>
                <w:kern w:val="0"/>
                <w:szCs w:val="21"/>
                <w14:textFill>
                  <w14:solidFill>
                    <w14:schemeClr w14:val="tx1"/>
                  </w14:solidFill>
                </w14:textFill>
              </w:rPr>
            </m:ctrlPr>
          </m:sSubSupPr>
          <m:e>
            <m:r>
              <w:rPr>
                <w:rFonts w:ascii="Cambria Math" w:hAnsi="Cambria Math" w:eastAsia="Cambria Math" w:cs="Cambria Math"/>
                <w:color w:val="000000" w:themeColor="text1"/>
                <w:kern w:val="0"/>
                <w:szCs w:val="21"/>
                <w14:textFill>
                  <w14:solidFill>
                    <w14:schemeClr w14:val="tx1"/>
                  </w14:solidFill>
                </w14:textFill>
              </w:rPr>
              <m:t>N</m:t>
            </m:r>
            <m:ctrlPr>
              <w:rPr>
                <w:rFonts w:ascii="Cambria Math" w:hAnsi="Cambria Math" w:eastAsia="Cambria Math" w:cs="Cambria Math"/>
                <w:i/>
                <w:iCs/>
                <w:color w:val="000000" w:themeColor="text1"/>
                <w:kern w:val="0"/>
                <w:szCs w:val="21"/>
                <w14:textFill>
                  <w14:solidFill>
                    <w14:schemeClr w14:val="tx1"/>
                  </w14:solidFill>
                </w14:textFill>
              </w:rPr>
            </m:ctrlPr>
          </m:e>
          <m:sub>
            <m:r>
              <w:rPr>
                <w:rFonts w:ascii="Cambria Math" w:hAnsi="Cambria Math" w:eastAsia="Cambria Math" w:cs="Cambria Math"/>
                <w:color w:val="000000" w:themeColor="text1"/>
                <w:kern w:val="0"/>
                <w:szCs w:val="21"/>
                <w14:textFill>
                  <w14:solidFill>
                    <w14:schemeClr w14:val="tx1"/>
                  </w14:solidFill>
                </w14:textFill>
              </w:rPr>
              <m:t>t</m:t>
            </m:r>
            <m:ctrlPr>
              <w:rPr>
                <w:rFonts w:ascii="Cambria Math" w:hAnsi="Cambria Math" w:eastAsia="Cambria Math" w:cs="Cambria Math"/>
                <w:i/>
                <w:iCs/>
                <w:color w:val="000000" w:themeColor="text1"/>
                <w:kern w:val="0"/>
                <w:szCs w:val="21"/>
                <w14:textFill>
                  <w14:solidFill>
                    <w14:schemeClr w14:val="tx1"/>
                  </w14:solidFill>
                </w14:textFill>
              </w:rPr>
            </m:ctrlPr>
          </m:sub>
          <m:sup>
            <m:r>
              <w:rPr>
                <w:rFonts w:ascii="Cambria Math" w:hAnsi="Cambria Math" w:eastAsia="Cambria Math" w:cs="Cambria Math"/>
                <w:color w:val="000000" w:themeColor="text1"/>
                <w:kern w:val="0"/>
                <w:szCs w:val="21"/>
                <w14:textFill>
                  <w14:solidFill>
                    <w14:schemeClr w14:val="tx1"/>
                  </w14:solidFill>
                </w14:textFill>
              </w:rPr>
              <m:t>b</m:t>
            </m:r>
            <m:ctrlPr>
              <w:rPr>
                <w:rFonts w:ascii="Cambria Math" w:hAnsi="Cambria Math" w:eastAsia="Cambria Math" w:cs="Cambria Math"/>
                <w:i/>
                <w:iCs/>
                <w:color w:val="000000" w:themeColor="text1"/>
                <w:kern w:val="0"/>
                <w:szCs w:val="21"/>
                <w14:textFill>
                  <w14:solidFill>
                    <w14:schemeClr w14:val="tx1"/>
                  </w14:solidFill>
                </w14:textFill>
              </w:rPr>
            </m:ctrlPr>
          </m:sup>
        </m:sSubSup>
      </m:oMath>
      <w:r>
        <w:rPr>
          <w:rFonts w:hint="eastAsia" w:ascii="宋体" w:hAnsi="宋体" w:cs="宋体"/>
          <w:iCs/>
          <w:color w:val="000000" w:themeColor="text1"/>
          <w:kern w:val="0"/>
          <w:szCs w:val="21"/>
          <w14:textFill>
            <w14:solidFill>
              <w14:schemeClr w14:val="tx1"/>
            </w14:solidFill>
          </w14:textFill>
        </w:rPr>
        <w:t>——单个螺栓受拉承载力设计值；</w:t>
      </w:r>
    </w:p>
    <w:p>
      <w:pPr>
        <w:autoSpaceDE w:val="0"/>
        <w:autoSpaceDN w:val="0"/>
        <w:spacing w:line="360" w:lineRule="auto"/>
        <w:ind w:firstLine="630" w:firstLineChars="300"/>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d</w:t>
      </w:r>
      <w:r>
        <w:rPr>
          <w:rFonts w:ascii="宋体" w:hAnsi="宋体" w:cs="宋体"/>
          <w:iCs/>
          <w:color w:val="000000" w:themeColor="text1"/>
          <w:kern w:val="0"/>
          <w:szCs w:val="21"/>
          <w:vertAlign w:val="subscript"/>
          <w14:textFill>
            <w14:solidFill>
              <w14:schemeClr w14:val="tx1"/>
            </w14:solidFill>
          </w14:textFill>
        </w:rPr>
        <w:t>e</w:t>
      </w:r>
      <w:r>
        <w:rPr>
          <w:rFonts w:ascii="宋体" w:hAnsi="宋体" w:cs="宋体"/>
          <w:iCs/>
          <w:color w:val="000000" w:themeColor="text1"/>
          <w:kern w:val="0"/>
          <w:szCs w:val="21"/>
          <w14:textFill>
            <w14:solidFill>
              <w14:schemeClr w14:val="tx1"/>
            </w14:solidFill>
          </w14:textFill>
        </w:rPr>
        <w:t>——</w:t>
      </w:r>
      <w:r>
        <w:rPr>
          <w:rFonts w:hint="eastAsia" w:ascii="宋体" w:hAnsi="宋体" w:cs="宋体"/>
          <w:iCs/>
          <w:color w:val="000000" w:themeColor="text1"/>
          <w:kern w:val="0"/>
          <w:szCs w:val="21"/>
          <w14:textFill>
            <w14:solidFill>
              <w14:schemeClr w14:val="tx1"/>
            </w14:solidFill>
          </w14:textFill>
        </w:rPr>
        <w:t>螺栓在螺纹处的有效直径；</w:t>
      </w:r>
    </w:p>
    <w:p>
      <w:pPr>
        <w:autoSpaceDE w:val="0"/>
        <w:autoSpaceDN w:val="0"/>
        <w:spacing w:line="360" w:lineRule="auto"/>
        <w:ind w:left="1260" w:leftChars="300" w:hanging="630" w:hangingChars="300"/>
        <w:jc w:val="left"/>
        <w:rPr>
          <w:rFonts w:ascii="宋体" w:hAnsi="宋体" w:cs="宋体"/>
          <w:color w:val="000000" w:themeColor="text1"/>
          <w:kern w:val="0"/>
          <w:szCs w:val="21"/>
          <w14:textFill>
            <w14:solidFill>
              <w14:schemeClr w14:val="tx1"/>
            </w14:solidFill>
          </w14:textFill>
        </w:rPr>
      </w:pPr>
      <m:oMath>
        <m:sSubSup>
          <m:sSubSupPr>
            <m:ctrlPr>
              <w:rPr>
                <w:rFonts w:ascii="Cambria Math" w:hAnsi="Cambria Math" w:eastAsia="楷体_GB2312" w:cs="Calibri"/>
                <w:color w:val="000000" w:themeColor="text1"/>
                <w:kern w:val="0"/>
                <w:szCs w:val="21"/>
                <w14:textFill>
                  <w14:solidFill>
                    <w14:schemeClr w14:val="tx1"/>
                  </w14:solidFill>
                </w14:textFill>
              </w:rPr>
            </m:ctrlPr>
          </m:sSubSup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t</m:t>
            </m:r>
            <m:ctrlPr>
              <w:rPr>
                <w:rFonts w:ascii="Cambria Math" w:hAnsi="Cambria Math" w:eastAsia="楷体_GB2312" w:cs="Calibri"/>
                <w:color w:val="000000" w:themeColor="text1"/>
                <w:kern w:val="0"/>
                <w:szCs w:val="21"/>
                <w14:textFill>
                  <w14:solidFill>
                    <w14:schemeClr w14:val="tx1"/>
                  </w14:solidFill>
                </w14:textFill>
              </w:rPr>
            </m:ctrlPr>
          </m:sub>
          <m:sup>
            <m:r>
              <w:rPr>
                <w:rFonts w:ascii="Cambria Math" w:hAnsi="Cambria Math" w:eastAsia="楷体_GB2312" w:cs="Calibri"/>
                <w:color w:val="000000" w:themeColor="text1"/>
                <w:kern w:val="0"/>
                <w:szCs w:val="21"/>
                <w14:textFill>
                  <w14:solidFill>
                    <w14:schemeClr w14:val="tx1"/>
                  </w14:solidFill>
                </w14:textFill>
              </w:rPr>
              <m:t>b</m:t>
            </m:r>
            <m:ctrlPr>
              <w:rPr>
                <w:rFonts w:ascii="Cambria Math" w:hAnsi="Cambria Math" w:eastAsia="楷体_GB2312" w:cs="Calibri"/>
                <w:color w:val="000000" w:themeColor="text1"/>
                <w:kern w:val="0"/>
                <w:szCs w:val="21"/>
                <w14:textFill>
                  <w14:solidFill>
                    <w14:schemeClr w14:val="tx1"/>
                  </w14:solidFill>
                </w14:textFill>
              </w:rPr>
            </m:ctrlPr>
          </m:sup>
        </m:sSubSup>
      </m:oMath>
      <w:r>
        <w:rPr>
          <w:rFonts w:hint="eastAsia" w:ascii="宋体" w:hAnsi="宋体" w:cs="宋体"/>
          <w:color w:val="000000" w:themeColor="text1"/>
          <w:kern w:val="0"/>
          <w:szCs w:val="21"/>
          <w14:textFill>
            <w14:solidFill>
              <w14:schemeClr w14:val="tx1"/>
            </w14:solidFill>
          </w14:textFill>
        </w:rPr>
        <w:t>——螺栓的抗拉强度设计值，应按《钢结构设计标准》G</w:t>
      </w:r>
      <w:r>
        <w:rPr>
          <w:rFonts w:ascii="宋体" w:hAnsi="宋体" w:cs="宋体"/>
          <w:color w:val="000000" w:themeColor="text1"/>
          <w:kern w:val="0"/>
          <w:szCs w:val="21"/>
          <w14:textFill>
            <w14:solidFill>
              <w14:schemeClr w14:val="tx1"/>
            </w14:solidFill>
          </w14:textFill>
        </w:rPr>
        <w:t>B</w:t>
      </w:r>
      <w:r>
        <w:rPr>
          <w:rFonts w:hint="eastAsia" w:ascii="宋体" w:hAnsi="宋体" w:cs="宋体"/>
          <w:color w:val="000000" w:themeColor="text1"/>
          <w:kern w:val="0"/>
          <w:szCs w:val="21"/>
          <w14:textFill>
            <w14:solidFill>
              <w14:schemeClr w14:val="tx1"/>
            </w14:solidFill>
          </w14:textFill>
        </w:rPr>
        <w:t>500</w:t>
      </w:r>
      <w:r>
        <w:rPr>
          <w:rFonts w:ascii="宋体" w:hAnsi="宋体" w:cs="宋体"/>
          <w:color w:val="000000" w:themeColor="text1"/>
          <w:kern w:val="0"/>
          <w:szCs w:val="21"/>
          <w14:textFill>
            <w14:solidFill>
              <w14:schemeClr w14:val="tx1"/>
            </w14:solidFill>
          </w14:textFill>
        </w:rPr>
        <w:t>17</w:t>
      </w:r>
      <w:r>
        <w:rPr>
          <w:rFonts w:hint="eastAsia" w:ascii="宋体" w:hAnsi="宋体" w:cs="宋体"/>
          <w:color w:val="000000" w:themeColor="text1"/>
          <w:kern w:val="0"/>
          <w:szCs w:val="21"/>
          <w14:textFill>
            <w14:solidFill>
              <w14:schemeClr w14:val="tx1"/>
            </w14:solidFill>
          </w14:textFill>
        </w:rPr>
        <w:t>对普通螺栓的规定值采用。</w:t>
      </w:r>
    </w:p>
    <w:p>
      <w:pPr>
        <w:pStyle w:val="3"/>
      </w:pPr>
      <w:bookmarkStart w:id="139" w:name="_Toc48841041"/>
      <w:r>
        <w:rPr>
          <w:rFonts w:hint="eastAsia"/>
        </w:rPr>
        <w:t>构造措施（1）——支撑和构件</w:t>
      </w:r>
      <w:bookmarkEnd w:id="139"/>
    </w:p>
    <w:p>
      <w:pPr>
        <w:autoSpaceDE w:val="0"/>
        <w:autoSpaceDN w:val="0"/>
        <w:spacing w:line="360" w:lineRule="auto"/>
        <w:ind w:firstLine="199" w:firstLineChars="95"/>
        <w:jc w:val="center"/>
        <w:rPr>
          <w:rFonts w:cs="HiddenHorzOCR" w:asciiTheme="minorEastAsia" w:hAnsiTheme="minorEastAsia" w:eastAsia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cs="Times New Roman" w:asciiTheme="minorEastAsia" w:hAnsiTheme="minorEastAsia"/>
          <w:color w:val="000000" w:themeColor="text1"/>
          <w:kern w:val="0"/>
          <w:szCs w:val="21"/>
          <w14:textFill>
            <w14:solidFill>
              <w14:schemeClr w14:val="tx1"/>
            </w14:solidFill>
          </w14:textFill>
        </w:rPr>
        <w:t>7</w:t>
      </w:r>
      <w:r>
        <w:rPr>
          <w:rFonts w:hint="eastAsia" w:cs="Times New Roman" w:asciiTheme="minorEastAsia" w:hAnsiTheme="minorEastAsia"/>
          <w:color w:val="000000" w:themeColor="text1"/>
          <w:kern w:val="0"/>
          <w:szCs w:val="21"/>
          <w14:textFill>
            <w14:solidFill>
              <w14:schemeClr w14:val="tx1"/>
            </w14:solidFill>
          </w14:textFill>
        </w:rPr>
        <w:t xml:space="preserve">.4.1 </w:t>
      </w:r>
      <w:r>
        <w:rPr>
          <w:rFonts w:hint="eastAsia" w:cs="HiddenHorzOCR" w:asciiTheme="minorEastAsia" w:hAnsiTheme="minorEastAsia"/>
          <w:color w:val="000000" w:themeColor="text1"/>
          <w:kern w:val="0"/>
          <w:szCs w:val="21"/>
          <w14:textFill>
            <w14:solidFill>
              <w14:schemeClr w14:val="tx1"/>
            </w14:solidFill>
          </w14:textFill>
        </w:rPr>
        <w:t>有檩屋盖的支撑布置宜符合表7.4.1-1的要求。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 </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表7.4.1-1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有檩屋盖支撑布置</w:t>
      </w:r>
    </w:p>
    <w:tbl>
      <w:tblPr>
        <w:tblStyle w:val="130"/>
        <w:tblW w:w="41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85" w:type="dxa"/>
          <w:bottom w:w="85" w:type="dxa"/>
          <w:right w:w="85" w:type="dxa"/>
        </w:tblCellMar>
      </w:tblPr>
      <w:tblGrid>
        <w:gridCol w:w="439"/>
        <w:gridCol w:w="1491"/>
        <w:gridCol w:w="1691"/>
        <w:gridCol w:w="1997"/>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blHeader/>
          <w:jc w:val="center"/>
        </w:trPr>
        <w:tc>
          <w:tcPr>
            <w:tcW w:w="1269" w:type="pct"/>
            <w:gridSpan w:val="2"/>
            <w:vMerge w:val="restart"/>
            <w:tcBorders>
              <w:top w:val="single" w:color="auto" w:sz="8" w:space="0"/>
              <w:lef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支撑名称</w:t>
            </w:r>
          </w:p>
        </w:tc>
        <w:tc>
          <w:tcPr>
            <w:tcW w:w="3731" w:type="pct"/>
            <w:gridSpan w:val="3"/>
            <w:tcBorders>
              <w:top w:val="single" w:color="auto" w:sz="8" w:space="0"/>
              <w:righ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烈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blHeader/>
          <w:jc w:val="center"/>
        </w:trPr>
        <w:tc>
          <w:tcPr>
            <w:tcW w:w="1269" w:type="pct"/>
            <w:gridSpan w:val="2"/>
            <w:vMerge w:val="continue"/>
            <w:tcBorders>
              <w:lef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p>
        </w:tc>
        <w:tc>
          <w:tcPr>
            <w:tcW w:w="1111" w:type="pct"/>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6度和7度</w:t>
            </w:r>
          </w:p>
        </w:tc>
        <w:tc>
          <w:tcPr>
            <w:tcW w:w="1312" w:type="pct"/>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8度</w:t>
            </w:r>
          </w:p>
        </w:tc>
        <w:tc>
          <w:tcPr>
            <w:tcW w:w="1308" w:type="pct"/>
            <w:tcBorders>
              <w:righ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9度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jc w:val="center"/>
        </w:trPr>
        <w:tc>
          <w:tcPr>
            <w:tcW w:w="289" w:type="pct"/>
            <w:vMerge w:val="restart"/>
            <w:tcBorders>
              <w:lef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屋架支撑</w:t>
            </w:r>
          </w:p>
        </w:tc>
        <w:tc>
          <w:tcPr>
            <w:tcW w:w="980" w:type="pct"/>
            <w:vAlign w:val="center"/>
          </w:tcPr>
          <w:p>
            <w:pPr>
              <w:ind w:firstLine="0" w:firstLineChars="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上弦横向支撑</w:t>
            </w:r>
          </w:p>
        </w:tc>
        <w:tc>
          <w:tcPr>
            <w:tcW w:w="1111" w:type="pct"/>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厂房单元端开间各设一道</w:t>
            </w:r>
          </w:p>
        </w:tc>
        <w:tc>
          <w:tcPr>
            <w:tcW w:w="1312" w:type="pct"/>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厂房单元端开间及厂房单元长度大于6</w:t>
            </w:r>
            <w:r>
              <w:rPr>
                <w:rFonts w:cs="HiddenHorzOCR"/>
                <w:color w:val="000000" w:themeColor="text1"/>
                <w:kern w:val="0"/>
                <w:sz w:val="18"/>
                <w:szCs w:val="18"/>
                <w14:textFill>
                  <w14:solidFill>
                    <w14:schemeClr w14:val="tx1"/>
                  </w14:solidFill>
                </w14:textFill>
              </w:rPr>
              <w:t>6m</w:t>
            </w:r>
            <w:r>
              <w:rPr>
                <w:rFonts w:hint="eastAsia" w:cs="HiddenHorzOCR"/>
                <w:color w:val="000000" w:themeColor="text1"/>
                <w:kern w:val="0"/>
                <w:sz w:val="18"/>
                <w:szCs w:val="18"/>
                <w14:textFill>
                  <w14:solidFill>
                    <w14:schemeClr w14:val="tx1"/>
                  </w14:solidFill>
                </w14:textFill>
              </w:rPr>
              <w:t>的柱间支撑开间各设一道；天窗开洞范围的两端各增设局部的支撑一道</w:t>
            </w:r>
          </w:p>
        </w:tc>
        <w:tc>
          <w:tcPr>
            <w:tcW w:w="1308" w:type="pct"/>
            <w:vMerge w:val="restart"/>
            <w:tcBorders>
              <w:right w:val="single" w:color="auto" w:sz="8" w:space="0"/>
            </w:tcBorders>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厂房单元端开间及厂房单元长度大于4</w:t>
            </w:r>
            <w:r>
              <w:rPr>
                <w:rFonts w:cs="HiddenHorzOCR"/>
                <w:color w:val="000000" w:themeColor="text1"/>
                <w:kern w:val="0"/>
                <w:sz w:val="18"/>
                <w:szCs w:val="18"/>
                <w14:textFill>
                  <w14:solidFill>
                    <w14:schemeClr w14:val="tx1"/>
                  </w14:solidFill>
                </w14:textFill>
              </w:rPr>
              <w:t>2m</w:t>
            </w:r>
            <w:r>
              <w:rPr>
                <w:rFonts w:hint="eastAsia" w:cs="HiddenHorzOCR"/>
                <w:color w:val="000000" w:themeColor="text1"/>
                <w:kern w:val="0"/>
                <w:sz w:val="18"/>
                <w:szCs w:val="18"/>
                <w14:textFill>
                  <w14:solidFill>
                    <w14:schemeClr w14:val="tx1"/>
                  </w14:solidFill>
                </w14:textFill>
              </w:rPr>
              <w:t>的柱间支撑开间各设一道；</w:t>
            </w:r>
          </w:p>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天窗开洞范围的两端各增设局部的上弦横向支撑一道。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jc w:val="center"/>
        </w:trPr>
        <w:tc>
          <w:tcPr>
            <w:tcW w:w="289" w:type="pct"/>
            <w:vMerge w:val="continue"/>
            <w:tcBorders>
              <w:lef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p>
        </w:tc>
        <w:tc>
          <w:tcPr>
            <w:tcW w:w="980" w:type="pct"/>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下弦横向支撑，跨中垂直支撑</w:t>
            </w:r>
          </w:p>
        </w:tc>
        <w:tc>
          <w:tcPr>
            <w:tcW w:w="2423" w:type="pct"/>
            <w:gridSpan w:val="2"/>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同非抗震设计</w:t>
            </w:r>
          </w:p>
        </w:tc>
        <w:tc>
          <w:tcPr>
            <w:tcW w:w="1308" w:type="pct"/>
            <w:vMerge w:val="continue"/>
            <w:tcBorders>
              <w:right w:val="single" w:color="auto" w:sz="8" w:space="0"/>
            </w:tcBorders>
            <w:vAlign w:val="center"/>
          </w:tcPr>
          <w:p>
            <w:pPr>
              <w:ind w:firstLine="180" w:firstLineChars="100"/>
              <w:rPr>
                <w:rFonts w:cs="HiddenHorzOCR"/>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jc w:val="center"/>
        </w:trPr>
        <w:tc>
          <w:tcPr>
            <w:tcW w:w="289" w:type="pct"/>
            <w:vMerge w:val="continue"/>
            <w:tcBorders>
              <w:left w:val="single" w:color="auto" w:sz="8" w:space="0"/>
              <w:bottom w:val="single" w:color="auto" w:sz="4"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p>
        </w:tc>
        <w:tc>
          <w:tcPr>
            <w:tcW w:w="980" w:type="pct"/>
            <w:vAlign w:val="center"/>
          </w:tcPr>
          <w:p>
            <w:pPr>
              <w:ind w:firstLine="0" w:firstLineChars="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端部垂直支撑</w:t>
            </w:r>
          </w:p>
        </w:tc>
        <w:tc>
          <w:tcPr>
            <w:tcW w:w="3731" w:type="pct"/>
            <w:gridSpan w:val="3"/>
            <w:tcBorders>
              <w:right w:val="single" w:color="auto" w:sz="8" w:space="0"/>
            </w:tcBorders>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屋架端部高度大于9</w:t>
            </w:r>
            <w:r>
              <w:rPr>
                <w:rFonts w:cs="HiddenHorzOCR"/>
                <w:color w:val="000000" w:themeColor="text1"/>
                <w:kern w:val="0"/>
                <w:sz w:val="18"/>
                <w:szCs w:val="18"/>
                <w14:textFill>
                  <w14:solidFill>
                    <w14:schemeClr w14:val="tx1"/>
                  </w14:solidFill>
                </w14:textFill>
              </w:rPr>
              <w:t>00mm</w:t>
            </w:r>
            <w:r>
              <w:rPr>
                <w:rFonts w:hint="eastAsia" w:cs="HiddenHorzOCR"/>
                <w:color w:val="000000" w:themeColor="text1"/>
                <w:kern w:val="0"/>
                <w:sz w:val="18"/>
                <w:szCs w:val="18"/>
                <w14:textFill>
                  <w14:solidFill>
                    <w14:schemeClr w14:val="tx1"/>
                  </w14:solidFill>
                </w14:textFill>
              </w:rPr>
              <w:t>时，厂房单元端开间及柱间支撑开间各设一道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jc w:val="center"/>
        </w:trPr>
        <w:tc>
          <w:tcPr>
            <w:tcW w:w="289" w:type="pct"/>
            <w:vMerge w:val="restart"/>
            <w:tcBorders>
              <w:left w:val="single" w:color="auto" w:sz="8" w:space="0"/>
              <w:bottom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天窗架支撑</w:t>
            </w:r>
          </w:p>
        </w:tc>
        <w:tc>
          <w:tcPr>
            <w:tcW w:w="980" w:type="pct"/>
            <w:tcBorders>
              <w:bottom w:val="single" w:color="auto" w:sz="4" w:space="0"/>
            </w:tcBorders>
            <w:vAlign w:val="center"/>
          </w:tcPr>
          <w:p>
            <w:pPr>
              <w:ind w:firstLine="0" w:firstLineChars="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上弦横向支撑</w:t>
            </w:r>
          </w:p>
        </w:tc>
        <w:tc>
          <w:tcPr>
            <w:tcW w:w="1111" w:type="pct"/>
            <w:tcBorders>
              <w:bottom w:val="single" w:color="auto" w:sz="4" w:space="0"/>
            </w:tcBorders>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厂房单元天窗的端开间各设一道</w:t>
            </w:r>
          </w:p>
        </w:tc>
        <w:tc>
          <w:tcPr>
            <w:tcW w:w="1312" w:type="pct"/>
            <w:vMerge w:val="restart"/>
            <w:tcBorders>
              <w:bottom w:val="single" w:color="auto" w:sz="8" w:space="0"/>
            </w:tcBorders>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厂房单元天窗的端开间及每隔3</w:t>
            </w:r>
            <w:r>
              <w:rPr>
                <w:rFonts w:cs="HiddenHorzOCR"/>
                <w:color w:val="000000" w:themeColor="text1"/>
                <w:kern w:val="0"/>
                <w:sz w:val="18"/>
                <w:szCs w:val="18"/>
                <w14:textFill>
                  <w14:solidFill>
                    <w14:schemeClr w14:val="tx1"/>
                  </w14:solidFill>
                </w14:textFill>
              </w:rPr>
              <w:t>0m</w:t>
            </w:r>
            <w:r>
              <w:rPr>
                <w:rFonts w:hint="eastAsia" w:cs="HiddenHorzOCR"/>
                <w:color w:val="000000" w:themeColor="text1"/>
                <w:kern w:val="0"/>
                <w:sz w:val="18"/>
                <w:szCs w:val="18"/>
                <w14:textFill>
                  <w14:solidFill>
                    <w14:schemeClr w14:val="tx1"/>
                  </w14:solidFill>
                </w14:textFill>
              </w:rPr>
              <w:t>各设一道</w:t>
            </w:r>
          </w:p>
        </w:tc>
        <w:tc>
          <w:tcPr>
            <w:tcW w:w="1308" w:type="pct"/>
            <w:vMerge w:val="restart"/>
            <w:tcBorders>
              <w:bottom w:val="single" w:color="auto" w:sz="8" w:space="0"/>
              <w:right w:val="single" w:color="auto" w:sz="8" w:space="0"/>
            </w:tcBorders>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厂房单元天窗的端开间及每隔1</w:t>
            </w:r>
            <w:r>
              <w:rPr>
                <w:rFonts w:cs="HiddenHorzOCR"/>
                <w:color w:val="000000" w:themeColor="text1"/>
                <w:kern w:val="0"/>
                <w:sz w:val="18"/>
                <w:szCs w:val="18"/>
                <w14:textFill>
                  <w14:solidFill>
                    <w14:schemeClr w14:val="tx1"/>
                  </w14:solidFill>
                </w14:textFill>
              </w:rPr>
              <w:t>8m</w:t>
            </w:r>
            <w:r>
              <w:rPr>
                <w:rFonts w:hint="eastAsia" w:cs="HiddenHorzOCR"/>
                <w:color w:val="000000" w:themeColor="text1"/>
                <w:kern w:val="0"/>
                <w:sz w:val="18"/>
                <w:szCs w:val="18"/>
                <w14:textFill>
                  <w14:solidFill>
                    <w14:schemeClr w14:val="tx1"/>
                  </w14:solidFill>
                </w14:textFill>
              </w:rPr>
              <w:t>各设一道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jc w:val="center"/>
        </w:trPr>
        <w:tc>
          <w:tcPr>
            <w:tcW w:w="289" w:type="pct"/>
            <w:vMerge w:val="continue"/>
            <w:tcBorders>
              <w:left w:val="single" w:color="auto" w:sz="8" w:space="0"/>
              <w:bottom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p>
        </w:tc>
        <w:tc>
          <w:tcPr>
            <w:tcW w:w="980" w:type="pct"/>
            <w:tcBorders>
              <w:bottom w:val="single" w:color="auto" w:sz="8" w:space="0"/>
            </w:tcBorders>
            <w:vAlign w:val="center"/>
          </w:tcPr>
          <w:p>
            <w:pPr>
              <w:ind w:firstLine="0" w:firstLineChars="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两侧垂直支撑</w:t>
            </w:r>
          </w:p>
        </w:tc>
        <w:tc>
          <w:tcPr>
            <w:tcW w:w="1111" w:type="pct"/>
            <w:tcBorders>
              <w:bottom w:val="single" w:color="auto" w:sz="8" w:space="0"/>
            </w:tcBorders>
            <w:vAlign w:val="center"/>
          </w:tcPr>
          <w:p>
            <w:pPr>
              <w:ind w:firstLine="180" w:firstLineChars="1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厂房单元天窗的端开间及每隔3</w:t>
            </w:r>
            <w:r>
              <w:rPr>
                <w:rFonts w:cs="HiddenHorzOCR"/>
                <w:color w:val="000000" w:themeColor="text1"/>
                <w:kern w:val="0"/>
                <w:sz w:val="18"/>
                <w:szCs w:val="18"/>
                <w14:textFill>
                  <w14:solidFill>
                    <w14:schemeClr w14:val="tx1"/>
                  </w14:solidFill>
                </w14:textFill>
              </w:rPr>
              <w:t>6m</w:t>
            </w:r>
            <w:r>
              <w:rPr>
                <w:rFonts w:hint="eastAsia" w:cs="HiddenHorzOCR"/>
                <w:color w:val="000000" w:themeColor="text1"/>
                <w:kern w:val="0"/>
                <w:sz w:val="18"/>
                <w:szCs w:val="18"/>
                <w14:textFill>
                  <w14:solidFill>
                    <w14:schemeClr w14:val="tx1"/>
                  </w14:solidFill>
                </w14:textFill>
              </w:rPr>
              <w:t>各设一道</w:t>
            </w:r>
          </w:p>
        </w:tc>
        <w:tc>
          <w:tcPr>
            <w:tcW w:w="1312" w:type="pct"/>
            <w:vMerge w:val="continue"/>
            <w:tcBorders>
              <w:bottom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p>
        </w:tc>
        <w:tc>
          <w:tcPr>
            <w:tcW w:w="1308" w:type="pct"/>
            <w:vMerge w:val="continue"/>
            <w:tcBorders>
              <w:bottom w:val="single" w:color="auto" w:sz="8" w:space="0"/>
              <w:righ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p>
        </w:tc>
      </w:tr>
    </w:tbl>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7.4.2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支撑的</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置和构造，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一般情况下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在结构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元中部</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置上、下柱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支撑，有</w:t>
      </w:r>
      <w:r>
        <w:rPr>
          <w:rFonts w:hint="eastAsia" w:cs="HiddenHorzOCR"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或烈度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，尚宜在结构</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元两端增</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上柱支撑。</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不等高结构的高低跨所在柱列的柱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支撑的</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w:t>
      </w:r>
      <w:r>
        <w:rPr>
          <w:rFonts w:hint="eastAsia" w:cs="HiddenHorzOCR" w:asciiTheme="minorEastAsia" w:hAnsiTheme="minorEastAsia"/>
          <w:color w:val="000000" w:themeColor="text1"/>
          <w:kern w:val="0"/>
          <w:szCs w:val="21"/>
          <w14:textFill>
            <w14:solidFill>
              <w14:schemeClr w14:val="tx1"/>
            </w14:solidFill>
          </w14:textFill>
        </w:rPr>
        <w:t>合下列要求: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（1）保</w:t>
      </w:r>
      <w:r>
        <w:rPr>
          <w:rFonts w:hint="eastAsia" w:cs="宋体" w:asciiTheme="minorEastAsia" w:hAnsiTheme="minorEastAsia"/>
          <w:color w:val="000000" w:themeColor="text1"/>
          <w:kern w:val="0"/>
          <w:szCs w:val="21"/>
          <w14:textFill>
            <w14:solidFill>
              <w14:schemeClr w14:val="tx1"/>
            </w14:solidFill>
          </w14:textFill>
        </w:rPr>
        <w:t>证</w:t>
      </w:r>
      <w:r>
        <w:rPr>
          <w:rFonts w:hint="eastAsia" w:cs="MS Mincho" w:asciiTheme="minorEastAsia" w:hAnsiTheme="minorEastAsia"/>
          <w:color w:val="000000" w:themeColor="text1"/>
          <w:kern w:val="0"/>
          <w:szCs w:val="21"/>
          <w14:textFill>
            <w14:solidFill>
              <w14:schemeClr w14:val="tx1"/>
            </w14:solidFill>
          </w14:textFill>
        </w:rPr>
        <w:t>高、低跨屋盖的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向水平地震作用能直接</w:t>
      </w:r>
      <w:r>
        <w:rPr>
          <w:rFonts w:hint="eastAsia" w:cs="宋体" w:asciiTheme="minorEastAsia" w:hAnsiTheme="minorEastAsia"/>
          <w:color w:val="000000" w:themeColor="text1"/>
          <w:kern w:val="0"/>
          <w:szCs w:val="21"/>
          <w14:textFill>
            <w14:solidFill>
              <w14:schemeClr w14:val="tx1"/>
            </w14:solidFill>
          </w14:textFill>
        </w:rPr>
        <w:t>传给</w:t>
      </w:r>
      <w:r>
        <w:rPr>
          <w:rFonts w:hint="eastAsia" w:cs="MS Mincho"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w:t>
      </w:r>
      <w:r>
        <w:rPr>
          <w:rFonts w:hint="eastAsia" w:cs="HiddenHorzOCR" w:asciiTheme="minorEastAsia" w:hAnsiTheme="minorEastAsia"/>
          <w:color w:val="000000" w:themeColor="text1"/>
          <w:kern w:val="0"/>
          <w:szCs w:val="21"/>
          <w14:textFill>
            <w14:solidFill>
              <w14:schemeClr w14:val="tx1"/>
            </w14:solidFill>
          </w14:textFill>
        </w:rPr>
        <w:t>撑；</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（2）保</w:t>
      </w:r>
      <w:r>
        <w:rPr>
          <w:rFonts w:hint="eastAsia" w:cs="宋体" w:asciiTheme="minorEastAsia" w:hAnsiTheme="minorEastAsia"/>
          <w:color w:val="000000" w:themeColor="text1"/>
          <w:kern w:val="0"/>
          <w:szCs w:val="21"/>
          <w14:textFill>
            <w14:solidFill>
              <w14:schemeClr w14:val="tx1"/>
            </w14:solidFill>
          </w14:textFill>
        </w:rPr>
        <w:t>证</w:t>
      </w:r>
      <w:r>
        <w:rPr>
          <w:rFonts w:hint="eastAsia" w:cs="MS Mincho" w:asciiTheme="minorEastAsia" w:hAnsiTheme="minorEastAsia"/>
          <w:color w:val="000000" w:themeColor="text1"/>
          <w:kern w:val="0"/>
          <w:szCs w:val="21"/>
          <w14:textFill>
            <w14:solidFill>
              <w14:schemeClr w14:val="tx1"/>
            </w14:solidFill>
          </w14:textFill>
        </w:rPr>
        <w:t>高、低跨跨</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内</w:t>
      </w:r>
      <w:r>
        <w:rPr>
          <w:rFonts w:hint="eastAsia" w:cs="宋体" w:asciiTheme="minorEastAsia" w:hAnsiTheme="minorEastAsia"/>
          <w:color w:val="000000" w:themeColor="text1"/>
          <w:kern w:val="0"/>
          <w:szCs w:val="21"/>
          <w14:textFill>
            <w14:solidFill>
              <w14:schemeClr w14:val="tx1"/>
            </w14:solidFill>
          </w14:textFill>
        </w:rPr>
        <w:t>桥</w:t>
      </w:r>
      <w:r>
        <w:rPr>
          <w:rFonts w:hint="eastAsia" w:cs="MS Mincho" w:asciiTheme="minorEastAsia" w:hAnsiTheme="minorEastAsia"/>
          <w:color w:val="000000" w:themeColor="text1"/>
          <w:kern w:val="0"/>
          <w:szCs w:val="21"/>
          <w14:textFill>
            <w14:solidFill>
              <w14:schemeClr w14:val="tx1"/>
            </w14:solidFill>
          </w14:textFill>
        </w:rPr>
        <w:t>式吊</w:t>
      </w:r>
      <w:r>
        <w:rPr>
          <w:rFonts w:hint="eastAsia" w:cs="宋体" w:asciiTheme="minorEastAsia" w:hAnsiTheme="minorEastAsia"/>
          <w:color w:val="000000" w:themeColor="text1"/>
          <w:kern w:val="0"/>
          <w:szCs w:val="21"/>
          <w14:textFill>
            <w14:solidFill>
              <w14:schemeClr w14:val="tx1"/>
            </w14:solidFill>
          </w14:textFill>
        </w:rPr>
        <w:t>车桥</w:t>
      </w:r>
      <w:r>
        <w:rPr>
          <w:rFonts w:hint="eastAsia" w:cs="MS Mincho" w:asciiTheme="minorEastAsia" w:hAnsiTheme="minorEastAsia"/>
          <w:color w:val="000000" w:themeColor="text1"/>
          <w:kern w:val="0"/>
          <w:szCs w:val="21"/>
          <w14:textFill>
            <w14:solidFill>
              <w14:schemeClr w14:val="tx1"/>
            </w14:solidFill>
          </w14:textFill>
        </w:rPr>
        <w:t>架</w:t>
      </w:r>
      <w:r>
        <w:rPr>
          <w:rFonts w:hint="eastAsia" w:cs="宋体" w:asciiTheme="minorEastAsia" w:hAnsiTheme="minorEastAsia"/>
          <w:color w:val="000000" w:themeColor="text1"/>
          <w:kern w:val="0"/>
          <w:szCs w:val="21"/>
          <w14:textFill>
            <w14:solidFill>
              <w14:schemeClr w14:val="tx1"/>
            </w14:solidFill>
          </w14:textFill>
        </w:rPr>
        <w:t>质</w:t>
      </w:r>
      <w:r>
        <w:rPr>
          <w:rFonts w:hint="eastAsia" w:cs="MS Mincho" w:asciiTheme="minorEastAsia" w:hAnsiTheme="minorEastAsia"/>
          <w:color w:val="000000" w:themeColor="text1"/>
          <w:kern w:val="0"/>
          <w:szCs w:val="21"/>
          <w14:textFill>
            <w14:solidFill>
              <w14:schemeClr w14:val="tx1"/>
            </w14:solidFill>
          </w14:textFill>
        </w:rPr>
        <w:t>量引起的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向水平</w:t>
      </w:r>
      <w:r>
        <w:rPr>
          <w:rFonts w:hint="eastAsia" w:cs="HiddenHorzOCR" w:asciiTheme="minorEastAsia" w:hAnsiTheme="minorEastAsia"/>
          <w:color w:val="000000" w:themeColor="text1"/>
          <w:kern w:val="0"/>
          <w:szCs w:val="21"/>
          <w14:textFill>
            <w14:solidFill>
              <w14:schemeClr w14:val="tx1"/>
            </w14:solidFill>
          </w14:textFill>
        </w:rPr>
        <w:t>地震作用（以及吊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向水平荷</w:t>
      </w:r>
      <w:r>
        <w:rPr>
          <w:rFonts w:hint="eastAsia" w:cs="宋体" w:asciiTheme="minorEastAsia" w:hAnsiTheme="minorEastAsia"/>
          <w:color w:val="000000" w:themeColor="text1"/>
          <w:kern w:val="0"/>
          <w:szCs w:val="21"/>
          <w14:textFill>
            <w14:solidFill>
              <w14:schemeClr w14:val="tx1"/>
            </w14:solidFill>
          </w14:textFill>
        </w:rPr>
        <w:t>载</w:t>
      </w:r>
      <w:r>
        <w:rPr>
          <w:rFonts w:hint="eastAsia" w:cs="HiddenHorzOCR" w:asciiTheme="minorEastAsia" w:hAnsiTheme="minorEastAsia"/>
          <w:color w:val="000000" w:themeColor="text1"/>
          <w:kern w:val="0"/>
          <w:szCs w:val="21"/>
          <w14:textFill>
            <w14:solidFill>
              <w14:schemeClr w14:val="tx1"/>
            </w14:solidFill>
          </w14:textFill>
        </w:rPr>
        <w:t>）能直接</w:t>
      </w:r>
      <w:r>
        <w:rPr>
          <w:rFonts w:hint="eastAsia" w:cs="宋体" w:asciiTheme="minorEastAsia" w:hAnsiTheme="minorEastAsia"/>
          <w:color w:val="000000" w:themeColor="text1"/>
          <w:kern w:val="0"/>
          <w:szCs w:val="21"/>
          <w14:textFill>
            <w14:solidFill>
              <w14:schemeClr w14:val="tx1"/>
            </w14:solidFill>
          </w14:textFill>
        </w:rPr>
        <w:t>传给</w:t>
      </w:r>
      <w:r>
        <w:rPr>
          <w:rFonts w:hint="eastAsia" w:cs="MS Mincho"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支撑杆件的</w:t>
      </w:r>
      <w:r>
        <w:rPr>
          <w:rFonts w:hint="eastAsia" w:cs="宋体" w:asciiTheme="minorEastAsia" w:hAnsiTheme="minorEastAsia"/>
          <w:color w:val="000000" w:themeColor="text1"/>
          <w:kern w:val="0"/>
          <w:szCs w:val="21"/>
          <w14:textFill>
            <w14:solidFill>
              <w14:schemeClr w14:val="tx1"/>
            </w14:solidFill>
          </w14:textFill>
        </w:rPr>
        <w:t>长细</w:t>
      </w:r>
      <w:r>
        <w:rPr>
          <w:rFonts w:hint="eastAsia" w:cs="MS Mincho" w:asciiTheme="minorEastAsia" w:hAnsiTheme="minorEastAsia"/>
          <w:color w:val="000000" w:themeColor="text1"/>
          <w:kern w:val="0"/>
          <w:szCs w:val="21"/>
          <w14:textFill>
            <w14:solidFill>
              <w14:schemeClr w14:val="tx1"/>
            </w14:solidFill>
          </w14:textFill>
        </w:rPr>
        <w:t>比，不宜超</w:t>
      </w:r>
      <w:r>
        <w:rPr>
          <w:rFonts w:hint="eastAsia" w:cs="宋体" w:asciiTheme="minorEastAsia" w:hAnsiTheme="minorEastAsia"/>
          <w:color w:val="000000" w:themeColor="text1"/>
          <w:kern w:val="0"/>
          <w:szCs w:val="21"/>
          <w14:textFill>
            <w14:solidFill>
              <w14:schemeClr w14:val="tx1"/>
            </w14:solidFill>
          </w14:textFill>
        </w:rPr>
        <w:t>过</w:t>
      </w:r>
      <w:r>
        <w:rPr>
          <w:rFonts w:hint="eastAsia" w:cs="MS Mincho" w:asciiTheme="minorEastAsia" w:hAnsiTheme="minorEastAsia"/>
          <w:color w:val="000000" w:themeColor="text1"/>
          <w:kern w:val="0"/>
          <w:szCs w:val="21"/>
          <w14:textFill>
            <w14:solidFill>
              <w14:schemeClr w14:val="tx1"/>
            </w14:solidFill>
          </w14:textFill>
        </w:rPr>
        <w:t>表</w:t>
      </w:r>
      <w:r>
        <w:rPr>
          <w:rFonts w:hint="eastAsia" w:cs="HiddenHorzOCR" w:asciiTheme="minorEastAsia" w:hAnsiTheme="minorEastAsia"/>
          <w:color w:val="000000" w:themeColor="text1"/>
          <w:kern w:val="0"/>
          <w:szCs w:val="21"/>
          <w14:textFill>
            <w14:solidFill>
              <w14:schemeClr w14:val="tx1"/>
            </w14:solidFill>
          </w14:textFill>
        </w:rPr>
        <w:t>7.4.2-1的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 xml:space="preserve"> </w:t>
      </w:r>
      <w:r>
        <w:rPr>
          <w:rFonts w:cs="MS Mincho"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表7.4.2-1</w:t>
      </w:r>
      <w:r>
        <w:rPr>
          <w:rFonts w:cs="MS Mincho"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支撑杆件长细比</w:t>
      </w:r>
    </w:p>
    <w:tbl>
      <w:tblPr>
        <w:tblStyle w:val="131"/>
        <w:tblW w:w="39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1400"/>
        <w:gridCol w:w="1383"/>
        <w:gridCol w:w="1383"/>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pct"/>
            <w:vMerge w:val="restart"/>
            <w:tcBorders>
              <w:top w:val="single" w:color="auto" w:sz="8" w:space="0"/>
              <w:lef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位  置</w:t>
            </w:r>
          </w:p>
        </w:tc>
        <w:tc>
          <w:tcPr>
            <w:tcW w:w="3813" w:type="pct"/>
            <w:gridSpan w:val="4"/>
            <w:tcBorders>
              <w:top w:val="single" w:color="auto" w:sz="8" w:space="0"/>
              <w:righ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烈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pct"/>
            <w:vMerge w:val="continue"/>
            <w:tcBorders>
              <w:lef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p>
        </w:tc>
        <w:tc>
          <w:tcPr>
            <w:tcW w:w="962"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6度</w:t>
            </w:r>
          </w:p>
        </w:tc>
        <w:tc>
          <w:tcPr>
            <w:tcW w:w="950"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7度</w:t>
            </w:r>
          </w:p>
        </w:tc>
        <w:tc>
          <w:tcPr>
            <w:tcW w:w="950"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8度</w:t>
            </w:r>
          </w:p>
        </w:tc>
        <w:tc>
          <w:tcPr>
            <w:tcW w:w="950" w:type="pct"/>
            <w:tcBorders>
              <w:righ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9度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pct"/>
            <w:tcBorders>
              <w:lef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上柱支撑</w:t>
            </w:r>
          </w:p>
        </w:tc>
        <w:tc>
          <w:tcPr>
            <w:tcW w:w="962"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2</w:t>
            </w:r>
            <w:r>
              <w:rPr>
                <w:rFonts w:cs="MS Mincho"/>
                <w:color w:val="000000" w:themeColor="text1"/>
                <w:kern w:val="0"/>
                <w:sz w:val="18"/>
                <w14:textFill>
                  <w14:solidFill>
                    <w14:schemeClr w14:val="tx1"/>
                  </w14:solidFill>
                </w14:textFill>
              </w:rPr>
              <w:t>50</w:t>
            </w:r>
          </w:p>
        </w:tc>
        <w:tc>
          <w:tcPr>
            <w:tcW w:w="950"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2</w:t>
            </w:r>
            <w:r>
              <w:rPr>
                <w:rFonts w:cs="MS Mincho"/>
                <w:color w:val="000000" w:themeColor="text1"/>
                <w:kern w:val="0"/>
                <w:sz w:val="18"/>
                <w14:textFill>
                  <w14:solidFill>
                    <w14:schemeClr w14:val="tx1"/>
                  </w14:solidFill>
                </w14:textFill>
              </w:rPr>
              <w:t>50</w:t>
            </w:r>
          </w:p>
        </w:tc>
        <w:tc>
          <w:tcPr>
            <w:tcW w:w="950"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2</w:t>
            </w:r>
            <w:r>
              <w:rPr>
                <w:rFonts w:cs="MS Mincho"/>
                <w:color w:val="000000" w:themeColor="text1"/>
                <w:kern w:val="0"/>
                <w:sz w:val="18"/>
                <w14:textFill>
                  <w14:solidFill>
                    <w14:schemeClr w14:val="tx1"/>
                  </w14:solidFill>
                </w14:textFill>
              </w:rPr>
              <w:t>00</w:t>
            </w:r>
          </w:p>
        </w:tc>
        <w:tc>
          <w:tcPr>
            <w:tcW w:w="950" w:type="pct"/>
            <w:tcBorders>
              <w:righ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1</w:t>
            </w:r>
            <w:r>
              <w:rPr>
                <w:rFonts w:cs="MS Mincho"/>
                <w:color w:val="000000" w:themeColor="text1"/>
                <w:kern w:val="0"/>
                <w:sz w:val="18"/>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pct"/>
            <w:tcBorders>
              <w:lef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下柱支撑</w:t>
            </w:r>
          </w:p>
        </w:tc>
        <w:tc>
          <w:tcPr>
            <w:tcW w:w="962"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2</w:t>
            </w:r>
            <w:r>
              <w:rPr>
                <w:rFonts w:cs="MS Mincho"/>
                <w:color w:val="000000" w:themeColor="text1"/>
                <w:kern w:val="0"/>
                <w:sz w:val="18"/>
                <w14:textFill>
                  <w14:solidFill>
                    <w14:schemeClr w14:val="tx1"/>
                  </w14:solidFill>
                </w14:textFill>
              </w:rPr>
              <w:t>00</w:t>
            </w:r>
          </w:p>
        </w:tc>
        <w:tc>
          <w:tcPr>
            <w:tcW w:w="950"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2</w:t>
            </w:r>
            <w:r>
              <w:rPr>
                <w:rFonts w:cs="MS Mincho"/>
                <w:color w:val="000000" w:themeColor="text1"/>
                <w:kern w:val="0"/>
                <w:sz w:val="18"/>
                <w14:textFill>
                  <w14:solidFill>
                    <w14:schemeClr w14:val="tx1"/>
                  </w14:solidFill>
                </w14:textFill>
              </w:rPr>
              <w:t>00</w:t>
            </w:r>
          </w:p>
        </w:tc>
        <w:tc>
          <w:tcPr>
            <w:tcW w:w="950" w:type="pct"/>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1</w:t>
            </w:r>
            <w:r>
              <w:rPr>
                <w:rFonts w:cs="MS Mincho"/>
                <w:color w:val="000000" w:themeColor="text1"/>
                <w:kern w:val="0"/>
                <w:sz w:val="18"/>
                <w14:textFill>
                  <w14:solidFill>
                    <w14:schemeClr w14:val="tx1"/>
                  </w14:solidFill>
                </w14:textFill>
              </w:rPr>
              <w:t>50</w:t>
            </w:r>
          </w:p>
        </w:tc>
        <w:tc>
          <w:tcPr>
            <w:tcW w:w="950" w:type="pct"/>
            <w:tcBorders>
              <w:righ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1</w:t>
            </w:r>
            <w:r>
              <w:rPr>
                <w:rFonts w:cs="MS Mincho"/>
                <w:color w:val="000000" w:themeColor="text1"/>
                <w:kern w:val="0"/>
                <w:sz w:val="18"/>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pct"/>
            <w:tcBorders>
              <w:left w:val="single" w:color="auto" w:sz="8" w:space="0"/>
              <w:bottom w:val="single" w:color="auto" w:sz="4"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屋盖垂直支撑</w:t>
            </w:r>
          </w:p>
        </w:tc>
        <w:tc>
          <w:tcPr>
            <w:tcW w:w="962" w:type="pct"/>
            <w:tcBorders>
              <w:bottom w:val="single" w:color="auto" w:sz="4"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3</w:t>
            </w:r>
            <w:r>
              <w:rPr>
                <w:rFonts w:cs="MS Mincho"/>
                <w:color w:val="000000" w:themeColor="text1"/>
                <w:kern w:val="0"/>
                <w:sz w:val="18"/>
                <w14:textFill>
                  <w14:solidFill>
                    <w14:schemeClr w14:val="tx1"/>
                  </w14:solidFill>
                </w14:textFill>
              </w:rPr>
              <w:t>50</w:t>
            </w:r>
          </w:p>
        </w:tc>
        <w:tc>
          <w:tcPr>
            <w:tcW w:w="950" w:type="pct"/>
            <w:tcBorders>
              <w:bottom w:val="single" w:color="auto" w:sz="4"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3</w:t>
            </w:r>
            <w:r>
              <w:rPr>
                <w:rFonts w:cs="MS Mincho"/>
                <w:color w:val="000000" w:themeColor="text1"/>
                <w:kern w:val="0"/>
                <w:sz w:val="18"/>
                <w14:textFill>
                  <w14:solidFill>
                    <w14:schemeClr w14:val="tx1"/>
                  </w14:solidFill>
                </w14:textFill>
              </w:rPr>
              <w:t>00</w:t>
            </w:r>
          </w:p>
        </w:tc>
        <w:tc>
          <w:tcPr>
            <w:tcW w:w="950" w:type="pct"/>
            <w:tcBorders>
              <w:bottom w:val="single" w:color="auto" w:sz="4"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2</w:t>
            </w:r>
            <w:r>
              <w:rPr>
                <w:rFonts w:cs="MS Mincho"/>
                <w:color w:val="000000" w:themeColor="text1"/>
                <w:kern w:val="0"/>
                <w:sz w:val="18"/>
                <w14:textFill>
                  <w14:solidFill>
                    <w14:schemeClr w14:val="tx1"/>
                  </w14:solidFill>
                </w14:textFill>
              </w:rPr>
              <w:t>50</w:t>
            </w:r>
          </w:p>
        </w:tc>
        <w:tc>
          <w:tcPr>
            <w:tcW w:w="950" w:type="pct"/>
            <w:tcBorders>
              <w:bottom w:val="single" w:color="auto" w:sz="4" w:space="0"/>
              <w:righ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2</w:t>
            </w:r>
            <w:r>
              <w:rPr>
                <w:rFonts w:cs="MS Mincho"/>
                <w:color w:val="000000" w:themeColor="text1"/>
                <w:kern w:val="0"/>
                <w:sz w:val="18"/>
                <w14:textFill>
                  <w14:solidFill>
                    <w14:schemeClr w14:val="tx1"/>
                  </w14:solidFill>
                </w14:textFill>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pct"/>
            <w:tcBorders>
              <w:left w:val="single" w:color="auto" w:sz="8" w:space="0"/>
              <w:bottom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屋盖横向支撑</w:t>
            </w:r>
          </w:p>
        </w:tc>
        <w:tc>
          <w:tcPr>
            <w:tcW w:w="962" w:type="pct"/>
            <w:tcBorders>
              <w:bottom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4</w:t>
            </w:r>
            <w:r>
              <w:rPr>
                <w:rFonts w:cs="MS Mincho"/>
                <w:color w:val="000000" w:themeColor="text1"/>
                <w:kern w:val="0"/>
                <w:sz w:val="18"/>
                <w14:textFill>
                  <w14:solidFill>
                    <w14:schemeClr w14:val="tx1"/>
                  </w14:solidFill>
                </w14:textFill>
              </w:rPr>
              <w:t>00</w:t>
            </w:r>
          </w:p>
        </w:tc>
        <w:tc>
          <w:tcPr>
            <w:tcW w:w="950" w:type="pct"/>
            <w:tcBorders>
              <w:bottom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3</w:t>
            </w:r>
            <w:r>
              <w:rPr>
                <w:rFonts w:cs="MS Mincho"/>
                <w:color w:val="000000" w:themeColor="text1"/>
                <w:kern w:val="0"/>
                <w:sz w:val="18"/>
                <w14:textFill>
                  <w14:solidFill>
                    <w14:schemeClr w14:val="tx1"/>
                  </w14:solidFill>
                </w14:textFill>
              </w:rPr>
              <w:t>50</w:t>
            </w:r>
          </w:p>
        </w:tc>
        <w:tc>
          <w:tcPr>
            <w:tcW w:w="950" w:type="pct"/>
            <w:tcBorders>
              <w:bottom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3</w:t>
            </w:r>
            <w:r>
              <w:rPr>
                <w:rFonts w:cs="MS Mincho"/>
                <w:color w:val="000000" w:themeColor="text1"/>
                <w:kern w:val="0"/>
                <w:sz w:val="18"/>
                <w14:textFill>
                  <w14:solidFill>
                    <w14:schemeClr w14:val="tx1"/>
                  </w14:solidFill>
                </w14:textFill>
              </w:rPr>
              <w:t>00</w:t>
            </w:r>
          </w:p>
        </w:tc>
        <w:tc>
          <w:tcPr>
            <w:tcW w:w="950" w:type="pct"/>
            <w:tcBorders>
              <w:bottom w:val="single" w:color="auto" w:sz="8" w:space="0"/>
              <w:right w:val="single" w:color="auto" w:sz="8" w:space="0"/>
            </w:tcBorders>
            <w:vAlign w:val="center"/>
          </w:tcPr>
          <w:p>
            <w:pPr>
              <w:spacing w:line="312" w:lineRule="auto"/>
              <w:ind w:firstLine="0" w:firstLineChars="0"/>
              <w:jc w:val="center"/>
              <w:rPr>
                <w:rFonts w:cs="MS Mincho"/>
                <w:color w:val="000000" w:themeColor="text1"/>
                <w:kern w:val="0"/>
                <w:sz w:val="18"/>
                <w14:textFill>
                  <w14:solidFill>
                    <w14:schemeClr w14:val="tx1"/>
                  </w14:solidFill>
                </w14:textFill>
              </w:rPr>
            </w:pPr>
            <w:r>
              <w:rPr>
                <w:rFonts w:hint="eastAsia" w:cs="MS Mincho"/>
                <w:color w:val="000000" w:themeColor="text1"/>
                <w:kern w:val="0"/>
                <w:sz w:val="18"/>
                <w14:textFill>
                  <w14:solidFill>
                    <w14:schemeClr w14:val="tx1"/>
                  </w14:solidFill>
                </w14:textFill>
              </w:rPr>
              <w:t>3</w:t>
            </w:r>
            <w:r>
              <w:rPr>
                <w:rFonts w:cs="MS Mincho"/>
                <w:color w:val="000000" w:themeColor="text1"/>
                <w:kern w:val="0"/>
                <w:sz w:val="18"/>
                <w14:textFill>
                  <w14:solidFill>
                    <w14:schemeClr w14:val="tx1"/>
                  </w14:solidFill>
                </w14:textFill>
              </w:rPr>
              <w:t>00</w:t>
            </w:r>
          </w:p>
        </w:tc>
      </w:tr>
    </w:tbl>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09" w:firstLineChars="195"/>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4 </w:t>
      </w:r>
      <w:r>
        <w:rPr>
          <w:rFonts w:hint="eastAsia" w:cs="HiddenHorzOCR" w:asciiTheme="minorEastAsia" w:hAnsiTheme="minorEastAsia"/>
          <w:color w:val="000000" w:themeColor="text1"/>
          <w:kern w:val="0"/>
          <w:szCs w:val="21"/>
          <w14:textFill>
            <w14:solidFill>
              <w14:schemeClr w14:val="tx1"/>
            </w14:solidFill>
          </w14:textFill>
        </w:rPr>
        <w:t>下柱支撑的下</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点位置和构造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，支撑下</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点可</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在</w:t>
      </w:r>
      <w:r>
        <w:rPr>
          <w:rFonts w:hint="eastAsia" w:cs="宋体" w:asciiTheme="minorEastAsia" w:hAnsiTheme="minorEastAsia"/>
          <w:color w:val="000000" w:themeColor="text1"/>
          <w:kern w:val="0"/>
          <w:szCs w:val="21"/>
          <w14:textFill>
            <w14:solidFill>
              <w14:schemeClr w14:val="tx1"/>
            </w14:solidFill>
          </w14:textFill>
        </w:rPr>
        <w:t>紧</w:t>
      </w:r>
      <w:r>
        <w:rPr>
          <w:rFonts w:hint="eastAsia" w:cs="MS Mincho" w:asciiTheme="minorEastAsia" w:hAnsiTheme="minorEastAsia"/>
          <w:color w:val="000000" w:themeColor="text1"/>
          <w:kern w:val="0"/>
          <w:szCs w:val="21"/>
          <w14:textFill>
            <w14:solidFill>
              <w14:schemeClr w14:val="tx1"/>
            </w14:solidFill>
          </w14:textFill>
        </w:rPr>
        <w:t>靠室内</w:t>
      </w:r>
      <w:r>
        <w:rPr>
          <w:rFonts w:hint="eastAsia" w:cs="HiddenHorzOCR" w:asciiTheme="minorEastAsia" w:hAnsiTheme="minorEastAsia"/>
          <w:color w:val="000000" w:themeColor="text1"/>
          <w:kern w:val="0"/>
          <w:szCs w:val="21"/>
          <w14:textFill>
            <w14:solidFill>
              <w14:schemeClr w14:val="tx1"/>
            </w14:solidFill>
          </w14:textFill>
        </w:rPr>
        <w:t>地坪面</w:t>
      </w:r>
      <w:r>
        <w:rPr>
          <w:rFonts w:hint="eastAsia" w:cs="宋体" w:asciiTheme="minorEastAsia" w:hAnsiTheme="minorEastAsia"/>
          <w:color w:val="000000" w:themeColor="text1"/>
          <w:kern w:val="0"/>
          <w:szCs w:val="21"/>
          <w14:textFill>
            <w14:solidFill>
              <w14:schemeClr w14:val="tx1"/>
            </w14:solidFill>
          </w14:textFill>
        </w:rPr>
        <w:t>标</w:t>
      </w:r>
      <w:r>
        <w:rPr>
          <w:rFonts w:hint="eastAsia" w:cs="MS Mincho" w:asciiTheme="minorEastAsia" w:hAnsiTheme="minorEastAsia"/>
          <w:color w:val="000000" w:themeColor="text1"/>
          <w:kern w:val="0"/>
          <w:szCs w:val="21"/>
          <w14:textFill>
            <w14:solidFill>
              <w14:schemeClr w14:val="tx1"/>
            </w14:solidFill>
          </w14:textFill>
        </w:rPr>
        <w:t>高</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的柱子上，但此</w:t>
      </w:r>
      <w:r>
        <w:rPr>
          <w:rFonts w:hint="eastAsia" w:cs="宋体" w:asciiTheme="minorEastAsia" w:hAnsiTheme="minorEastAsia"/>
          <w:color w:val="000000" w:themeColor="text1"/>
          <w:kern w:val="0"/>
          <w:szCs w:val="21"/>
          <w14:textFill>
            <w14:solidFill>
              <w14:schemeClr w14:val="tx1"/>
            </w14:solidFill>
          </w14:textFill>
        </w:rPr>
        <w:t>时应</w:t>
      </w:r>
      <w:r>
        <w:rPr>
          <w:rFonts w:hint="eastAsia" w:cs="MS Mincho" w:asciiTheme="minorEastAsia" w:hAnsiTheme="minorEastAsia"/>
          <w:color w:val="000000" w:themeColor="text1"/>
          <w:kern w:val="0"/>
          <w:szCs w:val="21"/>
          <w14:textFill>
            <w14:solidFill>
              <w14:schemeClr w14:val="tx1"/>
            </w14:solidFill>
          </w14:textFill>
        </w:rPr>
        <w:t>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支撑内力</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柱与基</w:t>
      </w:r>
      <w:r>
        <w:rPr>
          <w:rFonts w:hint="eastAsia" w:cs="宋体" w:asciiTheme="minorEastAsia" w:hAnsiTheme="minorEastAsia"/>
          <w:color w:val="000000" w:themeColor="text1"/>
          <w:kern w:val="0"/>
          <w:szCs w:val="21"/>
          <w14:textFill>
            <w14:solidFill>
              <w14:schemeClr w14:val="tx1"/>
            </w14:solidFill>
          </w14:textFill>
        </w:rPr>
        <w:t>础</w:t>
      </w:r>
      <w:r>
        <w:rPr>
          <w:rFonts w:hint="eastAsia" w:cs="MS Mincho" w:asciiTheme="minorEastAsia" w:hAnsiTheme="minorEastAsia"/>
          <w:color w:val="000000" w:themeColor="text1"/>
          <w:kern w:val="0"/>
          <w:szCs w:val="21"/>
          <w14:textFill>
            <w14:solidFill>
              <w14:schemeClr w14:val="tx1"/>
            </w14:solidFill>
          </w14:textFill>
        </w:rPr>
        <w:t>的不</w:t>
      </w:r>
      <w:r>
        <w:rPr>
          <w:rFonts w:hint="eastAsia" w:cs="HiddenHorzOCR" w:asciiTheme="minorEastAsia" w:hAnsiTheme="minorEastAsia"/>
          <w:color w:val="000000" w:themeColor="text1"/>
          <w:kern w:val="0"/>
          <w:szCs w:val="21"/>
          <w14:textFill>
            <w14:solidFill>
              <w14:schemeClr w14:val="tx1"/>
            </w14:solidFill>
          </w14:textFill>
        </w:rPr>
        <w:t>利影响；</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 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8度Ⅰ、Ⅱ</w:t>
      </w:r>
      <w:r>
        <w:rPr>
          <w:rFonts w:hint="eastAsia" w:cs="宋体" w:asciiTheme="minorEastAsia" w:hAnsiTheme="minorEastAsia"/>
          <w:color w:val="000000" w:themeColor="text1"/>
          <w:kern w:val="0"/>
          <w:szCs w:val="21"/>
          <w14:textFill>
            <w14:solidFill>
              <w14:schemeClr w14:val="tx1"/>
            </w14:solidFill>
          </w14:textFill>
        </w:rPr>
        <w:t>类场</w:t>
      </w:r>
      <w:r>
        <w:rPr>
          <w:rFonts w:hint="eastAsia" w:cs="MS Mincho" w:asciiTheme="minorEastAsia" w:hAnsiTheme="minorEastAsia"/>
          <w:color w:val="000000" w:themeColor="text1"/>
          <w:kern w:val="0"/>
          <w:szCs w:val="21"/>
          <w14:textFill>
            <w14:solidFill>
              <w14:schemeClr w14:val="tx1"/>
            </w14:solidFill>
          </w14:textFill>
        </w:rPr>
        <w:t>地，支撑下</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点宜</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置在靠近基</w:t>
      </w:r>
      <w:r>
        <w:rPr>
          <w:rFonts w:hint="eastAsia" w:cs="宋体" w:asciiTheme="minorEastAsia" w:hAnsiTheme="minorEastAsia"/>
          <w:color w:val="000000" w:themeColor="text1"/>
          <w:kern w:val="0"/>
          <w:szCs w:val="21"/>
          <w14:textFill>
            <w14:solidFill>
              <w14:schemeClr w14:val="tx1"/>
            </w14:solidFill>
          </w14:textFill>
        </w:rPr>
        <w:t>础顶</w:t>
      </w:r>
      <w:r>
        <w:rPr>
          <w:rFonts w:hint="eastAsia" w:cs="MS Mincho" w:asciiTheme="minorEastAsia" w:hAnsiTheme="minorEastAsia"/>
          <w:color w:val="000000" w:themeColor="text1"/>
          <w:kern w:val="0"/>
          <w:szCs w:val="21"/>
          <w14:textFill>
            <w14:solidFill>
              <w14:schemeClr w14:val="tx1"/>
            </w14:solidFill>
          </w14:textFill>
        </w:rPr>
        <w:t>面</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，且宜在支撑下</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增</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柱底水平系杆</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（3）烈度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8度Ⅲ、Ⅳ</w:t>
      </w:r>
      <w:r>
        <w:rPr>
          <w:rFonts w:hint="eastAsia" w:cs="宋体" w:asciiTheme="minorEastAsia" w:hAnsiTheme="minorEastAsia"/>
          <w:color w:val="000000" w:themeColor="text1"/>
          <w:kern w:val="0"/>
          <w:szCs w:val="21"/>
          <w14:textFill>
            <w14:solidFill>
              <w14:schemeClr w14:val="tx1"/>
            </w14:solidFill>
          </w14:textFill>
        </w:rPr>
        <w:t>类场</w:t>
      </w:r>
      <w:r>
        <w:rPr>
          <w:rFonts w:hint="eastAsia" w:cs="MS Mincho" w:asciiTheme="minorEastAsia" w:hAnsiTheme="minorEastAsia"/>
          <w:color w:val="000000" w:themeColor="text1"/>
          <w:kern w:val="0"/>
          <w:szCs w:val="21"/>
          <w14:textFill>
            <w14:solidFill>
              <w14:schemeClr w14:val="tx1"/>
            </w14:solidFill>
          </w14:textFill>
        </w:rPr>
        <w:t>地和烈度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，支撑下</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应设</w:t>
      </w:r>
      <w:r>
        <w:rPr>
          <w:rFonts w:hint="eastAsia" w:cs="MS Mincho" w:asciiTheme="minorEastAsia" w:hAnsiTheme="minorEastAsia"/>
          <w:color w:val="000000" w:themeColor="text1"/>
          <w:kern w:val="0"/>
          <w:szCs w:val="21"/>
          <w14:textFill>
            <w14:solidFill>
              <w14:schemeClr w14:val="tx1"/>
            </w14:solidFill>
          </w14:textFill>
        </w:rPr>
        <w:t>在基</w:t>
      </w:r>
      <w:r>
        <w:rPr>
          <w:rFonts w:hint="eastAsia" w:cs="宋体" w:asciiTheme="minorEastAsia" w:hAnsiTheme="minorEastAsia"/>
          <w:color w:val="000000" w:themeColor="text1"/>
          <w:kern w:val="0"/>
          <w:szCs w:val="21"/>
          <w14:textFill>
            <w14:solidFill>
              <w14:schemeClr w14:val="tx1"/>
            </w14:solidFill>
          </w14:textFill>
        </w:rPr>
        <w:t>础</w:t>
      </w:r>
      <w:r>
        <w:rPr>
          <w:rFonts w:hint="eastAsia" w:cs="MS Mincho" w:asciiTheme="minorEastAsia" w:hAnsiTheme="minorEastAsia"/>
          <w:color w:val="000000" w:themeColor="text1"/>
          <w:kern w:val="0"/>
          <w:szCs w:val="21"/>
          <w14:textFill>
            <w14:solidFill>
              <w14:schemeClr w14:val="tx1"/>
            </w14:solidFill>
          </w14:textFill>
        </w:rPr>
        <w:t>上，或者</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在</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接两个基</w:t>
      </w:r>
      <w:r>
        <w:rPr>
          <w:rFonts w:hint="eastAsia" w:cs="宋体" w:asciiTheme="minorEastAsia" w:hAnsiTheme="minorEastAsia"/>
          <w:color w:val="000000" w:themeColor="text1"/>
          <w:kern w:val="0"/>
          <w:szCs w:val="21"/>
          <w14:textFill>
            <w14:solidFill>
              <w14:schemeClr w14:val="tx1"/>
            </w14:solidFill>
          </w14:textFill>
        </w:rPr>
        <w:t>础</w:t>
      </w:r>
      <w:r>
        <w:rPr>
          <w:rFonts w:hint="eastAsia" w:cs="MS Mincho" w:asciiTheme="minorEastAsia" w:hAnsiTheme="minorEastAsia"/>
          <w:color w:val="000000" w:themeColor="text1"/>
          <w:kern w:val="0"/>
          <w:szCs w:val="21"/>
          <w14:textFill>
            <w14:solidFill>
              <w14:schemeClr w14:val="tx1"/>
            </w14:solidFill>
          </w14:textFill>
        </w:rPr>
        <w:t>的基</w:t>
      </w:r>
      <w:r>
        <w:rPr>
          <w:rFonts w:hint="eastAsia" w:cs="宋体" w:asciiTheme="minorEastAsia" w:hAnsiTheme="minorEastAsia"/>
          <w:color w:val="000000" w:themeColor="text1"/>
          <w:kern w:val="0"/>
          <w:szCs w:val="21"/>
          <w14:textFill>
            <w14:solidFill>
              <w14:schemeClr w14:val="tx1"/>
            </w14:solidFill>
          </w14:textFill>
        </w:rPr>
        <w:t>础</w:t>
      </w:r>
      <w:r>
        <w:rPr>
          <w:rFonts w:hint="eastAsia" w:cs="MS Mincho" w:asciiTheme="minorEastAsia" w:hAnsiTheme="minorEastAsia"/>
          <w:color w:val="000000" w:themeColor="text1"/>
          <w:kern w:val="0"/>
          <w:szCs w:val="21"/>
          <w14:textFill>
            <w14:solidFill>
              <w14:schemeClr w14:val="tx1"/>
            </w14:solidFill>
          </w14:textFill>
        </w:rPr>
        <w:t>梁上。</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5 </w:t>
      </w:r>
      <w:r>
        <w:rPr>
          <w:rFonts w:hint="eastAsia" w:cs="HiddenHorzOCR" w:asciiTheme="minorEastAsia" w:hAnsiTheme="minorEastAsia"/>
          <w:color w:val="000000" w:themeColor="text1"/>
          <w:kern w:val="0"/>
          <w:szCs w:val="21"/>
          <w14:textFill>
            <w14:solidFill>
              <w14:schemeClr w14:val="tx1"/>
            </w14:solidFill>
          </w14:textFill>
        </w:rPr>
        <w:t>交叉支撑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杆件和</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接的构造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符合本</w:t>
      </w:r>
      <w:r>
        <w:rPr>
          <w:rFonts w:hint="eastAsia" w:cs="宋体" w:asciiTheme="minorEastAsia" w:hAnsiTheme="minorEastAsia"/>
          <w:color w:val="000000" w:themeColor="text1"/>
          <w:kern w:val="0"/>
          <w:szCs w:val="21"/>
          <w14:textFill>
            <w14:solidFill>
              <w14:schemeClr w14:val="tx1"/>
            </w14:solidFill>
          </w14:textFill>
        </w:rPr>
        <w:t>标准</w:t>
      </w:r>
      <w:r>
        <w:rPr>
          <w:rFonts w:hint="eastAsia" w:cs="MS Mincho" w:asciiTheme="minorEastAsia" w:hAnsiTheme="minorEastAsia"/>
          <w:color w:val="000000" w:themeColor="text1"/>
          <w:kern w:val="0"/>
          <w:szCs w:val="21"/>
          <w14:textFill>
            <w14:solidFill>
              <w14:schemeClr w14:val="tx1"/>
            </w14:solidFill>
          </w14:textFill>
        </w:rPr>
        <w:t>第</w:t>
      </w:r>
      <w:r>
        <w:rPr>
          <w:rFonts w:hint="eastAsia" w:cs="HiddenHorzOCR" w:asciiTheme="minorEastAsia" w:hAnsiTheme="minorEastAsia"/>
          <w:color w:val="000000" w:themeColor="text1"/>
          <w:kern w:val="0"/>
          <w:szCs w:val="21"/>
          <w14:textFill>
            <w14:solidFill>
              <w14:schemeClr w14:val="tx1"/>
            </w14:solidFill>
          </w14:textFill>
        </w:rPr>
        <w:t>10章</w:t>
      </w:r>
      <w:r>
        <w:rPr>
          <w:rFonts w:hint="eastAsia" w:cs="宋体" w:asciiTheme="minorEastAsia" w:hAnsiTheme="minorEastAsia"/>
          <w:color w:val="000000" w:themeColor="text1"/>
          <w:kern w:val="0"/>
          <w:szCs w:val="21"/>
          <w14:textFill>
            <w14:solidFill>
              <w14:schemeClr w14:val="tx1"/>
            </w14:solidFill>
          </w14:textFill>
        </w:rPr>
        <w:t>钢结</w:t>
      </w:r>
      <w:r>
        <w:rPr>
          <w:rFonts w:hint="eastAsia" w:cs="MS Mincho" w:asciiTheme="minorEastAsia" w:hAnsiTheme="minorEastAsia"/>
          <w:color w:val="000000" w:themeColor="text1"/>
          <w:kern w:val="0"/>
          <w:szCs w:val="21"/>
          <w14:textFill>
            <w14:solidFill>
              <w14:schemeClr w14:val="tx1"/>
            </w14:solidFill>
          </w14:textFill>
        </w:rPr>
        <w:t>构厂房</w:t>
      </w:r>
      <w:r>
        <w:rPr>
          <w:rFonts w:hint="eastAsia" w:cs="HiddenHorzOCR" w:asciiTheme="minorEastAsia" w:hAnsiTheme="minorEastAsia"/>
          <w:color w:val="000000" w:themeColor="text1"/>
          <w:kern w:val="0"/>
          <w:szCs w:val="21"/>
          <w14:textFill>
            <w14:solidFill>
              <w14:schemeClr w14:val="tx1"/>
            </w14:solidFill>
          </w14:textFill>
        </w:rPr>
        <w:t>的有关规定。</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7.4.3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支撑的</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及柱内</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件的承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支撑杆件的承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w:t>
      </w:r>
      <w:r>
        <w:rPr>
          <w:rFonts w:hint="eastAsia" w:cs="HiddenHorzOCR" w:asciiTheme="minorEastAsia" w:hAnsiTheme="minorEastAsia"/>
          <w:color w:val="000000" w:themeColor="text1"/>
          <w:kern w:val="0"/>
          <w:szCs w:val="21"/>
          <w14:textFill>
            <w14:solidFill>
              <w14:schemeClr w14:val="tx1"/>
            </w14:solidFill>
          </w14:textFill>
        </w:rPr>
        <w:t>一般情况可取杆件全截面抗拉</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设计值</w:t>
      </w:r>
      <w:r>
        <w:rPr>
          <w:rFonts w:hint="eastAsia" w:cs="MS Mincho"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支撑与柱</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件，烈度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8度Ⅲ、Ⅳ</w:t>
      </w:r>
      <w:r>
        <w:rPr>
          <w:rFonts w:hint="eastAsia" w:cs="宋体" w:asciiTheme="minorEastAsia" w:hAnsiTheme="minorEastAsia"/>
          <w:color w:val="000000" w:themeColor="text1"/>
          <w:kern w:val="0"/>
          <w:szCs w:val="21"/>
          <w14:textFill>
            <w14:solidFill>
              <w14:schemeClr w14:val="tx1"/>
            </w14:solidFill>
          </w14:textFill>
        </w:rPr>
        <w:t>类场</w:t>
      </w:r>
      <w:r>
        <w:rPr>
          <w:rFonts w:hint="eastAsia" w:cs="MS Mincho" w:asciiTheme="minorEastAsia" w:hAnsiTheme="minorEastAsia"/>
          <w:color w:val="000000" w:themeColor="text1"/>
          <w:kern w:val="0"/>
          <w:szCs w:val="21"/>
          <w14:textFill>
            <w14:solidFill>
              <w14:schemeClr w14:val="tx1"/>
            </w14:solidFill>
          </w14:textFill>
        </w:rPr>
        <w:t>地和烈度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加端板，其它情况可采用</w:t>
      </w:r>
      <w:r>
        <w:rPr>
          <w:rFonts w:hint="eastAsia" w:cs="HiddenHorzOCR" w:asciiTheme="minorEastAsia" w:hAnsiTheme="minorEastAsia"/>
          <w:color w:val="000000" w:themeColor="text1"/>
          <w:kern w:val="0"/>
          <w:szCs w:val="21"/>
          <w14:textFill>
            <w14:solidFill>
              <w14:schemeClr w14:val="tx1"/>
            </w14:solidFill>
          </w14:textFill>
        </w:rPr>
        <w:t>Ⅱ</w:t>
      </w:r>
      <w:r>
        <w:rPr>
          <w:rFonts w:hint="eastAsia" w:cs="宋体" w:asciiTheme="minorEastAsia" w:hAnsiTheme="minorEastAsia"/>
          <w:color w:val="000000" w:themeColor="text1"/>
          <w:kern w:val="0"/>
          <w:szCs w:val="21"/>
          <w14:textFill>
            <w14:solidFill>
              <w14:schemeClr w14:val="tx1"/>
            </w14:solidFill>
          </w14:textFill>
        </w:rPr>
        <w:t>级变</w:t>
      </w:r>
      <w:r>
        <w:rPr>
          <w:rFonts w:hint="eastAsia" w:cs="MS Mincho" w:asciiTheme="minorEastAsia" w:hAnsiTheme="minorEastAsia"/>
          <w:color w:val="000000" w:themeColor="text1"/>
          <w:kern w:val="0"/>
          <w:szCs w:val="21"/>
          <w14:textFill>
            <w14:solidFill>
              <w14:schemeClr w14:val="tx1"/>
            </w14:solidFill>
          </w14:textFill>
        </w:rPr>
        <w:t>形</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筋加端板。</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7.4.4 </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跨度不小于</w:t>
      </w:r>
      <w:r>
        <w:rPr>
          <w:rFonts w:hint="eastAsia" w:cs="HiddenHorzOCR" w:asciiTheme="minorEastAsia" w:hAnsiTheme="minorEastAsia"/>
          <w:color w:val="000000" w:themeColor="text1"/>
          <w:kern w:val="0"/>
          <w:szCs w:val="21"/>
          <w14:textFill>
            <w14:solidFill>
              <w14:schemeClr w14:val="tx1"/>
            </w14:solidFill>
          </w14:textFill>
        </w:rPr>
        <w:t>18m的多跨结构中柱和烈度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多跨结构各柱的柱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，以及高低跨柱的低跨牛腿</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，宜</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w:t>
      </w:r>
      <w:r>
        <w:rPr>
          <w:rFonts w:hint="eastAsia" w:cs="HiddenHorzOCR" w:asciiTheme="minorEastAsia" w:hAnsiTheme="minorEastAsia"/>
          <w:color w:val="000000" w:themeColor="text1"/>
          <w:kern w:val="0"/>
          <w:szCs w:val="21"/>
          <w14:textFill>
            <w14:solidFill>
              <w14:schemeClr w14:val="tx1"/>
            </w14:solidFill>
          </w14:textFill>
        </w:rPr>
        <w:t>通</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水平</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杆</w:t>
      </w:r>
      <w:r>
        <w:rPr>
          <w:rFonts w:hint="eastAsia" w:cs="HiddenHorzOCR" w:asciiTheme="minorEastAsia" w:hAnsiTheme="minorEastAsia"/>
          <w:color w:val="000000" w:themeColor="text1"/>
          <w:kern w:val="0"/>
          <w:szCs w:val="21"/>
          <w14:textFill>
            <w14:solidFill>
              <w14:schemeClr w14:val="tx1"/>
            </w14:solidFill>
          </w14:textFill>
        </w:rPr>
        <w:t>；当梯形屋架支座</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有通</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水平系杆，可用</w:t>
      </w:r>
      <w:r>
        <w:rPr>
          <w:rFonts w:hint="eastAsia" w:cs="宋体" w:asciiTheme="minorEastAsia" w:hAnsiTheme="minorEastAsia"/>
          <w:color w:val="000000" w:themeColor="text1"/>
          <w:kern w:val="0"/>
          <w:szCs w:val="21"/>
          <w14:textFill>
            <w14:solidFill>
              <w14:schemeClr w14:val="tx1"/>
            </w14:solidFill>
          </w14:textFill>
        </w:rPr>
        <w:t>该</w:t>
      </w:r>
      <w:r>
        <w:rPr>
          <w:rFonts w:hint="eastAsia" w:cs="HiddenHorzOCR" w:asciiTheme="minorEastAsia" w:hAnsiTheme="minorEastAsia"/>
          <w:color w:val="000000" w:themeColor="text1"/>
          <w:kern w:val="0"/>
          <w:szCs w:val="21"/>
          <w14:textFill>
            <w14:solidFill>
              <w14:schemeClr w14:val="tx1"/>
            </w14:solidFill>
          </w14:textFill>
        </w:rPr>
        <w:t>杆件代替</w:t>
      </w:r>
      <w:r>
        <w:rPr>
          <w:rFonts w:hint="eastAsia" w:cs="宋体" w:asciiTheme="minorEastAsia" w:hAnsiTheme="minorEastAsia"/>
          <w:color w:val="000000" w:themeColor="text1"/>
          <w:kern w:val="0"/>
          <w:szCs w:val="21"/>
          <w14:textFill>
            <w14:solidFill>
              <w14:schemeClr w14:val="tx1"/>
            </w14:solidFill>
          </w14:textFill>
        </w:rPr>
        <w:t>该压</w:t>
      </w:r>
      <w:r>
        <w:rPr>
          <w:rFonts w:hint="eastAsia" w:cs="MS Mincho" w:asciiTheme="minorEastAsia" w:hAnsiTheme="minorEastAsia"/>
          <w:color w:val="000000" w:themeColor="text1"/>
          <w:kern w:val="0"/>
          <w:szCs w:val="21"/>
          <w14:textFill>
            <w14:solidFill>
              <w14:schemeClr w14:val="tx1"/>
            </w14:solidFill>
          </w14:textFill>
        </w:rPr>
        <w:t>杆。但在</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有柱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支撑的</w:t>
      </w:r>
      <w:r>
        <w:rPr>
          <w:rFonts w:hint="eastAsia" w:cs="宋体" w:asciiTheme="minorEastAsia" w:hAnsiTheme="minorEastAsia"/>
          <w:color w:val="000000" w:themeColor="text1"/>
          <w:kern w:val="0"/>
          <w:szCs w:val="21"/>
          <w14:textFill>
            <w14:solidFill>
              <w14:schemeClr w14:val="tx1"/>
            </w14:solidFill>
          </w14:textFill>
        </w:rPr>
        <w:t>节间</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还应</w:t>
      </w:r>
      <w:r>
        <w:rPr>
          <w:rFonts w:hint="eastAsia" w:cs="MS Mincho" w:asciiTheme="minorEastAsia" w:hAnsiTheme="minorEastAsia"/>
          <w:color w:val="000000" w:themeColor="text1"/>
          <w:kern w:val="0"/>
          <w:szCs w:val="21"/>
          <w14:textFill>
            <w14:solidFill>
              <w14:schemeClr w14:val="tx1"/>
            </w14:solidFill>
          </w14:textFill>
        </w:rPr>
        <w:t>在柱</w:t>
      </w:r>
      <w:r>
        <w:rPr>
          <w:rFonts w:hint="eastAsia" w:cs="宋体" w:asciiTheme="minorEastAsia" w:hAnsiTheme="minorEastAsia"/>
          <w:color w:val="000000" w:themeColor="text1"/>
          <w:kern w:val="0"/>
          <w:szCs w:val="21"/>
          <w14:textFill>
            <w14:solidFill>
              <w14:schemeClr w14:val="tx1"/>
            </w14:solidFill>
          </w14:textFill>
        </w:rPr>
        <w:t>顶设</w:t>
      </w:r>
      <w:r>
        <w:rPr>
          <w:rFonts w:hint="eastAsia" w:cs="MS Mincho" w:asciiTheme="minorEastAsia" w:hAnsiTheme="minorEastAsia"/>
          <w:color w:val="000000" w:themeColor="text1"/>
          <w:kern w:val="0"/>
          <w:szCs w:val="21"/>
          <w14:textFill>
            <w14:solidFill>
              <w14:schemeClr w14:val="tx1"/>
            </w14:solidFill>
          </w14:textFill>
        </w:rPr>
        <w:t>置水</w:t>
      </w:r>
      <w:r>
        <w:rPr>
          <w:rFonts w:hint="eastAsia" w:cs="HiddenHorzOCR" w:asciiTheme="minorEastAsia" w:hAnsiTheme="minorEastAsia"/>
          <w:color w:val="000000" w:themeColor="text1"/>
          <w:kern w:val="0"/>
          <w:szCs w:val="21"/>
          <w14:textFill>
            <w14:solidFill>
              <w14:schemeClr w14:val="tx1"/>
            </w14:solidFill>
          </w14:textFill>
        </w:rPr>
        <w:t>平</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杆。</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7.4.5 </w:t>
      </w:r>
      <w:r>
        <w:rPr>
          <w:rFonts w:hint="eastAsia" w:cs="HiddenHorzOCR"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HiddenHorzOCR" w:asciiTheme="minorEastAsia" w:hAnsiTheme="minorEastAsia"/>
          <w:color w:val="000000" w:themeColor="text1"/>
          <w:kern w:val="0"/>
          <w:szCs w:val="21"/>
          <w14:textFill>
            <w14:solidFill>
              <w14:schemeClr w14:val="tx1"/>
            </w14:solidFill>
          </w14:textFill>
        </w:rPr>
        <w:t>梁是柱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支撑的重要</w:t>
      </w:r>
      <w:r>
        <w:rPr>
          <w:rFonts w:hint="eastAsia" w:cs="宋体" w:asciiTheme="minorEastAsia" w:hAnsiTheme="minorEastAsia"/>
          <w:color w:val="000000" w:themeColor="text1"/>
          <w:kern w:val="0"/>
          <w:szCs w:val="21"/>
          <w14:textFill>
            <w14:solidFill>
              <w14:schemeClr w14:val="tx1"/>
            </w14:solidFill>
          </w14:textFill>
        </w:rPr>
        <w:t>组</w:t>
      </w:r>
      <w:r>
        <w:rPr>
          <w:rFonts w:hint="eastAsia" w:cs="MS Mincho" w:asciiTheme="minorEastAsia" w:hAnsiTheme="minorEastAsia"/>
          <w:color w:val="000000" w:themeColor="text1"/>
          <w:kern w:val="0"/>
          <w:szCs w:val="21"/>
          <w14:textFill>
            <w14:solidFill>
              <w14:schemeClr w14:val="tx1"/>
            </w14:solidFill>
          </w14:textFill>
        </w:rPr>
        <w:t>成部分，其与柱</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有足</w:t>
      </w:r>
      <w:r>
        <w:rPr>
          <w:rFonts w:hint="eastAsia" w:cs="宋体" w:asciiTheme="minorEastAsia" w:hAnsiTheme="minorEastAsia"/>
          <w:color w:val="000000" w:themeColor="text1"/>
          <w:kern w:val="0"/>
          <w:szCs w:val="21"/>
          <w14:textFill>
            <w14:solidFill>
              <w14:schemeClr w14:val="tx1"/>
            </w14:solidFill>
          </w14:textFill>
        </w:rPr>
        <w:t>够</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连</w:t>
      </w:r>
      <w:r>
        <w:rPr>
          <w:rFonts w:hint="eastAsia" w:cs="HiddenHorzOCR"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强</w:t>
      </w:r>
      <w:r>
        <w:rPr>
          <w:rFonts w:hint="eastAsia" w:cs="MS Mincho" w:asciiTheme="minorEastAsia" w:hAnsiTheme="minorEastAsia"/>
          <w:color w:val="000000" w:themeColor="text1"/>
          <w:kern w:val="0"/>
          <w:szCs w:val="21"/>
          <w14:textFill>
            <w14:solidFill>
              <w14:schemeClr w14:val="tx1"/>
            </w14:solidFill>
          </w14:textFill>
        </w:rPr>
        <w:t>度。牛腿</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面的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整</w:t>
      </w:r>
      <w:r>
        <w:rPr>
          <w:rFonts w:hint="eastAsia" w:cs="宋体" w:asciiTheme="minorEastAsia" w:hAnsiTheme="minorEastAsia"/>
          <w:color w:val="000000" w:themeColor="text1"/>
          <w:kern w:val="0"/>
          <w:szCs w:val="21"/>
          <w14:textFill>
            <w14:solidFill>
              <w14:schemeClr w14:val="tx1"/>
            </w14:solidFill>
          </w14:textFill>
        </w:rPr>
        <w:t>块</w:t>
      </w:r>
      <w:r>
        <w:rPr>
          <w:rFonts w:hint="eastAsia" w:cs="MS Mincho" w:asciiTheme="minorEastAsia" w:hAnsiTheme="minorEastAsia"/>
          <w:color w:val="000000" w:themeColor="text1"/>
          <w:kern w:val="0"/>
          <w:szCs w:val="21"/>
          <w14:textFill>
            <w14:solidFill>
              <w14:schemeClr w14:val="tx1"/>
            </w14:solidFill>
          </w14:textFill>
        </w:rPr>
        <w:t>设置，其柱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w:t>
      </w:r>
      <w:r>
        <w:rPr>
          <w:rFonts w:hint="eastAsia" w:cs="宋体" w:asciiTheme="minorEastAsia" w:hAnsiTheme="minorEastAsia"/>
          <w:color w:val="000000" w:themeColor="text1"/>
          <w:kern w:val="0"/>
          <w:szCs w:val="21"/>
          <w14:textFill>
            <w14:solidFill>
              <w14:schemeClr w14:val="tx1"/>
            </w14:solidFill>
          </w14:textFill>
        </w:rPr>
        <w:t>节间</w:t>
      </w:r>
      <w:r>
        <w:rPr>
          <w:rFonts w:hint="eastAsia" w:cs="MS Mincho" w:asciiTheme="minorEastAsia" w:hAnsiTheme="minorEastAsia"/>
          <w:color w:val="000000" w:themeColor="text1"/>
          <w:kern w:val="0"/>
          <w:szCs w:val="21"/>
          <w14:textFill>
            <w14:solidFill>
              <w14:schemeClr w14:val="tx1"/>
            </w14:solidFill>
          </w14:textFill>
        </w:rPr>
        <w:t>附近</w:t>
      </w:r>
      <w:r>
        <w:rPr>
          <w:rFonts w:hint="eastAsia" w:cs="HiddenHorzOCR"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接螺栓和</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，所承担的水平剪力</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厂房</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三道上柱支撑</w:t>
      </w:r>
      <w:r>
        <w:rPr>
          <w:rFonts w:hint="eastAsia" w:cs="宋体" w:asciiTheme="minorEastAsia" w:hAnsiTheme="minorEastAsia"/>
          <w:color w:val="000000" w:themeColor="text1"/>
          <w:kern w:val="0"/>
          <w:szCs w:val="21"/>
          <w14:textFill>
            <w14:solidFill>
              <w14:schemeClr w14:val="tx1"/>
            </w14:solidFill>
          </w14:textFill>
        </w:rPr>
        <w:t>时：</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i/>
          <w:iCs/>
          <w:color w:val="000000" w:themeColor="text1"/>
          <w:kern w:val="0"/>
          <w:szCs w:val="21"/>
          <w14:textFill>
            <w14:solidFill>
              <w14:schemeClr w14:val="tx1"/>
            </w14:solidFill>
          </w14:textFill>
        </w:rPr>
        <w:t xml:space="preserve">    </w:t>
      </w:r>
      <w:r>
        <w:rPr>
          <w:rFonts w:hint="eastAsia" w:cs="Times New Roman" w:asciiTheme="minorEastAsia" w:hAnsiTheme="minorEastAsia"/>
          <w:iCs/>
          <w:color w:val="000000" w:themeColor="text1"/>
          <w:kern w:val="0"/>
          <w:szCs w:val="21"/>
          <w14:textFill>
            <w14:solidFill>
              <w14:schemeClr w14:val="tx1"/>
            </w14:solidFill>
          </w14:textFill>
        </w:rPr>
        <w:t xml:space="preserve">    V</w:t>
      </w:r>
      <w:r>
        <w:rPr>
          <w:rFonts w:hint="eastAsia" w:cs="Times New Roman" w:asciiTheme="minorEastAsia" w:hAnsiTheme="minorEastAsia"/>
          <w:color w:val="000000" w:themeColor="text1"/>
          <w:kern w:val="0"/>
          <w:szCs w:val="21"/>
          <w14:textFill>
            <w14:solidFill>
              <w14:schemeClr w14:val="tx1"/>
            </w14:solidFill>
          </w14:textFill>
        </w:rPr>
        <w:t>=O.65N</w:t>
      </w:r>
      <w:r>
        <w:rPr>
          <w:rFonts w:hint="eastAsia" w:cs="Times New Roman" w:asciiTheme="minorEastAsia" w:hAnsiTheme="minorEastAsia"/>
          <w:color w:val="000000" w:themeColor="text1"/>
          <w:kern w:val="0"/>
          <w:szCs w:val="21"/>
          <w:vertAlign w:val="subscript"/>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 xml:space="preserve">cosθ                     </w:t>
      </w:r>
      <w:r>
        <w:rPr>
          <w:rFonts w:hint="eastAsia" w:cs="Times New Roman" w:asciiTheme="minorEastAsia" w:hAnsiTheme="minorEastAsia"/>
          <w:color w:val="000000" w:themeColor="text1"/>
          <w:kern w:val="0"/>
          <w:szCs w:val="21"/>
          <w14:textFill>
            <w14:solidFill>
              <w14:schemeClr w14:val="tx1"/>
            </w14:solidFill>
          </w14:textFill>
        </w:rPr>
        <w:t>（7.4.5-1）</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厂房</w:t>
      </w:r>
      <w:r>
        <w:rPr>
          <w:rFonts w:hint="eastAsia" w:cs="宋体" w:asciiTheme="minorEastAsia" w:hAnsiTheme="minorEastAsia"/>
          <w:color w:val="000000" w:themeColor="text1"/>
          <w:kern w:val="0"/>
          <w:szCs w:val="21"/>
          <w14:textFill>
            <w14:solidFill>
              <w14:schemeClr w14:val="tx1"/>
            </w14:solidFill>
          </w14:textFill>
        </w:rPr>
        <w:t>单</w:t>
      </w:r>
      <w:r>
        <w:rPr>
          <w:rFonts w:hint="eastAsia" w:cs="MS Mincho" w:asciiTheme="minorEastAsia" w:hAnsiTheme="minorEastAsia"/>
          <w:color w:val="000000" w:themeColor="text1"/>
          <w:kern w:val="0"/>
          <w:szCs w:val="21"/>
          <w14:textFill>
            <w14:solidFill>
              <w14:schemeClr w14:val="tx1"/>
            </w14:solidFill>
          </w14:textFill>
        </w:rPr>
        <w:t>元</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一道上柱支撑</w:t>
      </w:r>
      <w:r>
        <w:rPr>
          <w:rFonts w:hint="eastAsia" w:cs="宋体" w:asciiTheme="minorEastAsia" w:hAnsiTheme="minorEastAsia"/>
          <w:color w:val="000000" w:themeColor="text1"/>
          <w:kern w:val="0"/>
          <w:szCs w:val="21"/>
          <w14:textFill>
            <w14:solidFill>
              <w14:schemeClr w14:val="tx1"/>
            </w14:solidFill>
          </w14:textFill>
        </w:rPr>
        <w:t>时：</w:t>
      </w:r>
    </w:p>
    <w:p>
      <w:pPr>
        <w:autoSpaceDE w:val="0"/>
        <w:autoSpaceDN w:val="0"/>
        <w:spacing w:line="360" w:lineRule="auto"/>
        <w:ind w:firstLine="420"/>
        <w:jc w:val="left"/>
        <w:rPr>
          <w:rFonts w:cs="Times New Roman"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i/>
          <w:iCs/>
          <w:color w:val="000000" w:themeColor="text1"/>
          <w:kern w:val="0"/>
          <w:szCs w:val="21"/>
          <w14:textFill>
            <w14:solidFill>
              <w14:schemeClr w14:val="tx1"/>
            </w14:solidFill>
          </w14:textFill>
        </w:rPr>
        <w:t xml:space="preserve">      </w:t>
      </w:r>
      <w:r>
        <w:rPr>
          <w:rFonts w:hint="eastAsia" w:cs="Times New Roman" w:asciiTheme="minorEastAsia" w:hAnsiTheme="minorEastAsia"/>
          <w:iCs/>
          <w:color w:val="000000" w:themeColor="text1"/>
          <w:kern w:val="0"/>
          <w:szCs w:val="21"/>
          <w14:textFill>
            <w14:solidFill>
              <w14:schemeClr w14:val="tx1"/>
            </w14:solidFill>
          </w14:textFill>
        </w:rPr>
        <w:t xml:space="preserve">  V</w:t>
      </w:r>
      <w:r>
        <w:rPr>
          <w:rFonts w:hint="eastAsia" w:cs="Times New Roman"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N</w:t>
      </w:r>
      <w:r>
        <w:rPr>
          <w:rFonts w:hint="eastAsia" w:cs="HiddenHorzOCR" w:asciiTheme="minorEastAsia" w:hAnsiTheme="minorEastAsia"/>
          <w:color w:val="000000" w:themeColor="text1"/>
          <w:kern w:val="0"/>
          <w:szCs w:val="21"/>
          <w:vertAlign w:val="subscript"/>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cosθ                         （7.4.</w:t>
      </w:r>
      <w:r>
        <w:rPr>
          <w:rFonts w:hint="eastAsia" w:cs="Times New Roman" w:asciiTheme="minorEastAsia" w:hAnsiTheme="minorEastAsia"/>
          <w:color w:val="000000" w:themeColor="text1"/>
          <w:kern w:val="0"/>
          <w:szCs w:val="21"/>
          <w14:textFill>
            <w14:solidFill>
              <w14:schemeClr w14:val="tx1"/>
            </w14:solidFill>
          </w14:textFill>
        </w:rPr>
        <w:t>5-2）</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式中：N</w:t>
      </w:r>
      <w:r>
        <w:rPr>
          <w:rFonts w:hint="eastAsia" w:cs="HiddenHorzOCR" w:asciiTheme="minorEastAsia" w:hAnsiTheme="minorEastAsia"/>
          <w:color w:val="000000" w:themeColor="text1"/>
          <w:kern w:val="0"/>
          <w:szCs w:val="21"/>
          <w:vertAlign w:val="subscript"/>
          <w14:textFill>
            <w14:solidFill>
              <w14:schemeClr w14:val="tx1"/>
            </w14:solidFill>
          </w14:textFill>
        </w:rPr>
        <w:t>1</w:t>
      </w:r>
      <w:r>
        <w:rPr>
          <w:rFonts w:hint="eastAsia" w:cs="HiddenHorzOCR" w:asciiTheme="minorEastAsia" w:hAnsiTheme="minorEastAsia"/>
          <w:color w:val="000000" w:themeColor="text1"/>
          <w:kern w:val="0"/>
          <w:szCs w:val="21"/>
          <w14:textFill>
            <w14:solidFill>
              <w14:schemeClr w14:val="tx1"/>
            </w14:solidFill>
          </w14:textFill>
        </w:rPr>
        <w:t>——下柱支撑考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地震作用效</w:t>
      </w:r>
      <w:r>
        <w:rPr>
          <w:rFonts w:hint="eastAsia" w:cs="宋体" w:asciiTheme="minorEastAsia" w:hAnsiTheme="minorEastAsia"/>
          <w:color w:val="000000" w:themeColor="text1"/>
          <w:kern w:val="0"/>
          <w:szCs w:val="21"/>
          <w14:textFill>
            <w14:solidFill>
              <w14:schemeClr w14:val="tx1"/>
            </w14:solidFill>
          </w14:textFill>
        </w:rPr>
        <w:t>应组</w:t>
      </w:r>
      <w:r>
        <w:rPr>
          <w:rFonts w:hint="eastAsia" w:cs="MS Mincho" w:asciiTheme="minorEastAsia" w:hAnsiTheme="minorEastAsia"/>
          <w:color w:val="000000" w:themeColor="text1"/>
          <w:kern w:val="0"/>
          <w:szCs w:val="21"/>
          <w14:textFill>
            <w14:solidFill>
              <w14:schemeClr w14:val="tx1"/>
            </w14:solidFill>
          </w14:textFill>
        </w:rPr>
        <w:t>合的斜向拉力；</w:t>
      </w:r>
    </w:p>
    <w:p>
      <w:pPr>
        <w:autoSpaceDE w:val="0"/>
        <w:autoSpaceDN w:val="0"/>
        <w:spacing w:line="360" w:lineRule="auto"/>
        <w:ind w:firstLine="619" w:firstLineChars="295"/>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θ——斜杆与水平投影的</w:t>
      </w:r>
      <w:r>
        <w:rPr>
          <w:rFonts w:hint="eastAsia" w:cs="宋体" w:asciiTheme="minorEastAsia" w:hAnsiTheme="minorEastAsia"/>
          <w:color w:val="000000" w:themeColor="text1"/>
          <w:kern w:val="0"/>
          <w:szCs w:val="21"/>
          <w14:textFill>
            <w14:solidFill>
              <w14:schemeClr w14:val="tx1"/>
            </w14:solidFill>
          </w14:textFill>
        </w:rPr>
        <w:t>夹</w:t>
      </w:r>
      <w:r>
        <w:rPr>
          <w:rFonts w:hint="eastAsia" w:cs="MS Mincho" w:asciiTheme="minorEastAsia" w:hAnsiTheme="minorEastAsia"/>
          <w:color w:val="000000" w:themeColor="text1"/>
          <w:kern w:val="0"/>
          <w:szCs w:val="21"/>
          <w14:textFill>
            <w14:solidFill>
              <w14:schemeClr w14:val="tx1"/>
            </w14:solidFill>
          </w14:textFill>
        </w:rPr>
        <w:t>角。</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7.4.6 </w:t>
      </w:r>
      <w:r>
        <w:rPr>
          <w:rFonts w:hint="eastAsia" w:cs="HiddenHorzOCR" w:asciiTheme="minorEastAsia" w:hAnsiTheme="minorEastAsia"/>
          <w:color w:val="000000" w:themeColor="text1"/>
          <w:kern w:val="0"/>
          <w:szCs w:val="21"/>
          <w14:textFill>
            <w14:solidFill>
              <w14:schemeClr w14:val="tx1"/>
            </w14:solidFill>
          </w14:textFill>
        </w:rPr>
        <w:t>混凝土矩形和工字形截面</w:t>
      </w:r>
      <w:r>
        <w:rPr>
          <w:rFonts w:hint="eastAsia" w:cs="宋体" w:asciiTheme="minorEastAsia" w:hAnsiTheme="minorEastAsia"/>
          <w:color w:val="000000" w:themeColor="text1"/>
          <w:kern w:val="0"/>
          <w:szCs w:val="21"/>
          <w14:textFill>
            <w14:solidFill>
              <w14:schemeClr w14:val="tx1"/>
            </w14:solidFill>
          </w14:textFill>
        </w:rPr>
        <w:t>实</w:t>
      </w:r>
      <w:r>
        <w:rPr>
          <w:rFonts w:hint="eastAsia" w:cs="MS Mincho" w:asciiTheme="minorEastAsia" w:hAnsiTheme="minorEastAsia"/>
          <w:color w:val="000000" w:themeColor="text1"/>
          <w:kern w:val="0"/>
          <w:szCs w:val="21"/>
          <w14:textFill>
            <w14:solidFill>
              <w14:schemeClr w14:val="tx1"/>
            </w14:solidFill>
          </w14:textFill>
        </w:rPr>
        <w:t>腹柱的抗震构造，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w:t>
      </w:r>
      <w:r>
        <w:rPr>
          <w:rFonts w:hint="eastAsia" w:cs="HiddenHorzOCR" w:asciiTheme="minorEastAsia" w:hAnsiTheme="minorEastAsia"/>
          <w:color w:val="000000" w:themeColor="text1"/>
          <w:kern w:val="0"/>
          <w:szCs w:val="21"/>
          <w14:textFill>
            <w14:solidFill>
              <w14:schemeClr w14:val="tx1"/>
            </w14:solidFill>
          </w14:textFill>
        </w:rPr>
        <w:t>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筋的最小配筋百分率，</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》GB50010</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混凝土构件静力</w:t>
      </w:r>
      <w:r>
        <w:rPr>
          <w:rFonts w:hint="eastAsia" w:cs="宋体" w:asciiTheme="minorEastAsia" w:hAnsiTheme="minorEastAsia"/>
          <w:color w:val="000000" w:themeColor="text1"/>
          <w:kern w:val="0"/>
          <w:szCs w:val="21"/>
          <w14:textFill>
            <w14:solidFill>
              <w14:schemeClr w14:val="tx1"/>
            </w14:solidFill>
          </w14:textFill>
        </w:rPr>
        <w:t>设计</w:t>
      </w:r>
      <w:r>
        <w:rPr>
          <w:rFonts w:hint="eastAsia" w:cs="HiddenHorzOCR" w:asciiTheme="minorEastAsia" w:hAnsiTheme="minorEastAsia"/>
          <w:color w:val="000000" w:themeColor="text1"/>
          <w:kern w:val="0"/>
          <w:szCs w:val="21"/>
          <w14:textFill>
            <w14:solidFill>
              <w14:schemeClr w14:val="tx1"/>
            </w14:solidFill>
          </w14:textFill>
        </w:rPr>
        <w:t>的要求。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下列范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MS Mincho" w:asciiTheme="minorEastAsia" w:hAnsiTheme="minorEastAsia"/>
          <w:color w:val="000000" w:themeColor="text1"/>
          <w:kern w:val="0"/>
          <w:szCs w:val="21"/>
          <w14:textFill>
            <w14:solidFill>
              <w14:schemeClr w14:val="tx1"/>
            </w14:solidFill>
          </w14:textFill>
        </w:rPr>
        <w:t>内柱的箍筋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加密</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区段，取柱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以下</w:t>
      </w:r>
      <w:r>
        <w:rPr>
          <w:rFonts w:hint="eastAsia" w:cs="HiddenHorzOCR" w:asciiTheme="minorEastAsia" w:hAnsiTheme="minorEastAsia"/>
          <w:color w:val="000000" w:themeColor="text1"/>
          <w:kern w:val="0"/>
          <w:szCs w:val="21"/>
          <w14:textFill>
            <w14:solidFill>
              <w14:schemeClr w14:val="tx1"/>
            </w14:solidFill>
          </w14:textFill>
        </w:rPr>
        <w:t>500mm且不小于柱截面</w:t>
      </w:r>
      <w:r>
        <w:rPr>
          <w:rFonts w:hint="eastAsia" w:cs="宋体" w:asciiTheme="minorEastAsia" w:hAnsiTheme="minorEastAsia"/>
          <w:color w:val="000000" w:themeColor="text1"/>
          <w:kern w:val="0"/>
          <w:szCs w:val="21"/>
          <w14:textFill>
            <w14:solidFill>
              <w14:schemeClr w14:val="tx1"/>
            </w14:solidFill>
          </w14:textFill>
        </w:rPr>
        <w:t>长边</w:t>
      </w:r>
      <w:r>
        <w:rPr>
          <w:rFonts w:hint="eastAsia" w:cs="MS Mincho" w:asciiTheme="minorEastAsia" w:hAnsiTheme="minorEastAsia"/>
          <w:color w:val="000000" w:themeColor="text1"/>
          <w:kern w:val="0"/>
          <w:szCs w:val="21"/>
          <w14:textFill>
            <w14:solidFill>
              <w14:schemeClr w14:val="tx1"/>
            </w14:solidFill>
          </w14:textFill>
        </w:rPr>
        <w:t>尺</w:t>
      </w:r>
      <w:r>
        <w:rPr>
          <w:rFonts w:hint="eastAsia" w:cs="HiddenHorzOCR" w:asciiTheme="minorEastAsia" w:hAnsiTheme="minorEastAsia"/>
          <w:color w:val="000000" w:themeColor="text1"/>
          <w:kern w:val="0"/>
          <w:szCs w:val="21"/>
          <w14:textFill>
            <w14:solidFill>
              <w14:schemeClr w14:val="tx1"/>
            </w14:solidFill>
          </w14:textFill>
        </w:rPr>
        <w:t>寸；</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梁区</w:t>
      </w:r>
      <w:r>
        <w:rPr>
          <w:rFonts w:hint="eastAsia" w:cs="HiddenHorzOCR" w:asciiTheme="minorEastAsia" w:hAnsiTheme="minorEastAsia"/>
          <w:color w:val="000000" w:themeColor="text1"/>
          <w:kern w:val="0"/>
          <w:szCs w:val="21"/>
          <w14:textFill>
            <w14:solidFill>
              <w14:schemeClr w14:val="tx1"/>
            </w14:solidFill>
          </w14:textFill>
        </w:rPr>
        <w:t>段，取牛腿面至吊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梁</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面以上</w:t>
      </w:r>
      <w:r>
        <w:rPr>
          <w:rFonts w:hint="eastAsia" w:cs="HiddenHorzOCR" w:asciiTheme="minorEastAsia" w:hAnsiTheme="minorEastAsia"/>
          <w:color w:val="000000" w:themeColor="text1"/>
          <w:kern w:val="0"/>
          <w:szCs w:val="21"/>
          <w14:textFill>
            <w14:solidFill>
              <w14:schemeClr w14:val="tx1"/>
            </w14:solidFill>
          </w14:textFill>
        </w:rPr>
        <w:t>300mm高度范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开</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人孔的上柱，取牛腿面至人孔底部</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3</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牛腿</w:t>
      </w:r>
      <w:r>
        <w:rPr>
          <w:rFonts w:hint="eastAsia" w:cs="HiddenHorzOCR" w:asciiTheme="minorEastAsia" w:hAnsiTheme="minorEastAsia"/>
          <w:color w:val="000000" w:themeColor="text1"/>
          <w:kern w:val="0"/>
          <w:szCs w:val="21"/>
          <w14:textFill>
            <w14:solidFill>
              <w14:schemeClr w14:val="tx1"/>
            </w14:solidFill>
          </w14:textFill>
        </w:rPr>
        <w:t>（柱肩）区段，取全高；</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4）</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柱底区段，取基</w:t>
      </w:r>
      <w:r>
        <w:rPr>
          <w:rFonts w:hint="eastAsia" w:cs="宋体" w:asciiTheme="minorEastAsia" w:hAnsiTheme="minorEastAsia"/>
          <w:color w:val="000000" w:themeColor="text1"/>
          <w:kern w:val="0"/>
          <w:szCs w:val="21"/>
          <w14:textFill>
            <w14:solidFill>
              <w14:schemeClr w14:val="tx1"/>
            </w14:solidFill>
          </w14:textFill>
        </w:rPr>
        <w:t>础顶</w:t>
      </w:r>
      <w:r>
        <w:rPr>
          <w:rFonts w:hint="eastAsia" w:cs="MS Mincho" w:asciiTheme="minorEastAsia" w:hAnsiTheme="minorEastAsia"/>
          <w:color w:val="000000" w:themeColor="text1"/>
          <w:kern w:val="0"/>
          <w:szCs w:val="21"/>
          <w14:textFill>
            <w14:solidFill>
              <w14:schemeClr w14:val="tx1"/>
            </w14:solidFill>
          </w14:textFill>
        </w:rPr>
        <w:t>面至室内地坪以上</w:t>
      </w:r>
      <w:r>
        <w:rPr>
          <w:rFonts w:hint="eastAsia" w:cs="HiddenHorzOCR" w:asciiTheme="minorEastAsia" w:hAnsiTheme="minorEastAsia"/>
          <w:color w:val="000000" w:themeColor="text1"/>
          <w:kern w:val="0"/>
          <w:szCs w:val="21"/>
          <w14:textFill>
            <w14:solidFill>
              <w14:schemeClr w14:val="tx1"/>
            </w14:solidFill>
          </w14:textFill>
        </w:rPr>
        <w:t>500mm；</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5）柱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支撑与柱</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点和柱</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位受平台、嵌砌内隔</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等</w:t>
      </w:r>
      <w:r>
        <w:rPr>
          <w:rFonts w:hint="eastAsia" w:cs="宋体" w:asciiTheme="minorEastAsia" w:hAnsiTheme="minorEastAsia"/>
          <w:color w:val="000000" w:themeColor="text1"/>
          <w:kern w:val="0"/>
          <w:szCs w:val="21"/>
          <w14:textFill>
            <w14:solidFill>
              <w14:schemeClr w14:val="tx1"/>
            </w14:solidFill>
          </w14:textFill>
        </w:rPr>
        <w:t>约</w:t>
      </w:r>
      <w:r>
        <w:rPr>
          <w:rFonts w:hint="eastAsia" w:cs="MS Mincho" w:asciiTheme="minorEastAsia" w:hAnsiTheme="minorEastAsia"/>
          <w:color w:val="000000" w:themeColor="text1"/>
          <w:kern w:val="0"/>
          <w:szCs w:val="21"/>
          <w14:textFill>
            <w14:solidFill>
              <w14:schemeClr w14:val="tx1"/>
            </w14:solidFill>
          </w14:textFill>
        </w:rPr>
        <w:t>束的部位，取上、下各</w:t>
      </w:r>
      <w:r>
        <w:rPr>
          <w:rFonts w:hint="eastAsia" w:cs="HiddenHorzOCR" w:asciiTheme="minorEastAsia" w:hAnsiTheme="minorEastAsia"/>
          <w:color w:val="000000" w:themeColor="text1"/>
          <w:kern w:val="0"/>
          <w:szCs w:val="21"/>
          <w14:textFill>
            <w14:solidFill>
              <w14:schemeClr w14:val="tx1"/>
            </w14:solidFill>
          </w14:textFill>
        </w:rPr>
        <w:t>300mm；</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6）山</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壁柱的柱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和其</w:t>
      </w:r>
      <w:r>
        <w:rPr>
          <w:rFonts w:hint="eastAsia" w:cs="宋体" w:asciiTheme="minorEastAsia" w:hAnsiTheme="minorEastAsia"/>
          <w:color w:val="000000" w:themeColor="text1"/>
          <w:kern w:val="0"/>
          <w:szCs w:val="21"/>
          <w14:textFill>
            <w14:solidFill>
              <w14:schemeClr w14:val="tx1"/>
            </w14:solidFill>
          </w14:textFill>
        </w:rPr>
        <w:t>变</w:t>
      </w:r>
      <w:r>
        <w:rPr>
          <w:rFonts w:hint="eastAsia" w:cs="MS Mincho" w:asciiTheme="minorEastAsia" w:hAnsiTheme="minorEastAsia"/>
          <w:color w:val="000000" w:themeColor="text1"/>
          <w:kern w:val="0"/>
          <w:szCs w:val="21"/>
          <w14:textFill>
            <w14:solidFill>
              <w14:schemeClr w14:val="tx1"/>
            </w14:solidFill>
          </w14:textFill>
        </w:rPr>
        <w:t>截面的上、下范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MS Mincho" w:asciiTheme="minorEastAsia" w:hAnsiTheme="minorEastAsia"/>
          <w:color w:val="000000" w:themeColor="text1"/>
          <w:kern w:val="0"/>
          <w:szCs w:val="21"/>
          <w14:textFill>
            <w14:solidFill>
              <w14:schemeClr w14:val="tx1"/>
            </w14:solidFill>
          </w14:textFill>
        </w:rPr>
        <w:t>各</w:t>
      </w:r>
      <w:r>
        <w:rPr>
          <w:rFonts w:hint="eastAsia" w:cs="HiddenHorzOCR" w:asciiTheme="minorEastAsia" w:hAnsiTheme="minorEastAsia"/>
          <w:color w:val="000000" w:themeColor="text1"/>
          <w:kern w:val="0"/>
          <w:szCs w:val="21"/>
          <w14:textFill>
            <w14:solidFill>
              <w14:schemeClr w14:val="tx1"/>
            </w14:solidFill>
          </w14:textFill>
        </w:rPr>
        <w:t>500mm 。</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加密区的箍筋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100mm，最小箍筋直径</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符合表</w:t>
      </w:r>
      <w:bookmarkStart w:id="140" w:name="_Hlk24686689"/>
      <w:r>
        <w:rPr>
          <w:rFonts w:hint="eastAsia" w:cs="HiddenHorzOCR" w:asciiTheme="minorEastAsia" w:hAnsiTheme="minorEastAsia"/>
          <w:color w:val="000000" w:themeColor="text1"/>
          <w:kern w:val="0"/>
          <w:szCs w:val="21"/>
          <w14:textFill>
            <w14:solidFill>
              <w14:schemeClr w14:val="tx1"/>
            </w14:solidFill>
          </w14:textFill>
        </w:rPr>
        <w:t>7.4.6-1</w:t>
      </w:r>
      <w:bookmarkEnd w:id="140"/>
      <w:r>
        <w:rPr>
          <w:rFonts w:hint="eastAsia" w:cs="HiddenHorzOCR"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p>
    <w:p>
      <w:pPr>
        <w:autoSpaceDE w:val="0"/>
        <w:autoSpaceDN w:val="0"/>
        <w:spacing w:line="360" w:lineRule="auto"/>
        <w:ind w:left="420" w:leftChars="200" w:firstLine="0" w:firstLineChars="0"/>
        <w:jc w:val="left"/>
        <w:rPr>
          <w:rFonts w:cs="MS Mincho"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 xml:space="preserve"> </w:t>
      </w:r>
      <w:r>
        <w:rPr>
          <w:rFonts w:cs="MS Mincho" w:asciiTheme="minorEastAsia" w:hAnsiTheme="minorEastAsia"/>
          <w:color w:val="000000" w:themeColor="text1"/>
          <w:kern w:val="0"/>
          <w:szCs w:val="21"/>
          <w14:textFill>
            <w14:solidFill>
              <w14:schemeClr w14:val="tx1"/>
            </w14:solidFill>
          </w14:textFill>
        </w:rPr>
        <w:t xml:space="preserve">                </w:t>
      </w:r>
    </w:p>
    <w:p>
      <w:pPr>
        <w:autoSpaceDE w:val="0"/>
        <w:autoSpaceDN w:val="0"/>
        <w:spacing w:line="360" w:lineRule="auto"/>
        <w:ind w:left="420" w:leftChars="200" w:firstLine="0" w:firstLineChars="0"/>
        <w:jc w:val="left"/>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left="420" w:leftChars="200" w:firstLine="0" w:firstLineChars="0"/>
        <w:jc w:val="left"/>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left="420" w:leftChars="200" w:firstLine="0" w:firstLineChars="0"/>
        <w:jc w:val="center"/>
        <w:rPr>
          <w:rFonts w:cs="HiddenHorzOCR" w:asciiTheme="minorEastAsia" w:hAnsiTheme="minorEastAsia"/>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 xml:space="preserve">表 </w:t>
      </w:r>
      <w:r>
        <w:rPr>
          <w:rFonts w:hint="eastAsia" w:cs="HiddenHorzOCR" w:asciiTheme="minorEastAsia" w:hAnsiTheme="minorEastAsia"/>
          <w:color w:val="000000" w:themeColor="text1"/>
          <w:kern w:val="0"/>
          <w:szCs w:val="21"/>
          <w14:textFill>
            <w14:solidFill>
              <w14:schemeClr w14:val="tx1"/>
            </w14:solidFill>
          </w14:textFill>
        </w:rPr>
        <w:t xml:space="preserve">7.4.6-1 </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加密区最小箍筋直径</w:t>
      </w:r>
    </w:p>
    <w:tbl>
      <w:tblPr>
        <w:tblStyle w:val="33"/>
        <w:tblW w:w="42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6"/>
        <w:gridCol w:w="1959"/>
        <w:gridCol w:w="1843"/>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pct"/>
            <w:vMerge w:val="restart"/>
            <w:tcBorders>
              <w:top w:val="single" w:color="auto" w:sz="8" w:space="0"/>
              <w:lef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加密区位置</w:t>
            </w:r>
          </w:p>
        </w:tc>
        <w:tc>
          <w:tcPr>
            <w:tcW w:w="3700" w:type="pct"/>
            <w:gridSpan w:val="3"/>
            <w:tcBorders>
              <w:top w:val="single" w:color="auto" w:sz="8" w:space="0"/>
              <w:righ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烈度和场地类别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pct"/>
            <w:vMerge w:val="continue"/>
            <w:tcBorders>
              <w:lef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p>
        </w:tc>
        <w:tc>
          <w:tcPr>
            <w:tcW w:w="1251" w:type="pct"/>
            <w:vAlign w:val="center"/>
          </w:tcPr>
          <w:p>
            <w:pPr>
              <w:ind w:firstLine="0" w:firstLineChars="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6度和7度</w:t>
            </w:r>
            <w:r>
              <w:rPr>
                <w:rFonts w:hint="eastAsia" w:ascii="宋体" w:hAnsi="宋体" w:cs="宋体"/>
                <w:color w:val="000000" w:themeColor="text1"/>
                <w:kern w:val="0"/>
                <w:sz w:val="18"/>
                <w:szCs w:val="18"/>
                <w14:textFill>
                  <w14:solidFill>
                    <w14:schemeClr w14:val="tx1"/>
                  </w14:solidFill>
                </w14:textFill>
              </w:rPr>
              <w:t>Ⅰ</w:t>
            </w:r>
            <w:r>
              <w:rPr>
                <w:rFonts w:cs="Times New Roman"/>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Ⅱ</w:t>
            </w:r>
            <w:r>
              <w:rPr>
                <w:rFonts w:hint="eastAsia" w:cs="HiddenHorzOCR"/>
                <w:color w:val="000000" w:themeColor="text1"/>
                <w:kern w:val="0"/>
                <w:sz w:val="18"/>
                <w:szCs w:val="18"/>
                <w14:textFill>
                  <w14:solidFill>
                    <w14:schemeClr w14:val="tx1"/>
                  </w14:solidFill>
                </w14:textFill>
              </w:rPr>
              <w:t>类场地</w:t>
            </w:r>
          </w:p>
        </w:tc>
        <w:tc>
          <w:tcPr>
            <w:tcW w:w="1177" w:type="pct"/>
            <w:vAlign w:val="center"/>
          </w:tcPr>
          <w:p>
            <w:pPr>
              <w:ind w:firstLine="0" w:firstLineChars="0"/>
              <w:rPr>
                <w:rFonts w:ascii="宋体" w:hAnsi="宋体" w:cs="宋体"/>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7度</w:t>
            </w:r>
            <w:r>
              <w:rPr>
                <w:rFonts w:hint="eastAsia" w:ascii="宋体" w:hAnsi="宋体" w:cs="宋体"/>
                <w:color w:val="000000" w:themeColor="text1"/>
                <w:kern w:val="0"/>
                <w:sz w:val="18"/>
                <w:szCs w:val="18"/>
                <w14:textFill>
                  <w14:solidFill>
                    <w14:schemeClr w14:val="tx1"/>
                  </w14:solidFill>
                </w14:textFill>
              </w:rPr>
              <w:t>Ⅲ</w:t>
            </w:r>
            <w:r>
              <w:rPr>
                <w:rFonts w:cs="Times New Roman"/>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Ⅳ类场地和</w:t>
            </w:r>
          </w:p>
          <w:p>
            <w:pPr>
              <w:ind w:firstLine="0" w:firstLineChars="0"/>
              <w:rPr>
                <w:rFonts w:cs="HiddenHorzOCR"/>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8度Ⅰ</w:t>
            </w:r>
            <w:r>
              <w:rPr>
                <w:rFonts w:cs="Times New Roman"/>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Ⅱ类场地</w:t>
            </w:r>
          </w:p>
        </w:tc>
        <w:tc>
          <w:tcPr>
            <w:tcW w:w="1272" w:type="pct"/>
            <w:tcBorders>
              <w:right w:val="single" w:color="auto" w:sz="8" w:space="0"/>
            </w:tcBorders>
            <w:vAlign w:val="center"/>
          </w:tcPr>
          <w:p>
            <w:pPr>
              <w:ind w:firstLine="0" w:firstLineChars="0"/>
              <w:rPr>
                <w:rFonts w:ascii="宋体" w:hAnsi="宋体" w:cs="宋体"/>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8度</w:t>
            </w:r>
            <w:r>
              <w:rPr>
                <w:rFonts w:hint="eastAsia" w:ascii="宋体" w:hAnsi="宋体" w:cs="宋体"/>
                <w:color w:val="000000" w:themeColor="text1"/>
                <w:kern w:val="0"/>
                <w:sz w:val="18"/>
                <w:szCs w:val="18"/>
                <w14:textFill>
                  <w14:solidFill>
                    <w14:schemeClr w14:val="tx1"/>
                  </w14:solidFill>
                </w14:textFill>
              </w:rPr>
              <w:t>Ⅲ</w:t>
            </w:r>
            <w:r>
              <w:rPr>
                <w:rFonts w:cs="Times New Roman"/>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Ⅳ类场地和</w:t>
            </w:r>
          </w:p>
          <w:p>
            <w:pPr>
              <w:ind w:firstLine="0" w:firstLineChars="0"/>
              <w:rPr>
                <w:rFonts w:cs="HiddenHorzOCR"/>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9度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pct"/>
            <w:tcBorders>
              <w:left w:val="single" w:color="auto" w:sz="8" w:space="0"/>
            </w:tcBorders>
            <w:vAlign w:val="center"/>
          </w:tcPr>
          <w:p>
            <w:pPr>
              <w:ind w:firstLine="0" w:firstLineChars="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一般柱顶、柱底</w:t>
            </w:r>
          </w:p>
        </w:tc>
        <w:tc>
          <w:tcPr>
            <w:tcW w:w="1251" w:type="pct"/>
            <w:vAlign w:val="center"/>
          </w:tcPr>
          <w:p>
            <w:pPr>
              <w:ind w:firstLine="0" w:firstLineChars="0"/>
              <w:jc w:val="center"/>
              <w:rPr>
                <w:rFonts w:asciiTheme="minorEastAsia" w:hAnsiTheme="minorEastAsia" w:eastAsiaTheme="minorEastAsia" w:cstheme="minorHAnsi"/>
                <w:i/>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6</w:t>
            </w:r>
          </w:p>
        </w:tc>
        <w:tc>
          <w:tcPr>
            <w:tcW w:w="1177" w:type="pct"/>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8</w:t>
            </w:r>
          </w:p>
        </w:tc>
        <w:tc>
          <w:tcPr>
            <w:tcW w:w="1272" w:type="pct"/>
            <w:tcBorders>
              <w:righ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pct"/>
            <w:tcBorders>
              <w:left w:val="single" w:color="auto" w:sz="8" w:space="0"/>
              <w:bottom w:val="single" w:color="auto" w:sz="4" w:space="0"/>
            </w:tcBorders>
            <w:vAlign w:val="center"/>
          </w:tcPr>
          <w:p>
            <w:pPr>
              <w:ind w:firstLine="0" w:firstLineChars="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吊车梁、牛腿、有支撑的柱底</w:t>
            </w:r>
          </w:p>
        </w:tc>
        <w:tc>
          <w:tcPr>
            <w:tcW w:w="1251" w:type="pct"/>
            <w:tcBorders>
              <w:bottom w:val="single" w:color="auto" w:sz="4"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8</w:t>
            </w:r>
          </w:p>
        </w:tc>
        <w:tc>
          <w:tcPr>
            <w:tcW w:w="1177" w:type="pct"/>
            <w:tcBorders>
              <w:bottom w:val="single" w:color="auto" w:sz="4"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8</w:t>
            </w:r>
          </w:p>
        </w:tc>
        <w:tc>
          <w:tcPr>
            <w:tcW w:w="1272" w:type="pct"/>
            <w:tcBorders>
              <w:bottom w:val="single" w:color="auto" w:sz="4" w:space="0"/>
              <w:righ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pct"/>
            <w:tcBorders>
              <w:left w:val="single" w:color="auto" w:sz="8" w:space="0"/>
              <w:bottom w:val="single" w:color="auto" w:sz="8" w:space="0"/>
            </w:tcBorders>
            <w:vAlign w:val="center"/>
          </w:tcPr>
          <w:p>
            <w:pPr>
              <w:ind w:firstLine="0" w:firstLineChars="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有支撑的柱顶、柱变位受约束的部位</w:t>
            </w:r>
          </w:p>
        </w:tc>
        <w:tc>
          <w:tcPr>
            <w:tcW w:w="1251" w:type="pct"/>
            <w:tcBorders>
              <w:bottom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8</w:t>
            </w:r>
          </w:p>
        </w:tc>
        <w:tc>
          <w:tcPr>
            <w:tcW w:w="1177" w:type="pct"/>
            <w:tcBorders>
              <w:bottom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10</w:t>
            </w:r>
          </w:p>
        </w:tc>
        <w:tc>
          <w:tcPr>
            <w:tcW w:w="1272" w:type="pct"/>
            <w:tcBorders>
              <w:bottom w:val="single" w:color="auto" w:sz="8" w:space="0"/>
              <w:right w:val="single" w:color="auto" w:sz="8" w:space="0"/>
            </w:tcBorders>
            <w:vAlign w:val="center"/>
          </w:tcPr>
          <w:p>
            <w:pPr>
              <w:ind w:firstLine="0" w:firstLineChars="0"/>
              <w:jc w:val="center"/>
              <w:rPr>
                <w:rFonts w:cs="HiddenHorzOCR"/>
                <w:color w:val="000000" w:themeColor="text1"/>
                <w:kern w:val="0"/>
                <w:sz w:val="18"/>
                <w:szCs w:val="18"/>
                <w14:textFill>
                  <w14:solidFill>
                    <w14:schemeClr w14:val="tx1"/>
                  </w14:solidFill>
                </w14:textFill>
              </w:rPr>
            </w:pPr>
            <w:r>
              <w:rPr>
                <w:rFonts w:asciiTheme="minorEastAsia" w:hAnsiTheme="minorEastAsia" w:eastAsiaTheme="minorEastAsia" w:cstheme="minorHAnsi"/>
                <w:i/>
                <w:color w:val="000000" w:themeColor="text1"/>
                <w:kern w:val="0"/>
                <w:sz w:val="18"/>
                <w:szCs w:val="18"/>
                <w14:textFill>
                  <w14:solidFill>
                    <w14:schemeClr w14:val="tx1"/>
                  </w14:solidFill>
                </w14:textFill>
              </w:rPr>
              <w:t>φ</w:t>
            </w:r>
            <w:r>
              <w:rPr>
                <w:rFonts w:hint="eastAsia" w:cs="Times New Roman" w:eastAsiaTheme="minorEastAsia"/>
                <w:color w:val="000000" w:themeColor="text1"/>
                <w:kern w:val="0"/>
                <w:sz w:val="18"/>
                <w:szCs w:val="18"/>
                <w14:textFill>
                  <w14:solidFill>
                    <w14:schemeClr w14:val="tx1"/>
                  </w14:solidFill>
                </w14:textFill>
              </w:rPr>
              <w:t>10</w:t>
            </w:r>
          </w:p>
        </w:tc>
      </w:tr>
    </w:tbl>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4 </w:t>
      </w:r>
      <w:r>
        <w:rPr>
          <w:rFonts w:hint="eastAsia" w:cs="HiddenHorzOCR" w:asciiTheme="minorEastAsia" w:hAnsiTheme="minorEastAsia"/>
          <w:color w:val="000000" w:themeColor="text1"/>
          <w:kern w:val="0"/>
          <w:szCs w:val="21"/>
          <w14:textFill>
            <w14:solidFill>
              <w14:schemeClr w14:val="tx1"/>
            </w14:solidFill>
          </w14:textFill>
        </w:rPr>
        <w:t>排架柱</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(不含柱</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面的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向构造</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 ，在加密区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度内要求箍筋的肢距不宜大于</w:t>
      </w:r>
      <w:r>
        <w:rPr>
          <w:rFonts w:hint="eastAsia" w:cs="HiddenHorzOCR" w:asciiTheme="minorEastAsia" w:hAnsiTheme="minorEastAsia"/>
          <w:color w:val="000000" w:themeColor="text1"/>
          <w:kern w:val="0"/>
          <w:szCs w:val="21"/>
          <w14:textFill>
            <w14:solidFill>
              <w14:schemeClr w14:val="tx1"/>
            </w14:solidFill>
          </w14:textFill>
        </w:rPr>
        <w:t>250mm（烈度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8度和9度区）或300mm（烈度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6度和7度区），且每隔一根</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HiddenHorzOCR" w:asciiTheme="minorEastAsia" w:hAnsiTheme="minorEastAsia"/>
          <w:color w:val="000000" w:themeColor="text1"/>
          <w:kern w:val="0"/>
          <w:szCs w:val="21"/>
          <w14:textFill>
            <w14:solidFill>
              <w14:schemeClr w14:val="tx1"/>
            </w14:solidFill>
          </w14:textFill>
        </w:rPr>
        <w:t>筋都宜有两个方向的</w:t>
      </w:r>
      <w:r>
        <w:rPr>
          <w:rFonts w:hint="eastAsia" w:cs="宋体" w:asciiTheme="minorEastAsia" w:hAnsiTheme="minorEastAsia"/>
          <w:color w:val="000000" w:themeColor="text1"/>
          <w:kern w:val="0"/>
          <w:szCs w:val="21"/>
          <w14:textFill>
            <w14:solidFill>
              <w14:schemeClr w14:val="tx1"/>
            </w14:solidFill>
          </w14:textFill>
        </w:rPr>
        <w:t>约</w:t>
      </w:r>
      <w:r>
        <w:rPr>
          <w:rFonts w:hint="eastAsia" w:cs="MS Mincho" w:asciiTheme="minorEastAsia" w:hAnsiTheme="minorEastAsia"/>
          <w:color w:val="000000" w:themeColor="text1"/>
          <w:kern w:val="0"/>
          <w:szCs w:val="21"/>
          <w14:textFill>
            <w14:solidFill>
              <w14:schemeClr w14:val="tx1"/>
            </w14:solidFill>
          </w14:textFill>
        </w:rPr>
        <w:t>束</w:t>
      </w:r>
      <w:r>
        <w:rPr>
          <w:rFonts w:hint="eastAsia" w:cs="HiddenHorzOCR" w:asciiTheme="minorEastAsia" w:hAnsiTheme="minorEastAsia"/>
          <w:color w:val="000000" w:themeColor="text1"/>
          <w:kern w:val="0"/>
          <w:szCs w:val="21"/>
          <w14:textFill>
            <w14:solidFill>
              <w14:schemeClr w14:val="tx1"/>
            </w14:solidFill>
          </w14:textFill>
        </w:rPr>
        <w:t>；采用一部分拉筋</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，拉筋宜</w:t>
      </w:r>
      <w:r>
        <w:rPr>
          <w:rFonts w:hint="eastAsia" w:cs="宋体" w:asciiTheme="minorEastAsia" w:hAnsiTheme="minorEastAsia"/>
          <w:color w:val="000000" w:themeColor="text1"/>
          <w:kern w:val="0"/>
          <w:szCs w:val="21"/>
          <w14:textFill>
            <w14:solidFill>
              <w14:schemeClr w14:val="tx1"/>
            </w14:solidFill>
          </w14:textFill>
        </w:rPr>
        <w:t>紧</w:t>
      </w:r>
      <w:r>
        <w:rPr>
          <w:rFonts w:hint="eastAsia" w:cs="MS Mincho" w:asciiTheme="minorEastAsia" w:hAnsiTheme="minorEastAsia"/>
          <w:color w:val="000000" w:themeColor="text1"/>
          <w:kern w:val="0"/>
          <w:szCs w:val="21"/>
          <w14:textFill>
            <w14:solidFill>
              <w14:schemeClr w14:val="tx1"/>
            </w14:solidFill>
          </w14:textFill>
        </w:rPr>
        <w:t>靠</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HiddenHorzOCR" w:asciiTheme="minorEastAsia" w:hAnsiTheme="minorEastAsia"/>
          <w:color w:val="000000" w:themeColor="text1"/>
          <w:kern w:val="0"/>
          <w:szCs w:val="21"/>
          <w14:textFill>
            <w14:solidFill>
              <w14:schemeClr w14:val="tx1"/>
            </w14:solidFill>
          </w14:textFill>
        </w:rPr>
        <w:t>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筋并勾住封</w:t>
      </w:r>
      <w:r>
        <w:rPr>
          <w:rFonts w:hint="eastAsia" w:cs="宋体" w:asciiTheme="minorEastAsia" w:hAnsiTheme="minorEastAsia"/>
          <w:color w:val="000000" w:themeColor="text1"/>
          <w:kern w:val="0"/>
          <w:szCs w:val="21"/>
          <w14:textFill>
            <w14:solidFill>
              <w14:schemeClr w14:val="tx1"/>
            </w14:solidFill>
          </w14:textFill>
        </w:rPr>
        <w:t>闭</w:t>
      </w:r>
      <w:r>
        <w:rPr>
          <w:rFonts w:hint="eastAsia" w:cs="MS Mincho" w:asciiTheme="minorEastAsia" w:hAnsiTheme="minorEastAsia"/>
          <w:color w:val="000000" w:themeColor="text1"/>
          <w:kern w:val="0"/>
          <w:szCs w:val="21"/>
          <w14:textFill>
            <w14:solidFill>
              <w14:schemeClr w14:val="tx1"/>
            </w14:solidFill>
          </w14:textFill>
        </w:rPr>
        <w:t>箍筋。</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7.4.7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向受</w:t>
      </w:r>
      <w:r>
        <w:rPr>
          <w:rFonts w:hint="eastAsia" w:cs="宋体" w:asciiTheme="minorEastAsia" w:hAnsiTheme="minorEastAsia"/>
          <w:color w:val="000000" w:themeColor="text1"/>
          <w:kern w:val="0"/>
          <w:szCs w:val="21"/>
          <w14:textFill>
            <w14:solidFill>
              <w14:schemeClr w14:val="tx1"/>
            </w14:solidFill>
          </w14:textFill>
        </w:rPr>
        <w:t>约</w:t>
      </w:r>
      <w:r>
        <w:rPr>
          <w:rFonts w:hint="eastAsia" w:cs="MS Mincho" w:asciiTheme="minorEastAsia" w:hAnsiTheme="minorEastAsia"/>
          <w:color w:val="000000" w:themeColor="text1"/>
          <w:kern w:val="0"/>
          <w:szCs w:val="21"/>
          <w14:textFill>
            <w14:solidFill>
              <w14:schemeClr w14:val="tx1"/>
            </w14:solidFill>
          </w14:textFill>
        </w:rPr>
        <w:t>束且</w:t>
      </w:r>
      <w:r>
        <w:rPr>
          <w:rFonts w:hint="eastAsia" w:cs="宋体" w:asciiTheme="minorEastAsia" w:hAnsiTheme="minorEastAsia"/>
          <w:color w:val="000000" w:themeColor="text1"/>
          <w:kern w:val="0"/>
          <w:szCs w:val="21"/>
          <w14:textFill>
            <w14:solidFill>
              <w14:schemeClr w14:val="tx1"/>
            </w14:solidFill>
          </w14:textFill>
        </w:rPr>
        <w:t>约</w:t>
      </w:r>
      <w:r>
        <w:rPr>
          <w:rFonts w:hint="eastAsia" w:cs="MS Mincho" w:asciiTheme="minorEastAsia" w:hAnsiTheme="minorEastAsia"/>
          <w:color w:val="000000" w:themeColor="text1"/>
          <w:kern w:val="0"/>
          <w:szCs w:val="21"/>
          <w14:textFill>
            <w14:solidFill>
              <w14:schemeClr w14:val="tx1"/>
            </w14:solidFill>
          </w14:textFill>
        </w:rPr>
        <w:t>束点至柱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w:t>
      </w:r>
      <m:oMath>
        <m:r>
          <w:rPr>
            <w:rFonts w:hint="eastAsia" w:ascii="Cambria Math" w:hAnsi="Cambria Math" w:cs="HiddenHorzOCR"/>
            <w:color w:val="000000" w:themeColor="text1"/>
            <w:kern w:val="0"/>
            <w:szCs w:val="21"/>
            <w14:textFill>
              <w14:solidFill>
                <w14:schemeClr w14:val="tx1"/>
              </w14:solidFill>
            </w14:textFill>
          </w:rPr>
          <m:t>l</m:t>
        </m:r>
      </m:oMath>
      <w:r>
        <w:rPr>
          <w:rFonts w:hint="eastAsia" w:cs="HiddenHorzOCR" w:asciiTheme="minorEastAsia" w:hAnsiTheme="minorEastAsia"/>
          <w:color w:val="000000" w:themeColor="text1"/>
          <w:kern w:val="0"/>
          <w:szCs w:val="21"/>
          <w14:textFill>
            <w14:solidFill>
              <w14:schemeClr w14:val="tx1"/>
            </w14:solidFill>
          </w14:textFill>
        </w:rPr>
        <w:t>不大于柱截面</w:t>
      </w:r>
      <w:r>
        <w:rPr>
          <w:rFonts w:hint="eastAsia" w:cs="宋体" w:asciiTheme="minorEastAsia" w:hAnsiTheme="minorEastAsia"/>
          <w:color w:val="000000" w:themeColor="text1"/>
          <w:kern w:val="0"/>
          <w:szCs w:val="21"/>
          <w14:textFill>
            <w14:solidFill>
              <w14:schemeClr w14:val="tx1"/>
            </w14:solidFill>
          </w14:textFill>
        </w:rPr>
        <w:t>边长</w:t>
      </w:r>
      <w:r>
        <w:rPr>
          <w:rFonts w:hint="eastAsia" w:cs="MS Mincho" w:asciiTheme="minorEastAsia" w:hAnsiTheme="minorEastAsia"/>
          <w:color w:val="000000" w:themeColor="text1"/>
          <w:kern w:val="0"/>
          <w:szCs w:val="21"/>
          <w14:textFill>
            <w14:solidFill>
              <w14:schemeClr w14:val="tx1"/>
            </w14:solidFill>
          </w14:textFill>
        </w:rPr>
        <w:t>的两倍</w:t>
      </w:r>
      <w:r>
        <w:rPr>
          <w:rFonts w:hint="eastAsia" w:cs="HiddenHorzOCR" w:asciiTheme="minorEastAsia" w:hAnsiTheme="minorEastAsia"/>
          <w:color w:val="000000" w:themeColor="text1"/>
          <w:kern w:val="0"/>
          <w:szCs w:val="21"/>
          <w14:textFill>
            <w14:solidFill>
              <w14:schemeClr w14:val="tx1"/>
            </w14:solidFill>
          </w14:textFill>
        </w:rPr>
        <w:t>(排架平面：</w:t>
      </w:r>
      <m:oMath>
        <m:r>
          <w:rPr>
            <w:rFonts w:hint="eastAsia" w:ascii="Cambria Math" w:hAnsi="Cambria Math" w:cs="HiddenHorzOCR"/>
            <w:color w:val="000000" w:themeColor="text1"/>
            <w:kern w:val="0"/>
            <w:szCs w:val="21"/>
            <w14:textFill>
              <w14:solidFill>
                <w14:schemeClr w14:val="tx1"/>
              </w14:solidFill>
            </w14:textFill>
          </w:rPr>
          <m:t>l</m:t>
        </m:r>
      </m:oMath>
      <w:r>
        <w:rPr>
          <w:rFonts w:hint="eastAsia" w:cs="HiddenHorzOCR" w:asciiTheme="minorEastAsia" w:hAnsiTheme="minorEastAsia"/>
          <w:color w:val="000000" w:themeColor="text1"/>
          <w:kern w:val="0"/>
          <w:szCs w:val="21"/>
          <w14:textFill>
            <w14:solidFill>
              <w14:schemeClr w14:val="tx1"/>
            </w14:solidFill>
          </w14:textFill>
        </w:rPr>
        <w:t xml:space="preserve">≤2h，垂直排架平面： </w:t>
      </w:r>
      <w:bookmarkStart w:id="141" w:name="_Hlk44762670"/>
      <m:oMath>
        <m:r>
          <w:rPr>
            <w:rFonts w:hint="eastAsia" w:ascii="Cambria Math" w:hAnsi="Cambria Math" w:cs="HiddenHorzOCR"/>
            <w:color w:val="000000" w:themeColor="text1"/>
            <w:kern w:val="0"/>
            <w:szCs w:val="21"/>
            <w14:textFill>
              <w14:solidFill>
                <w14:schemeClr w14:val="tx1"/>
              </w14:solidFill>
            </w14:textFill>
          </w:rPr>
          <m:t>l</m:t>
        </m:r>
        <w:bookmarkEnd w:id="141"/>
      </m:oMath>
      <w:r>
        <w:rPr>
          <w:rFonts w:hint="eastAsia" w:cs="HiddenHorzOCR" w:asciiTheme="minorEastAsia" w:hAnsiTheme="minorEastAsia"/>
          <w:color w:val="000000" w:themeColor="text1"/>
          <w:kern w:val="0"/>
          <w:szCs w:val="21"/>
          <w14:textFill>
            <w14:solidFill>
              <w14:schemeClr w14:val="tx1"/>
            </w14:solidFill>
          </w14:textFill>
        </w:rPr>
        <w:t xml:space="preserve">≤2b) </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顶预</w:t>
      </w:r>
      <w:r>
        <w:rPr>
          <w:rFonts w:hint="eastAsia" w:cs="MS Mincho" w:asciiTheme="minorEastAsia" w:hAnsiTheme="minorEastAsia"/>
          <w:color w:val="000000" w:themeColor="text1"/>
          <w:kern w:val="0"/>
          <w:szCs w:val="21"/>
          <w14:textFill>
            <w14:solidFill>
              <w14:schemeClr w14:val="tx1"/>
            </w14:solidFill>
          </w14:textFill>
        </w:rPr>
        <w:t>埋</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板和柱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箍筋加密区的构造尚</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顶预</w:t>
      </w:r>
      <w:r>
        <w:rPr>
          <w:rFonts w:hint="eastAsia" w:cs="MS Mincho" w:asciiTheme="minorEastAsia" w:hAnsiTheme="minorEastAsia"/>
          <w:color w:val="000000" w:themeColor="text1"/>
          <w:kern w:val="0"/>
          <w:szCs w:val="21"/>
          <w14:textFill>
            <w14:solidFill>
              <w14:schemeClr w14:val="tx1"/>
            </w14:solidFill>
          </w14:textFill>
        </w:rPr>
        <w:t>埋</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板沿排架平面方向的</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度，宜取柱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的截面</w:t>
      </w:r>
      <w:r>
        <w:rPr>
          <w:rFonts w:hint="eastAsia" w:cs="HiddenHorzOCR" w:asciiTheme="minorEastAsia" w:hAnsiTheme="minorEastAsia"/>
          <w:color w:val="000000" w:themeColor="text1"/>
          <w:kern w:val="0"/>
          <w:szCs w:val="21"/>
          <w14:textFill>
            <w14:solidFill>
              <w14:schemeClr w14:val="tx1"/>
            </w14:solidFill>
          </w14:textFill>
        </w:rPr>
        <w:t>高度h，但在任何情况下不得小于h/2及300mm。</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屋架的安装位置，宜减小在柱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的偏心，其柱</w:t>
      </w:r>
      <w:r>
        <w:rPr>
          <w:rFonts w:hint="eastAsia" w:cs="宋体" w:asciiTheme="minorEastAsia" w:hAnsiTheme="minorEastAsia"/>
          <w:color w:val="000000" w:themeColor="text1"/>
          <w:kern w:val="0"/>
          <w:szCs w:val="21"/>
          <w14:textFill>
            <w14:solidFill>
              <w14:schemeClr w14:val="tx1"/>
            </w14:solidFill>
          </w14:textFill>
        </w:rPr>
        <w:t>顶轴</w:t>
      </w:r>
      <w:r>
        <w:rPr>
          <w:rFonts w:hint="eastAsia" w:cs="MS Mincho" w:asciiTheme="minorEastAsia" w:hAnsiTheme="minorEastAsia"/>
          <w:color w:val="000000" w:themeColor="text1"/>
          <w:kern w:val="0"/>
          <w:szCs w:val="21"/>
          <w14:textFill>
            <w14:solidFill>
              <w14:schemeClr w14:val="tx1"/>
            </w14:solidFill>
          </w14:textFill>
        </w:rPr>
        <w:t>向力</w:t>
      </w:r>
      <w:r>
        <w:rPr>
          <w:rFonts w:hint="eastAsia" w:cs="HiddenHorzOCR" w:asciiTheme="minorEastAsia" w:hAnsiTheme="minorEastAsia"/>
          <w:color w:val="000000" w:themeColor="text1"/>
          <w:kern w:val="0"/>
          <w:szCs w:val="21"/>
          <w14:textFill>
            <w14:solidFill>
              <w14:schemeClr w14:val="tx1"/>
            </w14:solidFill>
          </w14:textFill>
        </w:rPr>
        <w:t>的偏心距</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不大于</w:t>
      </w:r>
      <w:r>
        <w:rPr>
          <w:rFonts w:hint="eastAsia" w:cs="HiddenHorzOCR" w:asciiTheme="minorEastAsia" w:hAnsiTheme="minorEastAsia"/>
          <w:color w:val="000000" w:themeColor="text1"/>
          <w:kern w:val="0"/>
          <w:szCs w:val="21"/>
          <w14:textFill>
            <w14:solidFill>
              <w14:schemeClr w14:val="tx1"/>
            </w14:solidFill>
          </w14:textFill>
        </w:rPr>
        <w:t>h/4。</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顶轴</w:t>
      </w:r>
      <w:r>
        <w:rPr>
          <w:rFonts w:hint="eastAsia" w:cs="MS Mincho" w:asciiTheme="minorEastAsia" w:hAnsiTheme="minorEastAsia"/>
          <w:color w:val="000000" w:themeColor="text1"/>
          <w:kern w:val="0"/>
          <w:szCs w:val="21"/>
          <w14:textFill>
            <w14:solidFill>
              <w14:schemeClr w14:val="tx1"/>
            </w14:solidFill>
          </w14:textFill>
        </w:rPr>
        <w:t>向力在排架平面内的偏心距</w:t>
      </w:r>
      <m:oMath>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e</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0</m:t>
            </m:r>
            <m:ctrlPr>
              <w:rPr>
                <w:rFonts w:ascii="Cambria Math" w:hAnsi="Cambria Math" w:cs="MS Mincho"/>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在h/6～h/4范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MS Mincho" w:asciiTheme="minorEastAsia" w:hAnsiTheme="minorEastAsia"/>
          <w:color w:val="000000" w:themeColor="text1"/>
          <w:kern w:val="0"/>
          <w:szCs w:val="21"/>
          <w14:textFill>
            <w14:solidFill>
              <w14:schemeClr w14:val="tx1"/>
            </w14:solidFill>
          </w14:textFill>
        </w:rPr>
        <w:t>内</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箍筋加密区宜配置四肢箍，其箍筋体</w:t>
      </w:r>
      <w:r>
        <w:rPr>
          <w:rFonts w:hint="eastAsia" w:cs="宋体" w:asciiTheme="minorEastAsia" w:hAnsiTheme="minorEastAsia"/>
          <w:color w:val="000000" w:themeColor="text1"/>
          <w:kern w:val="0"/>
          <w:szCs w:val="21"/>
          <w14:textFill>
            <w14:solidFill>
              <w14:schemeClr w14:val="tx1"/>
            </w14:solidFill>
          </w14:textFill>
        </w:rPr>
        <w:t>积</w:t>
      </w:r>
      <w:r>
        <w:rPr>
          <w:rFonts w:hint="eastAsia" w:cs="MS Mincho" w:asciiTheme="minorEastAsia" w:hAnsiTheme="minorEastAsia"/>
          <w:color w:val="000000" w:themeColor="text1"/>
          <w:kern w:val="0"/>
          <w:szCs w:val="21"/>
          <w14:textFill>
            <w14:solidFill>
              <w14:schemeClr w14:val="tx1"/>
            </w14:solidFill>
          </w14:textFill>
        </w:rPr>
        <w:t>配筋率不宜</w:t>
      </w:r>
      <w:r>
        <w:rPr>
          <w:rFonts w:hint="eastAsia" w:cs="HiddenHorzOCR" w:asciiTheme="minorEastAsia" w:hAnsiTheme="minorEastAsia"/>
          <w:color w:val="000000" w:themeColor="text1"/>
          <w:kern w:val="0"/>
          <w:szCs w:val="21"/>
          <w14:textFill>
            <w14:solidFill>
              <w14:schemeClr w14:val="tx1"/>
            </w14:solidFill>
          </w14:textFill>
        </w:rPr>
        <w:t>小于下列</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w:t>
      </w:r>
      <w:r>
        <w:rPr>
          <w:rFonts w:hint="eastAsia" w:cs="宋体" w:asciiTheme="minorEastAsia" w:hAnsiTheme="minorEastAsia"/>
          <w:color w:val="000000" w:themeColor="text1"/>
          <w:kern w:val="0"/>
          <w:szCs w:val="21"/>
          <w14:textFill>
            <w14:solidFill>
              <w14:schemeClr w14:val="tx1"/>
            </w14:solidFill>
          </w14:textFill>
        </w:rPr>
        <w:t>时为</w:t>
      </w:r>
      <w:r>
        <w:rPr>
          <w:rFonts w:hint="eastAsia" w:cs="HiddenHorzOCR" w:asciiTheme="minorEastAsia" w:hAnsiTheme="minorEastAsia"/>
          <w:color w:val="000000" w:themeColor="text1"/>
          <w:kern w:val="0"/>
          <w:szCs w:val="21"/>
          <w14:textFill>
            <w14:solidFill>
              <w14:schemeClr w14:val="tx1"/>
            </w14:solidFill>
          </w14:textFill>
        </w:rPr>
        <w:t>0.8%，烈度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w:t>
      </w:r>
      <w:r>
        <w:rPr>
          <w:rFonts w:hint="eastAsia" w:cs="宋体" w:asciiTheme="minorEastAsia" w:hAnsiTheme="minorEastAsia"/>
          <w:color w:val="000000" w:themeColor="text1"/>
          <w:kern w:val="0"/>
          <w:szCs w:val="21"/>
          <w14:textFill>
            <w14:solidFill>
              <w14:schemeClr w14:val="tx1"/>
            </w14:solidFill>
          </w14:textFill>
        </w:rPr>
        <w:t>时为</w:t>
      </w:r>
      <w:r>
        <w:rPr>
          <w:rFonts w:hint="eastAsia" w:cs="HiddenHorzOCR" w:asciiTheme="minorEastAsia" w:hAnsiTheme="minorEastAsia"/>
          <w:color w:val="000000" w:themeColor="text1"/>
          <w:kern w:val="0"/>
          <w:szCs w:val="21"/>
          <w14:textFill>
            <w14:solidFill>
              <w14:schemeClr w14:val="tx1"/>
            </w14:solidFill>
          </w14:textFill>
        </w:rPr>
        <w:t>1.0%，烈度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w:r>
        <w:rPr>
          <w:rFonts w:hint="eastAsia" w:cs="宋体" w:asciiTheme="minorEastAsia" w:hAnsiTheme="minorEastAsia"/>
          <w:color w:val="000000" w:themeColor="text1"/>
          <w:kern w:val="0"/>
          <w:szCs w:val="21"/>
          <w14:textFill>
            <w14:solidFill>
              <w14:schemeClr w14:val="tx1"/>
            </w14:solidFill>
          </w14:textFill>
        </w:rPr>
        <w:t>时为</w:t>
      </w:r>
      <w:r>
        <w:rPr>
          <w:rFonts w:hint="eastAsia" w:cs="HiddenHorzOCR" w:asciiTheme="minorEastAsia" w:hAnsiTheme="minorEastAsia"/>
          <w:color w:val="000000" w:themeColor="text1"/>
          <w:kern w:val="0"/>
          <w:szCs w:val="21"/>
          <w14:textFill>
            <w14:solidFill>
              <w14:schemeClr w14:val="tx1"/>
            </w14:solidFill>
          </w14:textFill>
        </w:rPr>
        <w:t>1.2%。</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7.4.8 </w:t>
      </w:r>
      <w:r>
        <w:rPr>
          <w:rFonts w:hint="eastAsia" w:cs="HiddenHorzOCR" w:asciiTheme="minorEastAsia" w:hAnsiTheme="minorEastAsia"/>
          <w:color w:val="000000" w:themeColor="text1"/>
          <w:kern w:val="0"/>
          <w:szCs w:val="21"/>
          <w14:textFill>
            <w14:solidFill>
              <w14:schemeClr w14:val="tx1"/>
            </w14:solidFill>
          </w14:textFill>
        </w:rPr>
        <w:t>平腹杆双肢柱各杆件的截面尺寸、配筋和</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点构造，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符合下列要求：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双肢柱杆件布置和截面尺寸：</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w:t>
      </w:r>
      <w:r>
        <w:rPr>
          <w:rFonts w:hint="eastAsia" w:cs="宋体" w:asciiTheme="minorEastAsia" w:hAnsiTheme="minorEastAsia"/>
          <w:color w:val="000000" w:themeColor="text1"/>
          <w:kern w:val="0"/>
          <w:szCs w:val="21"/>
          <w14:textFill>
            <w14:solidFill>
              <w14:schemeClr w14:val="tx1"/>
            </w14:solidFill>
          </w14:textFill>
        </w:rPr>
        <w:t>节间</w:t>
      </w:r>
      <w:r>
        <w:rPr>
          <w:rFonts w:hint="eastAsia" w:cs="MS Mincho" w:asciiTheme="minorEastAsia" w:hAnsiTheme="minorEastAsia"/>
          <w:color w:val="000000" w:themeColor="text1"/>
          <w:kern w:val="0"/>
          <w:szCs w:val="21"/>
          <w14:textFill>
            <w14:solidFill>
              <w14:schemeClr w14:val="tx1"/>
            </w14:solidFill>
          </w14:textFill>
        </w:rPr>
        <w:t>距离的划分</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尽量均匀，且肢杆</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厚比</w:t>
      </w:r>
      <m:oMath>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n</m:t>
            </m:r>
            <m:ctrlPr>
              <w:rPr>
                <w:rFonts w:ascii="Cambria Math" w:hAnsi="Cambria Math" w:cs="MS Mincho"/>
                <w:i/>
                <w:color w:val="000000" w:themeColor="text1"/>
                <w:kern w:val="0"/>
                <w:szCs w:val="21"/>
                <w14:textFill>
                  <w14:solidFill>
                    <w14:schemeClr w14:val="tx1"/>
                  </w14:solidFill>
                </w14:textFill>
              </w:rPr>
            </m:ctrlPr>
          </m:sub>
        </m:sSub>
        <m: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eastAsia="MS Mincho" w:cs="MS Mincho"/>
                <w:i/>
                <w:color w:val="000000" w:themeColor="text1"/>
                <w:kern w:val="0"/>
                <w:szCs w:val="21"/>
                <w14:textFill>
                  <w14:solidFill>
                    <w14:schemeClr w14:val="tx1"/>
                  </w14:solidFill>
                </w14:textFill>
              </w:rPr>
            </m:ctrlPr>
          </m:sSubPr>
          <m:e>
            <m:r>
              <w:rPr>
                <w:rFonts w:ascii="Cambria Math" w:hAnsi="Cambria Math" w:eastAsia="MS Mincho" w:cs="MS Mincho"/>
                <w:color w:val="000000" w:themeColor="text1"/>
                <w:kern w:val="0"/>
                <w:szCs w:val="21"/>
                <w14:textFill>
                  <w14:solidFill>
                    <w14:schemeClr w14:val="tx1"/>
                  </w14:solidFill>
                </w14:textFill>
              </w:rPr>
              <m:t>h</m:t>
            </m:r>
            <m:ctrlPr>
              <w:rPr>
                <w:rFonts w:ascii="Cambria Math" w:hAnsi="Cambria Math" w:eastAsia="MS Mincho" w:cs="MS Mincho"/>
                <w:i/>
                <w:color w:val="000000" w:themeColor="text1"/>
                <w:kern w:val="0"/>
                <w:szCs w:val="21"/>
                <w14:textFill>
                  <w14:solidFill>
                    <w14:schemeClr w14:val="tx1"/>
                  </w14:solidFill>
                </w14:textFill>
              </w:rPr>
            </m:ctrlPr>
          </m:e>
          <m:sub>
            <m:r>
              <w:rPr>
                <w:rFonts w:ascii="Cambria Math" w:hAnsi="Cambria Math" w:eastAsia="MS Mincho" w:cs="MS Mincho"/>
                <w:color w:val="000000" w:themeColor="text1"/>
                <w:kern w:val="0"/>
                <w:szCs w:val="21"/>
                <w14:textFill>
                  <w14:solidFill>
                    <w14:schemeClr w14:val="tx1"/>
                  </w14:solidFill>
                </w14:textFill>
              </w:rPr>
              <m:t>1</m:t>
            </m:r>
            <m:ctrlPr>
              <w:rPr>
                <w:rFonts w:ascii="Cambria Math" w:hAnsi="Cambria Math" w:eastAsia="MS Mincho" w:cs="MS Mincho"/>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宜大于4，并小于10；</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2）腹杆与肢杆的</w:t>
      </w:r>
      <w:r>
        <w:rPr>
          <w:rFonts w:hint="eastAsia" w:cs="宋体" w:asciiTheme="minorEastAsia" w:hAnsiTheme="minorEastAsia"/>
          <w:color w:val="000000" w:themeColor="text1"/>
          <w:kern w:val="0"/>
          <w:szCs w:val="21"/>
          <w14:textFill>
            <w14:solidFill>
              <w14:schemeClr w14:val="tx1"/>
            </w14:solidFill>
          </w14:textFill>
        </w:rPr>
        <w:t>劲</w:t>
      </w:r>
      <w:r>
        <w:rPr>
          <w:rFonts w:hint="eastAsia" w:cs="MS Mincho" w:asciiTheme="minorEastAsia" w:hAnsiTheme="minorEastAsia"/>
          <w:color w:val="000000" w:themeColor="text1"/>
          <w:kern w:val="0"/>
          <w:szCs w:val="21"/>
          <w14:textFill>
            <w14:solidFill>
              <w14:schemeClr w14:val="tx1"/>
            </w14:solidFill>
          </w14:textFill>
        </w:rPr>
        <w:t>度比</w:t>
      </w:r>
      <m:oMath>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I</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b</m:t>
            </m:r>
            <m:ctrlPr>
              <w:rPr>
                <w:rFonts w:ascii="Cambria Math" w:hAnsi="Cambria Math" w:cs="MS Mincho"/>
                <w:i/>
                <w:color w:val="000000" w:themeColor="text1"/>
                <w:kern w:val="0"/>
                <w:szCs w:val="21"/>
                <w14:textFill>
                  <w14:solidFill>
                    <w14:schemeClr w14:val="tx1"/>
                  </w14:solidFill>
                </w14:textFill>
              </w:rPr>
            </m:ctrlPr>
          </m:sub>
        </m:sSub>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n</m:t>
            </m:r>
            <m:ctrlPr>
              <w:rPr>
                <w:rFonts w:ascii="Cambria Math" w:hAnsi="Cambria Math" w:cs="MS Mincho"/>
                <w:i/>
                <w:color w:val="000000" w:themeColor="text1"/>
                <w:kern w:val="0"/>
                <w:szCs w:val="21"/>
                <w14:textFill>
                  <w14:solidFill>
                    <w14:schemeClr w14:val="tx1"/>
                  </w14:solidFill>
                </w14:textFill>
              </w:rPr>
            </m:ctrlPr>
          </m:sub>
        </m:sSub>
        <m:r>
          <w:rPr>
            <w:rFonts w:ascii="Cambria Math" w:hAnsi="Cambria Math" w:cs="MS Mincho"/>
            <w:color w:val="000000" w:themeColor="text1"/>
            <w:kern w:val="0"/>
            <w:szCs w:val="21"/>
            <w14:textFill>
              <w14:solidFill>
                <w14:schemeClr w14:val="tx1"/>
              </w14:solidFill>
            </w14:textFill>
          </w:rPr>
          <m:t>/</m:t>
        </m:r>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I</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1</m:t>
            </m:r>
            <m:ctrlPr>
              <w:rPr>
                <w:rFonts w:ascii="Cambria Math" w:hAnsi="Cambria Math" w:cs="MS Mincho"/>
                <w:i/>
                <w:color w:val="000000" w:themeColor="text1"/>
                <w:kern w:val="0"/>
                <w:szCs w:val="21"/>
                <w14:textFill>
                  <w14:solidFill>
                    <w14:schemeClr w14:val="tx1"/>
                  </w14:solidFill>
                </w14:textFill>
              </w:rPr>
            </m:ctrlPr>
          </m:sub>
        </m:sSub>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1n</m:t>
            </m:r>
            <m:ctrlPr>
              <w:rPr>
                <w:rFonts w:ascii="Cambria Math" w:hAnsi="Cambria Math" w:cs="MS Mincho"/>
                <w:i/>
                <w:color w:val="000000" w:themeColor="text1"/>
                <w:kern w:val="0"/>
                <w:szCs w:val="21"/>
                <w14:textFill>
                  <w14:solidFill>
                    <w14:schemeClr w14:val="tx1"/>
                  </w14:solidFill>
                </w14:textFill>
              </w:rPr>
            </m:ctrlPr>
          </m:sub>
        </m:sSub>
      </m:oMath>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3；腹杆</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厚比</w:t>
      </w:r>
      <m:oMath>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n1</m:t>
            </m:r>
            <m:ctrlPr>
              <w:rPr>
                <w:rFonts w:ascii="Cambria Math" w:hAnsi="Cambria Math" w:cs="MS Mincho"/>
                <w:i/>
                <w:color w:val="000000" w:themeColor="text1"/>
                <w:kern w:val="0"/>
                <w:szCs w:val="21"/>
                <w14:textFill>
                  <w14:solidFill>
                    <w14:schemeClr w14:val="tx1"/>
                  </w14:solidFill>
                </w14:textFill>
              </w:rPr>
            </m:ctrlPr>
          </m:sub>
        </m:sSub>
        <m:r>
          <w:rPr>
            <w:rFonts w:ascii="Cambria Math" w:hAnsi="Cambria Math" w:cs="MS Mincho"/>
            <w:color w:val="000000" w:themeColor="text1"/>
            <w:kern w:val="0"/>
            <w:szCs w:val="21"/>
            <w14:textFill>
              <w14:solidFill>
                <w14:schemeClr w14:val="tx1"/>
              </w14:solidFill>
            </w14:textFill>
          </w:rPr>
          <m:t>/</m:t>
        </m:r>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h</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b</m:t>
            </m:r>
            <m:ctrlPr>
              <w:rPr>
                <w:rFonts w:ascii="Cambria Math" w:hAnsi="Cambria Math" w:cs="MS Mincho"/>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宜大于2；</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3）肩梁高度</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大于肢杆厚度的</w:t>
      </w:r>
      <w:r>
        <w:rPr>
          <w:rFonts w:hint="eastAsia" w:cs="HiddenHorzOCR" w:asciiTheme="minorEastAsia" w:hAnsiTheme="minorEastAsia"/>
          <w:color w:val="000000" w:themeColor="text1"/>
          <w:kern w:val="0"/>
          <w:szCs w:val="21"/>
          <w14:textFill>
            <w14:solidFill>
              <w14:schemeClr w14:val="tx1"/>
            </w14:solidFill>
          </w14:textFill>
        </w:rPr>
        <w:t>2倍和不小于500mm ，且能</w:t>
      </w:r>
      <w:r>
        <w:rPr>
          <w:rFonts w:hint="eastAsia" w:cs="宋体" w:asciiTheme="minorEastAsia" w:hAnsiTheme="minorEastAsia"/>
          <w:color w:val="000000" w:themeColor="text1"/>
          <w:kern w:val="0"/>
          <w:szCs w:val="21"/>
          <w14:textFill>
            <w14:solidFill>
              <w14:schemeClr w14:val="tx1"/>
            </w14:solidFill>
          </w14:textFill>
        </w:rPr>
        <w:t>满</w:t>
      </w:r>
      <w:r>
        <w:rPr>
          <w:rFonts w:hint="eastAsia" w:cs="MS Mincho" w:asciiTheme="minorEastAsia" w:hAnsiTheme="minorEastAsia"/>
          <w:color w:val="000000" w:themeColor="text1"/>
          <w:kern w:val="0"/>
          <w:szCs w:val="21"/>
          <w14:textFill>
            <w14:solidFill>
              <w14:schemeClr w14:val="tx1"/>
            </w14:solidFill>
          </w14:textFill>
        </w:rPr>
        <w:t>足上柱和肢杆的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度要求</w:t>
      </w:r>
      <w:r>
        <w:rPr>
          <w:rFonts w:hint="eastAsia" w:cs="HiddenHorzOCR" w:asciiTheme="minorEastAsia" w:hAnsiTheme="minorEastAsia"/>
          <w:color w:val="000000" w:themeColor="text1"/>
          <w:kern w:val="0"/>
          <w:szCs w:val="21"/>
          <w14:textFill>
            <w14:solidFill>
              <w14:schemeClr w14:val="tx1"/>
            </w14:solidFill>
          </w14:textFill>
        </w:rPr>
        <w:t>；肩梁与肢杆的</w:t>
      </w:r>
      <w:r>
        <w:rPr>
          <w:rFonts w:hint="eastAsia" w:cs="宋体" w:asciiTheme="minorEastAsia" w:hAnsiTheme="minorEastAsia"/>
          <w:color w:val="000000" w:themeColor="text1"/>
          <w:kern w:val="0"/>
          <w:szCs w:val="21"/>
          <w14:textFill>
            <w14:solidFill>
              <w14:schemeClr w14:val="tx1"/>
            </w14:solidFill>
          </w14:textFill>
        </w:rPr>
        <w:t>劲</w:t>
      </w:r>
      <w:r>
        <w:rPr>
          <w:rFonts w:hint="eastAsia" w:cs="MS Mincho" w:asciiTheme="minorEastAsia" w:hAnsiTheme="minorEastAsia"/>
          <w:color w:val="000000" w:themeColor="text1"/>
          <w:kern w:val="0"/>
          <w:szCs w:val="21"/>
          <w14:textFill>
            <w14:solidFill>
              <w14:schemeClr w14:val="tx1"/>
            </w14:solidFill>
          </w14:textFill>
        </w:rPr>
        <w:t>度比</w:t>
      </w:r>
      <m:oMath>
        <m:r>
          <w:rPr>
            <w:rFonts w:ascii="Cambria Math" w:hAnsi="Cambria Math" w:cs="MS Mincho"/>
            <w:color w:val="000000" w:themeColor="text1"/>
            <w:kern w:val="0"/>
            <w:szCs w:val="21"/>
            <w14:textFill>
              <w14:solidFill>
                <w14:schemeClr w14:val="tx1"/>
              </w14:solidFill>
            </w14:textFill>
          </w:rPr>
          <m:t>I</m:t>
        </m:r>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n</m:t>
            </m:r>
            <m:ctrlPr>
              <w:rPr>
                <w:rFonts w:ascii="Cambria Math" w:hAnsi="Cambria Math" w:cs="MS Mincho"/>
                <w:i/>
                <w:color w:val="000000" w:themeColor="text1"/>
                <w:kern w:val="0"/>
                <w:szCs w:val="21"/>
                <w14:textFill>
                  <w14:solidFill>
                    <w14:schemeClr w14:val="tx1"/>
                  </w14:solidFill>
                </w14:textFill>
              </w:rPr>
            </m:ctrlPr>
          </m:sub>
        </m:sSub>
        <m:r>
          <w:rPr>
            <w:rFonts w:ascii="Cambria Math" w:hAnsi="Cambria Math" w:cs="MS Mincho"/>
            <w:color w:val="000000" w:themeColor="text1"/>
            <w:kern w:val="0"/>
            <w:szCs w:val="21"/>
            <w14:textFill>
              <w14:solidFill>
                <w14:schemeClr w14:val="tx1"/>
              </w14:solidFill>
            </w14:textFill>
          </w:rPr>
          <m:t>/</m:t>
        </m:r>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I</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1</m:t>
            </m:r>
            <m:ctrlPr>
              <w:rPr>
                <w:rFonts w:ascii="Cambria Math" w:hAnsi="Cambria Math" w:cs="MS Mincho"/>
                <w:i/>
                <w:color w:val="000000" w:themeColor="text1"/>
                <w:kern w:val="0"/>
                <w:szCs w:val="21"/>
                <w14:textFill>
                  <w14:solidFill>
                    <w14:schemeClr w14:val="tx1"/>
                  </w14:solidFill>
                </w14:textFill>
              </w:rPr>
            </m:ctrlPr>
          </m:sub>
        </m:sSub>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1n</m:t>
            </m:r>
            <m:ctrlPr>
              <w:rPr>
                <w:rFonts w:ascii="Cambria Math" w:hAnsi="Cambria Math" w:cs="MS Mincho"/>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宜大于10；</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4）在柱肢段上</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牛腿</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应设</w:t>
      </w:r>
      <w:r>
        <w:rPr>
          <w:rFonts w:hint="eastAsia" w:cs="MS Mincho" w:asciiTheme="minorEastAsia" w:hAnsiTheme="minorEastAsia"/>
          <w:color w:val="000000" w:themeColor="text1"/>
          <w:kern w:val="0"/>
          <w:szCs w:val="21"/>
          <w14:textFill>
            <w14:solidFill>
              <w14:schemeClr w14:val="tx1"/>
            </w14:solidFill>
          </w14:textFill>
        </w:rPr>
        <w:t>置与牛腿整体相</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且截面高</w:t>
      </w:r>
      <w:r>
        <w:rPr>
          <w:rFonts w:hint="eastAsia" w:cs="HiddenHorzOCR" w:asciiTheme="minorEastAsia" w:hAnsiTheme="minorEastAsia"/>
          <w:color w:val="000000" w:themeColor="text1"/>
          <w:kern w:val="0"/>
          <w:szCs w:val="21"/>
          <w14:textFill>
            <w14:solidFill>
              <w14:schemeClr w14:val="tx1"/>
            </w14:solidFill>
          </w14:textFill>
        </w:rPr>
        <w:t>度与牛腿高度相同的平腹杆。</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双肢柱杆件中</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筋的配置，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1）肢杆与腹杆中全部</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筋的配筋率不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小于表</w:t>
      </w:r>
      <w:r>
        <w:rPr>
          <w:rFonts w:hint="eastAsia" w:cs="HiddenHorzOCR" w:asciiTheme="minorEastAsia" w:hAnsiTheme="minorEastAsia"/>
          <w:color w:val="000000" w:themeColor="text1"/>
          <w:kern w:val="0"/>
          <w:szCs w:val="21"/>
          <w14:textFill>
            <w14:solidFill>
              <w14:schemeClr w14:val="tx1"/>
            </w14:solidFill>
          </w14:textFill>
        </w:rPr>
        <w:t xml:space="preserve">7.4.8-1 </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定的数</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315" w:leftChars="5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 </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表7.4.8-1</w:t>
      </w:r>
      <w:r>
        <w:rPr>
          <w:rFonts w:cs="HiddenHorzOCR" w:asciiTheme="minorEastAsia" w:hAnsiTheme="minorEastAsia"/>
          <w:color w:val="000000" w:themeColor="text1"/>
          <w:kern w:val="0"/>
          <w:szCs w:val="21"/>
          <w14:textFill>
            <w14:solidFill>
              <w14:schemeClr w14:val="tx1"/>
            </w14:solidFill>
          </w14:textFill>
        </w:rPr>
        <w:t xml:space="preserve">   </w:t>
      </w:r>
      <w:bookmarkStart w:id="142" w:name="_Hlk24903325"/>
      <w:r>
        <w:rPr>
          <w:rFonts w:hint="eastAsia" w:cs="HiddenHorzOCR" w:asciiTheme="minorEastAsia" w:hAnsiTheme="minorEastAsia"/>
          <w:color w:val="000000" w:themeColor="text1"/>
          <w:kern w:val="0"/>
          <w:szCs w:val="21"/>
          <w14:textFill>
            <w14:solidFill>
              <w14:schemeClr w14:val="tx1"/>
            </w14:solidFill>
          </w14:textFill>
        </w:rPr>
        <w:t>纵向钢筋最小配筋率（%）</w:t>
      </w:r>
      <w:bookmarkEnd w:id="142"/>
    </w:p>
    <w:tbl>
      <w:tblPr>
        <w:tblStyle w:val="132"/>
        <w:tblpPr w:leftFromText="180" w:rightFromText="180" w:vertAnchor="text" w:horzAnchor="page" w:tblpX="2362" w:tblpY="3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57" w:type="dxa"/>
          <w:right w:w="108" w:type="dxa"/>
        </w:tblCellMar>
      </w:tblPr>
      <w:tblGrid>
        <w:gridCol w:w="1701"/>
        <w:gridCol w:w="1418"/>
        <w:gridCol w:w="1418"/>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57" w:type="dxa"/>
            <w:right w:w="108" w:type="dxa"/>
          </w:tblCellMar>
        </w:tblPrEx>
        <w:tc>
          <w:tcPr>
            <w:tcW w:w="1701" w:type="dxa"/>
            <w:tcBorders>
              <w:top w:val="single" w:color="auto" w:sz="8" w:space="0"/>
              <w:left w:val="single" w:color="auto" w:sz="8" w:space="0"/>
              <w:bottom w:val="single" w:color="auto" w:sz="4"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烈度</w:t>
            </w:r>
          </w:p>
        </w:tc>
        <w:tc>
          <w:tcPr>
            <w:tcW w:w="1418" w:type="dxa"/>
            <w:tcBorders>
              <w:top w:val="single" w:color="auto" w:sz="8" w:space="0"/>
              <w:bottom w:val="single" w:color="auto" w:sz="4"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9度</w:t>
            </w:r>
          </w:p>
        </w:tc>
        <w:tc>
          <w:tcPr>
            <w:tcW w:w="1418" w:type="dxa"/>
            <w:tcBorders>
              <w:top w:val="single" w:color="auto" w:sz="8" w:space="0"/>
              <w:bottom w:val="single" w:color="auto" w:sz="4"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8度</w:t>
            </w:r>
          </w:p>
        </w:tc>
        <w:tc>
          <w:tcPr>
            <w:tcW w:w="1418" w:type="dxa"/>
            <w:tcBorders>
              <w:top w:val="single" w:color="auto" w:sz="8" w:space="0"/>
              <w:bottom w:val="single" w:color="auto" w:sz="4"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7度</w:t>
            </w:r>
          </w:p>
        </w:tc>
        <w:tc>
          <w:tcPr>
            <w:tcW w:w="1418" w:type="dxa"/>
            <w:tcBorders>
              <w:top w:val="single" w:color="auto" w:sz="8" w:space="0"/>
              <w:bottom w:val="single" w:color="auto" w:sz="4" w:space="0"/>
              <w:right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6度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57" w:type="dxa"/>
            <w:right w:w="108" w:type="dxa"/>
          </w:tblCellMar>
        </w:tblPrEx>
        <w:tc>
          <w:tcPr>
            <w:tcW w:w="1701" w:type="dxa"/>
            <w:tcBorders>
              <w:left w:val="single" w:color="auto" w:sz="8" w:space="0"/>
              <w:bottom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肢杆、腹杆</w:t>
            </w:r>
          </w:p>
        </w:tc>
        <w:tc>
          <w:tcPr>
            <w:tcW w:w="1418" w:type="dxa"/>
            <w:tcBorders>
              <w:bottom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0</w:t>
            </w:r>
            <w:r>
              <w:rPr>
                <w:rFonts w:cs="HiddenHorzOCR"/>
                <w:color w:val="000000" w:themeColor="text1"/>
                <w:kern w:val="0"/>
                <w:sz w:val="18"/>
                <w14:textFill>
                  <w14:solidFill>
                    <w14:schemeClr w14:val="tx1"/>
                  </w14:solidFill>
                </w14:textFill>
              </w:rPr>
              <w:t>.7</w:t>
            </w:r>
          </w:p>
        </w:tc>
        <w:tc>
          <w:tcPr>
            <w:tcW w:w="1418" w:type="dxa"/>
            <w:tcBorders>
              <w:bottom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0</w:t>
            </w:r>
            <w:r>
              <w:rPr>
                <w:rFonts w:cs="HiddenHorzOCR"/>
                <w:color w:val="000000" w:themeColor="text1"/>
                <w:kern w:val="0"/>
                <w:sz w:val="18"/>
                <w14:textFill>
                  <w14:solidFill>
                    <w14:schemeClr w14:val="tx1"/>
                  </w14:solidFill>
                </w14:textFill>
              </w:rPr>
              <w:t>.6</w:t>
            </w:r>
          </w:p>
        </w:tc>
        <w:tc>
          <w:tcPr>
            <w:tcW w:w="1418" w:type="dxa"/>
            <w:tcBorders>
              <w:bottom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0</w:t>
            </w:r>
            <w:r>
              <w:rPr>
                <w:rFonts w:cs="HiddenHorzOCR"/>
                <w:color w:val="000000" w:themeColor="text1"/>
                <w:kern w:val="0"/>
                <w:sz w:val="18"/>
                <w14:textFill>
                  <w14:solidFill>
                    <w14:schemeClr w14:val="tx1"/>
                  </w14:solidFill>
                </w14:textFill>
              </w:rPr>
              <w:t>.5</w:t>
            </w:r>
          </w:p>
        </w:tc>
        <w:tc>
          <w:tcPr>
            <w:tcW w:w="1418" w:type="dxa"/>
            <w:tcBorders>
              <w:bottom w:val="single" w:color="auto" w:sz="8" w:space="0"/>
              <w:right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0</w:t>
            </w:r>
            <w:r>
              <w:rPr>
                <w:rFonts w:cs="HiddenHorzOCR"/>
                <w:color w:val="000000" w:themeColor="text1"/>
                <w:kern w:val="0"/>
                <w:sz w:val="18"/>
                <w14:textFill>
                  <w14:solidFill>
                    <w14:schemeClr w14:val="tx1"/>
                  </w14:solidFill>
                </w14:textFill>
              </w:rPr>
              <w:t>.5</w:t>
            </w:r>
          </w:p>
        </w:tc>
      </w:tr>
    </w:tbl>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2）肢杆中全部</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筋的配筋率，</w:t>
      </w:r>
      <w:r>
        <w:rPr>
          <w:rFonts w:hint="eastAsia" w:cs="宋体" w:asciiTheme="minorEastAsia" w:hAnsiTheme="minorEastAsia"/>
          <w:color w:val="000000" w:themeColor="text1"/>
          <w:kern w:val="0"/>
          <w:szCs w:val="21"/>
          <w14:textFill>
            <w14:solidFill>
              <w14:schemeClr w14:val="tx1"/>
            </w14:solidFill>
          </w14:textFill>
        </w:rPr>
        <w:t>对</w:t>
      </w:r>
      <w:r>
        <w:rPr>
          <w:rFonts w:hint="eastAsia" w:cs="HiddenHorzOCR" w:asciiTheme="minorEastAsia" w:hAnsiTheme="minorEastAsia"/>
          <w:color w:val="000000" w:themeColor="text1"/>
          <w:kern w:val="0"/>
          <w:szCs w:val="21"/>
          <w14:textFill>
            <w14:solidFill>
              <w14:schemeClr w14:val="tx1"/>
            </w14:solidFill>
          </w14:textFill>
        </w:rPr>
        <w:t>Ⅱ，Ⅲ</w:t>
      </w:r>
      <w:r>
        <w:rPr>
          <w:rFonts w:hint="eastAsia" w:cs="宋体" w:asciiTheme="minorEastAsia" w:hAnsiTheme="minorEastAsia"/>
          <w:color w:val="000000" w:themeColor="text1"/>
          <w:kern w:val="0"/>
          <w:szCs w:val="21"/>
          <w14:textFill>
            <w14:solidFill>
              <w14:schemeClr w14:val="tx1"/>
            </w14:solidFill>
          </w14:textFill>
        </w:rPr>
        <w:t>级钢</w:t>
      </w:r>
      <w:r>
        <w:rPr>
          <w:rFonts w:hint="eastAsia" w:cs="MS Mincho" w:asciiTheme="minorEastAsia" w:hAnsiTheme="minorEastAsia"/>
          <w:color w:val="000000" w:themeColor="text1"/>
          <w:kern w:val="0"/>
          <w:szCs w:val="21"/>
          <w14:textFill>
            <w14:solidFill>
              <w14:schemeClr w14:val="tx1"/>
            </w14:solidFill>
          </w14:textFill>
        </w:rPr>
        <w:t>筋不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4%；</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3）烈度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m:oMath>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n</m:t>
            </m:r>
            <m:ctrlPr>
              <w:rPr>
                <w:rFonts w:ascii="Cambria Math" w:hAnsi="Cambria Math" w:cs="MS Mincho"/>
                <w:i/>
                <w:color w:val="000000" w:themeColor="text1"/>
                <w:kern w:val="0"/>
                <w:szCs w:val="21"/>
                <w14:textFill>
                  <w14:solidFill>
                    <w14:schemeClr w14:val="tx1"/>
                  </w14:solidFill>
                </w14:textFill>
              </w:rPr>
            </m:ctrlPr>
          </m:sub>
        </m:sSub>
        <m: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eastAsia="MS Mincho" w:cs="MS Mincho"/>
                <w:i/>
                <w:color w:val="000000" w:themeColor="text1"/>
                <w:kern w:val="0"/>
                <w:szCs w:val="21"/>
                <w14:textFill>
                  <w14:solidFill>
                    <w14:schemeClr w14:val="tx1"/>
                  </w14:solidFill>
                </w14:textFill>
              </w:rPr>
            </m:ctrlPr>
          </m:sSubPr>
          <m:e>
            <m:r>
              <w:rPr>
                <w:rFonts w:ascii="Cambria Math" w:hAnsi="Cambria Math" w:eastAsia="MS Mincho" w:cs="MS Mincho"/>
                <w:color w:val="000000" w:themeColor="text1"/>
                <w:kern w:val="0"/>
                <w:szCs w:val="21"/>
                <w14:textFill>
                  <w14:solidFill>
                    <w14:schemeClr w14:val="tx1"/>
                  </w14:solidFill>
                </w14:textFill>
              </w:rPr>
              <m:t>h</m:t>
            </m:r>
            <m:ctrlPr>
              <w:rPr>
                <w:rFonts w:ascii="Cambria Math" w:hAnsi="Cambria Math" w:eastAsia="MS Mincho" w:cs="MS Mincho"/>
                <w:i/>
                <w:color w:val="000000" w:themeColor="text1"/>
                <w:kern w:val="0"/>
                <w:szCs w:val="21"/>
                <w14:textFill>
                  <w14:solidFill>
                    <w14:schemeClr w14:val="tx1"/>
                  </w14:solidFill>
                </w14:textFill>
              </w:rPr>
            </m:ctrlPr>
          </m:e>
          <m:sub>
            <m:r>
              <w:rPr>
                <w:rFonts w:ascii="Cambria Math" w:hAnsi="Cambria Math" w:eastAsia="MS Mincho" w:cs="MS Mincho"/>
                <w:color w:val="000000" w:themeColor="text1"/>
                <w:kern w:val="0"/>
                <w:szCs w:val="21"/>
                <w14:textFill>
                  <w14:solidFill>
                    <w14:schemeClr w14:val="tx1"/>
                  </w14:solidFill>
                </w14:textFill>
              </w:rPr>
              <m:t>1</m:t>
            </m:r>
            <m:ctrlPr>
              <w:rPr>
                <w:rFonts w:ascii="Cambria Math" w:hAnsi="Cambria Math" w:eastAsia="MS Mincho" w:cs="MS Mincho"/>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 xml:space="preserve">=3～4 </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，肢杆的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向受拉</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(一</w:t>
      </w:r>
      <w:r>
        <w:rPr>
          <w:rFonts w:hint="eastAsia" w:cs="宋体" w:asciiTheme="minorEastAsia" w:hAnsiTheme="minorEastAsia"/>
          <w:color w:val="000000" w:themeColor="text1"/>
          <w:kern w:val="0"/>
          <w:szCs w:val="21"/>
          <w14:textFill>
            <w14:solidFill>
              <w14:schemeClr w14:val="tx1"/>
            </w14:solidFill>
          </w14:textFill>
        </w:rPr>
        <w:t>侧纵</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)的配筋率不宜大于</w:t>
      </w:r>
      <w:bookmarkStart w:id="143" w:name="_Hlk24686914"/>
      <w:r>
        <w:rPr>
          <w:rFonts w:hint="eastAsia" w:cs="HiddenHorzOCR" w:asciiTheme="minorEastAsia" w:hAnsiTheme="minorEastAsia"/>
          <w:color w:val="000000" w:themeColor="text1"/>
          <w:kern w:val="0"/>
          <w:szCs w:val="21"/>
          <w14:textFill>
            <w14:solidFill>
              <w14:schemeClr w14:val="tx1"/>
            </w14:solidFill>
          </w14:textFill>
        </w:rPr>
        <w:t>表7.4.8-2</w:t>
      </w:r>
      <w:bookmarkEnd w:id="143"/>
      <w:r>
        <w:rPr>
          <w:rFonts w:hint="eastAsia" w:cs="HiddenHorzOCR" w:asciiTheme="minorEastAsia" w:hAnsiTheme="minorEastAsia"/>
          <w:color w:val="000000" w:themeColor="text1"/>
          <w:kern w:val="0"/>
          <w:szCs w:val="21"/>
          <w14:textFill>
            <w14:solidFill>
              <w14:schemeClr w14:val="tx1"/>
            </w14:solidFill>
          </w14:textFill>
        </w:rPr>
        <w:t xml:space="preserve"> 的限</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采用复合箍</w:t>
      </w:r>
      <w:r>
        <w:rPr>
          <w:rFonts w:hint="eastAsia" w:cs="HiddenHorzOCR" w:asciiTheme="minorEastAsia" w:hAnsiTheme="minorEastAsia"/>
          <w:color w:val="000000" w:themeColor="text1"/>
          <w:kern w:val="0"/>
          <w:szCs w:val="21"/>
          <w14:textFill>
            <w14:solidFill>
              <w14:schemeClr w14:val="tx1"/>
            </w14:solidFill>
          </w14:textFill>
        </w:rPr>
        <w:t>筋或短形螺旋复合箍筋；</w:t>
      </w:r>
    </w:p>
    <w:p>
      <w:pPr>
        <w:autoSpaceDE w:val="0"/>
        <w:autoSpaceDN w:val="0"/>
        <w:spacing w:line="360" w:lineRule="auto"/>
        <w:ind w:firstLine="2520" w:firstLineChars="12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表7.4.8-2</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纵向受拉钢筋配筋率限值（%）</w:t>
      </w:r>
    </w:p>
    <w:tbl>
      <w:tblPr>
        <w:tblStyle w:val="33"/>
        <w:tblW w:w="41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4146"/>
        <w:gridCol w:w="1689"/>
        <w:gridCol w:w="1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701" w:type="pct"/>
            <w:tcBorders>
              <w:top w:val="single" w:color="auto" w:sz="8" w:space="0"/>
              <w:left w:val="single" w:color="auto" w:sz="8" w:space="0"/>
              <w:tl2br w:val="single" w:color="auto" w:sz="4"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 xml:space="preserve"> </w:t>
            </w:r>
            <w:r>
              <w:rPr>
                <w:rFonts w:cs="HiddenHorzOCR"/>
                <w:color w:val="000000" w:themeColor="text1"/>
                <w:kern w:val="0"/>
                <w:sz w:val="18"/>
                <w14:textFill>
                  <w14:solidFill>
                    <w14:schemeClr w14:val="tx1"/>
                  </w14:solidFill>
                </w14:textFill>
              </w:rPr>
              <w:t xml:space="preserve">                     </w:t>
            </w:r>
            <w:r>
              <w:rPr>
                <w:rFonts w:cs="HiddenHorzOCR"/>
                <w:i/>
                <w:color w:val="000000" w:themeColor="text1"/>
                <w:kern w:val="0"/>
                <w:sz w:val="18"/>
                <w14:textFill>
                  <w14:solidFill>
                    <w14:schemeClr w14:val="tx1"/>
                  </w14:solidFill>
                </w14:textFill>
              </w:rPr>
              <w:t>l</w:t>
            </w:r>
            <w:r>
              <w:rPr>
                <w:rFonts w:cs="HiddenHorzOCR"/>
                <w:color w:val="000000" w:themeColor="text1"/>
                <w:kern w:val="0"/>
                <w:sz w:val="18"/>
                <w:vertAlign w:val="subscript"/>
                <w14:textFill>
                  <w14:solidFill>
                    <w14:schemeClr w14:val="tx1"/>
                  </w14:solidFill>
                </w14:textFill>
              </w:rPr>
              <w:t>n</w:t>
            </w:r>
            <w:r>
              <w:rPr>
                <w:rFonts w:hint="eastAsia" w:cs="HiddenHorzOCR"/>
                <w:color w:val="000000" w:themeColor="text1"/>
                <w:kern w:val="0"/>
                <w:sz w:val="18"/>
                <w:vertAlign w:val="subscript"/>
                <w14:textFill>
                  <w14:solidFill>
                    <w14:schemeClr w14:val="tx1"/>
                  </w14:solidFill>
                </w14:textFill>
              </w:rPr>
              <w:t xml:space="preserve"> </w:t>
            </w:r>
            <w:r>
              <w:rPr>
                <w:rFonts w:hint="eastAsia" w:cs="HiddenHorzOCR"/>
                <w:color w:val="000000" w:themeColor="text1"/>
                <w:kern w:val="0"/>
                <w:sz w:val="18"/>
                <w14:textFill>
                  <w14:solidFill>
                    <w14:schemeClr w14:val="tx1"/>
                  </w14:solidFill>
                </w14:textFill>
              </w:rPr>
              <w:t xml:space="preserve">/ </w:t>
            </w:r>
            <w:r>
              <w:rPr>
                <w:rFonts w:cs="HiddenHorzOCR"/>
                <w:i/>
                <w:color w:val="000000" w:themeColor="text1"/>
                <w:kern w:val="0"/>
                <w:sz w:val="18"/>
                <w14:textFill>
                  <w14:solidFill>
                    <w14:schemeClr w14:val="tx1"/>
                  </w14:solidFill>
                </w14:textFill>
              </w:rPr>
              <w:t>h</w:t>
            </w:r>
            <w:r>
              <w:rPr>
                <w:rFonts w:cs="HiddenHorzOCR"/>
                <w:color w:val="000000" w:themeColor="text1"/>
                <w:kern w:val="0"/>
                <w:sz w:val="18"/>
                <w:vertAlign w:val="subscript"/>
                <w14:textFill>
                  <w14:solidFill>
                    <w14:schemeClr w14:val="tx1"/>
                  </w14:solidFill>
                </w14:textFill>
              </w:rPr>
              <w:t>l</w:t>
            </w:r>
          </w:p>
          <w:p>
            <w:pPr>
              <w:spacing w:line="312" w:lineRule="auto"/>
              <w:ind w:firstLine="0" w:firstLineChars="0"/>
              <w:jc w:val="left"/>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混凝土强度等级</w:t>
            </w:r>
          </w:p>
        </w:tc>
        <w:tc>
          <w:tcPr>
            <w:tcW w:w="1100" w:type="pct"/>
            <w:tcBorders>
              <w:top w:val="single" w:color="auto" w:sz="8" w:space="0"/>
            </w:tcBorders>
            <w:vAlign w:val="center"/>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3</w:t>
            </w:r>
          </w:p>
        </w:tc>
        <w:tc>
          <w:tcPr>
            <w:tcW w:w="1199" w:type="pct"/>
            <w:tcBorders>
              <w:top w:val="single" w:color="auto" w:sz="8" w:space="0"/>
              <w:right w:val="single" w:color="auto" w:sz="8" w:space="0"/>
            </w:tcBorders>
            <w:vAlign w:val="center"/>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701" w:type="pct"/>
            <w:tcBorders>
              <w:left w:val="single" w:color="auto" w:sz="8" w:space="0"/>
              <w:bottom w:val="single" w:color="auto" w:sz="4"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C</w:t>
            </w:r>
            <w:r>
              <w:rPr>
                <w:rFonts w:cs="HiddenHorzOCR"/>
                <w:color w:val="000000" w:themeColor="text1"/>
                <w:kern w:val="0"/>
                <w:sz w:val="18"/>
                <w14:textFill>
                  <w14:solidFill>
                    <w14:schemeClr w14:val="tx1"/>
                  </w14:solidFill>
                </w14:textFill>
              </w:rPr>
              <w:t>30</w:t>
            </w:r>
          </w:p>
        </w:tc>
        <w:tc>
          <w:tcPr>
            <w:tcW w:w="1100" w:type="pct"/>
            <w:tcBorders>
              <w:bottom w:val="single" w:color="auto" w:sz="4"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1</w:t>
            </w:r>
            <w:r>
              <w:rPr>
                <w:rFonts w:cs="HiddenHorzOCR"/>
                <w:color w:val="000000" w:themeColor="text1"/>
                <w:kern w:val="0"/>
                <w:sz w:val="18"/>
                <w14:textFill>
                  <w14:solidFill>
                    <w14:schemeClr w14:val="tx1"/>
                  </w14:solidFill>
                </w14:textFill>
              </w:rPr>
              <w:t>.20</w:t>
            </w:r>
          </w:p>
        </w:tc>
        <w:tc>
          <w:tcPr>
            <w:tcW w:w="1199" w:type="pct"/>
            <w:tcBorders>
              <w:bottom w:val="single" w:color="auto" w:sz="4" w:space="0"/>
              <w:right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1</w:t>
            </w:r>
            <w:r>
              <w:rPr>
                <w:rFonts w:cs="HiddenHorzOCR"/>
                <w:color w:val="000000" w:themeColor="text1"/>
                <w:kern w:val="0"/>
                <w:sz w:val="18"/>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701" w:type="pct"/>
            <w:tcBorders>
              <w:left w:val="single" w:color="auto" w:sz="8" w:space="0"/>
              <w:bottom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C</w:t>
            </w:r>
            <w:r>
              <w:rPr>
                <w:rFonts w:cs="HiddenHorzOCR"/>
                <w:color w:val="000000" w:themeColor="text1"/>
                <w:kern w:val="0"/>
                <w:sz w:val="18"/>
                <w14:textFill>
                  <w14:solidFill>
                    <w14:schemeClr w14:val="tx1"/>
                  </w14:solidFill>
                </w14:textFill>
              </w:rPr>
              <w:t>35</w:t>
            </w:r>
          </w:p>
        </w:tc>
        <w:tc>
          <w:tcPr>
            <w:tcW w:w="1100" w:type="pct"/>
            <w:tcBorders>
              <w:bottom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1</w:t>
            </w:r>
            <w:r>
              <w:rPr>
                <w:rFonts w:cs="HiddenHorzOCR"/>
                <w:color w:val="000000" w:themeColor="text1"/>
                <w:kern w:val="0"/>
                <w:sz w:val="18"/>
                <w14:textFill>
                  <w14:solidFill>
                    <w14:schemeClr w14:val="tx1"/>
                  </w14:solidFill>
                </w14:textFill>
              </w:rPr>
              <w:t>.40</w:t>
            </w:r>
          </w:p>
        </w:tc>
        <w:tc>
          <w:tcPr>
            <w:tcW w:w="1199" w:type="pct"/>
            <w:tcBorders>
              <w:bottom w:val="single" w:color="auto" w:sz="8" w:space="0"/>
              <w:right w:val="single" w:color="auto" w:sz="8" w:space="0"/>
            </w:tcBorders>
          </w:tcPr>
          <w:p>
            <w:pPr>
              <w:spacing w:line="312" w:lineRule="auto"/>
              <w:ind w:firstLine="0" w:firstLineChars="0"/>
              <w:jc w:val="center"/>
              <w:rPr>
                <w:rFonts w:cs="HiddenHorzOCR"/>
                <w:color w:val="000000" w:themeColor="text1"/>
                <w:kern w:val="0"/>
                <w:sz w:val="18"/>
                <w14:textFill>
                  <w14:solidFill>
                    <w14:schemeClr w14:val="tx1"/>
                  </w14:solidFill>
                </w14:textFill>
              </w:rPr>
            </w:pPr>
            <w:r>
              <w:rPr>
                <w:rFonts w:hint="eastAsia" w:cs="HiddenHorzOCR"/>
                <w:color w:val="000000" w:themeColor="text1"/>
                <w:kern w:val="0"/>
                <w:sz w:val="18"/>
                <w14:textFill>
                  <w14:solidFill>
                    <w14:schemeClr w14:val="tx1"/>
                  </w14:solidFill>
                </w14:textFill>
              </w:rPr>
              <w:t>1</w:t>
            </w:r>
            <w:r>
              <w:rPr>
                <w:rFonts w:cs="HiddenHorzOCR"/>
                <w:color w:val="000000" w:themeColor="text1"/>
                <w:kern w:val="0"/>
                <w:sz w:val="18"/>
                <w14:textFill>
                  <w14:solidFill>
                    <w14:schemeClr w14:val="tx1"/>
                  </w14:solidFill>
                </w14:textFill>
              </w:rPr>
              <w:t>.65</w:t>
            </w:r>
          </w:p>
        </w:tc>
      </w:tr>
    </w:tbl>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4）肢杆</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筋直径不宜小于</w:t>
      </w:r>
      <w:r>
        <w:rPr>
          <w:rFonts w:hint="eastAsia" w:cs="HiddenHorzOCR" w:asciiTheme="minorEastAsia" w:hAnsiTheme="minorEastAsia"/>
          <w:color w:val="000000" w:themeColor="text1"/>
          <w:kern w:val="0"/>
          <w:szCs w:val="21"/>
          <w14:textFill>
            <w14:solidFill>
              <w14:schemeClr w14:val="tx1"/>
            </w14:solidFill>
          </w14:textFill>
        </w:rPr>
        <w:t>16mm，并宜</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称配置</w:t>
      </w:r>
      <w:r>
        <w:rPr>
          <w:rFonts w:hint="eastAsia" w:cs="HiddenHorzOCR" w:asciiTheme="minorEastAsia" w:hAnsiTheme="minorEastAsia"/>
          <w:color w:val="000000" w:themeColor="text1"/>
          <w:kern w:val="0"/>
          <w:szCs w:val="21"/>
          <w14:textFill>
            <w14:solidFill>
              <w14:schemeClr w14:val="tx1"/>
            </w14:solidFill>
          </w14:textFill>
        </w:rPr>
        <w:t>；截面尺寸大于400mm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距不宜大于</w:t>
      </w:r>
      <w:r>
        <w:rPr>
          <w:rFonts w:hint="eastAsia" w:cs="HiddenHorzOCR" w:asciiTheme="minorEastAsia" w:hAnsiTheme="minorEastAsia"/>
          <w:color w:val="000000" w:themeColor="text1"/>
          <w:kern w:val="0"/>
          <w:szCs w:val="21"/>
          <w14:textFill>
            <w14:solidFill>
              <w14:schemeClr w14:val="tx1"/>
            </w14:solidFill>
          </w14:textFill>
        </w:rPr>
        <w:t>200mm；双肢柱的两肢杆配筋宜相同。</w:t>
      </w:r>
    </w:p>
    <w:p>
      <w:pPr>
        <w:autoSpaceDE w:val="0"/>
        <w:autoSpaceDN w:val="0"/>
        <w:spacing w:line="360" w:lineRule="auto"/>
        <w:ind w:left="1050" w:leftChars="500"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筋不宜在</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点中切断，</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筋接</w:t>
      </w:r>
      <w:r>
        <w:rPr>
          <w:rFonts w:hint="eastAsia" w:cs="宋体" w:asciiTheme="minorEastAsia" w:hAnsiTheme="minorEastAsia"/>
          <w:color w:val="000000" w:themeColor="text1"/>
          <w:kern w:val="0"/>
          <w:szCs w:val="21"/>
          <w14:textFill>
            <w14:solidFill>
              <w14:schemeClr w14:val="tx1"/>
            </w14:solidFill>
          </w14:textFill>
        </w:rPr>
        <w:t>头</w:t>
      </w:r>
      <w:r>
        <w:rPr>
          <w:rFonts w:hint="eastAsia" w:cs="MS Mincho" w:asciiTheme="minorEastAsia" w:hAnsiTheme="minorEastAsia"/>
          <w:color w:val="000000" w:themeColor="text1"/>
          <w:kern w:val="0"/>
          <w:szCs w:val="21"/>
          <w14:textFill>
            <w14:solidFill>
              <w14:schemeClr w14:val="tx1"/>
            </w14:solidFill>
          </w14:textFill>
        </w:rPr>
        <w:t>宜尽量</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置在肢</w:t>
      </w:r>
      <w:r>
        <w:rPr>
          <w:rFonts w:hint="eastAsia" w:cs="宋体" w:asciiTheme="minorEastAsia" w:hAnsiTheme="minorEastAsia"/>
          <w:color w:val="000000" w:themeColor="text1"/>
          <w:kern w:val="0"/>
          <w:szCs w:val="21"/>
          <w14:textFill>
            <w14:solidFill>
              <w14:schemeClr w14:val="tx1"/>
            </w14:solidFill>
          </w14:textFill>
        </w:rPr>
        <w:t>节间</w:t>
      </w:r>
      <w:r>
        <w:rPr>
          <w:rFonts w:hint="eastAsia" w:cs="HiddenHorzOCR" w:asciiTheme="minorEastAsia" w:hAnsiTheme="minorEastAsia"/>
          <w:color w:val="000000" w:themeColor="text1"/>
          <w:kern w:val="0"/>
          <w:szCs w:val="21"/>
          <w14:textFill>
            <w14:solidFill>
              <w14:schemeClr w14:val="tx1"/>
            </w14:solidFill>
          </w14:textFill>
        </w:rPr>
        <w:t>的中部；烈度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筋接</w:t>
      </w:r>
      <w:r>
        <w:rPr>
          <w:rFonts w:hint="eastAsia" w:cs="宋体" w:asciiTheme="minorEastAsia" w:hAnsiTheme="minorEastAsia"/>
          <w:color w:val="000000" w:themeColor="text1"/>
          <w:kern w:val="0"/>
          <w:szCs w:val="21"/>
          <w14:textFill>
            <w14:solidFill>
              <w14:schemeClr w14:val="tx1"/>
            </w14:solidFill>
          </w14:textFill>
        </w:rPr>
        <w:t>头</w:t>
      </w:r>
      <w:r>
        <w:rPr>
          <w:rFonts w:hint="eastAsia" w:cs="MS Mincho" w:asciiTheme="minorEastAsia" w:hAnsiTheme="minorEastAsia"/>
          <w:color w:val="000000" w:themeColor="text1"/>
          <w:kern w:val="0"/>
          <w:szCs w:val="21"/>
          <w14:textFill>
            <w14:solidFill>
              <w14:schemeClr w14:val="tx1"/>
            </w14:solidFill>
          </w14:textFill>
        </w:rPr>
        <w:t>宜全部采用</w:t>
      </w:r>
      <w:r>
        <w:rPr>
          <w:rFonts w:hint="eastAsia" w:cs="宋体" w:asciiTheme="minorEastAsia" w:hAnsiTheme="minorEastAsia"/>
          <w:color w:val="000000" w:themeColor="text1"/>
          <w:kern w:val="0"/>
          <w:szCs w:val="21"/>
          <w14:textFill>
            <w14:solidFill>
              <w14:schemeClr w14:val="tx1"/>
            </w14:solidFill>
          </w14:textFill>
        </w:rPr>
        <w:t>闪</w:t>
      </w:r>
      <w:r>
        <w:rPr>
          <w:rFonts w:hint="eastAsia" w:cs="MS Mincho" w:asciiTheme="minorEastAsia" w:hAnsiTheme="minorEastAsia"/>
          <w:color w:val="000000" w:themeColor="text1"/>
          <w:kern w:val="0"/>
          <w:szCs w:val="21"/>
          <w14:textFill>
            <w14:solidFill>
              <w14:schemeClr w14:val="tx1"/>
            </w14:solidFill>
          </w14:textFill>
        </w:rPr>
        <w:t>光</w:t>
      </w:r>
      <w:r>
        <w:rPr>
          <w:rFonts w:hint="eastAsia" w:cs="宋体" w:asciiTheme="minorEastAsia" w:hAnsiTheme="minorEastAsia"/>
          <w:color w:val="000000" w:themeColor="text1"/>
          <w:kern w:val="0"/>
          <w:szCs w:val="21"/>
          <w14:textFill>
            <w14:solidFill>
              <w14:schemeClr w14:val="tx1"/>
            </w14:solidFill>
          </w14:textFill>
        </w:rPr>
        <w:t>对焊</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头</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双肢柱的箍筋配置，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梁、牛腿和柱底区段的箍筋，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符合第</w:t>
      </w:r>
      <w:r>
        <w:rPr>
          <w:rFonts w:hint="eastAsia" w:cs="HiddenHorzOCR" w:asciiTheme="minorEastAsia" w:hAnsiTheme="minorEastAsia"/>
          <w:color w:val="000000" w:themeColor="text1"/>
          <w:kern w:val="0"/>
          <w:szCs w:val="21"/>
          <w14:textFill>
            <w14:solidFill>
              <w14:schemeClr w14:val="tx1"/>
            </w14:solidFill>
          </w14:textFill>
        </w:rPr>
        <w:t>7.4.6条</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定的加密要求。</w:t>
      </w:r>
    </w:p>
    <w:p>
      <w:pPr>
        <w:autoSpaceDE w:val="0"/>
        <w:autoSpaceDN w:val="0"/>
        <w:spacing w:line="360" w:lineRule="auto"/>
        <w:ind w:left="1260" w:leftChars="400" w:hanging="420" w:hangingChars="200"/>
        <w:jc w:val="left"/>
        <w:rPr>
          <w:color w:val="000000" w:themeColor="text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2）在</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点全高及其上、下不小于肢杆截面高度范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MS Mincho" w:asciiTheme="minorEastAsia" w:hAnsiTheme="minorEastAsia"/>
          <w:color w:val="000000" w:themeColor="text1"/>
          <w:kern w:val="0"/>
          <w:szCs w:val="21"/>
          <w14:textFill>
            <w14:solidFill>
              <w14:schemeClr w14:val="tx1"/>
            </w14:solidFill>
          </w14:textFill>
        </w:rPr>
        <w:t>内，肢</w:t>
      </w:r>
      <w:r>
        <w:rPr>
          <w:rFonts w:hint="eastAsia" w:cs="HiddenHorzOCR" w:asciiTheme="minorEastAsia" w:hAnsiTheme="minorEastAsia"/>
          <w:color w:val="000000" w:themeColor="text1"/>
          <w:kern w:val="0"/>
          <w:szCs w:val="21"/>
          <w14:textFill>
            <w14:solidFill>
              <w14:schemeClr w14:val="tx1"/>
            </w14:solidFill>
          </w14:textFill>
        </w:rPr>
        <w:t>杆的箍筋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加密</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7.4.8-1）。</w:t>
      </w:r>
    </w:p>
    <w:p>
      <w:pPr>
        <w:autoSpaceDE w:val="0"/>
        <w:autoSpaceDN w:val="0"/>
        <w:spacing w:line="360" w:lineRule="auto"/>
        <w:ind w:firstLine="42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204085" cy="1758315"/>
            <wp:effectExtent l="0" t="0" r="5715" b="0"/>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36"/>
                    <a:stretch>
                      <a:fillRect/>
                    </a:stretch>
                  </pic:blipFill>
                  <pic:spPr>
                    <a:xfrm>
                      <a:off x="0" y="0"/>
                      <a:ext cx="2204085" cy="1758315"/>
                    </a:xfrm>
                    <a:prstGeom prst="rect">
                      <a:avLst/>
                    </a:prstGeom>
                    <a:noFill/>
                    <a:ln>
                      <a:noFill/>
                    </a:ln>
                  </pic:spPr>
                </pic:pic>
              </a:graphicData>
            </a:graphic>
          </wp:inline>
        </w:drawing>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图7.4.8-1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平腹杆双肢柱肢杆箍筋加密区</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3）腹杆的全</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均</w:t>
      </w:r>
      <w:r>
        <w:rPr>
          <w:rFonts w:hint="eastAsia" w:cs="宋体" w:asciiTheme="minorEastAsia" w:hAnsiTheme="minorEastAsia"/>
          <w:color w:val="000000" w:themeColor="text1"/>
          <w:kern w:val="0"/>
          <w:szCs w:val="21"/>
          <w14:textFill>
            <w14:solidFill>
              <w14:schemeClr w14:val="tx1"/>
            </w14:solidFill>
          </w14:textFill>
        </w:rPr>
        <w:t>应为</w:t>
      </w:r>
      <w:r>
        <w:rPr>
          <w:rFonts w:hint="eastAsia" w:cs="MS Mincho" w:asciiTheme="minorEastAsia" w:hAnsiTheme="minorEastAsia"/>
          <w:color w:val="000000" w:themeColor="text1"/>
          <w:kern w:val="0"/>
          <w:szCs w:val="21"/>
          <w14:textFill>
            <w14:solidFill>
              <w14:schemeClr w14:val="tx1"/>
            </w14:solidFill>
          </w14:textFill>
        </w:rPr>
        <w:t>箍筋加密区。</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4</w:t>
      </w:r>
      <w:r>
        <w:rPr>
          <w:rFonts w:cs="HiddenHorzOCR"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加密区的箍筋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w:t>
      </w:r>
      <w:r>
        <w:rPr>
          <w:rFonts w:hint="eastAsia" w:cs="HiddenHorzOCR" w:asciiTheme="minorEastAsia" w:hAnsiTheme="minorEastAsia"/>
          <w:color w:val="000000" w:themeColor="text1"/>
          <w:kern w:val="0"/>
          <w:szCs w:val="21"/>
          <w14:textFill>
            <w14:solidFill>
              <w14:schemeClr w14:val="tx1"/>
            </w14:solidFill>
          </w14:textFill>
        </w:rPr>
        <w:t>：肢杆和腹杆的箍筋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距均不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100mm，且第一个箍筋</w:t>
      </w:r>
      <w:r>
        <w:rPr>
          <w:rFonts w:hint="eastAsia" w:cs="宋体" w:asciiTheme="minorEastAsia" w:hAnsiTheme="minorEastAsia"/>
          <w:color w:val="000000" w:themeColor="text1"/>
          <w:kern w:val="0"/>
          <w:szCs w:val="21"/>
          <w14:textFill>
            <w14:solidFill>
              <w14:schemeClr w14:val="tx1"/>
            </w14:solidFill>
          </w14:textFill>
        </w:rPr>
        <w:t>应设</w:t>
      </w:r>
      <w:r>
        <w:rPr>
          <w:rFonts w:hint="eastAsia" w:cs="MS Mincho" w:asciiTheme="minorEastAsia" w:hAnsiTheme="minorEastAsia"/>
          <w:color w:val="000000" w:themeColor="text1"/>
          <w:kern w:val="0"/>
          <w:szCs w:val="21"/>
          <w14:textFill>
            <w14:solidFill>
              <w14:schemeClr w14:val="tx1"/>
            </w14:solidFill>
          </w14:textFill>
        </w:rPr>
        <w:t>置在距杆件</w:t>
      </w:r>
      <w:r>
        <w:rPr>
          <w:rFonts w:hint="eastAsia" w:cs="宋体" w:asciiTheme="minorEastAsia" w:hAnsiTheme="minorEastAsia"/>
          <w:color w:val="000000" w:themeColor="text1"/>
          <w:kern w:val="0"/>
          <w:szCs w:val="21"/>
          <w14:textFill>
            <w14:solidFill>
              <w14:schemeClr w14:val="tx1"/>
            </w14:solidFill>
          </w14:textFill>
        </w:rPr>
        <w:t>边缘</w:t>
      </w:r>
      <w:r>
        <w:rPr>
          <w:rFonts w:hint="eastAsia" w:cs="MS Mincho" w:asciiTheme="minorEastAsia" w:hAnsiTheme="minorEastAsia"/>
          <w:color w:val="000000" w:themeColor="text1"/>
          <w:kern w:val="0"/>
          <w:szCs w:val="21"/>
          <w14:textFill>
            <w14:solidFill>
              <w14:schemeClr w14:val="tx1"/>
            </w14:solidFill>
          </w14:textFill>
        </w:rPr>
        <w:t>不大于</w:t>
      </w:r>
      <w:r>
        <w:rPr>
          <w:rFonts w:hint="eastAsia" w:cs="HiddenHorzOCR" w:asciiTheme="minorEastAsia" w:hAnsiTheme="minorEastAsia"/>
          <w:color w:val="000000" w:themeColor="text1"/>
          <w:kern w:val="0"/>
          <w:szCs w:val="21"/>
          <w14:textFill>
            <w14:solidFill>
              <w14:schemeClr w14:val="tx1"/>
            </w14:solidFill>
          </w14:textFill>
        </w:rPr>
        <w:t>50mm</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1050" w:leftChars="500"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加密区的箍筋直径，肢杆和腹杆均不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w:t>
      </w:r>
      <w:r>
        <w:rPr>
          <w:rFonts w:hint="eastAsia" w:cs="HiddenHorzOCR" w:asciiTheme="minorEastAsia" w:hAnsiTheme="minorEastAsia"/>
          <w:color w:val="000000" w:themeColor="text1"/>
          <w:kern w:val="0"/>
          <w:szCs w:val="21"/>
          <w14:textFill>
            <w14:solidFill>
              <w14:schemeClr w14:val="tx1"/>
            </w14:solidFill>
          </w14:textFill>
        </w:rPr>
        <w:t>8mm（烈度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8度和9度）和6mm（烈度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w:t>
      </w:r>
    </w:p>
    <w:p>
      <w:pPr>
        <w:autoSpaceDE w:val="0"/>
        <w:autoSpaceDN w:val="0"/>
        <w:spacing w:line="360" w:lineRule="auto"/>
        <w:ind w:firstLine="1050" w:firstLineChars="500"/>
        <w:jc w:val="left"/>
        <w:rPr>
          <w:rFonts w:cs="MS Mincho"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在柱肢箍筋加密</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度内，箍筋的最小体</w:t>
      </w:r>
      <w:r>
        <w:rPr>
          <w:rFonts w:hint="eastAsia" w:cs="宋体" w:asciiTheme="minorEastAsia" w:hAnsiTheme="minorEastAsia"/>
          <w:color w:val="000000" w:themeColor="text1"/>
          <w:kern w:val="0"/>
          <w:szCs w:val="21"/>
          <w14:textFill>
            <w14:solidFill>
              <w14:schemeClr w14:val="tx1"/>
            </w14:solidFill>
          </w14:textFill>
        </w:rPr>
        <w:t>积</w:t>
      </w:r>
      <w:r>
        <w:rPr>
          <w:rFonts w:hint="eastAsia" w:cs="MS Mincho" w:asciiTheme="minorEastAsia" w:hAnsiTheme="minorEastAsia"/>
          <w:color w:val="000000" w:themeColor="text1"/>
          <w:kern w:val="0"/>
          <w:szCs w:val="21"/>
          <w14:textFill>
            <w14:solidFill>
              <w14:schemeClr w14:val="tx1"/>
            </w14:solidFill>
          </w14:textFill>
        </w:rPr>
        <w:t>配箍率</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符合表</w:t>
      </w:r>
      <w:r>
        <w:rPr>
          <w:rFonts w:hint="eastAsia" w:cs="HiddenHorzOCR" w:asciiTheme="minorEastAsia" w:hAnsiTheme="minorEastAsia"/>
          <w:color w:val="000000" w:themeColor="text1"/>
          <w:kern w:val="0"/>
          <w:szCs w:val="21"/>
          <w14:textFill>
            <w14:solidFill>
              <w14:schemeClr w14:val="tx1"/>
            </w14:solidFill>
          </w14:textFill>
        </w:rPr>
        <w:t>7.4.8-3的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cs="MS Mincho"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表7.4.8-3</w:t>
      </w:r>
      <w:r>
        <w:rPr>
          <w:rFonts w:cs="MS Mincho"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柱肢箍筋加密区最小体积配箍率（%）</w:t>
      </w:r>
    </w:p>
    <w:tbl>
      <w:tblPr>
        <w:tblStyle w:val="3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1701"/>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vMerge w:val="restart"/>
            <w:tcBorders>
              <w:top w:val="single" w:color="auto" w:sz="8" w:space="0"/>
              <w:left w:val="nil"/>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烈  度</w:t>
            </w:r>
          </w:p>
        </w:tc>
        <w:tc>
          <w:tcPr>
            <w:tcW w:w="5103" w:type="dxa"/>
            <w:gridSpan w:val="3"/>
            <w:tcBorders>
              <w:top w:val="single" w:color="auto" w:sz="8" w:space="0"/>
              <w:right w:val="nil"/>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轴  压  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Merge w:val="continue"/>
            <w:tcBorders>
              <w:left w:val="nil"/>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p>
        </w:tc>
        <w:tc>
          <w:tcPr>
            <w:tcW w:w="1701" w:type="dxa"/>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.4</w:t>
            </w:r>
          </w:p>
        </w:tc>
        <w:tc>
          <w:tcPr>
            <w:tcW w:w="1701" w:type="dxa"/>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.4</w:t>
            </w: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.6</w:t>
            </w:r>
          </w:p>
        </w:tc>
        <w:tc>
          <w:tcPr>
            <w:tcW w:w="1701" w:type="dxa"/>
            <w:tcBorders>
              <w:right w:val="nil"/>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Borders>
              <w:left w:val="nil"/>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9度</w:t>
            </w:r>
          </w:p>
        </w:tc>
        <w:tc>
          <w:tcPr>
            <w:tcW w:w="1701" w:type="dxa"/>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.6</w:t>
            </w:r>
          </w:p>
        </w:tc>
        <w:tc>
          <w:tcPr>
            <w:tcW w:w="1701" w:type="dxa"/>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.8</w:t>
            </w:r>
          </w:p>
        </w:tc>
        <w:tc>
          <w:tcPr>
            <w:tcW w:w="1701" w:type="dxa"/>
            <w:tcBorders>
              <w:right w:val="nil"/>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1</w:t>
            </w:r>
            <w:r>
              <w:rPr>
                <w:rFonts w:cs="HiddenHorzOCR"/>
                <w:color w:val="000000" w:themeColor="text1"/>
                <w:kern w:val="0"/>
                <w:sz w:val="18"/>
                <w:szCs w:val="18"/>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Borders>
              <w:left w:val="nil"/>
              <w:bottom w:val="single" w:color="auto" w:sz="4" w:space="0"/>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8度</w:t>
            </w:r>
          </w:p>
        </w:tc>
        <w:tc>
          <w:tcPr>
            <w:tcW w:w="1701" w:type="dxa"/>
            <w:tcBorders>
              <w:bottom w:val="single" w:color="auto" w:sz="4" w:space="0"/>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.5</w:t>
            </w:r>
          </w:p>
        </w:tc>
        <w:tc>
          <w:tcPr>
            <w:tcW w:w="1701" w:type="dxa"/>
            <w:tcBorders>
              <w:bottom w:val="single" w:color="auto" w:sz="4" w:space="0"/>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.7</w:t>
            </w:r>
          </w:p>
        </w:tc>
        <w:tc>
          <w:tcPr>
            <w:tcW w:w="1701" w:type="dxa"/>
            <w:tcBorders>
              <w:bottom w:val="single" w:color="auto" w:sz="4" w:space="0"/>
              <w:right w:val="nil"/>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Borders>
              <w:left w:val="nil"/>
              <w:bottom w:val="single" w:color="auto" w:sz="8" w:space="0"/>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7度</w:t>
            </w:r>
          </w:p>
        </w:tc>
        <w:tc>
          <w:tcPr>
            <w:tcW w:w="1701" w:type="dxa"/>
            <w:tcBorders>
              <w:bottom w:val="single" w:color="auto" w:sz="8" w:space="0"/>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.4</w:t>
            </w:r>
          </w:p>
        </w:tc>
        <w:tc>
          <w:tcPr>
            <w:tcW w:w="1701" w:type="dxa"/>
            <w:tcBorders>
              <w:bottom w:val="single" w:color="auto" w:sz="8" w:space="0"/>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.6</w:t>
            </w:r>
          </w:p>
        </w:tc>
        <w:tc>
          <w:tcPr>
            <w:tcW w:w="1701" w:type="dxa"/>
            <w:tcBorders>
              <w:bottom w:val="single" w:color="auto" w:sz="8" w:space="0"/>
              <w:right w:val="nil"/>
            </w:tcBorders>
            <w:tcMar>
              <w:top w:w="85"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0</w:t>
            </w:r>
            <w:r>
              <w:rPr>
                <w:rFonts w:cs="HiddenHorzOCR"/>
                <w:color w:val="000000" w:themeColor="text1"/>
                <w:kern w:val="0"/>
                <w:sz w:val="18"/>
                <w:szCs w:val="18"/>
                <w14:textFill>
                  <w14:solidFill>
                    <w14:schemeClr w14:val="tx1"/>
                  </w14:solidFill>
                </w14:textFill>
              </w:rPr>
              <w:t>.8</w:t>
            </w:r>
          </w:p>
        </w:tc>
      </w:tr>
    </w:tbl>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5）在箍筋加密区范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MS Mincho" w:asciiTheme="minorEastAsia" w:hAnsiTheme="minorEastAsia"/>
          <w:color w:val="000000" w:themeColor="text1"/>
          <w:kern w:val="0"/>
          <w:szCs w:val="21"/>
          <w14:textFill>
            <w14:solidFill>
              <w14:schemeClr w14:val="tx1"/>
            </w14:solidFill>
          </w14:textFill>
        </w:rPr>
        <w:t>以外，配箍率不宜小于加密区配箍率</w:t>
      </w:r>
      <w:r>
        <w:rPr>
          <w:rFonts w:hint="eastAsia" w:cs="HiddenHorzOCR" w:asciiTheme="minorEastAsia" w:hAnsiTheme="minorEastAsia"/>
          <w:color w:val="000000" w:themeColor="text1"/>
          <w:kern w:val="0"/>
          <w:szCs w:val="21"/>
          <w14:textFill>
            <w14:solidFill>
              <w14:schemeClr w14:val="tx1"/>
            </w14:solidFill>
          </w14:textFill>
        </w:rPr>
        <w:t>的一半；箍筋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10d （烈度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d</w:t>
      </w:r>
      <w:r>
        <w:rPr>
          <w:rFonts w:hint="eastAsia" w:cs="宋体" w:asciiTheme="minorEastAsia" w:hAnsiTheme="minorEastAsia"/>
          <w:color w:val="000000" w:themeColor="text1"/>
          <w:kern w:val="0"/>
          <w:szCs w:val="21"/>
          <w14:textFill>
            <w14:solidFill>
              <w14:schemeClr w14:val="tx1"/>
            </w14:solidFill>
          </w14:textFill>
        </w:rPr>
        <w:t>为纵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筋直径</w:t>
      </w:r>
      <w:r>
        <w:rPr>
          <w:rFonts w:hint="eastAsia" w:cs="HiddenHorzOCR" w:asciiTheme="minorEastAsia" w:hAnsiTheme="minorEastAsia"/>
          <w:color w:val="000000" w:themeColor="text1"/>
          <w:kern w:val="0"/>
          <w:szCs w:val="21"/>
          <w14:textFill>
            <w14:solidFill>
              <w14:schemeClr w14:val="tx1"/>
            </w14:solidFill>
          </w14:textFill>
        </w:rPr>
        <w:t>）和15d（烈度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)，且不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大于柱肢截面</w:t>
      </w:r>
      <w:r>
        <w:rPr>
          <w:rFonts w:hint="eastAsia" w:cs="HiddenHorzOCR" w:asciiTheme="minorEastAsia" w:hAnsiTheme="minorEastAsia"/>
          <w:color w:val="000000" w:themeColor="text1"/>
          <w:kern w:val="0"/>
          <w:szCs w:val="21"/>
          <w14:textFill>
            <w14:solidFill>
              <w14:schemeClr w14:val="tx1"/>
            </w14:solidFill>
          </w14:textFill>
        </w:rPr>
        <w:t>的高度。</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4 </w:t>
      </w:r>
      <w:r>
        <w:rPr>
          <w:rFonts w:hint="eastAsia" w:cs="HiddenHorzOCR" w:asciiTheme="minorEastAsia" w:hAnsiTheme="minorEastAsia"/>
          <w:color w:val="000000" w:themeColor="text1"/>
          <w:kern w:val="0"/>
          <w:szCs w:val="21"/>
          <w14:textFill>
            <w14:solidFill>
              <w14:schemeClr w14:val="tx1"/>
            </w14:solidFill>
          </w14:textFill>
        </w:rPr>
        <w:t>肩梁的</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筋配置，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1）肩梁上、下水平</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筋均不宜少于</w:t>
      </w:r>
      <w:r>
        <w:rPr>
          <w:rFonts w:hint="eastAsia" w:cs="HiddenHorzOCR" w:asciiTheme="minorEastAsia" w:hAnsiTheme="minorEastAsia"/>
          <w:color w:val="000000" w:themeColor="text1"/>
          <w:kern w:val="0"/>
          <w:szCs w:val="21"/>
          <w14:textFill>
            <w14:solidFill>
              <w14:schemeClr w14:val="tx1"/>
            </w14:solidFill>
          </w14:textFill>
        </w:rPr>
        <w:t>4 根，其直径不宜小于16mm；</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t>2</w:t>
      </w:r>
      <w:r>
        <w:rPr>
          <w:rFonts w:hint="eastAsia" w:cs="HiddenHorzOCR" w:asciiTheme="minorEastAsia" w:hAnsiTheme="minorEastAsia"/>
          <w:color w:val="000000" w:themeColor="text1"/>
          <w:kern w:val="0"/>
          <w:szCs w:val="21"/>
          <w14:textFill>
            <w14:solidFill>
              <w14:schemeClr w14:val="tx1"/>
            </w14:solidFill>
          </w14:textFill>
        </w:rPr>
        <w:t>）肩梁的水平和垂直箍筋的</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距不宜大于</w:t>
      </w:r>
      <w:r>
        <w:rPr>
          <w:rFonts w:hint="eastAsia" w:cs="HiddenHorzOCR" w:asciiTheme="minorEastAsia" w:hAnsiTheme="minorEastAsia"/>
          <w:color w:val="000000" w:themeColor="text1"/>
          <w:kern w:val="0"/>
          <w:szCs w:val="21"/>
          <w14:textFill>
            <w14:solidFill>
              <w14:schemeClr w14:val="tx1"/>
            </w14:solidFill>
          </w14:textFill>
        </w:rPr>
        <w:t>150mm；水平</w:t>
      </w:r>
      <w:r>
        <w:rPr>
          <w:rFonts w:hint="eastAsia" w:cs="宋体" w:asciiTheme="minorEastAsia" w:hAnsiTheme="minorEastAsia"/>
          <w:color w:val="000000" w:themeColor="text1"/>
          <w:kern w:val="0"/>
          <w:szCs w:val="21"/>
          <w14:textFill>
            <w14:solidFill>
              <w14:schemeClr w14:val="tx1"/>
            </w14:solidFill>
          </w14:textFill>
        </w:rPr>
        <w:t>纵</w:t>
      </w:r>
      <w:r>
        <w:rPr>
          <w:rFonts w:hint="eastAsia" w:cs="HiddenHorzOCR"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筋一排多于</w:t>
      </w:r>
      <w:r>
        <w:rPr>
          <w:rFonts w:hint="eastAsia" w:cs="HiddenHorzOCR" w:asciiTheme="minorEastAsia" w:hAnsiTheme="minorEastAsia"/>
          <w:color w:val="000000" w:themeColor="text1"/>
          <w:kern w:val="0"/>
          <w:szCs w:val="21"/>
          <w14:textFill>
            <w14:solidFill>
              <w14:schemeClr w14:val="tx1"/>
            </w14:solidFill>
          </w14:textFill>
        </w:rPr>
        <w:t>5根</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，宜用四肢箍筋，箍筋直径不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w:t>
      </w:r>
      <w:r>
        <w:rPr>
          <w:rFonts w:hint="eastAsia" w:cs="HiddenHorzOCR" w:asciiTheme="minorEastAsia" w:hAnsiTheme="minorEastAsia"/>
          <w:color w:val="000000" w:themeColor="text1"/>
          <w:kern w:val="0"/>
          <w:szCs w:val="21"/>
          <w14:textFill>
            <w14:solidFill>
              <w14:schemeClr w14:val="tx1"/>
            </w14:solidFill>
          </w14:textFill>
        </w:rPr>
        <w:t>8mm（烈度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）和6mm（烈度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5 </w:t>
      </w:r>
      <w:r>
        <w:rPr>
          <w:rFonts w:hint="eastAsia" w:cs="HiddenHorzOCR" w:asciiTheme="minorEastAsia" w:hAnsiTheme="minorEastAsia"/>
          <w:color w:val="000000" w:themeColor="text1"/>
          <w:kern w:val="0"/>
          <w:szCs w:val="21"/>
          <w14:textFill>
            <w14:solidFill>
              <w14:schemeClr w14:val="tx1"/>
            </w14:solidFill>
          </w14:textFill>
        </w:rPr>
        <w:t>双肢柱腹杆的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筋在</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点中的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w:t>
      </w:r>
      <w:r>
        <w:rPr>
          <w:rFonts w:hint="eastAsia" w:cs="HiddenHorzOCR" w:asciiTheme="minorEastAsia" w:hAnsiTheme="minorEastAsia"/>
          <w:color w:val="000000" w:themeColor="text1"/>
          <w:kern w:val="0"/>
          <w:szCs w:val="21"/>
          <w14:textFill>
            <w14:solidFill>
              <w14:schemeClr w14:val="tx1"/>
            </w14:solidFill>
          </w14:textFill>
        </w:rPr>
        <w:t>要求:</w:t>
      </w:r>
    </w:p>
    <w:p>
      <w:pPr>
        <w:autoSpaceDE w:val="0"/>
        <w:autoSpaceDN w:val="0"/>
        <w:spacing w:line="360" w:lineRule="auto"/>
        <w:ind w:firstLine="840" w:firstLineChars="400"/>
        <w:jc w:val="left"/>
        <w:rPr>
          <w:rFonts w:cs="Arial" w:asciiTheme="minorEastAsia" w:hAnsiTheme="minorEastAsia"/>
          <w:i/>
          <w:iCs/>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1）伸入</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点内的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不小于</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；此</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sub>
        </m:sSub>
        <m:r>
          <w:rPr>
            <w:rFonts w:ascii="Cambria Math" w:hAnsi="Cambria Math" w:cs="HiddenHorzOCR"/>
            <w:color w:val="000000" w:themeColor="text1"/>
            <w:kern w:val="0"/>
            <w:szCs w:val="21"/>
            <w14:textFill>
              <w14:solidFill>
                <w14:schemeClr w14:val="tx1"/>
              </w14:solidFill>
            </w14:textFill>
          </w:rPr>
          <m:t>+</m:t>
        </m:r>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Δl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sub>
        </m:sSub>
      </m:oMath>
    </w:p>
    <w:p>
      <w:pPr>
        <w:autoSpaceDE w:val="0"/>
        <w:autoSpaceDN w:val="0"/>
        <w:spacing w:line="360" w:lineRule="auto"/>
        <w:ind w:left="1050" w:leftChars="500" w:firstLine="0" w:firstLineChars="0"/>
        <w:jc w:val="left"/>
        <w:rPr>
          <w:rFonts w:cs="HiddenHorzOCR" w:asciiTheme="minorEastAsia" w:hAnsiTheme="minorEastAsia"/>
          <w:color w:val="000000" w:themeColor="text1"/>
          <w:kern w:val="0"/>
          <w:szCs w:val="21"/>
          <w14:textFill>
            <w14:solidFill>
              <w14:schemeClr w14:val="tx1"/>
            </w14:solidFill>
          </w14:textFill>
        </w:rPr>
      </w:pP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静力</w:t>
      </w:r>
      <w:r>
        <w:rPr>
          <w:rFonts w:hint="eastAsia" w:cs="宋体" w:asciiTheme="minorEastAsia" w:hAnsiTheme="minorEastAsia"/>
          <w:color w:val="000000" w:themeColor="text1"/>
          <w:kern w:val="0"/>
          <w:szCs w:val="21"/>
          <w14:textFill>
            <w14:solidFill>
              <w14:schemeClr w14:val="tx1"/>
            </w14:solidFill>
          </w14:textFill>
        </w:rPr>
        <w:t>设计时纵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筋的最小</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按《混凝土</w:t>
      </w:r>
      <w:r>
        <w:rPr>
          <w:rFonts w:hint="eastAsia" w:cs="宋体" w:asciiTheme="minorEastAsia" w:hAnsiTheme="minorEastAsia"/>
          <w:color w:val="000000" w:themeColor="text1"/>
          <w:kern w:val="0"/>
          <w:szCs w:val="21"/>
          <w14:textFill>
            <w14:solidFill>
              <w14:schemeClr w14:val="tx1"/>
            </w14:solidFill>
          </w14:textFill>
        </w:rPr>
        <w:t>结</w:t>
      </w:r>
      <w:r>
        <w:rPr>
          <w:rFonts w:hint="eastAsia" w:cs="MS Mincho" w:asciiTheme="minorEastAsia" w:hAnsiTheme="minorEastAsia"/>
          <w:color w:val="000000" w:themeColor="text1"/>
          <w:kern w:val="0"/>
          <w:szCs w:val="21"/>
          <w14:textFill>
            <w14:solidFill>
              <w14:schemeClr w14:val="tx1"/>
            </w14:solidFill>
          </w14:textFill>
        </w:rPr>
        <w:t>构</w:t>
      </w:r>
      <w:r>
        <w:rPr>
          <w:rFonts w:hint="eastAsia" w:cs="宋体" w:asciiTheme="minorEastAsia" w:hAnsiTheme="minorEastAsia"/>
          <w:color w:val="000000" w:themeColor="text1"/>
          <w:kern w:val="0"/>
          <w:szCs w:val="21"/>
          <w14:textFill>
            <w14:solidFill>
              <w14:schemeClr w14:val="tx1"/>
            </w14:solidFill>
          </w14:textFill>
        </w:rPr>
        <w:t>设计规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 GB50010采用；</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Δl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抗震</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的附加</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HiddenHorzOCR" w:asciiTheme="minorEastAsia" w:hAnsiTheme="minorEastAsia"/>
          <w:color w:val="000000" w:themeColor="text1"/>
          <w:kern w:val="0"/>
          <w:szCs w:val="21"/>
          <w14:textFill>
            <w14:solidFill>
              <w14:schemeClr w14:val="tx1"/>
            </w14:solidFill>
          </w14:textFill>
        </w:rPr>
        <w:t>度，烈度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，取</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Δl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=5d，烈度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不考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伸</w:t>
      </w:r>
      <w:r>
        <w:rPr>
          <w:rFonts w:hint="eastAsia" w:cs="宋体" w:asciiTheme="minorEastAsia" w:hAnsiTheme="minorEastAsia"/>
          <w:color w:val="000000" w:themeColor="text1"/>
          <w:kern w:val="0"/>
          <w:szCs w:val="21"/>
          <w14:textFill>
            <w14:solidFill>
              <w14:schemeClr w14:val="tx1"/>
            </w14:solidFill>
          </w14:textFill>
        </w:rPr>
        <w:t>过节</w:t>
      </w:r>
      <w:r>
        <w:rPr>
          <w:rFonts w:hint="eastAsia" w:cs="MS Mincho" w:asciiTheme="minorEastAsia" w:hAnsiTheme="minorEastAsia"/>
          <w:color w:val="000000" w:themeColor="text1"/>
          <w:kern w:val="0"/>
          <w:szCs w:val="21"/>
          <w14:textFill>
            <w14:solidFill>
              <w14:schemeClr w14:val="tx1"/>
            </w14:solidFill>
          </w14:textFill>
        </w:rPr>
        <w:t>点中心</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再弯折，且</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上部</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筋向下</w:t>
      </w:r>
      <w:r>
        <w:rPr>
          <w:rFonts w:hint="eastAsia" w:cs="HiddenHorzOCR" w:asciiTheme="minorEastAsia" w:hAnsiTheme="minorEastAsia"/>
          <w:color w:val="000000" w:themeColor="text1"/>
          <w:kern w:val="0"/>
          <w:szCs w:val="21"/>
          <w14:textFill>
            <w14:solidFill>
              <w14:schemeClr w14:val="tx1"/>
            </w14:solidFill>
          </w14:textFill>
        </w:rPr>
        <w:t>弯、下部</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筋向上弯</w:t>
      </w:r>
      <w:r>
        <w:rPr>
          <w:rFonts w:hint="eastAsia" w:cs="HiddenHorzOCR" w:asciiTheme="minorEastAsia" w:hAnsiTheme="minorEastAsia"/>
          <w:color w:val="000000" w:themeColor="text1"/>
          <w:kern w:val="0"/>
          <w:szCs w:val="21"/>
          <w14:textFill>
            <w14:solidFill>
              <w14:schemeClr w14:val="tx1"/>
            </w14:solidFill>
          </w14:textFill>
        </w:rPr>
        <w:t>；弯折前的水平段</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w:t>
      </w:r>
      <w:r>
        <w:rPr>
          <w:rFonts w:hint="eastAsia" w:cs="HiddenHorzOCR" w:asciiTheme="minorEastAsia" w:hAnsiTheme="minorEastAsia"/>
          <w:color w:val="000000" w:themeColor="text1"/>
          <w:kern w:val="0"/>
          <w:szCs w:val="21"/>
          <w14:textFill>
            <w14:solidFill>
              <w14:schemeClr w14:val="tx1"/>
            </w14:solidFill>
          </w14:textFill>
        </w:rPr>
        <w:t>O.3</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，弯折后的垂直段</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w:t>
      </w:r>
      <w:r>
        <w:rPr>
          <w:rFonts w:hint="eastAsia" w:cs="HiddenHorzOCR" w:asciiTheme="minorEastAsia" w:hAnsiTheme="minorEastAsia"/>
          <w:color w:val="000000" w:themeColor="text1"/>
          <w:kern w:val="0"/>
          <w:szCs w:val="21"/>
          <w14:textFill>
            <w14:solidFill>
              <w14:schemeClr w14:val="tx1"/>
            </w14:solidFill>
          </w14:textFill>
        </w:rPr>
        <w:t>lOd。</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7.4.9 </w:t>
      </w:r>
      <w:r>
        <w:rPr>
          <w:rFonts w:hint="eastAsia" w:cs="HiddenHorzOCR" w:asciiTheme="minorEastAsia" w:hAnsiTheme="minorEastAsia"/>
          <w:color w:val="000000" w:themeColor="text1"/>
          <w:kern w:val="0"/>
          <w:szCs w:val="21"/>
          <w14:textFill>
            <w14:solidFill>
              <w14:schemeClr w14:val="tx1"/>
            </w14:solidFill>
          </w14:textFill>
        </w:rPr>
        <w:t>斜腹杆双肢柱各杆件的截面尺寸、配筋和</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点构造，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w:t>
      </w:r>
      <w:r>
        <w:rPr>
          <w:rFonts w:hint="eastAsia" w:cs="HiddenHorzOCR" w:asciiTheme="minorEastAsia" w:hAnsiTheme="minorEastAsia"/>
          <w:color w:val="000000" w:themeColor="text1"/>
          <w:kern w:val="0"/>
          <w:szCs w:val="21"/>
          <w14:textFill>
            <w14:solidFill>
              <w14:schemeClr w14:val="tx1"/>
            </w14:solidFill>
          </w14:textFill>
        </w:rPr>
        <w:t>列要求。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双肢柱的杆件布置和截面尺寸：</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w:t>
      </w:r>
      <w:r>
        <w:rPr>
          <w:rFonts w:hint="eastAsia" w:cs="宋体" w:asciiTheme="minorEastAsia" w:hAnsiTheme="minorEastAsia"/>
          <w:color w:val="000000" w:themeColor="text1"/>
          <w:kern w:val="0"/>
          <w:szCs w:val="21"/>
          <w14:textFill>
            <w14:solidFill>
              <w14:schemeClr w14:val="tx1"/>
            </w14:solidFill>
          </w14:textFill>
        </w:rPr>
        <w:t>节间</w:t>
      </w:r>
      <w:r>
        <w:rPr>
          <w:rFonts w:hint="eastAsia" w:cs="MS Mincho" w:asciiTheme="minorEastAsia" w:hAnsiTheme="minorEastAsia"/>
          <w:color w:val="000000" w:themeColor="text1"/>
          <w:kern w:val="0"/>
          <w:szCs w:val="21"/>
          <w14:textFill>
            <w14:solidFill>
              <w14:schemeClr w14:val="tx1"/>
            </w14:solidFill>
          </w14:textFill>
        </w:rPr>
        <w:t>距离的划分</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尽量均匀，肢杆</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厚比</w:t>
      </w:r>
      <m:oMath>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n</m:t>
            </m:r>
            <m:ctrlPr>
              <w:rPr>
                <w:rFonts w:ascii="Cambria Math" w:hAnsi="Cambria Math" w:cs="MS Mincho"/>
                <w:i/>
                <w:color w:val="000000" w:themeColor="text1"/>
                <w:kern w:val="0"/>
                <w:szCs w:val="21"/>
                <w14:textFill>
                  <w14:solidFill>
                    <w14:schemeClr w14:val="tx1"/>
                  </w14:solidFill>
                </w14:textFill>
              </w:rPr>
            </m:ctrlPr>
          </m:sub>
        </m:sSub>
        <m:r>
          <w:rPr>
            <w:rFonts w:hint="eastAsia" w:ascii="Cambria Math" w:hAnsi="Cambria Math" w:cs="HiddenHorzOCR"/>
            <w:color w:val="000000" w:themeColor="text1"/>
            <w:kern w:val="0"/>
            <w:szCs w:val="21"/>
            <w14:textFill>
              <w14:solidFill>
                <w14:schemeClr w14:val="tx1"/>
              </w14:solidFill>
            </w14:textFill>
          </w:rPr>
          <m:t>/</m:t>
        </m:r>
        <m:sSub>
          <m:sSubPr>
            <m:ctrlPr>
              <w:rPr>
                <w:rFonts w:ascii="Cambria Math" w:hAnsi="Cambria Math" w:eastAsia="MS Mincho" w:cs="MS Mincho"/>
                <w:i/>
                <w:color w:val="000000" w:themeColor="text1"/>
                <w:kern w:val="0"/>
                <w:szCs w:val="21"/>
                <w14:textFill>
                  <w14:solidFill>
                    <w14:schemeClr w14:val="tx1"/>
                  </w14:solidFill>
                </w14:textFill>
              </w:rPr>
            </m:ctrlPr>
          </m:sSubPr>
          <m:e>
            <m:r>
              <w:rPr>
                <w:rFonts w:ascii="Cambria Math" w:hAnsi="Cambria Math" w:eastAsia="MS Mincho" w:cs="MS Mincho"/>
                <w:color w:val="000000" w:themeColor="text1"/>
                <w:kern w:val="0"/>
                <w:szCs w:val="21"/>
                <w14:textFill>
                  <w14:solidFill>
                    <w14:schemeClr w14:val="tx1"/>
                  </w14:solidFill>
                </w14:textFill>
              </w:rPr>
              <m:t>h</m:t>
            </m:r>
            <m:ctrlPr>
              <w:rPr>
                <w:rFonts w:ascii="Cambria Math" w:hAnsi="Cambria Math" w:eastAsia="MS Mincho" w:cs="MS Mincho"/>
                <w:i/>
                <w:color w:val="000000" w:themeColor="text1"/>
                <w:kern w:val="0"/>
                <w:szCs w:val="21"/>
                <w14:textFill>
                  <w14:solidFill>
                    <w14:schemeClr w14:val="tx1"/>
                  </w14:solidFill>
                </w14:textFill>
              </w:rPr>
            </m:ctrlPr>
          </m:e>
          <m:sub>
            <m:r>
              <w:rPr>
                <w:rFonts w:ascii="Cambria Math" w:hAnsi="Cambria Math" w:eastAsia="MS Mincho" w:cs="MS Mincho"/>
                <w:color w:val="000000" w:themeColor="text1"/>
                <w:kern w:val="0"/>
                <w:szCs w:val="21"/>
                <w14:textFill>
                  <w14:solidFill>
                    <w14:schemeClr w14:val="tx1"/>
                  </w14:solidFill>
                </w14:textFill>
              </w:rPr>
              <m:t>1</m:t>
            </m:r>
            <m:ctrlPr>
              <w:rPr>
                <w:rFonts w:ascii="Cambria Math" w:hAnsi="Cambria Math" w:eastAsia="MS Mincho" w:cs="MS Mincho"/>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不宜大于</w:t>
      </w:r>
      <w:r>
        <w:rPr>
          <w:rFonts w:hint="eastAsia" w:cs="Times New Roman" w:asciiTheme="minorEastAsia" w:hAnsiTheme="minorEastAsia"/>
          <w:color w:val="000000" w:themeColor="text1"/>
          <w:kern w:val="0"/>
          <w:szCs w:val="21"/>
          <w14:textFill>
            <w14:solidFill>
              <w14:schemeClr w14:val="tx1"/>
            </w14:solidFill>
          </w14:textFill>
        </w:rPr>
        <w:t>10；</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2）斜腹杆与水平面的</w:t>
      </w:r>
      <w:r>
        <w:rPr>
          <w:rFonts w:hint="eastAsia" w:cs="宋体" w:asciiTheme="minorEastAsia" w:hAnsiTheme="minorEastAsia"/>
          <w:color w:val="000000" w:themeColor="text1"/>
          <w:kern w:val="0"/>
          <w:szCs w:val="21"/>
          <w14:textFill>
            <w14:solidFill>
              <w14:schemeClr w14:val="tx1"/>
            </w14:solidFill>
          </w14:textFill>
        </w:rPr>
        <w:t>夹</w:t>
      </w:r>
      <w:r>
        <w:rPr>
          <w:rFonts w:hint="eastAsia" w:cs="MS Mincho" w:asciiTheme="minorEastAsia" w:hAnsiTheme="minorEastAsia"/>
          <w:color w:val="000000" w:themeColor="text1"/>
          <w:kern w:val="0"/>
          <w:szCs w:val="21"/>
          <w14:textFill>
            <w14:solidFill>
              <w14:schemeClr w14:val="tx1"/>
            </w14:solidFill>
          </w14:textFill>
        </w:rPr>
        <w:t>角宜取</w:t>
      </w:r>
      <w:r>
        <w:rPr>
          <w:rFonts w:hint="eastAsia" w:cs="HiddenHorzOCR" w:asciiTheme="minorEastAsia" w:hAnsiTheme="minorEastAsia"/>
          <w:color w:val="000000" w:themeColor="text1"/>
          <w:kern w:val="0"/>
          <w:szCs w:val="21"/>
          <w14:textFill>
            <w14:solidFill>
              <w14:schemeClr w14:val="tx1"/>
            </w14:solidFill>
          </w14:textFill>
        </w:rPr>
        <w:t>45°左右，且不大于60°；腹杆与肢杆的</w:t>
      </w:r>
      <w:r>
        <w:rPr>
          <w:rFonts w:hint="eastAsia" w:cs="宋体" w:asciiTheme="minorEastAsia" w:hAnsiTheme="minorEastAsia"/>
          <w:color w:val="000000" w:themeColor="text1"/>
          <w:kern w:val="0"/>
          <w:szCs w:val="21"/>
          <w14:textFill>
            <w14:solidFill>
              <w14:schemeClr w14:val="tx1"/>
            </w14:solidFill>
          </w14:textFill>
        </w:rPr>
        <w:t>劲</w:t>
      </w:r>
      <w:r>
        <w:rPr>
          <w:rFonts w:hint="eastAsia" w:cs="MS Mincho" w:asciiTheme="minorEastAsia" w:hAnsiTheme="minorEastAsia"/>
          <w:color w:val="000000" w:themeColor="text1"/>
          <w:kern w:val="0"/>
          <w:szCs w:val="21"/>
          <w14:textFill>
            <w14:solidFill>
              <w14:schemeClr w14:val="tx1"/>
            </w14:solidFill>
          </w14:textFill>
        </w:rPr>
        <w:t>度比不宜大于</w:t>
      </w:r>
      <w:r>
        <w:rPr>
          <w:rFonts w:hint="eastAsia" w:cs="HiddenHorzOCR" w:asciiTheme="minorEastAsia" w:hAnsiTheme="minorEastAsia"/>
          <w:color w:val="000000" w:themeColor="text1"/>
          <w:kern w:val="0"/>
          <w:szCs w:val="21"/>
          <w14:textFill>
            <w14:solidFill>
              <w14:schemeClr w14:val="tx1"/>
            </w14:solidFill>
          </w14:textFill>
        </w:rPr>
        <w:t>1/10，腹杆厚</w:t>
      </w:r>
      <m:oMath>
        <m:sSub>
          <m:sSubPr>
            <m:ctrlPr>
              <w:rPr>
                <w:rFonts w:ascii="Cambria Math" w:hAnsi="Cambria Math" w:eastAsia="MS Mincho" w:cs="MS Mincho"/>
                <w:i/>
                <w:color w:val="000000" w:themeColor="text1"/>
                <w:kern w:val="0"/>
                <w:szCs w:val="21"/>
                <w14:textFill>
                  <w14:solidFill>
                    <w14:schemeClr w14:val="tx1"/>
                  </w14:solidFill>
                </w14:textFill>
              </w:rPr>
            </m:ctrlPr>
          </m:sSubPr>
          <m:e>
            <m:r>
              <w:rPr>
                <w:rFonts w:hint="eastAsia" w:ascii="MS Mincho" w:hAnsi="MS Mincho" w:eastAsia="MS Mincho" w:cs="MS Mincho"/>
                <w:color w:val="000000" w:themeColor="text1"/>
                <w:kern w:val="0"/>
                <w:szCs w:val="21"/>
                <w14:textFill>
                  <w14:solidFill>
                    <w14:schemeClr w14:val="tx1"/>
                  </w14:solidFill>
                </w14:textFill>
              </w:rPr>
              <m:t>h</m:t>
            </m:r>
            <m:ctrlPr>
              <w:rPr>
                <w:rFonts w:ascii="Cambria Math" w:hAnsi="Cambria Math" w:eastAsia="MS Mincho" w:cs="MS Mincho"/>
                <w:i/>
                <w:color w:val="000000" w:themeColor="text1"/>
                <w:kern w:val="0"/>
                <w:szCs w:val="21"/>
                <w14:textFill>
                  <w14:solidFill>
                    <w14:schemeClr w14:val="tx1"/>
                  </w14:solidFill>
                </w14:textFill>
              </w:rPr>
            </m:ctrlPr>
          </m:e>
          <m:sub>
            <m:r>
              <w:rPr>
                <w:rFonts w:ascii="Cambria Math" w:hAnsi="Cambria Math" w:eastAsia="MS Mincho" w:cs="MS Mincho"/>
                <w:color w:val="000000" w:themeColor="text1"/>
                <w:kern w:val="0"/>
                <w:szCs w:val="21"/>
                <w14:textFill>
                  <w14:solidFill>
                    <w14:schemeClr w14:val="tx1"/>
                  </w14:solidFill>
                </w14:textFill>
              </w:rPr>
              <m:t>d</m:t>
            </m:r>
            <m:ctrlPr>
              <w:rPr>
                <w:rFonts w:ascii="Cambria Math" w:hAnsi="Cambria Math" w:eastAsia="MS Mincho" w:cs="MS Mincho"/>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不宜小于120mm；</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3）肩梁的高度和</w:t>
      </w:r>
      <w:r>
        <w:rPr>
          <w:rFonts w:hint="eastAsia" w:cs="宋体" w:asciiTheme="minorEastAsia" w:hAnsiTheme="minorEastAsia"/>
          <w:color w:val="000000" w:themeColor="text1"/>
          <w:kern w:val="0"/>
          <w:szCs w:val="21"/>
          <w14:textFill>
            <w14:solidFill>
              <w14:schemeClr w14:val="tx1"/>
            </w14:solidFill>
          </w14:textFill>
        </w:rPr>
        <w:t>劲</w:t>
      </w:r>
      <w:r>
        <w:rPr>
          <w:rFonts w:hint="eastAsia" w:cs="MS Mincho" w:asciiTheme="minorEastAsia" w:hAnsiTheme="minorEastAsia"/>
          <w:color w:val="000000" w:themeColor="text1"/>
          <w:kern w:val="0"/>
          <w:szCs w:val="21"/>
          <w14:textFill>
            <w14:solidFill>
              <w14:schemeClr w14:val="tx1"/>
            </w14:solidFill>
          </w14:textFill>
        </w:rPr>
        <w:t>度要求，与第</w:t>
      </w:r>
      <w:r>
        <w:rPr>
          <w:rFonts w:cs="HiddenHorzOCR" w:asciiTheme="minorEastAsia" w:hAnsiTheme="minorEastAsia"/>
          <w:color w:val="000000" w:themeColor="text1"/>
          <w:kern w:val="0"/>
          <w:szCs w:val="21"/>
          <w14:textFill>
            <w14:solidFill>
              <w14:schemeClr w14:val="tx1"/>
            </w14:solidFill>
          </w14:textFill>
        </w:rPr>
        <w:t>7.4.8</w:t>
      </w:r>
      <w:r>
        <w:rPr>
          <w:rFonts w:hint="eastAsia" w:cs="HiddenHorzOCR" w:asciiTheme="minorEastAsia" w:hAnsiTheme="minorEastAsia"/>
          <w:color w:val="000000" w:themeColor="text1"/>
          <w:kern w:val="0"/>
          <w:szCs w:val="21"/>
          <w14:textFill>
            <w14:solidFill>
              <w14:schemeClr w14:val="tx1"/>
            </w14:solidFill>
          </w14:textFill>
        </w:rPr>
        <w:t>条</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平腹杆双肢柱</w:t>
      </w:r>
      <w:r>
        <w:rPr>
          <w:rFonts w:hint="eastAsia" w:cs="HiddenHorzOCR" w:asciiTheme="minorEastAsia" w:hAnsiTheme="minorEastAsia"/>
          <w:color w:val="000000" w:themeColor="text1"/>
          <w:kern w:val="0"/>
          <w:szCs w:val="21"/>
          <w14:textFill>
            <w14:solidFill>
              <w14:schemeClr w14:val="tx1"/>
            </w14:solidFill>
          </w14:textFill>
        </w:rPr>
        <w:t>的要求相同。</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双肢柱肢杆中</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筋的配置，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1）肢杆中全部</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筋的配筋率，不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小于表</w:t>
      </w:r>
      <w:r>
        <w:rPr>
          <w:rFonts w:cs="HiddenHorzOCR" w:asciiTheme="minorEastAsia" w:hAnsiTheme="minorEastAsia"/>
          <w:color w:val="000000" w:themeColor="text1"/>
          <w:kern w:val="0"/>
          <w:szCs w:val="21"/>
          <w14:textFill>
            <w14:solidFill>
              <w14:schemeClr w14:val="tx1"/>
            </w14:solidFill>
          </w14:textFill>
        </w:rPr>
        <w:t>7.4.8</w:t>
      </w:r>
      <w:r>
        <w:rPr>
          <w:rFonts w:hint="eastAsia" w:cs="HiddenHorzOCR" w:asciiTheme="minorEastAsia" w:hAnsiTheme="minorEastAsia"/>
          <w:color w:val="000000" w:themeColor="text1"/>
          <w:kern w:val="0"/>
          <w:szCs w:val="21"/>
          <w14:textFill>
            <w14:solidFill>
              <w14:schemeClr w14:val="tx1"/>
            </w14:solidFill>
          </w14:textFill>
        </w:rPr>
        <w:t>-1</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平腹杆双肢柱肢杆</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定的最小配筋率</w:t>
      </w:r>
      <w:r>
        <w:rPr>
          <w:rFonts w:hint="eastAsia" w:cs="宋体" w:asciiTheme="minorEastAsia" w:hAnsiTheme="minorEastAsia"/>
          <w:color w:val="000000" w:themeColor="text1"/>
          <w:kern w:val="0"/>
          <w:szCs w:val="21"/>
          <w14:textFill>
            <w14:solidFill>
              <w14:schemeClr w14:val="tx1"/>
            </w14:solidFill>
          </w14:textFill>
        </w:rPr>
        <w:t>值</w:t>
      </w:r>
      <w:r>
        <w:rPr>
          <w:rFonts w:hint="eastAsia" w:cs="HiddenHorzOCR" w:asciiTheme="minorEastAsia" w:hAnsiTheme="minorEastAsia"/>
          <w:color w:val="000000" w:themeColor="text1"/>
          <w:kern w:val="0"/>
          <w:szCs w:val="21"/>
          <w14:textFill>
            <w14:solidFill>
              <w14:schemeClr w14:val="tx1"/>
            </w14:solidFill>
          </w14:textFill>
        </w:rPr>
        <w:t>；当采用Ⅱ、Ⅲ</w:t>
      </w:r>
      <w:r>
        <w:rPr>
          <w:rFonts w:hint="eastAsia" w:cs="宋体" w:asciiTheme="minorEastAsia" w:hAnsiTheme="minorEastAsia"/>
          <w:color w:val="000000" w:themeColor="text1"/>
          <w:kern w:val="0"/>
          <w:szCs w:val="21"/>
          <w14:textFill>
            <w14:solidFill>
              <w14:schemeClr w14:val="tx1"/>
            </w14:solidFill>
          </w14:textFill>
        </w:rPr>
        <w:t>级钢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，也不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4%；</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2）肢杆中</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筋直径不宜小于</w:t>
      </w:r>
      <w:r>
        <w:rPr>
          <w:rFonts w:hint="eastAsia" w:cs="HiddenHorzOCR" w:asciiTheme="minorEastAsia" w:hAnsiTheme="minorEastAsia"/>
          <w:color w:val="000000" w:themeColor="text1"/>
          <w:kern w:val="0"/>
          <w:szCs w:val="21"/>
          <w14:textFill>
            <w14:solidFill>
              <w14:schemeClr w14:val="tx1"/>
            </w14:solidFill>
          </w14:textFill>
        </w:rPr>
        <w:t>16mm，并宜</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称配</w:t>
      </w:r>
      <w:r>
        <w:rPr>
          <w:rFonts w:hint="eastAsia" w:cs="HiddenHorzOCR" w:asciiTheme="minorEastAsia" w:hAnsiTheme="minorEastAsia"/>
          <w:color w:val="000000" w:themeColor="text1"/>
          <w:kern w:val="0"/>
          <w:szCs w:val="21"/>
          <w14:textFill>
            <w14:solidFill>
              <w14:schemeClr w14:val="tx1"/>
            </w14:solidFill>
          </w14:textFill>
        </w:rPr>
        <w:t>置；截面尺寸大于400mm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距不宜大于</w:t>
      </w:r>
      <w:r>
        <w:rPr>
          <w:rFonts w:hint="eastAsia" w:cs="HiddenHorzOCR" w:asciiTheme="minorEastAsia" w:hAnsiTheme="minorEastAsia"/>
          <w:color w:val="000000" w:themeColor="text1"/>
          <w:kern w:val="0"/>
          <w:szCs w:val="21"/>
          <w14:textFill>
            <w14:solidFill>
              <w14:schemeClr w14:val="tx1"/>
            </w14:solidFill>
          </w14:textFill>
        </w:rPr>
        <w:t>200mm；双肢柱的两肢杆配筋宜相同。</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双肢柱的箍筋配置，</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、吊</w:t>
      </w:r>
      <w:r>
        <w:rPr>
          <w:rFonts w:hint="eastAsia" w:cs="宋体" w:asciiTheme="minorEastAsia" w:hAnsiTheme="minorEastAsia"/>
          <w:color w:val="000000" w:themeColor="text1"/>
          <w:kern w:val="0"/>
          <w:szCs w:val="21"/>
          <w14:textFill>
            <w14:solidFill>
              <w14:schemeClr w14:val="tx1"/>
            </w14:solidFill>
          </w14:textFill>
        </w:rPr>
        <w:t>车</w:t>
      </w:r>
      <w:r>
        <w:rPr>
          <w:rFonts w:hint="eastAsia" w:cs="MS Mincho" w:asciiTheme="minorEastAsia" w:hAnsiTheme="minorEastAsia"/>
          <w:color w:val="000000" w:themeColor="text1"/>
          <w:kern w:val="0"/>
          <w:szCs w:val="21"/>
          <w14:textFill>
            <w14:solidFill>
              <w14:schemeClr w14:val="tx1"/>
            </w14:solidFill>
          </w14:textFill>
        </w:rPr>
        <w:t>梁、牛腿和柱根区段的箍筋，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符合本</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范</w:t>
      </w:r>
      <w:r>
        <w:rPr>
          <w:rFonts w:hint="eastAsia" w:cs="HiddenHorzOCR" w:asciiTheme="minorEastAsia" w:hAnsiTheme="minorEastAsia"/>
          <w:color w:val="000000" w:themeColor="text1"/>
          <w:kern w:val="0"/>
          <w:szCs w:val="21"/>
          <w14:textFill>
            <w14:solidFill>
              <w14:schemeClr w14:val="tx1"/>
            </w14:solidFill>
          </w14:textFill>
        </w:rPr>
        <w:t>第</w:t>
      </w:r>
      <w:r>
        <w:rPr>
          <w:rFonts w:cs="HiddenHorzOCR" w:asciiTheme="minorEastAsia" w:hAnsiTheme="minorEastAsia"/>
          <w:color w:val="000000" w:themeColor="text1"/>
          <w:kern w:val="0"/>
          <w:szCs w:val="21"/>
          <w14:textFill>
            <w14:solidFill>
              <w14:schemeClr w14:val="tx1"/>
            </w14:solidFill>
          </w14:textFill>
        </w:rPr>
        <w:t>7.4.6</w:t>
      </w:r>
      <w:r>
        <w:rPr>
          <w:rFonts w:hint="eastAsia" w:cs="HiddenHorzOCR" w:asciiTheme="minorEastAsia" w:hAnsiTheme="minorEastAsia"/>
          <w:color w:val="000000" w:themeColor="text1"/>
          <w:kern w:val="0"/>
          <w:szCs w:val="21"/>
          <w14:textFill>
            <w14:solidFill>
              <w14:schemeClr w14:val="tx1"/>
            </w14:solidFill>
          </w14:textFill>
        </w:rPr>
        <w:t>条</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定的加密要求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2）在</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点全高及其上、下不小于肢杆截面高度范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MS Mincho" w:asciiTheme="minorEastAsia" w:hAnsiTheme="minorEastAsia"/>
          <w:color w:val="000000" w:themeColor="text1"/>
          <w:kern w:val="0"/>
          <w:szCs w:val="21"/>
          <w14:textFill>
            <w14:solidFill>
              <w14:schemeClr w14:val="tx1"/>
            </w14:solidFill>
          </w14:textFill>
        </w:rPr>
        <w:t>内，肢</w:t>
      </w:r>
      <w:r>
        <w:rPr>
          <w:rFonts w:hint="eastAsia" w:cs="HiddenHorzOCR" w:asciiTheme="minorEastAsia" w:hAnsiTheme="minorEastAsia"/>
          <w:color w:val="000000" w:themeColor="text1"/>
          <w:kern w:val="0"/>
          <w:szCs w:val="21"/>
          <w14:textFill>
            <w14:solidFill>
              <w14:schemeClr w14:val="tx1"/>
            </w14:solidFill>
          </w14:textFill>
        </w:rPr>
        <w:t>杆的箍筋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加密</w:t>
      </w:r>
      <w:r>
        <w:rPr>
          <w:rFonts w:hint="eastAsia" w:cs="HiddenHorzOCR" w:asciiTheme="minorEastAsia" w:hAnsiTheme="minorEastAsia"/>
          <w:color w:val="000000" w:themeColor="text1"/>
          <w:kern w:val="0"/>
          <w:szCs w:val="21"/>
          <w14:textFill>
            <w14:solidFill>
              <w14:schemeClr w14:val="tx1"/>
            </w14:solidFill>
          </w14:textFill>
        </w:rPr>
        <w:t>；加密区的箍筋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100mm，直径不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小于6mm，箍筋的最小体</w:t>
      </w:r>
      <w:r>
        <w:rPr>
          <w:rFonts w:hint="eastAsia" w:cs="宋体" w:asciiTheme="minorEastAsia" w:hAnsiTheme="minorEastAsia"/>
          <w:color w:val="000000" w:themeColor="text1"/>
          <w:kern w:val="0"/>
          <w:szCs w:val="21"/>
          <w14:textFill>
            <w14:solidFill>
              <w14:schemeClr w14:val="tx1"/>
            </w14:solidFill>
          </w14:textFill>
        </w:rPr>
        <w:t>积</w:t>
      </w:r>
      <w:r>
        <w:rPr>
          <w:rFonts w:hint="eastAsia" w:cs="MS Mincho" w:asciiTheme="minorEastAsia" w:hAnsiTheme="minorEastAsia"/>
          <w:color w:val="000000" w:themeColor="text1"/>
          <w:kern w:val="0"/>
          <w:szCs w:val="21"/>
          <w14:textFill>
            <w14:solidFill>
              <w14:schemeClr w14:val="tx1"/>
            </w14:solidFill>
          </w14:textFill>
        </w:rPr>
        <w:t>配箍率</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符合表</w:t>
      </w:r>
      <w:r>
        <w:rPr>
          <w:rFonts w:cs="HiddenHorzOCR" w:asciiTheme="minorEastAsia" w:hAnsiTheme="minorEastAsia"/>
          <w:color w:val="000000" w:themeColor="text1"/>
          <w:kern w:val="0"/>
          <w:szCs w:val="21"/>
          <w14:textFill>
            <w14:solidFill>
              <w14:schemeClr w14:val="tx1"/>
            </w14:solidFill>
          </w14:textFill>
        </w:rPr>
        <w:t>7.4.8</w:t>
      </w:r>
      <w:r>
        <w:rPr>
          <w:rFonts w:hint="eastAsia" w:cs="HiddenHorzOCR" w:asciiTheme="minorEastAsia" w:hAnsiTheme="minorEastAsia"/>
          <w:color w:val="000000" w:themeColor="text1"/>
          <w:kern w:val="0"/>
          <w:szCs w:val="21"/>
          <w14:textFill>
            <w14:solidFill>
              <w14:schemeClr w14:val="tx1"/>
            </w14:solidFill>
          </w14:textFill>
        </w:rPr>
        <w:t>-3的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3）在箍筋加密区范</w:t>
      </w:r>
      <w:r>
        <w:rPr>
          <w:rFonts w:hint="eastAsia" w:cs="宋体" w:asciiTheme="minorEastAsia" w:hAnsiTheme="minorEastAsia"/>
          <w:color w:val="000000" w:themeColor="text1"/>
          <w:kern w:val="0"/>
          <w:szCs w:val="21"/>
          <w14:textFill>
            <w14:solidFill>
              <w14:schemeClr w14:val="tx1"/>
            </w14:solidFill>
          </w14:textFill>
        </w:rPr>
        <w:t>围</w:t>
      </w:r>
      <w:r>
        <w:rPr>
          <w:rFonts w:hint="eastAsia" w:cs="MS Mincho" w:asciiTheme="minorEastAsia" w:hAnsiTheme="minorEastAsia"/>
          <w:color w:val="000000" w:themeColor="text1"/>
          <w:kern w:val="0"/>
          <w:szCs w:val="21"/>
          <w14:textFill>
            <w14:solidFill>
              <w14:schemeClr w14:val="tx1"/>
            </w14:solidFill>
          </w14:textFill>
        </w:rPr>
        <w:t>以外，配箍率不宜小于加密区配箍率</w:t>
      </w:r>
      <w:r>
        <w:rPr>
          <w:rFonts w:hint="eastAsia" w:cs="HiddenHorzOCR" w:asciiTheme="minorEastAsia" w:hAnsiTheme="minorEastAsia"/>
          <w:color w:val="000000" w:themeColor="text1"/>
          <w:kern w:val="0"/>
          <w:szCs w:val="21"/>
          <w14:textFill>
            <w14:solidFill>
              <w14:schemeClr w14:val="tx1"/>
            </w14:solidFill>
          </w14:textFill>
        </w:rPr>
        <w:t>的一半；箍筋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10d（烈度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8度和9度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）和15d（烈度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），且不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大于柱肢截面的高度。</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4 </w:t>
      </w:r>
      <w:r>
        <w:rPr>
          <w:rFonts w:hint="eastAsia" w:cs="HiddenHorzOCR" w:asciiTheme="minorEastAsia" w:hAnsiTheme="minorEastAsia"/>
          <w:color w:val="000000" w:themeColor="text1"/>
          <w:kern w:val="0"/>
          <w:szCs w:val="21"/>
          <w14:textFill>
            <w14:solidFill>
              <w14:schemeClr w14:val="tx1"/>
            </w14:solidFill>
          </w14:textFill>
        </w:rPr>
        <w:t>肩梁</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筋的配置要求，与第</w:t>
      </w:r>
      <w:r>
        <w:rPr>
          <w:rFonts w:cs="HiddenHorzOCR" w:asciiTheme="minorEastAsia" w:hAnsiTheme="minorEastAsia"/>
          <w:color w:val="000000" w:themeColor="text1"/>
          <w:kern w:val="0"/>
          <w:szCs w:val="21"/>
          <w14:textFill>
            <w14:solidFill>
              <w14:schemeClr w14:val="tx1"/>
            </w14:solidFill>
          </w14:textFill>
        </w:rPr>
        <w:t>7.4.8</w:t>
      </w:r>
      <w:r>
        <w:rPr>
          <w:rFonts w:hint="eastAsia" w:cs="HiddenHorzOCR" w:asciiTheme="minorEastAsia" w:hAnsiTheme="minorEastAsia"/>
          <w:color w:val="000000" w:themeColor="text1"/>
          <w:kern w:val="0"/>
          <w:szCs w:val="21"/>
          <w14:textFill>
            <w14:solidFill>
              <w14:schemeClr w14:val="tx1"/>
            </w14:solidFill>
          </w14:textFill>
        </w:rPr>
        <w:t>条</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平腹杆的要求</w:t>
      </w:r>
      <w:r>
        <w:rPr>
          <w:rFonts w:hint="eastAsia" w:cs="HiddenHorzOCR" w:asciiTheme="minorEastAsia" w:hAnsiTheme="minorEastAsia"/>
          <w:color w:val="000000" w:themeColor="text1"/>
          <w:kern w:val="0"/>
          <w:szCs w:val="21"/>
          <w14:textFill>
            <w14:solidFill>
              <w14:schemeClr w14:val="tx1"/>
            </w14:solidFill>
          </w14:textFill>
        </w:rPr>
        <w:t>相同。</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5 </w:t>
      </w:r>
      <w:r>
        <w:rPr>
          <w:rFonts w:hint="eastAsia" w:cs="HiddenHorzOCR" w:asciiTheme="minorEastAsia" w:hAnsiTheme="minorEastAsia"/>
          <w:color w:val="000000" w:themeColor="text1"/>
          <w:kern w:val="0"/>
          <w:szCs w:val="21"/>
          <w14:textFill>
            <w14:solidFill>
              <w14:schemeClr w14:val="tx1"/>
            </w14:solidFill>
          </w14:textFill>
        </w:rPr>
        <w:t>双肢柱腹杆的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筋在</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点中的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w:t>
      </w:r>
      <w:r>
        <w:rPr>
          <w:rFonts w:hint="eastAsia" w:cs="HiddenHorzOCR" w:asciiTheme="minorEastAsia" w:hAnsiTheme="minorEastAsia"/>
          <w:color w:val="000000" w:themeColor="text1"/>
          <w:kern w:val="0"/>
          <w:szCs w:val="21"/>
          <w14:textFill>
            <w14:solidFill>
              <w14:schemeClr w14:val="tx1"/>
            </w14:solidFill>
          </w14:textFill>
        </w:rPr>
        <w:t>要求（</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7.4.9-1）</w:t>
      </w:r>
      <w:r>
        <w:rPr>
          <w:rFonts w:hint="eastAsia" w:cs="Arial"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伸</w:t>
      </w:r>
      <w:r>
        <w:rPr>
          <w:rFonts w:hint="eastAsia" w:cs="宋体" w:asciiTheme="minorEastAsia" w:hAnsiTheme="minorEastAsia"/>
          <w:color w:val="000000" w:themeColor="text1"/>
          <w:kern w:val="0"/>
          <w:szCs w:val="21"/>
          <w14:textFill>
            <w14:solidFill>
              <w14:schemeClr w14:val="tx1"/>
            </w14:solidFill>
          </w14:textFill>
        </w:rPr>
        <w:t>过节</w:t>
      </w:r>
      <w:r>
        <w:rPr>
          <w:rFonts w:hint="eastAsia" w:cs="MS Mincho" w:asciiTheme="minorEastAsia" w:hAnsiTheme="minorEastAsia"/>
          <w:color w:val="000000" w:themeColor="text1"/>
          <w:kern w:val="0"/>
          <w:szCs w:val="21"/>
          <w14:textFill>
            <w14:solidFill>
              <w14:schemeClr w14:val="tx1"/>
            </w14:solidFill>
          </w14:textFill>
        </w:rPr>
        <w:t>点中心</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再弯折</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color w:val="000000" w:themeColor="text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2）伸入</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不小于</w:t>
      </w:r>
      <m:oMath>
        <m:sSub>
          <w:bookmarkStart w:id="144" w:name="_Hlk24904834"/>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r>
              <w:rPr>
                <w:rFonts w:ascii="Cambria Math" w:hAnsi="Cambria Math" w:cs="HiddenHorzOCR"/>
                <w:color w:val="000000" w:themeColor="text1"/>
                <w:kern w:val="0"/>
                <w:szCs w:val="21"/>
                <w14:textFill>
                  <w14:solidFill>
                    <w14:schemeClr w14:val="tx1"/>
                  </w14:solidFill>
                </w14:textFill>
              </w:rPr>
              <m:t>E</m:t>
            </m:r>
            <w:bookmarkEnd w:id="144"/>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360"/>
        <w:jc w:val="center"/>
        <w:rPr>
          <w:color w:val="000000" w:themeColor="text1"/>
          <w14:textFill>
            <w14:solidFill>
              <w14:schemeClr w14:val="tx1"/>
            </w14:solidFill>
          </w14:textFill>
        </w:rPr>
      </w:pPr>
      <w:r>
        <w:rPr>
          <w:color w:val="000000" w:themeColor="text1"/>
          <w:sz w:val="18"/>
          <w:szCs w:val="18"/>
          <w14:textFill>
            <w14:solidFill>
              <w14:schemeClr w14:val="tx1"/>
            </w14:solidFill>
          </w14:textFill>
        </w:rPr>
        <w:drawing>
          <wp:inline distT="0" distB="0" distL="0" distR="0">
            <wp:extent cx="3408045" cy="1932940"/>
            <wp:effectExtent l="0" t="0" r="8255" b="10160"/>
            <wp:docPr id="320"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408045" cy="1932940"/>
                    </a:xfrm>
                    <a:prstGeom prst="rect">
                      <a:avLst/>
                    </a:prstGeom>
                    <a:noFill/>
                    <a:ln>
                      <a:noFill/>
                    </a:ln>
                  </pic:spPr>
                </pic:pic>
              </a:graphicData>
            </a:graphic>
          </wp:inline>
        </w:drawing>
      </w:r>
    </w:p>
    <w:p>
      <w:pPr>
        <w:numPr>
          <w:ilvl w:val="0"/>
          <w:numId w:val="4"/>
        </w:numPr>
        <w:autoSpaceDE w:val="0"/>
        <w:autoSpaceDN w:val="0"/>
        <w:spacing w:line="360" w:lineRule="auto"/>
        <w:ind w:firstLine="1260" w:firstLineChars="60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(b)</w:t>
      </w:r>
    </w:p>
    <w:p>
      <w:pPr>
        <w:autoSpaceDE w:val="0"/>
        <w:autoSpaceDN w:val="0"/>
        <w:spacing w:line="360" w:lineRule="auto"/>
        <w:ind w:firstLine="1260" w:firstLineChars="60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图7.4.9-1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斜腹杆纵筋在节点中的锚固</w:t>
      </w:r>
    </w:p>
    <w:p>
      <w:pPr>
        <w:autoSpaceDE w:val="0"/>
        <w:autoSpaceDN w:val="0"/>
        <w:spacing w:line="360" w:lineRule="auto"/>
        <w:ind w:firstLine="420"/>
        <w:jc w:val="left"/>
        <w:rPr>
          <w:color w:val="000000" w:themeColor="text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7.4.10 </w:t>
      </w:r>
      <w:r>
        <w:rPr>
          <w:rFonts w:hint="eastAsia" w:cs="HiddenHorzOCR" w:asciiTheme="minorEastAsia" w:hAnsiTheme="minorEastAsia"/>
          <w:color w:val="000000" w:themeColor="text1"/>
          <w:kern w:val="0"/>
          <w:szCs w:val="21"/>
          <w14:textFill>
            <w14:solidFill>
              <w14:schemeClr w14:val="tx1"/>
            </w14:solidFill>
          </w14:textFill>
        </w:rPr>
        <w:t>上柱开</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人孔</w:t>
      </w:r>
      <w:r>
        <w:rPr>
          <w:rFonts w:hint="eastAsia" w:cs="宋体" w:asciiTheme="minorEastAsia" w:hAnsiTheme="minorEastAsia"/>
          <w:color w:val="000000" w:themeColor="text1"/>
          <w:kern w:val="0"/>
          <w:szCs w:val="21"/>
          <w14:textFill>
            <w14:solidFill>
              <w14:schemeClr w14:val="tx1"/>
            </w14:solidFill>
          </w14:textFill>
        </w:rPr>
        <w:t>时</w:t>
      </w:r>
      <w:r>
        <w:rPr>
          <w:rFonts w:hint="eastAsia" w:cs="HiddenHorzOCR" w:asciiTheme="minorEastAsia" w:hAnsiTheme="minorEastAsia"/>
          <w:color w:val="000000" w:themeColor="text1"/>
          <w:kern w:val="0"/>
          <w:szCs w:val="21"/>
          <w14:textFill>
            <w14:solidFill>
              <w14:schemeClr w14:val="tx1"/>
            </w14:solidFill>
          </w14:textFill>
        </w:rPr>
        <w:t>，其抗震构造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hint="eastAsia" w:cs="Times New Roman" w:asciiTheme="minorEastAsia" w:hAnsiTheme="minorEastAsia"/>
          <w:color w:val="000000" w:themeColor="text1"/>
          <w:kern w:val="0"/>
          <w:szCs w:val="21"/>
          <w14:textFill>
            <w14:solidFill>
              <w14:schemeClr w14:val="tx1"/>
            </w14:solidFill>
          </w14:textFill>
        </w:rPr>
        <w:t>7.4.10-1）。</w:t>
      </w:r>
    </w:p>
    <w:p>
      <w:pPr>
        <w:autoSpaceDE w:val="0"/>
        <w:autoSpaceDN w:val="0"/>
        <w:spacing w:line="360" w:lineRule="auto"/>
        <w:ind w:firstLine="360"/>
        <w:jc w:val="center"/>
        <w:rPr>
          <w:color w:val="000000" w:themeColor="text1"/>
          <w14:textFill>
            <w14:solidFill>
              <w14:schemeClr w14:val="tx1"/>
            </w14:solidFill>
          </w14:textFill>
        </w:rPr>
      </w:pPr>
      <w:r>
        <w:rPr>
          <w:rFonts w:cs="HiddenHorzOCR" w:asciiTheme="minorEastAsia" w:hAnsiTheme="minorEastAsia"/>
          <w:color w:val="000000" w:themeColor="text1"/>
          <w:kern w:val="0"/>
          <w:sz w:val="18"/>
          <w:szCs w:val="18"/>
          <w14:textFill>
            <w14:solidFill>
              <w14:schemeClr w14:val="tx1"/>
            </w14:solidFill>
          </w14:textFill>
        </w:rPr>
        <w:drawing>
          <wp:inline distT="0" distB="0" distL="0" distR="0">
            <wp:extent cx="2224405" cy="214503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224856" cy="2145615"/>
                    </a:xfrm>
                    <a:prstGeom prst="rect">
                      <a:avLst/>
                    </a:prstGeom>
                  </pic:spPr>
                </pic:pic>
              </a:graphicData>
            </a:graphic>
          </wp:inline>
        </w:drawing>
      </w:r>
    </w:p>
    <w:p>
      <w:pPr>
        <w:autoSpaceDE w:val="0"/>
        <w:autoSpaceDN w:val="0"/>
        <w:spacing w:line="360" w:lineRule="auto"/>
        <w:ind w:firstLine="619" w:firstLineChars="295"/>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图7.4.10-1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上柱开人孔处的构造</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人孔</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柱肢的截面高度不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w:t>
      </w:r>
      <w:r>
        <w:rPr>
          <w:rFonts w:hint="eastAsia" w:cs="HiddenHorzOCR" w:asciiTheme="minorEastAsia" w:hAnsiTheme="minorEastAsia"/>
          <w:color w:val="000000" w:themeColor="text1"/>
          <w:kern w:val="0"/>
          <w:szCs w:val="21"/>
          <w14:textFill>
            <w14:solidFill>
              <w14:schemeClr w14:val="tx1"/>
            </w14:solidFill>
          </w14:textFill>
        </w:rPr>
        <w:t>250mm。</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在人孔上、下</w:t>
      </w:r>
      <w:r>
        <w:rPr>
          <w:rFonts w:hint="eastAsia" w:cs="宋体" w:asciiTheme="minorEastAsia" w:hAnsiTheme="minorEastAsia"/>
          <w:color w:val="000000" w:themeColor="text1"/>
          <w:kern w:val="0"/>
          <w:szCs w:val="21"/>
          <w14:textFill>
            <w14:solidFill>
              <w14:schemeClr w14:val="tx1"/>
            </w14:solidFill>
          </w14:textFill>
        </w:rPr>
        <w:t>边应</w:t>
      </w:r>
      <w:r>
        <w:rPr>
          <w:rFonts w:hint="eastAsia" w:cs="MS Mincho" w:asciiTheme="minorEastAsia" w:hAnsiTheme="minorEastAsia"/>
          <w:color w:val="000000" w:themeColor="text1"/>
          <w:kern w:val="0"/>
          <w:szCs w:val="21"/>
          <w14:textFill>
            <w14:solidFill>
              <w14:schemeClr w14:val="tx1"/>
            </w14:solidFill>
          </w14:textFill>
        </w:rPr>
        <w:t>各配置4φ</w:t>
      </w:r>
      <w:r>
        <w:rPr>
          <w:rFonts w:hint="eastAsia" w:cs="HiddenHorzOCR" w:asciiTheme="minorEastAsia" w:hAnsiTheme="minorEastAsia"/>
          <w:color w:val="000000" w:themeColor="text1"/>
          <w:kern w:val="0"/>
          <w:szCs w:val="21"/>
          <w14:textFill>
            <w14:solidFill>
              <w14:schemeClr w14:val="tx1"/>
            </w14:solidFill>
          </w14:textFill>
        </w:rPr>
        <w:t>14～4φ16水平的和3φ12～3φ14 斜向的加</w:t>
      </w:r>
      <w:r>
        <w:rPr>
          <w:rFonts w:hint="eastAsia" w:cs="宋体" w:asciiTheme="minorEastAsia" w:hAnsiTheme="minorEastAsia"/>
          <w:color w:val="000000" w:themeColor="text1"/>
          <w:kern w:val="0"/>
          <w:szCs w:val="21"/>
          <w14:textFill>
            <w14:solidFill>
              <w14:schemeClr w14:val="tx1"/>
            </w14:solidFill>
          </w14:textFill>
        </w:rPr>
        <w:t>强钢</w:t>
      </w:r>
      <w:r>
        <w:rPr>
          <w:rFonts w:hint="eastAsia" w:cs="MS Mincho" w:asciiTheme="minorEastAsia" w:hAnsiTheme="minorEastAsia"/>
          <w:color w:val="000000" w:themeColor="text1"/>
          <w:kern w:val="0"/>
          <w:szCs w:val="21"/>
          <w14:textFill>
            <w14:solidFill>
              <w14:schemeClr w14:val="tx1"/>
            </w14:solidFill>
          </w14:textFill>
        </w:rPr>
        <w:t>筋，水平筋伸</w:t>
      </w:r>
      <w:r>
        <w:rPr>
          <w:rFonts w:hint="eastAsia" w:cs="宋体" w:asciiTheme="minorEastAsia" w:hAnsiTheme="minorEastAsia"/>
          <w:color w:val="000000" w:themeColor="text1"/>
          <w:kern w:val="0"/>
          <w:szCs w:val="21"/>
          <w14:textFill>
            <w14:solidFill>
              <w14:schemeClr w14:val="tx1"/>
            </w14:solidFill>
          </w14:textFill>
        </w:rPr>
        <w:t>过</w:t>
      </w:r>
      <w:r>
        <w:rPr>
          <w:rFonts w:hint="eastAsia" w:cs="MS Mincho" w:asciiTheme="minorEastAsia" w:hAnsiTheme="minorEastAsia"/>
          <w:color w:val="000000" w:themeColor="text1"/>
          <w:kern w:val="0"/>
          <w:szCs w:val="21"/>
          <w14:textFill>
            <w14:solidFill>
              <w14:schemeClr w14:val="tx1"/>
            </w14:solidFill>
          </w14:textFill>
        </w:rPr>
        <w:t>人孔的</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w:t>
      </w:r>
      <m:oMath>
        <m:sSub>
          <w:bookmarkStart w:id="145" w:name="_Hlk44763267"/>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r>
              <w:rPr>
                <w:rFonts w:ascii="Cambria Math" w:hAnsi="Cambria Math" w:cs="HiddenHorzOCR"/>
                <w:color w:val="000000" w:themeColor="text1"/>
                <w:kern w:val="0"/>
                <w:szCs w:val="21"/>
                <w14:textFill>
                  <w14:solidFill>
                    <w14:schemeClr w14:val="tx1"/>
                  </w14:solidFill>
                </w14:textFill>
              </w:rPr>
              <m:t>E</m:t>
            </m:r>
            <w:bookmarkEnd w:id="145"/>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肢杆中</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向受力</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应对</w:t>
      </w:r>
      <w:r>
        <w:rPr>
          <w:rFonts w:hint="eastAsia" w:cs="MS Mincho" w:asciiTheme="minorEastAsia" w:hAnsiTheme="minorEastAsia"/>
          <w:color w:val="000000" w:themeColor="text1"/>
          <w:kern w:val="0"/>
          <w:szCs w:val="21"/>
          <w14:textFill>
            <w14:solidFill>
              <w14:schemeClr w14:val="tx1"/>
            </w14:solidFill>
          </w14:textFill>
        </w:rPr>
        <w:t>称配置</w:t>
      </w:r>
      <w:r>
        <w:rPr>
          <w:rFonts w:hint="eastAsia" w:cs="HiddenHorzOCR" w:asciiTheme="minorEastAsia" w:hAnsiTheme="minorEastAsia"/>
          <w:color w:val="000000" w:themeColor="text1"/>
          <w:kern w:val="0"/>
          <w:szCs w:val="21"/>
          <w14:textFill>
            <w14:solidFill>
              <w14:schemeClr w14:val="tx1"/>
            </w14:solidFill>
          </w14:textFill>
        </w:rPr>
        <w:t>；其内</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筋伸</w:t>
      </w:r>
      <w:r>
        <w:rPr>
          <w:rFonts w:hint="eastAsia" w:cs="宋体" w:asciiTheme="minorEastAsia" w:hAnsiTheme="minorEastAsia"/>
          <w:color w:val="000000" w:themeColor="text1"/>
          <w:kern w:val="0"/>
          <w:szCs w:val="21"/>
          <w14:textFill>
            <w14:solidFill>
              <w14:schemeClr w14:val="tx1"/>
            </w14:solidFill>
          </w14:textFill>
        </w:rPr>
        <w:t>过</w:t>
      </w:r>
      <w:r>
        <w:rPr>
          <w:rFonts w:hint="eastAsia" w:cs="HiddenHorzOCR" w:asciiTheme="minorEastAsia" w:hAnsiTheme="minorEastAsia"/>
          <w:color w:val="000000" w:themeColor="text1"/>
          <w:kern w:val="0"/>
          <w:szCs w:val="21"/>
          <w14:textFill>
            <w14:solidFill>
              <w14:schemeClr w14:val="tx1"/>
            </w14:solidFill>
          </w14:textFill>
        </w:rPr>
        <w:t>洞口上、下的</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HiddenHorzOCR" w:asciiTheme="minorEastAsia" w:hAnsiTheme="minorEastAsia"/>
          <w:color w:val="000000" w:themeColor="text1"/>
          <w:kern w:val="0"/>
          <w:szCs w:val="21"/>
          <w14:textFill>
            <w14:solidFill>
              <w14:schemeClr w14:val="tx1"/>
            </w14:solidFill>
          </w14:textFill>
        </w:rPr>
        <w:t>均</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不小于</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l</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a</m:t>
            </m:r>
            <m:r>
              <w:rPr>
                <w:rFonts w:ascii="Cambria Math" w:hAnsi="Cambria Math" w:cs="HiddenHorzOCR"/>
                <w:color w:val="000000" w:themeColor="text1"/>
                <w:kern w:val="0"/>
                <w:szCs w:val="21"/>
                <w14:textFill>
                  <w14:solidFill>
                    <w14:schemeClr w14:val="tx1"/>
                  </w14:solidFill>
                </w14:textFill>
              </w:rPr>
              <m:t>E</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4 </w:t>
      </w:r>
      <w:r>
        <w:rPr>
          <w:rFonts w:hint="eastAsia" w:cs="HiddenHorzOCR" w:asciiTheme="minorEastAsia" w:hAnsiTheme="minorEastAsia"/>
          <w:color w:val="000000" w:themeColor="text1"/>
          <w:kern w:val="0"/>
          <w:szCs w:val="21"/>
          <w14:textFill>
            <w14:solidFill>
              <w14:schemeClr w14:val="tx1"/>
            </w14:solidFill>
          </w14:textFill>
        </w:rPr>
        <w:t>沿洞口全高箍筋均</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加密，并符合本</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范第</w:t>
      </w:r>
      <w:r>
        <w:rPr>
          <w:rFonts w:hint="eastAsia" w:cs="HiddenHorzOCR" w:asciiTheme="minorEastAsia" w:hAnsiTheme="minorEastAsia"/>
          <w:color w:val="000000" w:themeColor="text1"/>
          <w:kern w:val="0"/>
          <w:szCs w:val="21"/>
          <w14:textFill>
            <w14:solidFill>
              <w14:schemeClr w14:val="tx1"/>
            </w14:solidFill>
          </w14:textFill>
        </w:rPr>
        <w:t>7.4.6条</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平腹杆双肢柱肢杆的箍筋加密要求。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p>
      <w:pPr>
        <w:pStyle w:val="3"/>
      </w:pPr>
      <w:bookmarkStart w:id="146" w:name="_Toc48841042"/>
      <w:r>
        <w:rPr>
          <w:rFonts w:hint="eastAsia"/>
        </w:rPr>
        <w:t>构造措施（2）——预埋件</w:t>
      </w:r>
      <w:bookmarkEnd w:id="146"/>
    </w:p>
    <w:p>
      <w:pPr>
        <w:autoSpaceDE w:val="0"/>
        <w:autoSpaceDN w:val="0"/>
        <w:spacing w:line="360" w:lineRule="auto"/>
        <w:ind w:firstLine="0" w:firstLineChars="0"/>
        <w:jc w:val="center"/>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7.5.1 </w:t>
      </w:r>
      <w:r>
        <w:rPr>
          <w:rFonts w:hint="eastAsia" w:cs="HiddenHorzOCR" w:asciiTheme="minorEastAsia" w:hAnsiTheme="minorEastAsia"/>
          <w:color w:val="000000" w:themeColor="text1"/>
          <w:kern w:val="0"/>
          <w:szCs w:val="21"/>
          <w14:textFill>
            <w14:solidFill>
              <w14:schemeClr w14:val="tx1"/>
            </w14:solidFill>
          </w14:textFill>
        </w:rPr>
        <w:t>受力</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埋板和</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HiddenHorzOCR" w:asciiTheme="minorEastAsia" w:hAnsiTheme="minorEastAsia"/>
          <w:color w:val="000000" w:themeColor="text1"/>
          <w:kern w:val="0"/>
          <w:szCs w:val="21"/>
          <w14:textFill>
            <w14:solidFill>
              <w14:schemeClr w14:val="tx1"/>
            </w14:solidFill>
          </w14:textFill>
        </w:rPr>
        <w:t>）的材料和构造，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埋板和</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，宜采用</w:t>
      </w:r>
      <w:r>
        <w:rPr>
          <w:rFonts w:hint="eastAsia" w:cs="HiddenHorzOCR" w:asciiTheme="minorEastAsia" w:hAnsiTheme="minorEastAsia"/>
          <w:color w:val="000000" w:themeColor="text1"/>
          <w:kern w:val="0"/>
          <w:szCs w:val="21"/>
          <w14:textFill>
            <w14:solidFill>
              <w14:schemeClr w14:val="tx1"/>
            </w14:solidFill>
          </w14:textFill>
        </w:rPr>
        <w:t>Q355</w:t>
      </w:r>
      <w:r>
        <w:rPr>
          <w:rFonts w:hint="eastAsia" w:cs="宋体" w:asciiTheme="minorEastAsia" w:hAnsiTheme="minorEastAsia"/>
          <w:color w:val="000000" w:themeColor="text1"/>
          <w:kern w:val="0"/>
          <w:szCs w:val="21"/>
          <w14:textFill>
            <w14:solidFill>
              <w14:schemeClr w14:val="tx1"/>
            </w14:solidFill>
          </w14:textFill>
        </w:rPr>
        <w:t>钢</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采用</w:t>
      </w:r>
      <w:r>
        <w:rPr>
          <w:rFonts w:hint="eastAsia" w:cs="HiddenHorzOCR" w:asciiTheme="minorEastAsia" w:hAnsiTheme="minorEastAsia"/>
          <w:color w:val="000000" w:themeColor="text1"/>
          <w:kern w:val="0"/>
          <w:szCs w:val="21"/>
          <w14:textFill>
            <w14:solidFill>
              <w14:schemeClr w14:val="tx1"/>
            </w14:solidFill>
          </w14:textFill>
        </w:rPr>
        <w:t>Ⅰ</w:t>
      </w:r>
      <w:r>
        <w:rPr>
          <w:rFonts w:hint="eastAsia" w:cs="宋体" w:asciiTheme="minorEastAsia" w:hAnsiTheme="minorEastAsia"/>
          <w:color w:val="000000" w:themeColor="text1"/>
          <w:kern w:val="0"/>
          <w:szCs w:val="21"/>
          <w14:textFill>
            <w14:solidFill>
              <w14:schemeClr w14:val="tx1"/>
            </w14:solidFill>
          </w14:textFill>
        </w:rPr>
        <w:t>级</w:t>
      </w:r>
      <w:r>
        <w:rPr>
          <w:rFonts w:hint="eastAsia" w:cs="MS Mincho" w:asciiTheme="minorEastAsia" w:hAnsiTheme="minorEastAsia"/>
          <w:color w:val="000000" w:themeColor="text1"/>
          <w:kern w:val="0"/>
          <w:szCs w:val="21"/>
          <w14:textFill>
            <w14:solidFill>
              <w14:schemeClr w14:val="tx1"/>
            </w14:solidFill>
          </w14:textFill>
        </w:rPr>
        <w:t>或</w:t>
      </w:r>
      <w:r>
        <w:rPr>
          <w:rFonts w:hint="eastAsia" w:cs="HiddenHorzOCR" w:asciiTheme="minorEastAsia" w:hAnsiTheme="minorEastAsia"/>
          <w:color w:val="000000" w:themeColor="text1"/>
          <w:kern w:val="0"/>
          <w:szCs w:val="21"/>
          <w14:textFill>
            <w14:solidFill>
              <w14:schemeClr w14:val="tx1"/>
            </w14:solidFill>
          </w14:textFill>
        </w:rPr>
        <w:t>Ⅱ</w:t>
      </w:r>
      <w:r>
        <w:rPr>
          <w:rFonts w:hint="eastAsia" w:cs="宋体" w:asciiTheme="minorEastAsia" w:hAnsiTheme="minorEastAsia"/>
          <w:color w:val="000000" w:themeColor="text1"/>
          <w:kern w:val="0"/>
          <w:szCs w:val="21"/>
          <w14:textFill>
            <w14:solidFill>
              <w14:schemeClr w14:val="tx1"/>
            </w14:solidFill>
          </w14:textFill>
        </w:rPr>
        <w:t>级钢</w:t>
      </w:r>
      <w:r>
        <w:rPr>
          <w:rFonts w:hint="eastAsia" w:cs="MS Mincho" w:asciiTheme="minorEastAsia" w:hAnsiTheme="minorEastAsia"/>
          <w:color w:val="000000" w:themeColor="text1"/>
          <w:kern w:val="0"/>
          <w:szCs w:val="21"/>
          <w14:textFill>
            <w14:solidFill>
              <w14:schemeClr w14:val="tx1"/>
            </w14:solidFill>
          </w14:textFill>
        </w:rPr>
        <w:t>筋，不得采用冷加工</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放置在构件外</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主筋的内</w:t>
      </w:r>
      <w:r>
        <w:rPr>
          <w:rFonts w:hint="eastAsia" w:cs="HiddenVertOCR" w:asciiTheme="minorEastAsia" w:hAnsiTheme="minorEastAsia"/>
          <w:color w:val="000000" w:themeColor="text1"/>
          <w:kern w:val="0"/>
          <w:szCs w:val="21"/>
          <w14:textFill>
            <w14:solidFill>
              <w14:schemeClr w14:val="tx1"/>
            </w14:solidFill>
          </w14:textFill>
        </w:rPr>
        <w:t>侧。</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埋板厚度</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O.</w:t>
      </w:r>
      <w:r>
        <w:rPr>
          <w:rFonts w:hint="eastAsia" w:cs="Times New Roman" w:asciiTheme="minorEastAsia" w:hAnsiTheme="minorEastAsia"/>
          <w:iCs/>
          <w:color w:val="000000" w:themeColor="text1"/>
          <w:kern w:val="0"/>
          <w:szCs w:val="21"/>
          <w14:textFill>
            <w14:solidFill>
              <w14:schemeClr w14:val="tx1"/>
            </w14:solidFill>
          </w14:textFill>
        </w:rPr>
        <w:t>6d</w:t>
      </w:r>
      <w:r>
        <w:rPr>
          <w:rFonts w:hint="eastAsia" w:cs="HiddenHorzOCR" w:asciiTheme="minorEastAsia" w:hAnsiTheme="minorEastAsia"/>
          <w:color w:val="000000" w:themeColor="text1"/>
          <w:kern w:val="0"/>
          <w:szCs w:val="21"/>
          <w14:textFill>
            <w14:solidFill>
              <w14:schemeClr w14:val="tx1"/>
            </w14:solidFill>
          </w14:textFill>
        </w:rPr>
        <w:t>（d为</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筋直径</w:t>
      </w:r>
      <w:r>
        <w:rPr>
          <w:rFonts w:hint="eastAsia" w:cs="HiddenHorzOCR" w:asciiTheme="minorEastAsia" w:hAnsiTheme="minorEastAsia"/>
          <w:color w:val="000000" w:themeColor="text1"/>
          <w:kern w:val="0"/>
          <w:szCs w:val="21"/>
          <w14:textFill>
            <w14:solidFill>
              <w14:schemeClr w14:val="tx1"/>
            </w14:solidFill>
          </w14:textFill>
        </w:rPr>
        <w:t>）；角</w:t>
      </w:r>
      <w:r>
        <w:rPr>
          <w:rFonts w:hint="eastAsia" w:cs="宋体" w:asciiTheme="minorEastAsia" w:hAnsiTheme="minorEastAsia"/>
          <w:color w:val="000000" w:themeColor="text1"/>
          <w:kern w:val="0"/>
          <w:szCs w:val="21"/>
          <w14:textFill>
            <w14:solidFill>
              <w14:schemeClr w14:val="tx1"/>
            </w14:solidFill>
          </w14:textFill>
        </w:rPr>
        <w:t>钢预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埋板厚度</w:t>
      </w:r>
      <w:r>
        <w:rPr>
          <w:rFonts w:hint="eastAsia" w:cs="宋体" w:asciiTheme="minorEastAsia" w:hAnsiTheme="minorEastAsia"/>
          <w:color w:val="000000" w:themeColor="text1"/>
          <w:kern w:val="0"/>
          <w:szCs w:val="21"/>
          <w14:textFill>
            <w14:solidFill>
              <w14:schemeClr w14:val="tx1"/>
            </w14:solidFill>
          </w14:textFill>
        </w:rPr>
        <w:t>则应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b/6（b</w:t>
      </w:r>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肢</w:t>
      </w:r>
      <w:r>
        <w:rPr>
          <w:rFonts w:hint="eastAsia" w:cs="宋体" w:asciiTheme="minorEastAsia" w:hAnsiTheme="minorEastAsia"/>
          <w:color w:val="000000" w:themeColor="text1"/>
          <w:kern w:val="0"/>
          <w:szCs w:val="21"/>
          <w14:textFill>
            <w14:solidFill>
              <w14:schemeClr w14:val="tx1"/>
            </w14:solidFill>
          </w14:textFill>
        </w:rPr>
        <w:t>宽</w:t>
      </w:r>
      <w:r>
        <w:rPr>
          <w:rFonts w:hint="eastAsia" w:cs="HiddenHorzOCR" w:asciiTheme="minorEastAsia" w:hAnsiTheme="minorEastAsia"/>
          <w:color w:val="000000" w:themeColor="text1"/>
          <w:kern w:val="0"/>
          <w:szCs w:val="21"/>
          <w14:textFill>
            <w14:solidFill>
              <w14:schemeClr w14:val="tx1"/>
            </w14:solidFill>
          </w14:textFill>
        </w:rPr>
        <w:t>）及1.4倍角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厚度</w:t>
      </w:r>
      <w:r>
        <w:rPr>
          <w:rFonts w:hint="eastAsia" w:cs="HiddenHorzOCR" w:asciiTheme="minorEastAsia" w:hAnsiTheme="minorEastAsia"/>
          <w:color w:val="000000" w:themeColor="text1"/>
          <w:kern w:val="0"/>
          <w:szCs w:val="21"/>
          <w14:textFill>
            <w14:solidFill>
              <w14:schemeClr w14:val="tx1"/>
            </w14:solidFill>
          </w14:textFill>
        </w:rPr>
        <w:t>；受拉和受弯的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埋板厚度尚</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1/8</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4 </w:t>
      </w:r>
      <w:r>
        <w:rPr>
          <w:rFonts w:hint="eastAsia" w:cs="HiddenHorzOCR" w:asciiTheme="minorEastAsia" w:hAnsiTheme="minorEastAsia"/>
          <w:color w:val="000000" w:themeColor="text1"/>
          <w:kern w:val="0"/>
          <w:szCs w:val="21"/>
          <w14:textFill>
            <w14:solidFill>
              <w14:schemeClr w14:val="tx1"/>
            </w14:solidFill>
          </w14:textFill>
        </w:rPr>
        <w:t>一般情况，</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埋件的受力直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筋不宜少于</w:t>
      </w:r>
      <w:r>
        <w:rPr>
          <w:rFonts w:hint="eastAsia" w:cs="HiddenHorzOCR" w:asciiTheme="minorEastAsia" w:hAnsiTheme="minorEastAsia"/>
          <w:color w:val="000000" w:themeColor="text1"/>
          <w:kern w:val="0"/>
          <w:szCs w:val="21"/>
          <w14:textFill>
            <w14:solidFill>
              <w14:schemeClr w14:val="tx1"/>
            </w14:solidFill>
          </w14:textFill>
        </w:rPr>
        <w:t>4根，不宜多于4排，其直径不宜小于8mm，亦不宜大于25mm。</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受剪</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筋，不宜少于</w:t>
      </w:r>
      <w:r>
        <w:rPr>
          <w:rFonts w:hint="eastAsia" w:cs="HiddenHorzOCR" w:asciiTheme="minorEastAsia" w:hAnsiTheme="minorEastAsia"/>
          <w:color w:val="000000" w:themeColor="text1"/>
          <w:kern w:val="0"/>
          <w:szCs w:val="21"/>
          <w14:textFill>
            <w14:solidFill>
              <w14:schemeClr w14:val="tx1"/>
            </w14:solidFill>
          </w14:textFill>
        </w:rPr>
        <w:t>2根；而受剪力大的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埋件，除</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筋外</w:t>
      </w:r>
      <w:r>
        <w:rPr>
          <w:rFonts w:hint="eastAsia" w:cs="宋体" w:asciiTheme="minorEastAsia" w:hAnsiTheme="minorEastAsia"/>
          <w:color w:val="000000" w:themeColor="text1"/>
          <w:kern w:val="0"/>
          <w:szCs w:val="21"/>
          <w14:textFill>
            <w14:solidFill>
              <w14:schemeClr w14:val="tx1"/>
            </w14:solidFill>
          </w14:textFill>
        </w:rPr>
        <w:t>还应</w:t>
      </w:r>
      <w:r>
        <w:rPr>
          <w:rFonts w:hint="eastAsia" w:cs="MS Mincho" w:asciiTheme="minorEastAsia" w:hAnsiTheme="minorEastAsia"/>
          <w:color w:val="000000" w:themeColor="text1"/>
          <w:kern w:val="0"/>
          <w:szCs w:val="21"/>
          <w14:textFill>
            <w14:solidFill>
              <w14:schemeClr w14:val="tx1"/>
            </w14:solidFill>
          </w14:textFill>
        </w:rPr>
        <w:t>增</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抗剪</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对带</w:t>
      </w:r>
      <w:r>
        <w:rPr>
          <w:rFonts w:hint="eastAsia" w:cs="MS Mincho" w:asciiTheme="minorEastAsia" w:hAnsiTheme="minorEastAsia"/>
          <w:color w:val="000000" w:themeColor="text1"/>
          <w:kern w:val="0"/>
          <w:szCs w:val="21"/>
          <w14:textFill>
            <w14:solidFill>
              <w14:schemeClr w14:val="tx1"/>
            </w14:solidFill>
          </w14:textFill>
        </w:rPr>
        <w:t>弯折</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埋件，弯折筋</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沿剪力作用</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的两</w:t>
      </w:r>
      <w:r>
        <w:rPr>
          <w:rFonts w:hint="eastAsia" w:cs="宋体" w:asciiTheme="minorEastAsia" w:hAnsiTheme="minorEastAsia"/>
          <w:color w:val="000000" w:themeColor="text1"/>
          <w:kern w:val="0"/>
          <w:szCs w:val="21"/>
          <w14:textFill>
            <w14:solidFill>
              <w14:schemeClr w14:val="tx1"/>
            </w14:solidFill>
          </w14:textFill>
        </w:rPr>
        <w:t>侧对</w:t>
      </w:r>
      <w:r>
        <w:rPr>
          <w:rFonts w:hint="eastAsia" w:cs="MS Mincho" w:asciiTheme="minorEastAsia" w:hAnsiTheme="minorEastAsia"/>
          <w:color w:val="000000" w:themeColor="text1"/>
          <w:kern w:val="0"/>
          <w:szCs w:val="21"/>
          <w14:textFill>
            <w14:solidFill>
              <w14:schemeClr w14:val="tx1"/>
            </w14:solidFill>
          </w14:textFill>
        </w:rPr>
        <w:t>称</w:t>
      </w:r>
      <w:r>
        <w:rPr>
          <w:rFonts w:hint="eastAsia" w:cs="HiddenHorzOCR" w:asciiTheme="minorEastAsia" w:hAnsiTheme="minorEastAsia"/>
          <w:color w:val="000000" w:themeColor="text1"/>
          <w:kern w:val="0"/>
          <w:szCs w:val="21"/>
          <w14:textFill>
            <w14:solidFill>
              <w14:schemeClr w14:val="tx1"/>
            </w14:solidFill>
          </w14:textFill>
        </w:rPr>
        <w:t>布置，必</w:t>
      </w:r>
      <w:r>
        <w:rPr>
          <w:rFonts w:hint="eastAsia" w:cs="宋体" w:asciiTheme="minorEastAsia" w:hAnsiTheme="minorEastAsia"/>
          <w:color w:val="000000" w:themeColor="text1"/>
          <w:kern w:val="0"/>
          <w:szCs w:val="21"/>
          <w14:textFill>
            <w14:solidFill>
              <w14:schemeClr w14:val="tx1"/>
            </w14:solidFill>
          </w14:textFill>
        </w:rPr>
        <w:t>须</w:t>
      </w:r>
      <w:r>
        <w:rPr>
          <w:rFonts w:hint="eastAsia" w:cs="MS Mincho" w:asciiTheme="minorEastAsia" w:hAnsiTheme="minorEastAsia"/>
          <w:color w:val="000000" w:themeColor="text1"/>
          <w:kern w:val="0"/>
          <w:szCs w:val="21"/>
          <w14:textFill>
            <w14:solidFill>
              <w14:schemeClr w14:val="tx1"/>
            </w14:solidFill>
          </w14:textFill>
        </w:rPr>
        <w:t>与直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筋搭配使用</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，可配置在直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筋的一</w:t>
      </w:r>
      <w:r>
        <w:rPr>
          <w:rFonts w:hint="eastAsia" w:cs="宋体" w:asciiTheme="minorEastAsia" w:hAnsiTheme="minorEastAsia"/>
          <w:color w:val="000000" w:themeColor="text1"/>
          <w:kern w:val="0"/>
          <w:szCs w:val="21"/>
          <w14:textFill>
            <w14:solidFill>
              <w14:schemeClr w14:val="tx1"/>
            </w14:solidFill>
          </w14:textFill>
        </w:rPr>
        <w:t>侧</w:t>
      </w:r>
      <w:r>
        <w:rPr>
          <w:rFonts w:hint="eastAsia" w:cs="MS Mincho" w:asciiTheme="minorEastAsia" w:hAnsiTheme="minorEastAsia"/>
          <w:color w:val="000000" w:themeColor="text1"/>
          <w:kern w:val="0"/>
          <w:szCs w:val="21"/>
          <w14:textFill>
            <w14:solidFill>
              <w14:schemeClr w14:val="tx1"/>
            </w14:solidFill>
          </w14:textFill>
        </w:rPr>
        <w:t>或两</w:t>
      </w:r>
      <w:r>
        <w:rPr>
          <w:rFonts w:hint="eastAsia" w:cs="宋体" w:asciiTheme="minorEastAsia" w:hAnsiTheme="minorEastAsia"/>
          <w:color w:val="000000" w:themeColor="text1"/>
          <w:kern w:val="0"/>
          <w:szCs w:val="21"/>
          <w14:textFill>
            <w14:solidFill>
              <w14:schemeClr w14:val="tx1"/>
            </w14:solidFill>
          </w14:textFill>
        </w:rPr>
        <w:t>侧</w:t>
      </w:r>
      <w:r>
        <w:rPr>
          <w:rFonts w:hint="eastAsia" w:cs="HiddenHorzOCR" w:asciiTheme="minorEastAsia" w:hAnsiTheme="minorEastAsia"/>
          <w:color w:val="000000" w:themeColor="text1"/>
          <w:kern w:val="0"/>
          <w:szCs w:val="21"/>
          <w14:textFill>
            <w14:solidFill>
              <w14:schemeClr w14:val="tx1"/>
            </w14:solidFill>
          </w14:textFill>
        </w:rPr>
        <w:t>：弯折</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筋的弯起角度一般取</w:t>
      </w:r>
      <w:r>
        <w:rPr>
          <w:rFonts w:hint="eastAsia" w:cs="HiddenHorzOCR" w:asciiTheme="minorEastAsia" w:hAnsiTheme="minorEastAsia"/>
          <w:color w:val="000000" w:themeColor="text1"/>
          <w:kern w:val="0"/>
          <w:szCs w:val="21"/>
          <w14:textFill>
            <w14:solidFill>
              <w14:schemeClr w14:val="tx1"/>
            </w14:solidFill>
          </w14:textFill>
        </w:rPr>
        <w:t>15°～30°，且不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45°，其直径不宜大于18mm，并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符合受拉</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5 </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宜采用等</w:t>
      </w:r>
      <w:r>
        <w:rPr>
          <w:rFonts w:hint="eastAsia" w:cs="宋体" w:asciiTheme="minorEastAsia" w:hAnsiTheme="minorEastAsia"/>
          <w:color w:val="000000" w:themeColor="text1"/>
          <w:kern w:val="0"/>
          <w:szCs w:val="21"/>
          <w14:textFill>
            <w14:solidFill>
              <w14:schemeClr w14:val="tx1"/>
            </w14:solidFill>
          </w14:textFill>
        </w:rPr>
        <w:t>边</w:t>
      </w:r>
      <w:r>
        <w:rPr>
          <w:rFonts w:hint="eastAsia" w:cs="MS Mincho" w:asciiTheme="minorEastAsia" w:hAnsiTheme="minorEastAsia"/>
          <w:color w:val="000000" w:themeColor="text1"/>
          <w:kern w:val="0"/>
          <w:szCs w:val="21"/>
          <w14:textFill>
            <w14:solidFill>
              <w14:schemeClr w14:val="tx1"/>
            </w14:solidFill>
          </w14:textFill>
        </w:rPr>
        <w:t>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，末端</w:t>
      </w:r>
      <w:r>
        <w:rPr>
          <w:rFonts w:hint="eastAsia" w:cs="宋体" w:asciiTheme="minorEastAsia" w:hAnsiTheme="minorEastAsia"/>
          <w:color w:val="000000" w:themeColor="text1"/>
          <w:kern w:val="0"/>
          <w:szCs w:val="21"/>
          <w14:textFill>
            <w14:solidFill>
              <w14:schemeClr w14:val="tx1"/>
            </w14:solidFill>
          </w14:textFill>
        </w:rPr>
        <w:t>须</w:t>
      </w:r>
      <w:r>
        <w:rPr>
          <w:rFonts w:hint="eastAsia" w:cs="MS Mincho" w:asciiTheme="minorEastAsia" w:hAnsiTheme="minorEastAsia"/>
          <w:color w:val="000000" w:themeColor="text1"/>
          <w:kern w:val="0"/>
          <w:szCs w:val="21"/>
          <w14:textFill>
            <w14:solidFill>
              <w14:schemeClr w14:val="tx1"/>
            </w14:solidFill>
          </w14:textFill>
        </w:rPr>
        <w:t>加</w:t>
      </w:r>
      <w:r>
        <w:rPr>
          <w:rFonts w:hint="eastAsia" w:cs="宋体" w:asciiTheme="minorEastAsia" w:hAnsiTheme="minorEastAsia"/>
          <w:color w:val="000000" w:themeColor="text1"/>
          <w:kern w:val="0"/>
          <w:szCs w:val="21"/>
          <w14:textFill>
            <w14:solidFill>
              <w14:schemeClr w14:val="tx1"/>
            </w14:solidFill>
          </w14:textFill>
        </w:rPr>
        <w:t>焊挡</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挡</w:t>
      </w:r>
      <w:r>
        <w:rPr>
          <w:rFonts w:hint="eastAsia" w:cs="MS Mincho" w:asciiTheme="minorEastAsia" w:hAnsiTheme="minorEastAsia"/>
          <w:color w:val="000000" w:themeColor="text1"/>
          <w:kern w:val="0"/>
          <w:szCs w:val="21"/>
          <w14:textFill>
            <w14:solidFill>
              <w14:schemeClr w14:val="tx1"/>
            </w14:solidFill>
          </w14:textFill>
        </w:rPr>
        <w:t>板每</w:t>
      </w:r>
      <w:r>
        <w:rPr>
          <w:rFonts w:hint="eastAsia" w:cs="宋体" w:asciiTheme="minorEastAsia" w:hAnsiTheme="minorEastAsia"/>
          <w:color w:val="000000" w:themeColor="text1"/>
          <w:kern w:val="0"/>
          <w:szCs w:val="21"/>
          <w14:textFill>
            <w14:solidFill>
              <w14:schemeClr w14:val="tx1"/>
            </w14:solidFill>
          </w14:textFill>
        </w:rPr>
        <w:t>边</w:t>
      </w:r>
      <w:r>
        <w:rPr>
          <w:rFonts w:hint="eastAsia" w:cs="MS Mincho" w:asciiTheme="minorEastAsia" w:hAnsiTheme="minorEastAsia"/>
          <w:color w:val="000000" w:themeColor="text1"/>
          <w:kern w:val="0"/>
          <w:szCs w:val="21"/>
          <w14:textFill>
            <w14:solidFill>
              <w14:schemeClr w14:val="tx1"/>
            </w14:solidFill>
          </w14:textFill>
        </w:rPr>
        <w:t>比角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肢</w:t>
      </w:r>
      <w:r>
        <w:rPr>
          <w:rFonts w:hint="eastAsia" w:cs="宋体" w:asciiTheme="minorEastAsia" w:hAnsiTheme="minorEastAsia"/>
          <w:color w:val="000000" w:themeColor="text1"/>
          <w:kern w:val="0"/>
          <w:szCs w:val="21"/>
          <w14:textFill>
            <w14:solidFill>
              <w14:schemeClr w14:val="tx1"/>
            </w14:solidFill>
          </w14:textFill>
        </w:rPr>
        <w:t>宽</w:t>
      </w:r>
      <w:r>
        <w:rPr>
          <w:rFonts w:hint="eastAsia" w:cs="HiddenHorzOCR" w:asciiTheme="minorEastAsia" w:hAnsiTheme="minorEastAsia"/>
          <w:color w:val="000000" w:themeColor="text1"/>
          <w:kern w:val="0"/>
          <w:szCs w:val="21"/>
          <w14:textFill>
            <w14:solidFill>
              <w14:schemeClr w14:val="tx1"/>
            </w14:solidFill>
          </w14:textFill>
        </w:rPr>
        <w:t>10mm，比角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厚</w:t>
      </w:r>
      <w:r>
        <w:rPr>
          <w:rFonts w:hint="eastAsia" w:cs="HiddenHorzOCR" w:asciiTheme="minorEastAsia" w:hAnsiTheme="minorEastAsia"/>
          <w:color w:val="000000" w:themeColor="text1"/>
          <w:kern w:val="0"/>
          <w:szCs w:val="21"/>
          <w14:textFill>
            <w14:solidFill>
              <w14:schemeClr w14:val="tx1"/>
            </w14:solidFill>
          </w14:textFill>
        </w:rPr>
        <w:t>1mm。</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6 </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筋和</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符合表</w:t>
      </w:r>
      <w:r>
        <w:rPr>
          <w:rFonts w:hint="eastAsia" w:cs="HiddenHorzOCR" w:asciiTheme="minorEastAsia" w:hAnsiTheme="minorEastAsia"/>
          <w:color w:val="000000" w:themeColor="text1"/>
          <w:kern w:val="0"/>
          <w:szCs w:val="21"/>
          <w14:textFill>
            <w14:solidFill>
              <w14:schemeClr w14:val="tx1"/>
            </w14:solidFill>
          </w14:textFill>
        </w:rPr>
        <w:t>7.5.1-1的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HiddenHorzOCR" w:asciiTheme="minorEastAsia" w:hAnsiTheme="minorEastAsia"/>
          <w:color w:val="000000" w:themeColor="text1"/>
          <w:kern w:val="0"/>
          <w:szCs w:val="21"/>
          <w14:textFill>
            <w14:solidFill>
              <w14:schemeClr w14:val="tx1"/>
            </w14:solidFill>
          </w14:textFill>
        </w:rPr>
        <w:t>I</w:t>
      </w:r>
      <w:r>
        <w:rPr>
          <w:rFonts w:hint="eastAsia" w:cs="宋体" w:asciiTheme="minorEastAsia" w:hAnsiTheme="minorEastAsia"/>
          <w:color w:val="000000" w:themeColor="text1"/>
          <w:kern w:val="0"/>
          <w:szCs w:val="21"/>
          <w14:textFill>
            <w14:solidFill>
              <w14:schemeClr w14:val="tx1"/>
            </w14:solidFill>
          </w14:textFill>
        </w:rPr>
        <w:t>级钢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须</w:t>
      </w:r>
      <w:r>
        <w:rPr>
          <w:rFonts w:hint="eastAsia" w:cs="MS Mincho" w:asciiTheme="minorEastAsia" w:hAnsiTheme="minorEastAsia"/>
          <w:color w:val="000000" w:themeColor="text1"/>
          <w:kern w:val="0"/>
          <w:szCs w:val="21"/>
          <w14:textFill>
            <w14:solidFill>
              <w14:schemeClr w14:val="tx1"/>
            </w14:solidFill>
          </w14:textFill>
        </w:rPr>
        <w:t>加末端弯</w:t>
      </w:r>
      <w:r>
        <w:rPr>
          <w:rFonts w:hint="eastAsia" w:cs="宋体" w:asciiTheme="minorEastAsia" w:hAnsiTheme="minorEastAsia"/>
          <w:color w:val="000000" w:themeColor="text1"/>
          <w:kern w:val="0"/>
          <w:szCs w:val="21"/>
          <w14:textFill>
            <w14:solidFill>
              <w14:schemeClr w14:val="tx1"/>
            </w14:solidFill>
          </w14:textFill>
        </w:rPr>
        <w:t>钩</w:t>
      </w:r>
      <w:r>
        <w:rPr>
          <w:rFonts w:hint="eastAsia" w:cs="HiddenHorzOCR" w:asciiTheme="minorEastAsia" w:hAnsiTheme="minorEastAsia"/>
          <w:color w:val="000000" w:themeColor="text1"/>
          <w:kern w:val="0"/>
          <w:szCs w:val="21"/>
          <w14:textFill>
            <w14:solidFill>
              <w14:schemeClr w14:val="tx1"/>
            </w14:solidFill>
          </w14:textFill>
        </w:rPr>
        <w:t>；不能</w:t>
      </w:r>
      <w:r>
        <w:rPr>
          <w:rFonts w:hint="eastAsia" w:cs="宋体" w:asciiTheme="minorEastAsia" w:hAnsiTheme="minorEastAsia"/>
          <w:color w:val="000000" w:themeColor="text1"/>
          <w:kern w:val="0"/>
          <w:szCs w:val="21"/>
          <w14:textFill>
            <w14:solidFill>
              <w14:schemeClr w14:val="tx1"/>
            </w14:solidFill>
          </w14:textFill>
        </w:rPr>
        <w:t>满</w:t>
      </w:r>
      <w:r>
        <w:rPr>
          <w:rFonts w:hint="eastAsia" w:cs="MS Mincho" w:asciiTheme="minorEastAsia" w:hAnsiTheme="minorEastAsia"/>
          <w:color w:val="000000" w:themeColor="text1"/>
          <w:kern w:val="0"/>
          <w:szCs w:val="21"/>
          <w14:textFill>
            <w14:solidFill>
              <w14:schemeClr w14:val="tx1"/>
            </w14:solidFill>
          </w14:textFill>
        </w:rPr>
        <w:t>足</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采取有效</w:t>
      </w:r>
      <w:r>
        <w:rPr>
          <w:rFonts w:hint="eastAsia" w:cs="HiddenHorzOCR"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固措施。</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ascii="Cambria Math" w:hAnsi="Cambria Math" w:cs="MS Mincho"/>
          <w:color w:val="000000" w:themeColor="text1"/>
          <w:kern w:val="0"/>
          <w:szCs w:val="21"/>
          <w14:textFill>
            <w14:solidFill>
              <w14:schemeClr w14:val="tx1"/>
            </w14:solidFill>
          </w14:textFill>
        </w:rPr>
      </w:pPr>
      <w:r>
        <w:rPr>
          <w:rFonts w:hint="eastAsia" w:cs="MS Mincho" w:asciiTheme="minorEastAsia" w:hAnsiTheme="minorEastAsia"/>
          <w:color w:val="000000" w:themeColor="text1"/>
          <w:kern w:val="0"/>
          <w:szCs w:val="21"/>
          <w14:textFill>
            <w14:solidFill>
              <w14:schemeClr w14:val="tx1"/>
            </w14:solidFill>
          </w14:textFill>
        </w:rPr>
        <w:t xml:space="preserve"> </w:t>
      </w:r>
      <w:r>
        <w:rPr>
          <w:rFonts w:cs="MS Mincho"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表7.5.1-1</w:t>
      </w:r>
      <w:r>
        <w:rPr>
          <w:rFonts w:cs="MS Mincho" w:asciiTheme="minorEastAsia" w:hAnsiTheme="minorEastAsia"/>
          <w:color w:val="000000" w:themeColor="text1"/>
          <w:kern w:val="0"/>
          <w:szCs w:val="21"/>
          <w14:textFill>
            <w14:solidFill>
              <w14:schemeClr w14:val="tx1"/>
            </w14:solidFill>
          </w14:textFill>
        </w:rPr>
        <w:t xml:space="preserve">  </w:t>
      </w:r>
      <w:r>
        <w:rPr>
          <w:rFonts w:hint="eastAsia" w:cs="MS Mincho" w:asciiTheme="minorEastAsia" w:hAnsiTheme="minorEastAsia"/>
          <w:color w:val="000000" w:themeColor="text1"/>
          <w:kern w:val="0"/>
          <w:szCs w:val="21"/>
          <w14:textFill>
            <w14:solidFill>
              <w14:schemeClr w14:val="tx1"/>
            </w14:solidFill>
          </w14:textFill>
        </w:rPr>
        <w:t>预埋钢筋的最小锚固长度</w:t>
      </w:r>
      <m:oMath>
        <m:sSub>
          <m:sSubPr>
            <m:ctrlPr>
              <w:rPr>
                <w:rFonts w:ascii="Cambria Math" w:hAnsi="Cambria Math" w:cs="MS Mincho"/>
                <w:i/>
                <w:color w:val="000000" w:themeColor="text1"/>
                <w:kern w:val="0"/>
                <w:szCs w:val="21"/>
                <w14:textFill>
                  <w14:solidFill>
                    <w14:schemeClr w14:val="tx1"/>
                  </w14:solidFill>
                </w14:textFill>
              </w:rPr>
            </m:ctrlPr>
          </m:sSubPr>
          <m:e>
            <m:r>
              <w:rPr>
                <w:rFonts w:hint="eastAsia" w:ascii="Cambria Math" w:hAnsi="Cambria Math" w:cs="MS Mincho"/>
                <w:color w:val="000000" w:themeColor="text1"/>
                <w:kern w:val="0"/>
                <w:szCs w:val="21"/>
                <w14:textFill>
                  <w14:solidFill>
                    <w14:schemeClr w14:val="tx1"/>
                  </w14:solidFill>
                </w14:textFill>
              </w:rPr>
              <m:t>l</m:t>
            </m:r>
            <m:ctrlPr>
              <w:rPr>
                <w:rFonts w:ascii="Cambria Math" w:hAnsi="Cambria Math" w:cs="MS Mincho"/>
                <w:i/>
                <w:color w:val="000000" w:themeColor="text1"/>
                <w:kern w:val="0"/>
                <w:szCs w:val="21"/>
                <w14:textFill>
                  <w14:solidFill>
                    <w14:schemeClr w14:val="tx1"/>
                  </w14:solidFill>
                </w14:textFill>
              </w:rPr>
            </m:ctrlPr>
          </m:e>
          <m:sub>
            <m:r>
              <w:rPr>
                <w:rFonts w:ascii="Cambria Math" w:hAnsi="Cambria Math" w:cs="MS Mincho"/>
                <w:color w:val="000000" w:themeColor="text1"/>
                <w:kern w:val="0"/>
                <w:szCs w:val="21"/>
                <w14:textFill>
                  <w14:solidFill>
                    <w14:schemeClr w14:val="tx1"/>
                  </w14:solidFill>
                </w14:textFill>
              </w:rPr>
              <m:t>a</m:t>
            </m:r>
            <m:ctrlPr>
              <w:rPr>
                <w:rFonts w:ascii="Cambria Math" w:hAnsi="Cambria Math" w:cs="MS Mincho"/>
                <w:i/>
                <w:color w:val="000000" w:themeColor="text1"/>
                <w:kern w:val="0"/>
                <w:szCs w:val="21"/>
                <w14:textFill>
                  <w14:solidFill>
                    <w14:schemeClr w14:val="tx1"/>
                  </w14:solidFill>
                </w14:textFill>
              </w:rPr>
            </m:ctrlPr>
          </m:sub>
        </m:sSub>
      </m:oMath>
    </w:p>
    <w:tbl>
      <w:tblPr>
        <w:tblStyle w:val="33"/>
        <w:tblW w:w="3755" w:type="pct"/>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1538"/>
        <w:gridCol w:w="925"/>
        <w:gridCol w:w="922"/>
        <w:gridCol w:w="922"/>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138" w:type="pct"/>
            <w:vMerge w:val="restart"/>
            <w:tcBorders>
              <w:top w:val="single" w:color="auto" w:sz="8" w:space="0"/>
              <w:lef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预埋件受力类型</w:t>
            </w:r>
          </w:p>
        </w:tc>
        <w:tc>
          <w:tcPr>
            <w:tcW w:w="1136" w:type="pct"/>
            <w:vMerge w:val="restart"/>
            <w:tcBorders>
              <w:top w:val="single" w:color="auto" w:sz="8" w:space="0"/>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锚固类型</w:t>
            </w:r>
          </w:p>
        </w:tc>
        <w:tc>
          <w:tcPr>
            <w:tcW w:w="2726" w:type="pct"/>
            <w:gridSpan w:val="4"/>
            <w:tcBorders>
              <w:top w:val="single" w:color="auto" w:sz="8" w:space="0"/>
              <w:righ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混凝土强度等级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138" w:type="pct"/>
            <w:vMerge w:val="continue"/>
            <w:tcBorders>
              <w:lef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p>
        </w:tc>
        <w:tc>
          <w:tcPr>
            <w:tcW w:w="1136" w:type="pct"/>
            <w:vMerge w:val="continue"/>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p>
        </w:tc>
        <w:tc>
          <w:tcPr>
            <w:tcW w:w="683"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C</w:t>
            </w:r>
            <w:r>
              <w:rPr>
                <w:rFonts w:cs="HiddenHorzOCR"/>
                <w:color w:val="000000" w:themeColor="text1"/>
                <w:kern w:val="0"/>
                <w:sz w:val="18"/>
                <w:szCs w:val="18"/>
                <w14:textFill>
                  <w14:solidFill>
                    <w14:schemeClr w14:val="tx1"/>
                  </w14:solidFill>
                </w14:textFill>
              </w:rPr>
              <w:t>15</w:t>
            </w:r>
          </w:p>
        </w:tc>
        <w:tc>
          <w:tcPr>
            <w:tcW w:w="681"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C</w:t>
            </w:r>
            <w:r>
              <w:rPr>
                <w:rFonts w:cs="HiddenHorzOCR"/>
                <w:color w:val="000000" w:themeColor="text1"/>
                <w:kern w:val="0"/>
                <w:sz w:val="18"/>
                <w:szCs w:val="18"/>
                <w14:textFill>
                  <w14:solidFill>
                    <w14:schemeClr w14:val="tx1"/>
                  </w14:solidFill>
                </w14:textFill>
              </w:rPr>
              <w:t>20</w:t>
            </w:r>
          </w:p>
        </w:tc>
        <w:tc>
          <w:tcPr>
            <w:tcW w:w="681"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C</w:t>
            </w:r>
            <w:r>
              <w:rPr>
                <w:rFonts w:cs="HiddenHorzOCR"/>
                <w:color w:val="000000" w:themeColor="text1"/>
                <w:kern w:val="0"/>
                <w:sz w:val="18"/>
                <w:szCs w:val="18"/>
                <w14:textFill>
                  <w14:solidFill>
                    <w14:schemeClr w14:val="tx1"/>
                  </w14:solidFill>
                </w14:textFill>
              </w:rPr>
              <w:t>25</w:t>
            </w:r>
          </w:p>
        </w:tc>
        <w:tc>
          <w:tcPr>
            <w:tcW w:w="681" w:type="pct"/>
            <w:tcBorders>
              <w:righ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≥C</w:t>
            </w:r>
            <w:r>
              <w:rPr>
                <w:rFonts w:cs="HiddenHorzOCR"/>
                <w:color w:val="000000" w:themeColor="text1"/>
                <w:kern w:val="0"/>
                <w:sz w:val="18"/>
                <w:szCs w:val="18"/>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restart"/>
            <w:tcBorders>
              <w:lef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受拉、受弯</w:t>
            </w:r>
          </w:p>
        </w:tc>
        <w:tc>
          <w:tcPr>
            <w:tcW w:w="1136"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I级钢筋</w:t>
            </w:r>
          </w:p>
        </w:tc>
        <w:tc>
          <w:tcPr>
            <w:tcW w:w="683"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4</w:t>
            </w:r>
            <w:r>
              <w:rPr>
                <w:rFonts w:cs="HiddenHorzOCR"/>
                <w:color w:val="000000" w:themeColor="text1"/>
                <w:kern w:val="0"/>
                <w:sz w:val="18"/>
                <w:szCs w:val="18"/>
                <w14:textFill>
                  <w14:solidFill>
                    <w14:schemeClr w14:val="tx1"/>
                  </w14:solidFill>
                </w14:textFill>
              </w:rPr>
              <w:t>0</w:t>
            </w:r>
            <w:r>
              <w:rPr>
                <w:rFonts w:cs="HiddenHorzOCR"/>
                <w:i/>
                <w:color w:val="000000" w:themeColor="text1"/>
                <w:kern w:val="0"/>
                <w:sz w:val="18"/>
                <w:szCs w:val="18"/>
                <w14:textFill>
                  <w14:solidFill>
                    <w14:schemeClr w14:val="tx1"/>
                  </w14:solidFill>
                </w14:textFill>
              </w:rPr>
              <w:t>d</w:t>
            </w:r>
          </w:p>
        </w:tc>
        <w:tc>
          <w:tcPr>
            <w:tcW w:w="681"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3</w:t>
            </w:r>
            <w:r>
              <w:rPr>
                <w:rFonts w:cs="HiddenHorzOCR"/>
                <w:color w:val="000000" w:themeColor="text1"/>
                <w:kern w:val="0"/>
                <w:sz w:val="18"/>
                <w:szCs w:val="18"/>
                <w14:textFill>
                  <w14:solidFill>
                    <w14:schemeClr w14:val="tx1"/>
                  </w14:solidFill>
                </w14:textFill>
              </w:rPr>
              <w:t>0</w:t>
            </w:r>
            <w:r>
              <w:rPr>
                <w:rFonts w:cs="HiddenHorzOCR"/>
                <w:i/>
                <w:color w:val="000000" w:themeColor="text1"/>
                <w:kern w:val="0"/>
                <w:sz w:val="18"/>
                <w:szCs w:val="18"/>
                <w14:textFill>
                  <w14:solidFill>
                    <w14:schemeClr w14:val="tx1"/>
                  </w14:solidFill>
                </w14:textFill>
              </w:rPr>
              <w:t>d</w:t>
            </w:r>
          </w:p>
        </w:tc>
        <w:tc>
          <w:tcPr>
            <w:tcW w:w="681"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3</w:t>
            </w:r>
            <w:r>
              <w:rPr>
                <w:rFonts w:cs="HiddenHorzOCR"/>
                <w:color w:val="000000" w:themeColor="text1"/>
                <w:kern w:val="0"/>
                <w:sz w:val="18"/>
                <w:szCs w:val="18"/>
                <w14:textFill>
                  <w14:solidFill>
                    <w14:schemeClr w14:val="tx1"/>
                  </w14:solidFill>
                </w14:textFill>
              </w:rPr>
              <w:t>0</w:t>
            </w:r>
            <w:r>
              <w:rPr>
                <w:rFonts w:cs="HiddenHorzOCR"/>
                <w:i/>
                <w:color w:val="000000" w:themeColor="text1"/>
                <w:kern w:val="0"/>
                <w:sz w:val="18"/>
                <w:szCs w:val="18"/>
                <w14:textFill>
                  <w14:solidFill>
                    <w14:schemeClr w14:val="tx1"/>
                  </w14:solidFill>
                </w14:textFill>
              </w:rPr>
              <w:t>d</w:t>
            </w:r>
          </w:p>
        </w:tc>
        <w:tc>
          <w:tcPr>
            <w:tcW w:w="681" w:type="pct"/>
            <w:tcBorders>
              <w:righ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3</w:t>
            </w:r>
            <w:r>
              <w:rPr>
                <w:rFonts w:cs="HiddenHorzOCR"/>
                <w:color w:val="000000" w:themeColor="text1"/>
                <w:kern w:val="0"/>
                <w:sz w:val="18"/>
                <w:szCs w:val="18"/>
                <w14:textFill>
                  <w14:solidFill>
                    <w14:schemeClr w14:val="tx1"/>
                  </w14:solidFill>
                </w14:textFill>
              </w:rPr>
              <w:t>0</w:t>
            </w:r>
            <w:r>
              <w:rPr>
                <w:rFonts w:cs="HiddenHorzOCR"/>
                <w:i/>
                <w:color w:val="000000" w:themeColor="text1"/>
                <w:kern w:val="0"/>
                <w:sz w:val="18"/>
                <w:szCs w:val="18"/>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continue"/>
            <w:tcBorders>
              <w:lef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p>
        </w:tc>
        <w:tc>
          <w:tcPr>
            <w:tcW w:w="1136"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ascii="宋体" w:hAnsi="宋体" w:cs="HiddenHorzOCR"/>
                <w:color w:val="000000" w:themeColor="text1"/>
                <w:kern w:val="0"/>
                <w:sz w:val="18"/>
                <w:szCs w:val="18"/>
                <w14:textFill>
                  <w14:solidFill>
                    <w14:schemeClr w14:val="tx1"/>
                  </w14:solidFill>
                </w14:textFill>
              </w:rPr>
              <w:t>Ⅱ</w:t>
            </w:r>
            <w:r>
              <w:rPr>
                <w:rFonts w:hint="eastAsia" w:cs="HiddenHorzOCR"/>
                <w:color w:val="000000" w:themeColor="text1"/>
                <w:kern w:val="0"/>
                <w:sz w:val="18"/>
                <w:szCs w:val="18"/>
                <w14:textFill>
                  <w14:solidFill>
                    <w14:schemeClr w14:val="tx1"/>
                  </w14:solidFill>
                </w14:textFill>
              </w:rPr>
              <w:t>级钢筋</w:t>
            </w:r>
          </w:p>
        </w:tc>
        <w:tc>
          <w:tcPr>
            <w:tcW w:w="683"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w:t>
            </w:r>
          </w:p>
        </w:tc>
        <w:tc>
          <w:tcPr>
            <w:tcW w:w="681"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4</w:t>
            </w:r>
            <w:r>
              <w:rPr>
                <w:rFonts w:cs="HiddenHorzOCR"/>
                <w:color w:val="000000" w:themeColor="text1"/>
                <w:kern w:val="0"/>
                <w:sz w:val="18"/>
                <w:szCs w:val="18"/>
                <w14:textFill>
                  <w14:solidFill>
                    <w14:schemeClr w14:val="tx1"/>
                  </w14:solidFill>
                </w14:textFill>
              </w:rPr>
              <w:t>0</w:t>
            </w:r>
            <w:r>
              <w:rPr>
                <w:rFonts w:cs="HiddenHorzOCR"/>
                <w:i/>
                <w:color w:val="000000" w:themeColor="text1"/>
                <w:kern w:val="0"/>
                <w:sz w:val="18"/>
                <w:szCs w:val="18"/>
                <w14:textFill>
                  <w14:solidFill>
                    <w14:schemeClr w14:val="tx1"/>
                  </w14:solidFill>
                </w14:textFill>
              </w:rPr>
              <w:t>d</w:t>
            </w:r>
          </w:p>
        </w:tc>
        <w:tc>
          <w:tcPr>
            <w:tcW w:w="681"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3</w:t>
            </w:r>
            <w:r>
              <w:rPr>
                <w:rFonts w:cs="HiddenHorzOCR"/>
                <w:color w:val="000000" w:themeColor="text1"/>
                <w:kern w:val="0"/>
                <w:sz w:val="18"/>
                <w:szCs w:val="18"/>
                <w14:textFill>
                  <w14:solidFill>
                    <w14:schemeClr w14:val="tx1"/>
                  </w14:solidFill>
                </w14:textFill>
              </w:rPr>
              <w:t>5</w:t>
            </w:r>
            <w:r>
              <w:rPr>
                <w:rFonts w:cs="HiddenHorzOCR"/>
                <w:i/>
                <w:color w:val="000000" w:themeColor="text1"/>
                <w:kern w:val="0"/>
                <w:sz w:val="18"/>
                <w:szCs w:val="18"/>
                <w14:textFill>
                  <w14:solidFill>
                    <w14:schemeClr w14:val="tx1"/>
                  </w14:solidFill>
                </w14:textFill>
              </w:rPr>
              <w:t>d</w:t>
            </w:r>
          </w:p>
        </w:tc>
        <w:tc>
          <w:tcPr>
            <w:tcW w:w="681" w:type="pct"/>
            <w:tcBorders>
              <w:righ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3</w:t>
            </w:r>
            <w:r>
              <w:rPr>
                <w:rFonts w:cs="HiddenHorzOCR"/>
                <w:color w:val="000000" w:themeColor="text1"/>
                <w:kern w:val="0"/>
                <w:sz w:val="18"/>
                <w:szCs w:val="18"/>
                <w14:textFill>
                  <w14:solidFill>
                    <w14:schemeClr w14:val="tx1"/>
                  </w14:solidFill>
                </w14:textFill>
              </w:rPr>
              <w:t>0</w:t>
            </w:r>
            <w:r>
              <w:rPr>
                <w:rFonts w:cs="HiddenHorzOCR"/>
                <w:i/>
                <w:color w:val="000000" w:themeColor="text1"/>
                <w:kern w:val="0"/>
                <w:sz w:val="18"/>
                <w:szCs w:val="18"/>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continue"/>
            <w:tcBorders>
              <w:left w:val="nil"/>
              <w:bottom w:val="single" w:color="auto" w:sz="4" w:space="0"/>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p>
        </w:tc>
        <w:tc>
          <w:tcPr>
            <w:tcW w:w="1136"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角钢</w:t>
            </w:r>
          </w:p>
        </w:tc>
        <w:tc>
          <w:tcPr>
            <w:tcW w:w="683" w:type="pct"/>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6</w:t>
            </w:r>
            <w:r>
              <w:rPr>
                <w:rFonts w:cs="HiddenHorzOCR"/>
                <w:color w:val="000000" w:themeColor="text1"/>
                <w:kern w:val="0"/>
                <w:sz w:val="18"/>
                <w:szCs w:val="18"/>
                <w14:textFill>
                  <w14:solidFill>
                    <w14:schemeClr w14:val="tx1"/>
                  </w14:solidFill>
                </w14:textFill>
              </w:rPr>
              <w:t>.5</w:t>
            </w:r>
            <w:r>
              <w:rPr>
                <w:rFonts w:cs="HiddenHorzOCR"/>
                <w:i/>
                <w:color w:val="000000" w:themeColor="text1"/>
                <w:kern w:val="0"/>
                <w:sz w:val="18"/>
                <w:szCs w:val="18"/>
                <w14:textFill>
                  <w14:solidFill>
                    <w14:schemeClr w14:val="tx1"/>
                  </w14:solidFill>
                </w14:textFill>
              </w:rPr>
              <w:t>b</w:t>
            </w:r>
          </w:p>
        </w:tc>
        <w:tc>
          <w:tcPr>
            <w:tcW w:w="2043" w:type="pct"/>
            <w:gridSpan w:val="3"/>
            <w:tcBorders>
              <w:righ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6</w:t>
            </w:r>
            <w:r>
              <w:rPr>
                <w:rFonts w:cs="HiddenHorzOCR"/>
                <w:i/>
                <w:color w:val="000000" w:themeColor="text1"/>
                <w:kern w:val="0"/>
                <w:sz w:val="18"/>
                <w:szCs w:val="18"/>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restart"/>
            <w:tcBorders>
              <w:left w:val="nil"/>
              <w:bottom w:val="single" w:color="auto" w:sz="8" w:space="0"/>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受剪、压剪</w:t>
            </w:r>
          </w:p>
        </w:tc>
        <w:tc>
          <w:tcPr>
            <w:tcW w:w="1136" w:type="pct"/>
            <w:tcBorders>
              <w:bottom w:val="single" w:color="auto" w:sz="4" w:space="0"/>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钢筋</w:t>
            </w:r>
          </w:p>
        </w:tc>
        <w:tc>
          <w:tcPr>
            <w:tcW w:w="2726" w:type="pct"/>
            <w:gridSpan w:val="4"/>
            <w:tcBorders>
              <w:bottom w:val="single" w:color="auto" w:sz="4" w:space="0"/>
              <w:righ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1</w:t>
            </w:r>
            <w:r>
              <w:rPr>
                <w:rFonts w:cs="HiddenHorzOCR"/>
                <w:color w:val="000000" w:themeColor="text1"/>
                <w:kern w:val="0"/>
                <w:sz w:val="18"/>
                <w:szCs w:val="18"/>
                <w14:textFill>
                  <w14:solidFill>
                    <w14:schemeClr w14:val="tx1"/>
                  </w14:solidFill>
                </w14:textFill>
              </w:rPr>
              <w:t>5</w:t>
            </w:r>
            <w:r>
              <w:rPr>
                <w:rFonts w:cs="HiddenHorzOCR"/>
                <w:i/>
                <w:color w:val="000000" w:themeColor="text1"/>
                <w:kern w:val="0"/>
                <w:sz w:val="18"/>
                <w:szCs w:val="18"/>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pct"/>
            <w:vMerge w:val="continue"/>
            <w:tcBorders>
              <w:left w:val="nil"/>
              <w:bottom w:val="single" w:color="auto" w:sz="8" w:space="0"/>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p>
        </w:tc>
        <w:tc>
          <w:tcPr>
            <w:tcW w:w="1136" w:type="pct"/>
            <w:tcBorders>
              <w:bottom w:val="single" w:color="auto" w:sz="8" w:space="0"/>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角钢</w:t>
            </w:r>
          </w:p>
        </w:tc>
        <w:tc>
          <w:tcPr>
            <w:tcW w:w="2726" w:type="pct"/>
            <w:gridSpan w:val="4"/>
            <w:tcBorders>
              <w:bottom w:val="single" w:color="auto" w:sz="8" w:space="0"/>
              <w:right w:val="nil"/>
            </w:tcBorders>
            <w:tcMar>
              <w:top w:w="57" w:type="dxa"/>
              <w:left w:w="0" w:type="dxa"/>
              <w:right w:w="0" w:type="dxa"/>
            </w:tcMar>
            <w:vAlign w:val="center"/>
          </w:tcPr>
          <w:p>
            <w:pPr>
              <w:spacing w:line="312" w:lineRule="auto"/>
              <w:ind w:firstLine="0" w:firstLineChars="0"/>
              <w:jc w:val="center"/>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4</w:t>
            </w:r>
            <w:r>
              <w:rPr>
                <w:rFonts w:cs="HiddenHorzOCR"/>
                <w:i/>
                <w:color w:val="000000" w:themeColor="text1"/>
                <w:kern w:val="0"/>
                <w:sz w:val="18"/>
                <w:szCs w:val="18"/>
                <w14:textFill>
                  <w14:solidFill>
                    <w14:schemeClr w14:val="tx1"/>
                  </w14:solidFill>
                </w14:textFill>
              </w:rPr>
              <w:t>b</w:t>
            </w:r>
          </w:p>
        </w:tc>
      </w:tr>
    </w:tbl>
    <w:p>
      <w:pPr>
        <w:spacing w:before="156" w:beforeLines="50" w:line="360" w:lineRule="auto"/>
        <w:ind w:firstLine="1260" w:firstLineChars="700"/>
        <w:rPr>
          <w:rFonts w:cs="HiddenHorzOCR"/>
          <w:color w:val="000000" w:themeColor="text1"/>
          <w:kern w:val="0"/>
          <w:sz w:val="18"/>
          <w:szCs w:val="18"/>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注：1. 直径大于2</w:t>
      </w:r>
      <w:r>
        <w:rPr>
          <w:rFonts w:cs="HiddenHorzOCR"/>
          <w:color w:val="000000" w:themeColor="text1"/>
          <w:kern w:val="0"/>
          <w:sz w:val="18"/>
          <w:szCs w:val="18"/>
          <w14:textFill>
            <w14:solidFill>
              <w14:schemeClr w14:val="tx1"/>
            </w14:solidFill>
          </w14:textFill>
        </w:rPr>
        <w:t>5mm</w:t>
      </w:r>
      <w:r>
        <w:rPr>
          <w:rFonts w:hint="eastAsia" w:cs="HiddenHorzOCR"/>
          <w:color w:val="000000" w:themeColor="text1"/>
          <w:kern w:val="0"/>
          <w:sz w:val="18"/>
          <w:szCs w:val="18"/>
          <w14:textFill>
            <w14:solidFill>
              <w14:schemeClr w14:val="tx1"/>
            </w14:solidFill>
          </w14:textFill>
        </w:rPr>
        <w:t>的</w:t>
      </w:r>
      <w:r>
        <w:rPr>
          <w:rFonts w:hint="eastAsia" w:ascii="宋体" w:hAnsi="宋体" w:cs="HiddenHorzOCR"/>
          <w:color w:val="000000" w:themeColor="text1"/>
          <w:kern w:val="0"/>
          <w:sz w:val="18"/>
          <w:szCs w:val="18"/>
          <w14:textFill>
            <w14:solidFill>
              <w14:schemeClr w14:val="tx1"/>
            </w14:solidFill>
          </w14:textFill>
        </w:rPr>
        <w:t>Ⅱ</w:t>
      </w:r>
      <w:r>
        <w:rPr>
          <w:rFonts w:hint="eastAsia" w:cs="HiddenHorzOCR"/>
          <w:color w:val="000000" w:themeColor="text1"/>
          <w:kern w:val="0"/>
          <w:sz w:val="18"/>
          <w:szCs w:val="18"/>
          <w14:textFill>
            <w14:solidFill>
              <w14:schemeClr w14:val="tx1"/>
            </w14:solidFill>
          </w14:textFill>
        </w:rPr>
        <w:t>级钢筋，其锚固长度应按表中数值增加5</w:t>
      </w:r>
      <w:r>
        <w:rPr>
          <w:rFonts w:cs="HiddenHorzOCR"/>
          <w:i/>
          <w:color w:val="000000" w:themeColor="text1"/>
          <w:kern w:val="0"/>
          <w:sz w:val="18"/>
          <w:szCs w:val="18"/>
          <w14:textFill>
            <w14:solidFill>
              <w14:schemeClr w14:val="tx1"/>
            </w14:solidFill>
          </w14:textFill>
        </w:rPr>
        <w:t>d</w:t>
      </w:r>
      <w:r>
        <w:rPr>
          <w:rFonts w:hint="eastAsia" w:cs="HiddenHorzOCR"/>
          <w:color w:val="000000" w:themeColor="text1"/>
          <w:kern w:val="0"/>
          <w:sz w:val="18"/>
          <w:szCs w:val="18"/>
          <w14:textFill>
            <w14:solidFill>
              <w14:schemeClr w14:val="tx1"/>
            </w14:solidFill>
          </w14:textFill>
        </w:rPr>
        <w:t>采用；</w:t>
      </w:r>
    </w:p>
    <w:p>
      <w:pPr>
        <w:numPr>
          <w:ilvl w:val="0"/>
          <w:numId w:val="5"/>
        </w:numPr>
        <w:spacing w:line="360" w:lineRule="auto"/>
        <w:ind w:firstLine="1643" w:firstLineChars="913"/>
        <w:rPr>
          <w:rFonts w:cs="HiddenHorzOCR"/>
          <w:color w:val="000000" w:themeColor="text1"/>
          <w:kern w:val="0"/>
          <w:sz w:val="18"/>
          <w:szCs w:val="18"/>
          <w14:textFill>
            <w14:solidFill>
              <w14:schemeClr w14:val="tx1"/>
            </w14:solidFill>
          </w14:textFill>
        </w:rPr>
      </w:pPr>
      <w:r>
        <w:rPr>
          <w:rFonts w:cs="HiddenHorzOCR"/>
          <w:i/>
          <w:color w:val="000000" w:themeColor="text1"/>
          <w:kern w:val="0"/>
          <w:sz w:val="18"/>
          <w:szCs w:val="18"/>
          <w14:textFill>
            <w14:solidFill>
              <w14:schemeClr w14:val="tx1"/>
            </w14:solidFill>
          </w14:textFill>
        </w:rPr>
        <w:t>d</w:t>
      </w:r>
      <w:r>
        <w:rPr>
          <w:rFonts w:hint="eastAsia" w:cs="HiddenHorzOCR"/>
          <w:color w:val="000000" w:themeColor="text1"/>
          <w:kern w:val="0"/>
          <w:sz w:val="18"/>
          <w:szCs w:val="18"/>
          <w14:textFill>
            <w14:solidFill>
              <w14:schemeClr w14:val="tx1"/>
            </w14:solidFill>
          </w14:textFill>
        </w:rPr>
        <w:t>为锚筋直径，</w:t>
      </w:r>
      <w:r>
        <w:rPr>
          <w:rFonts w:hint="eastAsia" w:cs="HiddenHorzOCR"/>
          <w:i/>
          <w:color w:val="000000" w:themeColor="text1"/>
          <w:kern w:val="0"/>
          <w:sz w:val="18"/>
          <w:szCs w:val="18"/>
          <w14:textFill>
            <w14:solidFill>
              <w14:schemeClr w14:val="tx1"/>
            </w14:solidFill>
          </w14:textFill>
        </w:rPr>
        <w:t>b</w:t>
      </w:r>
      <w:r>
        <w:rPr>
          <w:rFonts w:hint="eastAsia" w:cs="HiddenHorzOCR"/>
          <w:color w:val="000000" w:themeColor="text1"/>
          <w:kern w:val="0"/>
          <w:sz w:val="18"/>
          <w:szCs w:val="18"/>
          <w14:textFill>
            <w14:solidFill>
              <w14:schemeClr w14:val="tx1"/>
            </w14:solidFill>
          </w14:textFill>
        </w:rPr>
        <w:t>为锚固角钢肢宽；</w:t>
      </w:r>
    </w:p>
    <w:p>
      <w:pPr>
        <w:spacing w:line="360" w:lineRule="auto"/>
        <w:ind w:firstLine="1643" w:firstLineChars="913"/>
        <w:rPr>
          <w:color w:val="000000" w:themeColor="text1"/>
          <w14:textFill>
            <w14:solidFill>
              <w14:schemeClr w14:val="tx1"/>
            </w14:solidFill>
          </w14:textFill>
        </w:rPr>
      </w:pPr>
      <w:r>
        <w:rPr>
          <w:rFonts w:hint="eastAsia" w:cs="HiddenHorzOCR"/>
          <w:color w:val="000000" w:themeColor="text1"/>
          <w:kern w:val="0"/>
          <w:sz w:val="18"/>
          <w:szCs w:val="18"/>
          <w14:textFill>
            <w14:solidFill>
              <w14:schemeClr w14:val="tx1"/>
            </w14:solidFill>
          </w14:textFill>
        </w:rPr>
        <w:t>3</w:t>
      </w:r>
      <w:r>
        <w:rPr>
          <w:rFonts w:cs="HiddenHorzOCR"/>
          <w:color w:val="000000" w:themeColor="text1"/>
          <w:kern w:val="0"/>
          <w:sz w:val="18"/>
          <w:szCs w:val="18"/>
          <w14:textFill>
            <w14:solidFill>
              <w14:schemeClr w14:val="tx1"/>
            </w14:solidFill>
          </w14:textFill>
        </w:rPr>
        <w:t>.</w:t>
      </w:r>
      <w:r>
        <w:rPr>
          <w:rFonts w:hint="eastAsia" w:cs="HiddenHorzOCR"/>
          <w:color w:val="000000" w:themeColor="text1"/>
          <w:kern w:val="0"/>
          <w:sz w:val="18"/>
          <w:szCs w:val="18"/>
          <w14:textFill>
            <w14:solidFill>
              <w14:schemeClr w14:val="tx1"/>
            </w14:solidFill>
          </w14:textFill>
        </w:rPr>
        <w:t xml:space="preserve"> 不考虑抗震附加锚固长度。</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 </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筋和</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距和至构件</w:t>
      </w:r>
      <w:r>
        <w:rPr>
          <w:rFonts w:hint="eastAsia" w:cs="宋体" w:asciiTheme="minorEastAsia" w:hAnsiTheme="minorEastAsia"/>
          <w:color w:val="000000" w:themeColor="text1"/>
          <w:kern w:val="0"/>
          <w:szCs w:val="21"/>
          <w14:textFill>
            <w14:solidFill>
              <w14:schemeClr w14:val="tx1"/>
            </w14:solidFill>
          </w14:textFill>
        </w:rPr>
        <w:t>边缘</w:t>
      </w:r>
      <w:r>
        <w:rPr>
          <w:rFonts w:hint="eastAsia" w:cs="MS Mincho" w:asciiTheme="minorEastAsia" w:hAnsiTheme="minorEastAsia"/>
          <w:color w:val="000000" w:themeColor="text1"/>
          <w:kern w:val="0"/>
          <w:szCs w:val="21"/>
          <w14:textFill>
            <w14:solidFill>
              <w14:schemeClr w14:val="tx1"/>
            </w14:solidFill>
          </w14:textFill>
        </w:rPr>
        <w:t>的距离，</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符合表</w:t>
      </w:r>
      <w:r>
        <w:rPr>
          <w:rFonts w:hint="eastAsia" w:cs="HiddenHorzOCR" w:asciiTheme="minorEastAsia" w:hAnsiTheme="minorEastAsia"/>
          <w:color w:val="000000" w:themeColor="text1"/>
          <w:kern w:val="0"/>
          <w:szCs w:val="21"/>
          <w14:textFill>
            <w14:solidFill>
              <w14:schemeClr w14:val="tx1"/>
            </w14:solidFill>
          </w14:textFill>
        </w:rPr>
        <w:t>7.5.1-2的</w:t>
      </w:r>
      <w:r>
        <w:rPr>
          <w:rFonts w:hint="eastAsia" w:cs="宋体" w:asciiTheme="minorEastAsia" w:hAnsiTheme="minorEastAsia"/>
          <w:color w:val="000000" w:themeColor="text1"/>
          <w:kern w:val="0"/>
          <w:szCs w:val="21"/>
          <w14:textFill>
            <w14:solidFill>
              <w14:schemeClr w14:val="tx1"/>
            </w14:solidFill>
          </w14:textFill>
        </w:rPr>
        <w:t>规</w:t>
      </w:r>
      <w:r>
        <w:rPr>
          <w:rFonts w:hint="eastAsia" w:cs="MS Mincho" w:asciiTheme="minorEastAsia" w:hAnsiTheme="minorEastAsia"/>
          <w:color w:val="000000" w:themeColor="text1"/>
          <w:kern w:val="0"/>
          <w:szCs w:val="21"/>
          <w14:textFill>
            <w14:solidFill>
              <w14:schemeClr w14:val="tx1"/>
            </w14:solidFill>
          </w14:textFill>
        </w:rPr>
        <w:t>定</w:t>
      </w:r>
      <w:r>
        <w:rPr>
          <w:rFonts w:hint="eastAsia" w:cs="HiddenHorzOCR" w:asciiTheme="minorEastAsia" w:hAnsiTheme="minorEastAsia"/>
          <w:color w:val="000000" w:themeColor="text1"/>
          <w:kern w:val="0"/>
          <w:szCs w:val="21"/>
          <w14:textFill>
            <w14:solidFill>
              <w14:schemeClr w14:val="tx1"/>
            </w14:solidFill>
          </w14:textFill>
        </w:rPr>
        <w:t>（参</w:t>
      </w:r>
      <w:r>
        <w:rPr>
          <w:rFonts w:hint="eastAsia" w:cs="宋体" w:asciiTheme="minorEastAsia" w:hAnsiTheme="minorEastAsia"/>
          <w:color w:val="000000" w:themeColor="text1"/>
          <w:kern w:val="0"/>
          <w:szCs w:val="21"/>
          <w14:textFill>
            <w14:solidFill>
              <w14:schemeClr w14:val="tx1"/>
            </w14:solidFill>
          </w14:textFill>
        </w:rPr>
        <w:t>见图</w:t>
      </w:r>
      <w:r>
        <w:rPr>
          <w:rFonts w:hint="eastAsia" w:cs="HiddenHorzOCR" w:asciiTheme="minorEastAsia" w:hAnsiTheme="minorEastAsia"/>
          <w:color w:val="000000" w:themeColor="text1"/>
          <w:kern w:val="0"/>
          <w:szCs w:val="21"/>
          <w14:textFill>
            <w14:solidFill>
              <w14:schemeClr w14:val="tx1"/>
            </w14:solidFill>
          </w14:textFill>
        </w:rPr>
        <w:t>7.5.1-1）；</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筋的最大</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距不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大于</w:t>
      </w:r>
      <w:r>
        <w:rPr>
          <w:rFonts w:hint="eastAsia" w:cs="HiddenHorzOCR" w:asciiTheme="minorEastAsia" w:hAnsiTheme="minorEastAsia"/>
          <w:color w:val="000000" w:themeColor="text1"/>
          <w:kern w:val="0"/>
          <w:szCs w:val="21"/>
          <w14:textFill>
            <w14:solidFill>
              <w14:schemeClr w14:val="tx1"/>
            </w14:solidFill>
          </w14:textFill>
        </w:rPr>
        <w:t>300mm。</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应对</w:t>
      </w:r>
      <w:r>
        <w:rPr>
          <w:rFonts w:hint="eastAsia" w:cs="MS Mincho" w:asciiTheme="minorEastAsia" w:hAnsiTheme="minorEastAsia"/>
          <w:color w:val="000000" w:themeColor="text1"/>
          <w:kern w:val="0"/>
          <w:szCs w:val="21"/>
          <w14:textFill>
            <w14:solidFill>
              <w14:schemeClr w14:val="tx1"/>
            </w14:solidFill>
          </w14:textFill>
        </w:rPr>
        <w:t>称于力作用</w:t>
      </w:r>
      <w:r>
        <w:rPr>
          <w:rFonts w:hint="eastAsia" w:cs="宋体" w:asciiTheme="minorEastAsia" w:hAnsiTheme="minorEastAsia"/>
          <w:color w:val="000000" w:themeColor="text1"/>
          <w:kern w:val="0"/>
          <w:szCs w:val="21"/>
          <w14:textFill>
            <w14:solidFill>
              <w14:schemeClr w14:val="tx1"/>
            </w14:solidFill>
          </w14:textFill>
        </w:rPr>
        <w:t>线</w:t>
      </w:r>
      <w:r>
        <w:rPr>
          <w:rFonts w:hint="eastAsia" w:cs="MS Mincho" w:asciiTheme="minorEastAsia" w:hAnsiTheme="minorEastAsia"/>
          <w:color w:val="000000" w:themeColor="text1"/>
          <w:kern w:val="0"/>
          <w:szCs w:val="21"/>
          <w14:textFill>
            <w14:solidFill>
              <w14:schemeClr w14:val="tx1"/>
            </w14:solidFill>
          </w14:textFill>
        </w:rPr>
        <w:t>均匀配置，受弯</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埋件中</w:t>
      </w:r>
      <w:r>
        <w:rPr>
          <w:rFonts w:hint="eastAsia" w:cs="HiddenHorzOCR" w:asciiTheme="minorEastAsia" w:hAnsiTheme="minorEastAsia"/>
          <w:color w:val="000000" w:themeColor="text1"/>
          <w:kern w:val="0"/>
          <w:szCs w:val="21"/>
          <w14:textFill>
            <w14:solidFill>
              <w14:schemeClr w14:val="tx1"/>
            </w14:solidFill>
          </w14:textFill>
        </w:rPr>
        <w:t>部分</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筋可向受拉区适当集中。</w:t>
      </w:r>
    </w:p>
    <w:p>
      <w:pPr>
        <w:autoSpaceDE w:val="0"/>
        <w:autoSpaceDN w:val="0"/>
        <w:spacing w:line="360" w:lineRule="auto"/>
        <w:ind w:firstLine="420"/>
        <w:jc w:val="center"/>
        <w:rPr>
          <w:color w:val="000000" w:themeColor="text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1812925" cy="1613535"/>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816303" cy="1616358"/>
                    </a:xfrm>
                    <a:prstGeom prst="rect">
                      <a:avLst/>
                    </a:prstGeom>
                    <a:noFill/>
                    <a:ln>
                      <a:noFill/>
                    </a:ln>
                  </pic:spPr>
                </pic:pic>
              </a:graphicData>
            </a:graphic>
          </wp:inline>
        </w:drawing>
      </w:r>
    </w:p>
    <w:p>
      <w:pPr>
        <w:autoSpaceDE w:val="0"/>
        <w:autoSpaceDN w:val="0"/>
        <w:spacing w:line="360" w:lineRule="auto"/>
        <w:ind w:firstLine="409" w:firstLineChars="195"/>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图7.5.1-1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锚固边排锚筋的附加构造钢筋</w:t>
      </w:r>
    </w:p>
    <w:p>
      <w:pPr>
        <w:autoSpaceDE w:val="0"/>
        <w:autoSpaceDN w:val="0"/>
        <w:spacing w:line="360" w:lineRule="auto"/>
        <w:ind w:firstLine="829" w:firstLineChars="395"/>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平行剪力方向的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筋至构件</w:t>
      </w:r>
      <w:r>
        <w:rPr>
          <w:rFonts w:hint="eastAsia" w:cs="宋体" w:asciiTheme="minorEastAsia" w:hAnsiTheme="minorEastAsia"/>
          <w:color w:val="000000" w:themeColor="text1"/>
          <w:kern w:val="0"/>
          <w:szCs w:val="21"/>
          <w14:textFill>
            <w14:solidFill>
              <w14:schemeClr w14:val="tx1"/>
            </w14:solidFill>
          </w14:textFill>
        </w:rPr>
        <w:t>边缘</w:t>
      </w:r>
      <w:r>
        <w:rPr>
          <w:rFonts w:hint="eastAsia" w:cs="MS Mincho" w:asciiTheme="minorEastAsia" w:hAnsiTheme="minorEastAsia"/>
          <w:color w:val="000000" w:themeColor="text1"/>
          <w:kern w:val="0"/>
          <w:szCs w:val="21"/>
          <w14:textFill>
            <w14:solidFill>
              <w14:schemeClr w14:val="tx1"/>
            </w14:solidFill>
          </w14:textFill>
        </w:rPr>
        <w:t>的距离</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hint="eastAsia" w:ascii="Cambria Math" w:hAnsi="Cambria Math" w:cs="HiddenHorzOCR"/>
                <w:color w:val="000000" w:themeColor="text1"/>
                <w:kern w:val="0"/>
                <w:szCs w:val="21"/>
                <w14:textFill>
                  <w14:solidFill>
                    <w14:schemeClr w14:val="tx1"/>
                  </w14:solidFill>
                </w14:textFill>
              </w:rPr>
              <m:t>c</m:t>
            </m:r>
            <m:ctrlPr>
              <w:rPr>
                <w:rFonts w:ascii="Cambria Math" w:hAnsi="Cambria Math" w:cs="HiddenHorzOCR"/>
                <w:i/>
                <w:color w:val="000000" w:themeColor="text1"/>
                <w:kern w:val="0"/>
                <w:szCs w:val="21"/>
                <w14:textFill>
                  <w14:solidFill>
                    <w14:schemeClr w14:val="tx1"/>
                  </w14:solidFill>
                </w14:textFill>
              </w:rPr>
            </m:ctrlPr>
          </m:e>
          <m:sub>
            <m:r>
              <w:rPr>
                <w:rFonts w:hint="eastAsia"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小于表7.5.1-2要求</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应对边</w:t>
      </w:r>
      <w:r>
        <w:rPr>
          <w:rFonts w:hint="eastAsia" w:cs="MS Mincho" w:asciiTheme="minorEastAsia" w:hAnsiTheme="minorEastAsia"/>
          <w:color w:val="000000" w:themeColor="text1"/>
          <w:kern w:val="0"/>
          <w:szCs w:val="21"/>
          <w14:textFill>
            <w14:solidFill>
              <w14:schemeClr w14:val="tx1"/>
            </w14:solidFill>
          </w14:textFill>
        </w:rPr>
        <w:t>排</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筋的抗剪承</w:t>
      </w:r>
      <w:r>
        <w:rPr>
          <w:rFonts w:hint="eastAsia" w:cs="宋体" w:asciiTheme="minorEastAsia" w:hAnsiTheme="minorEastAsia"/>
          <w:color w:val="000000" w:themeColor="text1"/>
          <w:kern w:val="0"/>
          <w:szCs w:val="21"/>
          <w14:textFill>
            <w14:solidFill>
              <w14:schemeClr w14:val="tx1"/>
            </w14:solidFill>
          </w14:textFill>
        </w:rPr>
        <w:t>载</w:t>
      </w:r>
      <w:r>
        <w:rPr>
          <w:rFonts w:hint="eastAsia" w:cs="MS Mincho" w:asciiTheme="minorEastAsia" w:hAnsiTheme="minorEastAsia"/>
          <w:color w:val="000000" w:themeColor="text1"/>
          <w:kern w:val="0"/>
          <w:szCs w:val="21"/>
          <w14:textFill>
            <w14:solidFill>
              <w14:schemeClr w14:val="tx1"/>
            </w14:solidFill>
          </w14:textFill>
        </w:rPr>
        <w:t>力乘以折减系数</w:t>
      </w:r>
      <m:oMath>
        <m:rad>
          <m:radPr>
            <m:degHide m:val="1"/>
            <m:ctrlPr>
              <w:rPr>
                <w:rFonts w:ascii="Cambria Math" w:hAnsi="Cambria Math" w:cs="MS Mincho"/>
                <w:i/>
                <w:color w:val="000000" w:themeColor="text1"/>
                <w:kern w:val="0"/>
                <w:szCs w:val="21"/>
                <w14:textFill>
                  <w14:solidFill>
                    <w14:schemeClr w14:val="tx1"/>
                  </w14:solidFill>
                </w14:textFill>
              </w:rPr>
            </m:ctrlPr>
          </m:radPr>
          <m:deg>
            <m:ctrlPr>
              <w:rPr>
                <w:rFonts w:ascii="Cambria Math" w:hAnsi="Cambria Math" w:cs="MS Mincho"/>
                <w:i/>
                <w:color w:val="000000" w:themeColor="text1"/>
                <w:kern w:val="0"/>
                <w:szCs w:val="21"/>
                <w14:textFill>
                  <w14:solidFill>
                    <w14:schemeClr w14:val="tx1"/>
                  </w14:solidFill>
                </w14:textFill>
              </w:rPr>
            </m:ctrlPr>
          </m:deg>
          <m:e>
            <m:f>
              <m:fPr>
                <m:type m:val="lin"/>
                <m:ctrlPr>
                  <w:rPr>
                    <w:rFonts w:ascii="Cambria Math" w:hAnsi="Cambria Math" w:cs="MS Mincho"/>
                    <w:i/>
                    <w:color w:val="000000" w:themeColor="text1"/>
                    <w:kern w:val="0"/>
                    <w:szCs w:val="21"/>
                    <w14:textFill>
                      <w14:solidFill>
                        <w14:schemeClr w14:val="tx1"/>
                      </w14:solidFill>
                    </w14:textFill>
                  </w:rPr>
                </m:ctrlPr>
              </m:fPr>
              <m:num>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c</m:t>
                    </m:r>
                    <m:ctrlPr>
                      <w:rPr>
                        <w:rFonts w:ascii="Cambria Math" w:hAnsi="Cambria Math" w:cs="MS Mincho"/>
                        <w:i/>
                        <w:color w:val="000000" w:themeColor="text1"/>
                        <w:kern w:val="0"/>
                        <w:szCs w:val="21"/>
                        <w14:textFill>
                          <w14:solidFill>
                            <w14:schemeClr w14:val="tx1"/>
                          </w14:solidFill>
                        </w14:textFill>
                      </w:rPr>
                    </m:ctrlPr>
                  </m:e>
                  <m:sub>
                    <m:r>
                      <w:rPr>
                        <w:rFonts w:hint="eastAsia" w:ascii="Cambria Math" w:hAnsi="Cambria Math" w:cs="MS Mincho"/>
                        <w:color w:val="000000" w:themeColor="text1"/>
                        <w:kern w:val="0"/>
                        <w:szCs w:val="21"/>
                        <w14:textFill>
                          <w14:solidFill>
                            <w14:schemeClr w14:val="tx1"/>
                          </w14:solidFill>
                        </w14:textFill>
                      </w:rPr>
                      <m:t>1</m:t>
                    </m:r>
                    <m:ctrlPr>
                      <w:rPr>
                        <w:rFonts w:ascii="Cambria Math" w:hAnsi="Cambria Math" w:cs="MS Mincho"/>
                        <w:i/>
                        <w:color w:val="000000" w:themeColor="text1"/>
                        <w:kern w:val="0"/>
                        <w:szCs w:val="21"/>
                        <w14:textFill>
                          <w14:solidFill>
                            <w14:schemeClr w14:val="tx1"/>
                          </w14:solidFill>
                        </w14:textFill>
                      </w:rPr>
                    </m:ctrlPr>
                  </m:sub>
                </m:sSub>
                <m:ctrlPr>
                  <w:rPr>
                    <w:rFonts w:ascii="Cambria Math" w:hAnsi="Cambria Math" w:cs="MS Mincho"/>
                    <w:i/>
                    <w:color w:val="000000" w:themeColor="text1"/>
                    <w:kern w:val="0"/>
                    <w:szCs w:val="21"/>
                    <w14:textFill>
                      <w14:solidFill>
                        <w14:schemeClr w14:val="tx1"/>
                      </w14:solidFill>
                    </w14:textFill>
                  </w:rPr>
                </m:ctrlPr>
              </m:num>
              <m:den>
                <m:r>
                  <w:rPr>
                    <w:rFonts w:ascii="Cambria Math" w:hAnsi="Cambria Math" w:cs="MS Mincho"/>
                    <w:color w:val="000000" w:themeColor="text1"/>
                    <w:kern w:val="0"/>
                    <w:szCs w:val="21"/>
                    <w14:textFill>
                      <w14:solidFill>
                        <w14:schemeClr w14:val="tx1"/>
                      </w14:solidFill>
                    </w14:textFill>
                  </w:rPr>
                  <m:t>(</m:t>
                </m:r>
                <m:r>
                  <w:rPr>
                    <w:rFonts w:hint="eastAsia" w:ascii="Cambria Math" w:hAnsi="Cambria Math" w:cs="MS Mincho"/>
                    <w:color w:val="000000" w:themeColor="text1"/>
                    <w:kern w:val="0"/>
                    <w:szCs w:val="21"/>
                    <w14:textFill>
                      <w14:solidFill>
                        <w14:schemeClr w14:val="tx1"/>
                      </w14:solidFill>
                    </w14:textFill>
                  </w:rPr>
                  <m:t>12</m:t>
                </m:r>
                <m:r>
                  <w:rPr>
                    <w:rFonts w:ascii="Cambria Math" w:hAnsi="Cambria Math" w:cs="MS Mincho"/>
                    <w:color w:val="000000" w:themeColor="text1"/>
                    <w:kern w:val="0"/>
                    <w:szCs w:val="21"/>
                    <w14:textFill>
                      <w14:solidFill>
                        <w14:schemeClr w14:val="tx1"/>
                      </w14:solidFill>
                    </w14:textFill>
                  </w:rPr>
                  <m:t>d)</m:t>
                </m:r>
                <m:ctrlPr>
                  <w:rPr>
                    <w:rFonts w:ascii="Cambria Math" w:hAnsi="Cambria Math" w:cs="MS Mincho"/>
                    <w:i/>
                    <w:color w:val="000000" w:themeColor="text1"/>
                    <w:kern w:val="0"/>
                    <w:szCs w:val="21"/>
                    <w14:textFill>
                      <w14:solidFill>
                        <w14:schemeClr w14:val="tx1"/>
                      </w14:solidFill>
                    </w14:textFill>
                  </w:rPr>
                </m:ctrlPr>
              </m:den>
            </m:f>
            <m:ctrlPr>
              <w:rPr>
                <w:rFonts w:ascii="Cambria Math" w:hAnsi="Cambria Math" w:cs="MS Mincho"/>
                <w:i/>
                <w:color w:val="000000" w:themeColor="text1"/>
                <w:kern w:val="0"/>
                <w:szCs w:val="21"/>
                <w14:textFill>
                  <w14:solidFill>
                    <w14:schemeClr w14:val="tx1"/>
                  </w14:solidFill>
                </w14:textFill>
              </w:rPr>
            </m:ctrlPr>
          </m:e>
        </m:rad>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锚</w:t>
      </w:r>
      <w:r>
        <w:rPr>
          <w:rFonts w:hint="eastAsia" w:cs="HiddenHorzOCR" w:asciiTheme="minorEastAsia" w:hAnsiTheme="minorEastAsia"/>
          <w:color w:val="000000" w:themeColor="text1"/>
          <w:kern w:val="0"/>
          <w:szCs w:val="21"/>
          <w14:textFill>
            <w14:solidFill>
              <w14:schemeClr w14:val="tx1"/>
            </w14:solidFill>
          </w14:textFill>
        </w:rPr>
        <w:t>筋）或</w:t>
      </w:r>
      <m:oMath>
        <m:rad>
          <m:radPr>
            <m:degHide m:val="1"/>
            <m:ctrlPr>
              <w:rPr>
                <w:rFonts w:ascii="Cambria Math" w:hAnsi="Cambria Math" w:cs="MS Mincho"/>
                <w:i/>
                <w:color w:val="000000" w:themeColor="text1"/>
                <w:kern w:val="0"/>
                <w:szCs w:val="21"/>
                <w14:textFill>
                  <w14:solidFill>
                    <w14:schemeClr w14:val="tx1"/>
                  </w14:solidFill>
                </w14:textFill>
              </w:rPr>
            </m:ctrlPr>
          </m:radPr>
          <m:deg>
            <m:ctrlPr>
              <w:rPr>
                <w:rFonts w:ascii="Cambria Math" w:hAnsi="Cambria Math" w:cs="MS Mincho"/>
                <w:i/>
                <w:color w:val="000000" w:themeColor="text1"/>
                <w:kern w:val="0"/>
                <w:szCs w:val="21"/>
                <w14:textFill>
                  <w14:solidFill>
                    <w14:schemeClr w14:val="tx1"/>
                  </w14:solidFill>
                </w14:textFill>
              </w:rPr>
            </m:ctrlPr>
          </m:deg>
          <m:e>
            <m:f>
              <m:fPr>
                <m:type m:val="lin"/>
                <m:ctrlPr>
                  <w:rPr>
                    <w:rFonts w:ascii="Cambria Math" w:hAnsi="Cambria Math" w:cs="MS Mincho"/>
                    <w:i/>
                    <w:color w:val="000000" w:themeColor="text1"/>
                    <w:kern w:val="0"/>
                    <w:szCs w:val="21"/>
                    <w14:textFill>
                      <w14:solidFill>
                        <w14:schemeClr w14:val="tx1"/>
                      </w14:solidFill>
                    </w14:textFill>
                  </w:rPr>
                </m:ctrlPr>
              </m:fPr>
              <m:num>
                <m:sSub>
                  <m:sSubPr>
                    <m:ctrlPr>
                      <w:rPr>
                        <w:rFonts w:ascii="Cambria Math" w:hAnsi="Cambria Math" w:cs="MS Mincho"/>
                        <w:i/>
                        <w:color w:val="000000" w:themeColor="text1"/>
                        <w:kern w:val="0"/>
                        <w:szCs w:val="21"/>
                        <w14:textFill>
                          <w14:solidFill>
                            <w14:schemeClr w14:val="tx1"/>
                          </w14:solidFill>
                        </w14:textFill>
                      </w:rPr>
                    </m:ctrlPr>
                  </m:sSubPr>
                  <m:e>
                    <m:r>
                      <w:rPr>
                        <w:rFonts w:ascii="Cambria Math" w:hAnsi="Cambria Math" w:cs="MS Mincho"/>
                        <w:color w:val="000000" w:themeColor="text1"/>
                        <w:kern w:val="0"/>
                        <w:szCs w:val="21"/>
                        <w14:textFill>
                          <w14:solidFill>
                            <w14:schemeClr w14:val="tx1"/>
                          </w14:solidFill>
                        </w14:textFill>
                      </w:rPr>
                      <m:t>c</m:t>
                    </m:r>
                    <m:ctrlPr>
                      <w:rPr>
                        <w:rFonts w:ascii="Cambria Math" w:hAnsi="Cambria Math" w:cs="MS Mincho"/>
                        <w:i/>
                        <w:color w:val="000000" w:themeColor="text1"/>
                        <w:kern w:val="0"/>
                        <w:szCs w:val="21"/>
                        <w14:textFill>
                          <w14:solidFill>
                            <w14:schemeClr w14:val="tx1"/>
                          </w14:solidFill>
                        </w14:textFill>
                      </w:rPr>
                    </m:ctrlPr>
                  </m:e>
                  <m:sub>
                    <m:r>
                      <w:rPr>
                        <w:rFonts w:hint="eastAsia" w:ascii="Cambria Math" w:hAnsi="Cambria Math" w:cs="MS Mincho"/>
                        <w:color w:val="000000" w:themeColor="text1"/>
                        <w:kern w:val="0"/>
                        <w:szCs w:val="21"/>
                        <w14:textFill>
                          <w14:solidFill>
                            <w14:schemeClr w14:val="tx1"/>
                          </w14:solidFill>
                        </w14:textFill>
                      </w:rPr>
                      <m:t>1</m:t>
                    </m:r>
                    <m:ctrlPr>
                      <w:rPr>
                        <w:rFonts w:ascii="Cambria Math" w:hAnsi="Cambria Math" w:cs="MS Mincho"/>
                        <w:i/>
                        <w:color w:val="000000" w:themeColor="text1"/>
                        <w:kern w:val="0"/>
                        <w:szCs w:val="21"/>
                        <w14:textFill>
                          <w14:solidFill>
                            <w14:schemeClr w14:val="tx1"/>
                          </w14:solidFill>
                        </w14:textFill>
                      </w:rPr>
                    </m:ctrlPr>
                  </m:sub>
                </m:sSub>
                <m:ctrlPr>
                  <w:rPr>
                    <w:rFonts w:ascii="Cambria Math" w:hAnsi="Cambria Math" w:cs="MS Mincho"/>
                    <w:i/>
                    <w:color w:val="000000" w:themeColor="text1"/>
                    <w:kern w:val="0"/>
                    <w:szCs w:val="21"/>
                    <w14:textFill>
                      <w14:solidFill>
                        <w14:schemeClr w14:val="tx1"/>
                      </w14:solidFill>
                    </w14:textFill>
                  </w:rPr>
                </m:ctrlPr>
              </m:num>
              <m:den>
                <m:r>
                  <w:rPr>
                    <w:rFonts w:ascii="Cambria Math" w:hAnsi="Cambria Math" w:cs="MS Mincho"/>
                    <w:color w:val="000000" w:themeColor="text1"/>
                    <w:kern w:val="0"/>
                    <w:szCs w:val="21"/>
                    <w14:textFill>
                      <w14:solidFill>
                        <w14:schemeClr w14:val="tx1"/>
                      </w14:solidFill>
                    </w14:textFill>
                  </w:rPr>
                  <m:t>(6d)</m:t>
                </m:r>
                <m:ctrlPr>
                  <w:rPr>
                    <w:rFonts w:ascii="Cambria Math" w:hAnsi="Cambria Math" w:cs="MS Mincho"/>
                    <w:i/>
                    <w:color w:val="000000" w:themeColor="text1"/>
                    <w:kern w:val="0"/>
                    <w:szCs w:val="21"/>
                    <w14:textFill>
                      <w14:solidFill>
                        <w14:schemeClr w14:val="tx1"/>
                      </w14:solidFill>
                    </w14:textFill>
                  </w:rPr>
                </m:ctrlPr>
              </m:den>
            </m:f>
            <m:ctrlPr>
              <w:rPr>
                <w:rFonts w:ascii="Cambria Math" w:hAnsi="Cambria Math" w:cs="MS Mincho"/>
                <w:i/>
                <w:color w:val="000000" w:themeColor="text1"/>
                <w:kern w:val="0"/>
                <w:szCs w:val="21"/>
                <w14:textFill>
                  <w14:solidFill>
                    <w14:schemeClr w14:val="tx1"/>
                  </w14:solidFill>
                </w14:textFill>
              </w:rPr>
            </m:ctrlPr>
          </m:e>
        </m:rad>
      </m:oMath>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HiddenHorzOCR" w:asciiTheme="minorEastAsia" w:hAnsiTheme="minorEastAsia"/>
          <w:color w:val="000000" w:themeColor="text1"/>
          <w:kern w:val="0"/>
          <w:szCs w:val="21"/>
          <w14:textFill>
            <w14:solidFill>
              <w14:schemeClr w14:val="tx1"/>
            </w14:solidFill>
          </w14:textFill>
        </w:rPr>
        <w:t>）。如果不考</w:t>
      </w:r>
      <w:r>
        <w:rPr>
          <w:rFonts w:hint="eastAsia" w:cs="宋体" w:asciiTheme="minorEastAsia" w:hAnsiTheme="minorEastAsia"/>
          <w:color w:val="000000" w:themeColor="text1"/>
          <w:kern w:val="0"/>
          <w:szCs w:val="21"/>
          <w14:textFill>
            <w14:solidFill>
              <w14:schemeClr w14:val="tx1"/>
            </w14:solidFill>
          </w14:textFill>
        </w:rPr>
        <w:t>虑</w:t>
      </w:r>
      <w:r>
        <w:rPr>
          <w:rFonts w:hint="eastAsia" w:cs="MS Mincho" w:asciiTheme="minorEastAsia" w:hAnsiTheme="minorEastAsia"/>
          <w:color w:val="000000" w:themeColor="text1"/>
          <w:kern w:val="0"/>
          <w:szCs w:val="21"/>
          <w14:textFill>
            <w14:solidFill>
              <w14:schemeClr w14:val="tx1"/>
            </w14:solidFill>
          </w14:textFill>
        </w:rPr>
        <w:t>折减，可按</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7.5.1-1</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w:t>
      </w:r>
      <w:r>
        <w:rPr>
          <w:rFonts w:hint="eastAsia" w:cs="HiddenHorzOCR" w:asciiTheme="minorEastAsia" w:hAnsiTheme="minorEastAsia"/>
          <w:color w:val="000000" w:themeColor="text1"/>
          <w:kern w:val="0"/>
          <w:szCs w:val="21"/>
          <w14:textFill>
            <w14:solidFill>
              <w14:schemeClr w14:val="tx1"/>
            </w14:solidFill>
          </w14:textFill>
        </w:rPr>
        <w:t>两根附加构造</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筋，把</w:t>
      </w:r>
      <w:r>
        <w:rPr>
          <w:rFonts w:hint="eastAsia" w:cs="宋体" w:asciiTheme="minorEastAsia" w:hAnsiTheme="minorEastAsia"/>
          <w:color w:val="000000" w:themeColor="text1"/>
          <w:kern w:val="0"/>
          <w:szCs w:val="21"/>
          <w14:textFill>
            <w14:solidFill>
              <w14:schemeClr w14:val="tx1"/>
            </w14:solidFill>
          </w14:textFill>
        </w:rPr>
        <w:t>边</w:t>
      </w:r>
      <w:r>
        <w:rPr>
          <w:rFonts w:hint="eastAsia" w:cs="MS Mincho" w:asciiTheme="minorEastAsia" w:hAnsiTheme="minorEastAsia"/>
          <w:color w:val="000000" w:themeColor="text1"/>
          <w:kern w:val="0"/>
          <w:szCs w:val="21"/>
          <w14:textFill>
            <w14:solidFill>
              <w14:schemeClr w14:val="tx1"/>
            </w14:solidFill>
          </w14:textFill>
        </w:rPr>
        <w:t>排</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固在构件的深部。但是</w:t>
      </w:r>
      <w:r>
        <w:rPr>
          <w:rFonts w:cs="HiddenHorzOCR" w:asciiTheme="minorEastAsia" w:hAnsiTheme="minorEastAsia"/>
          <w:color w:val="000000" w:themeColor="text1"/>
          <w:kern w:val="0"/>
          <w:szCs w:val="21"/>
          <w14:textFill>
            <w14:solidFill>
              <w14:schemeClr w14:val="tx1"/>
            </w14:solidFill>
          </w14:textFill>
        </w:rPr>
        <w:t>c</w:t>
      </w:r>
      <w:r>
        <w:rPr>
          <w:rFonts w:hint="eastAsia" w:cs="宋体" w:asciiTheme="minorEastAsia" w:hAnsiTheme="minorEastAsia"/>
          <w:color w:val="000000" w:themeColor="text1"/>
          <w:kern w:val="0"/>
          <w:szCs w:val="21"/>
          <w14:textFill>
            <w14:solidFill>
              <w14:schemeClr w14:val="tx1"/>
            </w14:solidFill>
          </w14:textFill>
        </w:rPr>
        <w:t>值</w:t>
      </w:r>
      <w:r>
        <w:rPr>
          <w:rFonts w:hint="eastAsia" w:cs="MS Mincho" w:asciiTheme="minorEastAsia" w:hAnsiTheme="minorEastAsia"/>
          <w:color w:val="000000" w:themeColor="text1"/>
          <w:kern w:val="0"/>
          <w:szCs w:val="21"/>
          <w14:textFill>
            <w14:solidFill>
              <w14:schemeClr w14:val="tx1"/>
            </w14:solidFill>
          </w14:textFill>
        </w:rPr>
        <w:t>不宜</w:t>
      </w:r>
      <w:r>
        <w:rPr>
          <w:rFonts w:hint="eastAsia" w:cs="HiddenHorzOCR" w:asciiTheme="minorEastAsia" w:hAnsiTheme="minorEastAsia"/>
          <w:color w:val="000000" w:themeColor="text1"/>
          <w:kern w:val="0"/>
          <w:szCs w:val="21"/>
          <w14:textFill>
            <w14:solidFill>
              <w14:schemeClr w14:val="tx1"/>
            </w14:solidFill>
          </w14:textFill>
        </w:rPr>
        <w:t>小于6d（</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于</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）或3.</w:t>
      </w:r>
      <w:r>
        <w:rPr>
          <w:rFonts w:hint="eastAsia" w:cs="Times New Roman" w:asciiTheme="minorEastAsia" w:hAnsiTheme="minorEastAsia"/>
          <w:iCs/>
          <w:color w:val="000000" w:themeColor="text1"/>
          <w:kern w:val="0"/>
          <w:szCs w:val="21"/>
          <w14:textFill>
            <w14:solidFill>
              <w14:schemeClr w14:val="tx1"/>
            </w14:solidFill>
          </w14:textFill>
        </w:rPr>
        <w:t>5b</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对</w:t>
      </w:r>
      <w:r>
        <w:rPr>
          <w:rFonts w:hint="eastAsia" w:cs="MS Mincho" w:asciiTheme="minorEastAsia" w:hAnsiTheme="minorEastAsia"/>
          <w:color w:val="000000" w:themeColor="text1"/>
          <w:kern w:val="0"/>
          <w:szCs w:val="21"/>
          <w14:textFill>
            <w14:solidFill>
              <w14:schemeClr w14:val="tx1"/>
            </w14:solidFill>
          </w14:textFill>
        </w:rPr>
        <w:t>于</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 xml:space="preserve"> </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表7.5.1-2</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锚固间距和至构件边缘的距离</w:t>
      </w:r>
    </w:p>
    <w:tbl>
      <w:tblPr>
        <w:tblStyle w:val="33"/>
        <w:tblW w:w="38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1849"/>
        <w:gridCol w:w="1598"/>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pct"/>
            <w:vMerge w:val="restart"/>
            <w:tcBorders>
              <w:top w:val="single" w:color="auto" w:sz="8" w:space="0"/>
              <w:left w:val="nil"/>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项  目</w:t>
            </w:r>
          </w:p>
        </w:tc>
        <w:tc>
          <w:tcPr>
            <w:tcW w:w="1319" w:type="pct"/>
            <w:vMerge w:val="restart"/>
            <w:tcBorders>
              <w:top w:val="single" w:color="auto" w:sz="8" w:space="0"/>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受力类型</w:t>
            </w:r>
          </w:p>
        </w:tc>
        <w:tc>
          <w:tcPr>
            <w:tcW w:w="2317" w:type="pct"/>
            <w:gridSpan w:val="2"/>
            <w:tcBorders>
              <w:top w:val="single" w:color="auto" w:sz="8" w:space="0"/>
              <w:right w:val="nil"/>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锚筋种类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pct"/>
            <w:vMerge w:val="continue"/>
            <w:tcBorders>
              <w:left w:val="nil"/>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p>
        </w:tc>
        <w:tc>
          <w:tcPr>
            <w:tcW w:w="1319" w:type="pct"/>
            <w:vMerge w:val="continue"/>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p>
        </w:tc>
        <w:tc>
          <w:tcPr>
            <w:tcW w:w="1140" w:type="pct"/>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钢  筋</w:t>
            </w:r>
          </w:p>
        </w:tc>
        <w:tc>
          <w:tcPr>
            <w:tcW w:w="1177" w:type="pct"/>
            <w:tcBorders>
              <w:right w:val="nil"/>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角  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pct"/>
            <w:vMerge w:val="restart"/>
            <w:tcBorders>
              <w:left w:val="nil"/>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锚筋间距</w:t>
            </w:r>
          </w:p>
        </w:tc>
        <w:tc>
          <w:tcPr>
            <w:tcW w:w="1319" w:type="pct"/>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平行剪力方向，</w:t>
            </w:r>
            <w:r>
              <w:rPr>
                <w:rFonts w:hint="eastAsia" w:cs="宋体"/>
                <w:i/>
                <w:color w:val="000000" w:themeColor="text1"/>
                <w:kern w:val="0"/>
                <w:sz w:val="18"/>
                <w14:textFill>
                  <w14:solidFill>
                    <w14:schemeClr w14:val="tx1"/>
                  </w14:solidFill>
                </w14:textFill>
              </w:rPr>
              <w:t>b</w:t>
            </w:r>
            <w:r>
              <w:rPr>
                <w:rFonts w:cs="宋体"/>
                <w:color w:val="000000" w:themeColor="text1"/>
                <w:kern w:val="0"/>
                <w:sz w:val="18"/>
                <w:vertAlign w:val="subscript"/>
                <w14:textFill>
                  <w14:solidFill>
                    <w14:schemeClr w14:val="tx1"/>
                  </w14:solidFill>
                </w14:textFill>
              </w:rPr>
              <w:t>1</w:t>
            </w:r>
          </w:p>
        </w:tc>
        <w:tc>
          <w:tcPr>
            <w:tcW w:w="1140" w:type="pct"/>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≥6</w:t>
            </w:r>
            <w:r>
              <w:rPr>
                <w:rFonts w:cs="宋体"/>
                <w:i/>
                <w:color w:val="000000" w:themeColor="text1"/>
                <w:kern w:val="0"/>
                <w:sz w:val="18"/>
                <w14:textFill>
                  <w14:solidFill>
                    <w14:schemeClr w14:val="tx1"/>
                  </w14:solidFill>
                </w14:textFill>
              </w:rPr>
              <w:t>d</w:t>
            </w:r>
            <w:r>
              <w:rPr>
                <w:rFonts w:hint="eastAsia" w:cs="宋体"/>
                <w:color w:val="000000" w:themeColor="text1"/>
                <w:kern w:val="0"/>
                <w:sz w:val="18"/>
                <w14:textFill>
                  <w14:solidFill>
                    <w14:schemeClr w14:val="tx1"/>
                  </w14:solidFill>
                </w14:textFill>
              </w:rPr>
              <w:t>及≥70</w:t>
            </w:r>
            <w:r>
              <w:rPr>
                <w:rFonts w:cs="宋体"/>
                <w:color w:val="000000" w:themeColor="text1"/>
                <w:kern w:val="0"/>
                <w:sz w:val="18"/>
                <w14:textFill>
                  <w14:solidFill>
                    <w14:schemeClr w14:val="tx1"/>
                  </w14:solidFill>
                </w14:textFill>
              </w:rPr>
              <w:t>mm</w:t>
            </w:r>
          </w:p>
        </w:tc>
        <w:tc>
          <w:tcPr>
            <w:tcW w:w="1177" w:type="pct"/>
            <w:tcBorders>
              <w:right w:val="nil"/>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≥2</w:t>
            </w:r>
            <w:r>
              <w:rPr>
                <w:rFonts w:cs="宋体"/>
                <w:color w:val="000000" w:themeColor="text1"/>
                <w:kern w:val="0"/>
                <w:sz w:val="18"/>
                <w14:textFill>
                  <w14:solidFill>
                    <w14:schemeClr w14:val="tx1"/>
                  </w14:solidFill>
                </w14:textFill>
              </w:rPr>
              <w:t>.5</w:t>
            </w:r>
            <w:r>
              <w:rPr>
                <w:rFonts w:cs="宋体"/>
                <w:i/>
                <w:color w:val="000000" w:themeColor="text1"/>
                <w:kern w:val="0"/>
                <w:sz w:val="18"/>
                <w14:textFill>
                  <w14:solidFill>
                    <w14:schemeClr w14:val="tx1"/>
                  </w14:solidFill>
                </w14:textFill>
              </w:rPr>
              <w:t>b</w:t>
            </w:r>
            <w:r>
              <w:rPr>
                <w:rFonts w:hint="eastAsia" w:cs="宋体"/>
                <w:color w:val="000000" w:themeColor="text1"/>
                <w:kern w:val="0"/>
                <w:sz w:val="18"/>
                <w14:textFill>
                  <w14:solidFill>
                    <w14:schemeClr w14:val="tx1"/>
                  </w14:solidFill>
                </w14:textFill>
              </w:rPr>
              <w:t>或1</w:t>
            </w:r>
            <w:r>
              <w:rPr>
                <w:rFonts w:cs="宋体"/>
                <w:color w:val="000000" w:themeColor="text1"/>
                <w:kern w:val="0"/>
                <w:sz w:val="18"/>
                <w14:textFill>
                  <w14:solidFill>
                    <w14:schemeClr w14:val="tx1"/>
                  </w14:solidFill>
                </w14:textFill>
              </w:rPr>
              <w:t>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pct"/>
            <w:vMerge w:val="continue"/>
            <w:tcBorders>
              <w:left w:val="nil"/>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p>
        </w:tc>
        <w:tc>
          <w:tcPr>
            <w:tcW w:w="1319" w:type="pct"/>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垂直剪力方向，</w:t>
            </w:r>
            <w:r>
              <w:rPr>
                <w:rFonts w:hint="eastAsia" w:cs="宋体"/>
                <w:i/>
                <w:color w:val="000000" w:themeColor="text1"/>
                <w:kern w:val="0"/>
                <w:sz w:val="18"/>
                <w14:textFill>
                  <w14:solidFill>
                    <w14:schemeClr w14:val="tx1"/>
                  </w14:solidFill>
                </w14:textFill>
              </w:rPr>
              <w:t>b</w:t>
            </w:r>
          </w:p>
        </w:tc>
        <w:tc>
          <w:tcPr>
            <w:tcW w:w="1140" w:type="pct"/>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w:t>
            </w:r>
            <w:r>
              <w:rPr>
                <w:rFonts w:cs="宋体"/>
                <w:color w:val="000000" w:themeColor="text1"/>
                <w:kern w:val="0"/>
                <w:sz w:val="18"/>
                <w14:textFill>
                  <w14:solidFill>
                    <w14:schemeClr w14:val="tx1"/>
                  </w14:solidFill>
                </w14:textFill>
              </w:rPr>
              <w:t>3</w:t>
            </w:r>
            <w:r>
              <w:rPr>
                <w:rFonts w:cs="宋体"/>
                <w:i/>
                <w:color w:val="000000" w:themeColor="text1"/>
                <w:kern w:val="0"/>
                <w:sz w:val="18"/>
                <w14:textFill>
                  <w14:solidFill>
                    <w14:schemeClr w14:val="tx1"/>
                  </w14:solidFill>
                </w14:textFill>
              </w:rPr>
              <w:t>d</w:t>
            </w:r>
            <w:r>
              <w:rPr>
                <w:rFonts w:hint="eastAsia" w:cs="宋体"/>
                <w:color w:val="000000" w:themeColor="text1"/>
                <w:kern w:val="0"/>
                <w:sz w:val="18"/>
                <w14:textFill>
                  <w14:solidFill>
                    <w14:schemeClr w14:val="tx1"/>
                  </w14:solidFill>
                </w14:textFill>
              </w:rPr>
              <w:t>及≥</w:t>
            </w:r>
            <w:r>
              <w:rPr>
                <w:rFonts w:cs="宋体"/>
                <w:color w:val="000000" w:themeColor="text1"/>
                <w:kern w:val="0"/>
                <w:sz w:val="18"/>
                <w14:textFill>
                  <w14:solidFill>
                    <w14:schemeClr w14:val="tx1"/>
                  </w14:solidFill>
                </w14:textFill>
              </w:rPr>
              <w:t>45mm</w:t>
            </w:r>
          </w:p>
        </w:tc>
        <w:tc>
          <w:tcPr>
            <w:tcW w:w="1177" w:type="pct"/>
            <w:tcBorders>
              <w:right w:val="nil"/>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pct"/>
            <w:vMerge w:val="continue"/>
            <w:tcBorders>
              <w:left w:val="nil"/>
              <w:bottom w:val="single" w:color="auto" w:sz="4" w:space="0"/>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p>
        </w:tc>
        <w:tc>
          <w:tcPr>
            <w:tcW w:w="1319" w:type="pct"/>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受拉、受弯（</w:t>
            </w:r>
            <w:r>
              <w:rPr>
                <w:rFonts w:hint="eastAsia" w:cs="宋体"/>
                <w:i/>
                <w:color w:val="000000" w:themeColor="text1"/>
                <w:kern w:val="0"/>
                <w:sz w:val="18"/>
                <w14:textFill>
                  <w14:solidFill>
                    <w14:schemeClr w14:val="tx1"/>
                  </w14:solidFill>
                </w14:textFill>
              </w:rPr>
              <w:t>b</w:t>
            </w:r>
            <w:r>
              <w:rPr>
                <w:rFonts w:hint="eastAsia" w:cs="宋体"/>
                <w:color w:val="000000" w:themeColor="text1"/>
                <w:kern w:val="0"/>
                <w:sz w:val="18"/>
                <w14:textFill>
                  <w14:solidFill>
                    <w14:schemeClr w14:val="tx1"/>
                  </w14:solidFill>
                </w14:textFill>
              </w:rPr>
              <w:t>、</w:t>
            </w:r>
            <w:r>
              <w:rPr>
                <w:rFonts w:hint="eastAsia" w:cs="宋体"/>
                <w:i/>
                <w:color w:val="000000" w:themeColor="text1"/>
                <w:kern w:val="0"/>
                <w:sz w:val="18"/>
                <w14:textFill>
                  <w14:solidFill>
                    <w14:schemeClr w14:val="tx1"/>
                  </w14:solidFill>
                </w14:textFill>
              </w:rPr>
              <w:t>b</w:t>
            </w:r>
            <w:r>
              <w:rPr>
                <w:rFonts w:cs="宋体"/>
                <w:color w:val="000000" w:themeColor="text1"/>
                <w:kern w:val="0"/>
                <w:sz w:val="18"/>
                <w:vertAlign w:val="subscript"/>
                <w14:textFill>
                  <w14:solidFill>
                    <w14:schemeClr w14:val="tx1"/>
                  </w14:solidFill>
                </w14:textFill>
              </w:rPr>
              <w:t>1</w:t>
            </w:r>
            <w:r>
              <w:rPr>
                <w:rFonts w:hint="eastAsia" w:cs="宋体"/>
                <w:color w:val="000000" w:themeColor="text1"/>
                <w:kern w:val="0"/>
                <w:sz w:val="18"/>
                <w14:textFill>
                  <w14:solidFill>
                    <w14:schemeClr w14:val="tx1"/>
                  </w14:solidFill>
                </w14:textFill>
              </w:rPr>
              <w:t>）</w:t>
            </w:r>
          </w:p>
        </w:tc>
        <w:tc>
          <w:tcPr>
            <w:tcW w:w="1140" w:type="pct"/>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w:t>
            </w:r>
            <w:r>
              <w:rPr>
                <w:rFonts w:cs="宋体"/>
                <w:color w:val="000000" w:themeColor="text1"/>
                <w:kern w:val="0"/>
                <w:sz w:val="18"/>
                <w14:textFill>
                  <w14:solidFill>
                    <w14:schemeClr w14:val="tx1"/>
                  </w14:solidFill>
                </w14:textFill>
              </w:rPr>
              <w:t>3</w:t>
            </w:r>
            <w:r>
              <w:rPr>
                <w:rFonts w:cs="宋体"/>
                <w:i/>
                <w:color w:val="000000" w:themeColor="text1"/>
                <w:kern w:val="0"/>
                <w:sz w:val="18"/>
                <w14:textFill>
                  <w14:solidFill>
                    <w14:schemeClr w14:val="tx1"/>
                  </w14:solidFill>
                </w14:textFill>
              </w:rPr>
              <w:t>d</w:t>
            </w:r>
            <w:r>
              <w:rPr>
                <w:rFonts w:hint="eastAsia" w:cs="宋体"/>
                <w:color w:val="000000" w:themeColor="text1"/>
                <w:kern w:val="0"/>
                <w:sz w:val="18"/>
                <w14:textFill>
                  <w14:solidFill>
                    <w14:schemeClr w14:val="tx1"/>
                  </w14:solidFill>
                </w14:textFill>
              </w:rPr>
              <w:t>及≥</w:t>
            </w:r>
            <w:r>
              <w:rPr>
                <w:rFonts w:cs="宋体"/>
                <w:color w:val="000000" w:themeColor="text1"/>
                <w:kern w:val="0"/>
                <w:sz w:val="18"/>
                <w14:textFill>
                  <w14:solidFill>
                    <w14:schemeClr w14:val="tx1"/>
                  </w14:solidFill>
                </w14:textFill>
              </w:rPr>
              <w:t>45mm</w:t>
            </w:r>
          </w:p>
        </w:tc>
        <w:tc>
          <w:tcPr>
            <w:tcW w:w="1177" w:type="pct"/>
            <w:tcBorders>
              <w:right w:val="nil"/>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bookmarkStart w:id="147" w:name="_Hlk23948424"/>
            <w:r>
              <w:rPr>
                <w:rFonts w:hint="eastAsia" w:cs="宋体"/>
                <w:color w:val="000000" w:themeColor="text1"/>
                <w:kern w:val="0"/>
                <w:sz w:val="18"/>
                <w14:textFill>
                  <w14:solidFill>
                    <w14:schemeClr w14:val="tx1"/>
                  </w14:solidFill>
                </w14:textFill>
              </w:rPr>
              <w:t>≥</w:t>
            </w:r>
            <w:bookmarkEnd w:id="147"/>
            <w:r>
              <w:rPr>
                <w:rFonts w:hint="eastAsia" w:cs="宋体"/>
                <w:color w:val="000000" w:themeColor="text1"/>
                <w:kern w:val="0"/>
                <w:sz w:val="18"/>
                <w14:textFill>
                  <w14:solidFill>
                    <w14:schemeClr w14:val="tx1"/>
                  </w14:solidFill>
                </w14:textFill>
              </w:rPr>
              <w:t>2</w:t>
            </w:r>
            <w:r>
              <w:rPr>
                <w:rFonts w:cs="宋体"/>
                <w:i/>
                <w:color w:val="000000" w:themeColor="text1"/>
                <w:kern w:val="0"/>
                <w:sz w:val="18"/>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pct"/>
            <w:vMerge w:val="restart"/>
            <w:tcBorders>
              <w:left w:val="nil"/>
              <w:bottom w:val="single" w:color="auto" w:sz="8" w:space="0"/>
            </w:tcBorders>
            <w:tcMar>
              <w:top w:w="57" w:type="dxa"/>
              <w:left w:w="0" w:type="dxa"/>
              <w:right w:w="0" w:type="dxa"/>
            </w:tcMar>
            <w:vAlign w:val="cente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锚筋中心至构</w:t>
            </w:r>
          </w:p>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件边缘的距离</w:t>
            </w:r>
          </w:p>
        </w:tc>
        <w:tc>
          <w:tcPr>
            <w:tcW w:w="1319" w:type="pct"/>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平行剪力方向，</w:t>
            </w:r>
            <w:r>
              <w:rPr>
                <w:rFonts w:hint="eastAsia" w:cs="宋体"/>
                <w:i/>
                <w:color w:val="000000" w:themeColor="text1"/>
                <w:kern w:val="0"/>
                <w:sz w:val="18"/>
                <w14:textFill>
                  <w14:solidFill>
                    <w14:schemeClr w14:val="tx1"/>
                  </w14:solidFill>
                </w14:textFill>
              </w:rPr>
              <w:t>c</w:t>
            </w:r>
            <w:r>
              <w:rPr>
                <w:rFonts w:cs="宋体"/>
                <w:color w:val="000000" w:themeColor="text1"/>
                <w:kern w:val="0"/>
                <w:sz w:val="18"/>
                <w:vertAlign w:val="subscript"/>
                <w14:textFill>
                  <w14:solidFill>
                    <w14:schemeClr w14:val="tx1"/>
                  </w14:solidFill>
                </w14:textFill>
              </w:rPr>
              <w:t>1</w:t>
            </w:r>
          </w:p>
        </w:tc>
        <w:tc>
          <w:tcPr>
            <w:tcW w:w="1140" w:type="pct"/>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≥1</w:t>
            </w:r>
            <w:r>
              <w:rPr>
                <w:rFonts w:cs="宋体"/>
                <w:color w:val="000000" w:themeColor="text1"/>
                <w:kern w:val="0"/>
                <w:sz w:val="18"/>
                <w14:textFill>
                  <w14:solidFill>
                    <w14:schemeClr w14:val="tx1"/>
                  </w14:solidFill>
                </w14:textFill>
              </w:rPr>
              <w:t>2</w:t>
            </w:r>
            <w:r>
              <w:rPr>
                <w:rFonts w:cs="宋体"/>
                <w:i/>
                <w:color w:val="000000" w:themeColor="text1"/>
                <w:kern w:val="0"/>
                <w:sz w:val="18"/>
                <w14:textFill>
                  <w14:solidFill>
                    <w14:schemeClr w14:val="tx1"/>
                  </w14:solidFill>
                </w14:textFill>
              </w:rPr>
              <w:t>d</w:t>
            </w:r>
            <w:r>
              <w:rPr>
                <w:rFonts w:hint="eastAsia" w:cs="宋体"/>
                <w:color w:val="000000" w:themeColor="text1"/>
                <w:kern w:val="0"/>
                <w:sz w:val="18"/>
                <w14:textFill>
                  <w14:solidFill>
                    <w14:schemeClr w14:val="tx1"/>
                  </w14:solidFill>
                </w14:textFill>
              </w:rPr>
              <w:t>及≥1</w:t>
            </w:r>
            <w:r>
              <w:rPr>
                <w:rFonts w:cs="宋体"/>
                <w:color w:val="000000" w:themeColor="text1"/>
                <w:kern w:val="0"/>
                <w:sz w:val="18"/>
                <w14:textFill>
                  <w14:solidFill>
                    <w14:schemeClr w14:val="tx1"/>
                  </w14:solidFill>
                </w14:textFill>
              </w:rPr>
              <w:t>40mm</w:t>
            </w:r>
          </w:p>
        </w:tc>
        <w:tc>
          <w:tcPr>
            <w:tcW w:w="1177" w:type="pct"/>
            <w:tcBorders>
              <w:right w:val="nil"/>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≥7</w:t>
            </w:r>
            <w:r>
              <w:rPr>
                <w:rFonts w:cs="宋体"/>
                <w:i/>
                <w:color w:val="000000" w:themeColor="text1"/>
                <w:kern w:val="0"/>
                <w:sz w:val="18"/>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pct"/>
            <w:vMerge w:val="continue"/>
            <w:tcBorders>
              <w:left w:val="nil"/>
              <w:bottom w:val="single" w:color="auto" w:sz="8" w:space="0"/>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p>
        </w:tc>
        <w:tc>
          <w:tcPr>
            <w:tcW w:w="1319" w:type="pct"/>
            <w:tcBorders>
              <w:bottom w:val="single" w:color="auto" w:sz="4" w:space="0"/>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垂直剪力方向，</w:t>
            </w:r>
            <w:r>
              <w:rPr>
                <w:rFonts w:hint="eastAsia" w:cs="宋体"/>
                <w:i/>
                <w:color w:val="000000" w:themeColor="text1"/>
                <w:kern w:val="0"/>
                <w:sz w:val="18"/>
                <w14:textFill>
                  <w14:solidFill>
                    <w14:schemeClr w14:val="tx1"/>
                  </w14:solidFill>
                </w14:textFill>
              </w:rPr>
              <w:t>c</w:t>
            </w:r>
          </w:p>
        </w:tc>
        <w:tc>
          <w:tcPr>
            <w:tcW w:w="1140" w:type="pct"/>
            <w:tcBorders>
              <w:bottom w:val="single" w:color="auto" w:sz="4" w:space="0"/>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w:t>
            </w:r>
            <w:r>
              <w:rPr>
                <w:rFonts w:cs="宋体"/>
                <w:color w:val="000000" w:themeColor="text1"/>
                <w:kern w:val="0"/>
                <w:sz w:val="18"/>
                <w14:textFill>
                  <w14:solidFill>
                    <w14:schemeClr w14:val="tx1"/>
                  </w14:solidFill>
                </w14:textFill>
              </w:rPr>
              <w:t>3</w:t>
            </w:r>
            <w:r>
              <w:rPr>
                <w:rFonts w:cs="宋体"/>
                <w:i/>
                <w:color w:val="000000" w:themeColor="text1"/>
                <w:kern w:val="0"/>
                <w:sz w:val="18"/>
                <w14:textFill>
                  <w14:solidFill>
                    <w14:schemeClr w14:val="tx1"/>
                  </w14:solidFill>
                </w14:textFill>
              </w:rPr>
              <w:t>d</w:t>
            </w:r>
            <w:r>
              <w:rPr>
                <w:rFonts w:hint="eastAsia" w:cs="宋体"/>
                <w:color w:val="000000" w:themeColor="text1"/>
                <w:kern w:val="0"/>
                <w:sz w:val="18"/>
                <w14:textFill>
                  <w14:solidFill>
                    <w14:schemeClr w14:val="tx1"/>
                  </w14:solidFill>
                </w14:textFill>
              </w:rPr>
              <w:t>及≥4</w:t>
            </w:r>
            <w:r>
              <w:rPr>
                <w:rFonts w:cs="宋体"/>
                <w:color w:val="000000" w:themeColor="text1"/>
                <w:kern w:val="0"/>
                <w:sz w:val="18"/>
                <w14:textFill>
                  <w14:solidFill>
                    <w14:schemeClr w14:val="tx1"/>
                  </w14:solidFill>
                </w14:textFill>
              </w:rPr>
              <w:t>5mm</w:t>
            </w:r>
          </w:p>
        </w:tc>
        <w:tc>
          <w:tcPr>
            <w:tcW w:w="1177" w:type="pct"/>
            <w:tcBorders>
              <w:bottom w:val="single" w:color="auto" w:sz="4" w:space="0"/>
              <w:right w:val="nil"/>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≥2</w:t>
            </w:r>
            <w:r>
              <w:rPr>
                <w:rFonts w:cs="宋体"/>
                <w:i/>
                <w:color w:val="000000" w:themeColor="text1"/>
                <w:kern w:val="0"/>
                <w:sz w:val="18"/>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pct"/>
            <w:vMerge w:val="continue"/>
            <w:tcBorders>
              <w:left w:val="nil"/>
              <w:bottom w:val="single" w:color="auto" w:sz="8" w:space="0"/>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p>
        </w:tc>
        <w:tc>
          <w:tcPr>
            <w:tcW w:w="1319" w:type="pct"/>
            <w:tcBorders>
              <w:bottom w:val="single" w:color="auto" w:sz="8" w:space="0"/>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受拉、受弯（</w:t>
            </w:r>
            <w:r>
              <w:rPr>
                <w:rFonts w:hint="eastAsia" w:cs="宋体"/>
                <w:i/>
                <w:color w:val="000000" w:themeColor="text1"/>
                <w:kern w:val="0"/>
                <w:sz w:val="18"/>
                <w14:textFill>
                  <w14:solidFill>
                    <w14:schemeClr w14:val="tx1"/>
                  </w14:solidFill>
                </w14:textFill>
              </w:rPr>
              <w:t>c</w:t>
            </w:r>
            <w:r>
              <w:rPr>
                <w:rFonts w:hint="eastAsia" w:cs="宋体"/>
                <w:color w:val="000000" w:themeColor="text1"/>
                <w:kern w:val="0"/>
                <w:sz w:val="18"/>
                <w14:textFill>
                  <w14:solidFill>
                    <w14:schemeClr w14:val="tx1"/>
                  </w14:solidFill>
                </w14:textFill>
              </w:rPr>
              <w:t>、</w:t>
            </w:r>
            <w:r>
              <w:rPr>
                <w:rFonts w:hint="eastAsia" w:cs="宋体"/>
                <w:i/>
                <w:color w:val="000000" w:themeColor="text1"/>
                <w:kern w:val="0"/>
                <w:sz w:val="18"/>
                <w14:textFill>
                  <w14:solidFill>
                    <w14:schemeClr w14:val="tx1"/>
                  </w14:solidFill>
                </w14:textFill>
              </w:rPr>
              <w:t>c</w:t>
            </w:r>
            <w:r>
              <w:rPr>
                <w:rFonts w:cs="宋体"/>
                <w:color w:val="000000" w:themeColor="text1"/>
                <w:kern w:val="0"/>
                <w:sz w:val="18"/>
                <w:vertAlign w:val="subscript"/>
                <w14:textFill>
                  <w14:solidFill>
                    <w14:schemeClr w14:val="tx1"/>
                  </w14:solidFill>
                </w14:textFill>
              </w:rPr>
              <w:t>1</w:t>
            </w:r>
            <w:r>
              <w:rPr>
                <w:rFonts w:hint="eastAsia" w:cs="宋体"/>
                <w:color w:val="000000" w:themeColor="text1"/>
                <w:kern w:val="0"/>
                <w:sz w:val="18"/>
                <w14:textFill>
                  <w14:solidFill>
                    <w14:schemeClr w14:val="tx1"/>
                  </w14:solidFill>
                </w14:textFill>
              </w:rPr>
              <w:t>）</w:t>
            </w:r>
          </w:p>
        </w:tc>
        <w:tc>
          <w:tcPr>
            <w:tcW w:w="1140" w:type="pct"/>
            <w:tcBorders>
              <w:bottom w:val="single" w:color="auto" w:sz="8" w:space="0"/>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≥3</w:t>
            </w:r>
            <w:r>
              <w:rPr>
                <w:rFonts w:cs="宋体"/>
                <w:i/>
                <w:color w:val="000000" w:themeColor="text1"/>
                <w:kern w:val="0"/>
                <w:sz w:val="18"/>
                <w14:textFill>
                  <w14:solidFill>
                    <w14:schemeClr w14:val="tx1"/>
                  </w14:solidFill>
                </w14:textFill>
              </w:rPr>
              <w:t>d</w:t>
            </w:r>
            <w:r>
              <w:rPr>
                <w:rFonts w:hint="eastAsia" w:cs="宋体"/>
                <w:color w:val="000000" w:themeColor="text1"/>
                <w:kern w:val="0"/>
                <w:sz w:val="18"/>
                <w14:textFill>
                  <w14:solidFill>
                    <w14:schemeClr w14:val="tx1"/>
                  </w14:solidFill>
                </w14:textFill>
              </w:rPr>
              <w:t>及≥4</w:t>
            </w:r>
            <w:r>
              <w:rPr>
                <w:rFonts w:cs="宋体"/>
                <w:color w:val="000000" w:themeColor="text1"/>
                <w:kern w:val="0"/>
                <w:sz w:val="18"/>
                <w14:textFill>
                  <w14:solidFill>
                    <w14:schemeClr w14:val="tx1"/>
                  </w14:solidFill>
                </w14:textFill>
              </w:rPr>
              <w:t>5mm</w:t>
            </w:r>
          </w:p>
        </w:tc>
        <w:tc>
          <w:tcPr>
            <w:tcW w:w="1177" w:type="pct"/>
            <w:tcBorders>
              <w:bottom w:val="single" w:color="auto" w:sz="8" w:space="0"/>
              <w:right w:val="nil"/>
            </w:tcBorders>
            <w:tcMar>
              <w:top w:w="57" w:type="dxa"/>
              <w:left w:w="0" w:type="dxa"/>
              <w:right w:w="0" w:type="dxa"/>
            </w:tcMar>
          </w:tcPr>
          <w:p>
            <w:pPr>
              <w:spacing w:line="312" w:lineRule="auto"/>
              <w:ind w:firstLine="0" w:firstLineChars="0"/>
              <w:jc w:val="center"/>
              <w:rPr>
                <w:rFonts w:cs="宋体"/>
                <w:color w:val="000000" w:themeColor="text1"/>
                <w:kern w:val="0"/>
                <w:sz w:val="18"/>
                <w14:textFill>
                  <w14:solidFill>
                    <w14:schemeClr w14:val="tx1"/>
                  </w14:solidFill>
                </w14:textFill>
              </w:rPr>
            </w:pPr>
            <w:r>
              <w:rPr>
                <w:rFonts w:hint="eastAsia" w:cs="宋体"/>
                <w:color w:val="000000" w:themeColor="text1"/>
                <w:kern w:val="0"/>
                <w:sz w:val="18"/>
                <w14:textFill>
                  <w14:solidFill>
                    <w14:schemeClr w14:val="tx1"/>
                  </w14:solidFill>
                </w14:textFill>
              </w:rPr>
              <w:t>≥2</w:t>
            </w:r>
            <w:r>
              <w:rPr>
                <w:rFonts w:cs="宋体"/>
                <w:i/>
                <w:color w:val="000000" w:themeColor="text1"/>
                <w:kern w:val="0"/>
                <w:sz w:val="18"/>
                <w14:textFill>
                  <w14:solidFill>
                    <w14:schemeClr w14:val="tx1"/>
                  </w14:solidFill>
                </w14:textFill>
              </w:rPr>
              <w:t>b</w:t>
            </w:r>
          </w:p>
        </w:tc>
      </w:tr>
    </w:tbl>
    <w:p>
      <w:pPr>
        <w:autoSpaceDE w:val="0"/>
        <w:autoSpaceDN w:val="0"/>
        <w:spacing w:line="360" w:lineRule="auto"/>
        <w:ind w:firstLine="0" w:firstLineChars="0"/>
        <w:jc w:val="left"/>
        <w:rPr>
          <w:rFonts w:cs="宋体"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8 </w:t>
      </w:r>
      <w:r>
        <w:rPr>
          <w:rFonts w:hint="eastAsia" w:cs="HiddenHorzOCR" w:asciiTheme="minorEastAsia" w:hAnsiTheme="minorEastAsia"/>
          <w:color w:val="000000" w:themeColor="text1"/>
          <w:kern w:val="0"/>
          <w:szCs w:val="21"/>
          <w14:textFill>
            <w14:solidFill>
              <w14:schemeClr w14:val="tx1"/>
            </w14:solidFill>
          </w14:textFill>
        </w:rPr>
        <w:t>在靠近</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筋根部，宜</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置一根封</w:t>
      </w:r>
      <w:r>
        <w:rPr>
          <w:rFonts w:hint="eastAsia" w:cs="宋体" w:asciiTheme="minorEastAsia" w:hAnsiTheme="minorEastAsia"/>
          <w:color w:val="000000" w:themeColor="text1"/>
          <w:kern w:val="0"/>
          <w:szCs w:val="21"/>
          <w14:textFill>
            <w14:solidFill>
              <w14:schemeClr w14:val="tx1"/>
            </w14:solidFill>
          </w14:textFill>
        </w:rPr>
        <w:t>闭</w:t>
      </w:r>
      <w:r>
        <w:rPr>
          <w:rFonts w:hint="eastAsia" w:cs="MS Mincho" w:asciiTheme="minorEastAsia" w:hAnsiTheme="minorEastAsia"/>
          <w:color w:val="000000" w:themeColor="text1"/>
          <w:kern w:val="0"/>
          <w:szCs w:val="21"/>
          <w14:textFill>
            <w14:solidFill>
              <w14:schemeClr w14:val="tx1"/>
            </w14:solidFill>
          </w14:textFill>
        </w:rPr>
        <w:t>箍筋，其直</w:t>
      </w:r>
      <w:r>
        <w:rPr>
          <w:rFonts w:hint="eastAsia" w:cs="HiddenHorzOCR" w:asciiTheme="minorEastAsia" w:hAnsiTheme="minorEastAsia"/>
          <w:color w:val="000000" w:themeColor="text1"/>
          <w:kern w:val="0"/>
          <w:szCs w:val="21"/>
          <w14:textFill>
            <w14:solidFill>
              <w14:schemeClr w14:val="tx1"/>
            </w14:solidFill>
          </w14:textFill>
        </w:rPr>
        <w:t>径不小于φ10mm。</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7.5.2 </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HiddenHorzOCR" w:asciiTheme="minorEastAsia" w:hAnsiTheme="minorEastAsia"/>
          <w:color w:val="000000" w:themeColor="text1"/>
          <w:kern w:val="0"/>
          <w:szCs w:val="21"/>
          <w14:textFill>
            <w14:solidFill>
              <w14:schemeClr w14:val="tx1"/>
            </w14:solidFill>
          </w14:textFill>
        </w:rPr>
        <w:t>）与</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埋板的</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w:t>
      </w:r>
      <w:r>
        <w:rPr>
          <w:rFonts w:hint="eastAsia" w:cs="HiddenHorzOCR" w:asciiTheme="minorEastAsia" w:hAnsiTheme="minorEastAsia"/>
          <w:color w:val="000000" w:themeColor="text1"/>
          <w:kern w:val="0"/>
          <w:szCs w:val="21"/>
          <w14:textFill>
            <w14:solidFill>
              <w14:schemeClr w14:val="tx1"/>
            </w14:solidFill>
          </w14:textFill>
        </w:rPr>
        <w:t>列要求：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直</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筋与</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采用</w:t>
      </w:r>
      <w:r>
        <w:rPr>
          <w:rFonts w:hint="eastAsia" w:cs="HiddenHorzOCR" w:asciiTheme="minorEastAsia" w:hAnsiTheme="minorEastAsia"/>
          <w:color w:val="000000" w:themeColor="text1"/>
          <w:kern w:val="0"/>
          <w:szCs w:val="21"/>
          <w14:textFill>
            <w14:solidFill>
              <w14:schemeClr w14:val="tx1"/>
            </w14:solidFill>
          </w14:textFill>
        </w:rPr>
        <w:t>T形</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，不得采用弯成</w:t>
      </w:r>
      <w:r>
        <w:rPr>
          <w:rFonts w:hint="eastAsia" w:cs="HiddenHorzOCR" w:asciiTheme="minorEastAsia" w:hAnsiTheme="minorEastAsia"/>
          <w:color w:val="000000" w:themeColor="text1"/>
          <w:kern w:val="0"/>
          <w:szCs w:val="21"/>
          <w14:textFill>
            <w14:solidFill>
              <w14:schemeClr w14:val="tx1"/>
            </w14:solidFill>
          </w14:textFill>
        </w:rPr>
        <w:t>90°角的U形、L形</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筋与</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w:t>
      </w:r>
      <w:r>
        <w:rPr>
          <w:rFonts w:hint="eastAsia" w:cs="HiddenHorzOCR" w:asciiTheme="minorEastAsia" w:hAnsiTheme="minorEastAsia"/>
          <w:color w:val="000000" w:themeColor="text1"/>
          <w:kern w:val="0"/>
          <w:szCs w:val="21"/>
          <w14:textFill>
            <w14:solidFill>
              <w14:schemeClr w14:val="tx1"/>
            </w14:solidFill>
          </w14:textFill>
        </w:rPr>
        <w:t>搭接</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筋直径不大于</w:t>
      </w:r>
      <w:r>
        <w:rPr>
          <w:rFonts w:hint="eastAsia" w:cs="HiddenHorzOCR" w:asciiTheme="minorEastAsia" w:hAnsiTheme="minorEastAsia"/>
          <w:color w:val="000000" w:themeColor="text1"/>
          <w:kern w:val="0"/>
          <w:szCs w:val="21"/>
          <w14:textFill>
            <w14:solidFill>
              <w14:schemeClr w14:val="tx1"/>
            </w14:solidFill>
          </w14:textFill>
        </w:rPr>
        <w:t>20mm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w:t>
      </w:r>
      <w:r>
        <w:rPr>
          <w:rFonts w:hint="eastAsia" w:cs="HiddenHorzOCR" w:asciiTheme="minorEastAsia" w:hAnsiTheme="minorEastAsia"/>
          <w:color w:val="000000" w:themeColor="text1"/>
          <w:kern w:val="0"/>
          <w:szCs w:val="21"/>
          <w14:textFill>
            <w14:solidFill>
              <w14:schemeClr w14:val="tx1"/>
            </w14:solidFill>
          </w14:textFill>
        </w:rPr>
        <w:t>采用</w:t>
      </w:r>
      <w:r>
        <w:rPr>
          <w:rFonts w:hint="eastAsia" w:cs="宋体" w:asciiTheme="minorEastAsia" w:hAnsiTheme="minorEastAsia"/>
          <w:color w:val="000000" w:themeColor="text1"/>
          <w:kern w:val="0"/>
          <w:szCs w:val="21"/>
          <w14:textFill>
            <w14:solidFill>
              <w14:schemeClr w14:val="tx1"/>
            </w14:solidFill>
          </w14:textFill>
        </w:rPr>
        <w:t>压</w:t>
      </w:r>
      <w:r>
        <w:rPr>
          <w:rFonts w:hint="eastAsia" w:cs="MS Mincho" w:asciiTheme="minorEastAsia" w:hAnsiTheme="minorEastAsia"/>
          <w:color w:val="000000" w:themeColor="text1"/>
          <w:kern w:val="0"/>
          <w:szCs w:val="21"/>
          <w14:textFill>
            <w14:solidFill>
              <w14:schemeClr w14:val="tx1"/>
            </w14:solidFill>
          </w14:textFill>
        </w:rPr>
        <w:t>力埋弧</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筋直径大于</w:t>
      </w:r>
      <w:r>
        <w:rPr>
          <w:rFonts w:hint="eastAsia" w:cs="HiddenHorzOCR" w:asciiTheme="minorEastAsia" w:hAnsiTheme="minorEastAsia"/>
          <w:color w:val="000000" w:themeColor="text1"/>
          <w:kern w:val="0"/>
          <w:szCs w:val="21"/>
          <w14:textFill>
            <w14:solidFill>
              <w14:schemeClr w14:val="tx1"/>
            </w14:solidFill>
          </w14:textFill>
        </w:rPr>
        <w:t>20mm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，宜采用穿孔塞</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。采</w:t>
      </w:r>
      <w:r>
        <w:rPr>
          <w:rFonts w:hint="eastAsia" w:cs="HiddenHorzOCR" w:asciiTheme="minorEastAsia" w:hAnsiTheme="minorEastAsia"/>
          <w:color w:val="000000" w:themeColor="text1"/>
          <w:kern w:val="0"/>
          <w:szCs w:val="21"/>
          <w14:textFill>
            <w14:solidFill>
              <w14:schemeClr w14:val="tx1"/>
            </w14:solidFill>
          </w14:textFill>
        </w:rPr>
        <w:t>用手工</w:t>
      </w:r>
      <w:r>
        <w:rPr>
          <w:rFonts w:hint="eastAsia" w:cs="宋体" w:asciiTheme="minorEastAsia" w:hAnsiTheme="minorEastAsia"/>
          <w:color w:val="000000" w:themeColor="text1"/>
          <w:kern w:val="0"/>
          <w:szCs w:val="21"/>
          <w14:textFill>
            <w14:solidFill>
              <w14:schemeClr w14:val="tx1"/>
            </w14:solidFill>
          </w14:textFill>
        </w:rPr>
        <w:t>焊时</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高度不宜小于</w:t>
      </w:r>
      <w:r>
        <w:rPr>
          <w:rFonts w:hint="eastAsia" w:cs="HiddenHorzOCR" w:asciiTheme="minorEastAsia" w:hAnsiTheme="minorEastAsia"/>
          <w:color w:val="000000" w:themeColor="text1"/>
          <w:kern w:val="0"/>
          <w:szCs w:val="21"/>
          <w14:textFill>
            <w14:solidFill>
              <w14:schemeClr w14:val="tx1"/>
            </w14:solidFill>
          </w14:textFill>
        </w:rPr>
        <w:t>6mm及O.</w:t>
      </w:r>
      <w:r>
        <w:rPr>
          <w:rFonts w:hint="eastAsia" w:cs="Times New Roman" w:asciiTheme="minorEastAsia" w:hAnsiTheme="minorEastAsia"/>
          <w:iCs/>
          <w:color w:val="000000" w:themeColor="text1"/>
          <w:kern w:val="0"/>
          <w:szCs w:val="21"/>
          <w14:textFill>
            <w14:solidFill>
              <w14:schemeClr w14:val="tx1"/>
            </w14:solidFill>
          </w14:textFill>
        </w:rPr>
        <w:t>5d</w:t>
      </w:r>
      <w:r>
        <w:rPr>
          <w:rFonts w:hint="eastAsia" w:cs="Times New Roman" w:asciiTheme="minorEastAsia" w:hAnsiTheme="minorEastAsia"/>
          <w:color w:val="000000" w:themeColor="text1"/>
          <w:kern w:val="0"/>
          <w:szCs w:val="21"/>
          <w14:textFill>
            <w14:solidFill>
              <w14:schemeClr w14:val="tx1"/>
            </w14:solidFill>
          </w14:textFill>
        </w:rPr>
        <w:t>（</w:t>
      </w:r>
      <w:r>
        <w:rPr>
          <w:rFonts w:hint="eastAsia" w:cs="HiddenHorzOCR" w:asciiTheme="minorEastAsia" w:hAnsiTheme="minorEastAsia"/>
          <w:color w:val="000000" w:themeColor="text1"/>
          <w:kern w:val="0"/>
          <w:szCs w:val="21"/>
          <w14:textFill>
            <w14:solidFill>
              <w14:schemeClr w14:val="tx1"/>
            </w14:solidFill>
          </w14:textFill>
        </w:rPr>
        <w:t>Ⅰ</w:t>
      </w:r>
      <w:r>
        <w:rPr>
          <w:rFonts w:hint="eastAsia" w:cs="宋体" w:asciiTheme="minorEastAsia" w:hAnsiTheme="minorEastAsia"/>
          <w:color w:val="000000" w:themeColor="text1"/>
          <w:kern w:val="0"/>
          <w:szCs w:val="21"/>
          <w14:textFill>
            <w14:solidFill>
              <w14:schemeClr w14:val="tx1"/>
            </w14:solidFill>
          </w14:textFill>
        </w:rPr>
        <w:t>级钢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）或O.</w:t>
      </w:r>
      <w:r>
        <w:rPr>
          <w:rFonts w:hint="eastAsia" w:cs="Times New Roman" w:asciiTheme="minorEastAsia" w:hAnsiTheme="minorEastAsia"/>
          <w:iCs/>
          <w:color w:val="000000" w:themeColor="text1"/>
          <w:kern w:val="0"/>
          <w:szCs w:val="21"/>
          <w14:textFill>
            <w14:solidFill>
              <w14:schemeClr w14:val="tx1"/>
            </w14:solidFill>
          </w14:textFill>
        </w:rPr>
        <w:t>6d（</w:t>
      </w:r>
      <w:r>
        <w:rPr>
          <w:rFonts w:hint="eastAsia" w:cs="HiddenHorzOCR" w:asciiTheme="minorEastAsia" w:hAnsiTheme="minorEastAsia"/>
          <w:color w:val="000000" w:themeColor="text1"/>
          <w:kern w:val="0"/>
          <w:szCs w:val="21"/>
          <w14:textFill>
            <w14:solidFill>
              <w14:schemeClr w14:val="tx1"/>
            </w14:solidFill>
          </w14:textFill>
        </w:rPr>
        <w:t>Ⅱ</w:t>
      </w:r>
      <w:r>
        <w:rPr>
          <w:rFonts w:hint="eastAsia" w:cs="宋体" w:asciiTheme="minorEastAsia" w:hAnsiTheme="minorEastAsia"/>
          <w:color w:val="000000" w:themeColor="text1"/>
          <w:kern w:val="0"/>
          <w:szCs w:val="21"/>
          <w14:textFill>
            <w14:solidFill>
              <w14:schemeClr w14:val="tx1"/>
            </w14:solidFill>
          </w14:textFill>
        </w:rPr>
        <w:t>级钢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2</w:t>
      </w:r>
      <w:r>
        <w:rPr>
          <w:rFonts w:cs="Times New Roman"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弯折</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筋一般采用搭接</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，但弯折点至</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端点的距离</w:t>
      </w:r>
      <w:r>
        <w:rPr>
          <w:rFonts w:hint="eastAsia" w:cs="HiddenHorzOCR" w:asciiTheme="minorEastAsia" w:hAnsiTheme="minorEastAsia"/>
          <w:color w:val="000000" w:themeColor="text1"/>
          <w:kern w:val="0"/>
          <w:szCs w:val="21"/>
          <w14:textFill>
            <w14:solidFill>
              <w14:schemeClr w14:val="tx1"/>
            </w14:solidFill>
          </w14:textFill>
        </w:rPr>
        <w:t>不宜小于2d和30mm。</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抗剪</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板与</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埋板宜采用双面</w:t>
      </w:r>
      <w:r>
        <w:rPr>
          <w:rFonts w:hint="eastAsia" w:cs="宋体" w:asciiTheme="minorEastAsia" w:hAnsiTheme="minorEastAsia"/>
          <w:color w:val="000000" w:themeColor="text1"/>
          <w:kern w:val="0"/>
          <w:szCs w:val="21"/>
          <w14:textFill>
            <w14:solidFill>
              <w14:schemeClr w14:val="tx1"/>
            </w14:solidFill>
          </w14:textFill>
        </w:rPr>
        <w:t>贴</w:t>
      </w:r>
      <w:r>
        <w:rPr>
          <w:rFonts w:hint="eastAsia" w:cs="MS Mincho" w:asciiTheme="minorEastAsia" w:hAnsiTheme="minorEastAsia"/>
          <w:color w:val="000000" w:themeColor="text1"/>
          <w:kern w:val="0"/>
          <w:szCs w:val="21"/>
          <w14:textFill>
            <w14:solidFill>
              <w14:schemeClr w14:val="tx1"/>
            </w14:solidFill>
          </w14:textFill>
        </w:rPr>
        <w:t>角</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高度不宜</w:t>
      </w:r>
      <w:r>
        <w:rPr>
          <w:rFonts w:hint="eastAsia" w:cs="HiddenHorzOCR" w:asciiTheme="minorEastAsia" w:hAnsiTheme="minorEastAsia"/>
          <w:color w:val="000000" w:themeColor="text1"/>
          <w:kern w:val="0"/>
          <w:szCs w:val="21"/>
          <w14:textFill>
            <w14:solidFill>
              <w14:schemeClr w14:val="tx1"/>
            </w14:solidFill>
          </w14:textFill>
        </w:rPr>
        <w:t>小于O.5</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v</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抗剪</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板厚度。</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4 </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与</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埋板宜采用双面</w:t>
      </w:r>
      <w:r>
        <w:rPr>
          <w:rFonts w:hint="eastAsia" w:cs="宋体" w:asciiTheme="minorEastAsia" w:hAnsiTheme="minorEastAsia"/>
          <w:color w:val="000000" w:themeColor="text1"/>
          <w:kern w:val="0"/>
          <w:szCs w:val="21"/>
          <w14:textFill>
            <w14:solidFill>
              <w14:schemeClr w14:val="tx1"/>
            </w14:solidFill>
          </w14:textFill>
        </w:rPr>
        <w:t>贴</w:t>
      </w:r>
      <w:r>
        <w:rPr>
          <w:rFonts w:hint="eastAsia" w:cs="MS Mincho" w:asciiTheme="minorEastAsia" w:hAnsiTheme="minorEastAsia"/>
          <w:color w:val="000000" w:themeColor="text1"/>
          <w:kern w:val="0"/>
          <w:szCs w:val="21"/>
          <w14:textFill>
            <w14:solidFill>
              <w14:schemeClr w14:val="tx1"/>
            </w14:solidFill>
          </w14:textFill>
        </w:rPr>
        <w:t>角</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焊缝</w:t>
      </w:r>
      <w:r>
        <w:rPr>
          <w:rFonts w:hint="eastAsia" w:cs="MS Mincho" w:asciiTheme="minorEastAsia" w:hAnsiTheme="minorEastAsia"/>
          <w:color w:val="000000" w:themeColor="text1"/>
          <w:kern w:val="0"/>
          <w:szCs w:val="21"/>
          <w14:textFill>
            <w14:solidFill>
              <w14:schemeClr w14:val="tx1"/>
            </w14:solidFill>
          </w14:textFill>
        </w:rPr>
        <w:t>高度不宜</w:t>
      </w:r>
      <w:r>
        <w:rPr>
          <w:rFonts w:hint="eastAsia" w:cs="HiddenHorzOCR" w:asciiTheme="minorEastAsia" w:hAnsiTheme="minorEastAsia"/>
          <w:color w:val="000000" w:themeColor="text1"/>
          <w:kern w:val="0"/>
          <w:szCs w:val="21"/>
          <w14:textFill>
            <w14:solidFill>
              <w14:schemeClr w14:val="tx1"/>
            </w14:solidFill>
          </w14:textFill>
        </w:rPr>
        <w:t>小于6mm和</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HiddenHorzOCR" w:asciiTheme="minorEastAsia" w:hAnsiTheme="minorEastAsia"/>
          <w:color w:val="000000" w:themeColor="text1"/>
          <w:kern w:val="0"/>
          <w:szCs w:val="21"/>
          <w14:textFill>
            <w14:solidFill>
              <w14:schemeClr w14:val="tx1"/>
            </w14:solidFill>
          </w14:textFill>
        </w:rPr>
        <w:t>减1～2mm，</w:t>
      </w:r>
      <m:oMath>
        <m:sSub>
          <m:sSubPr>
            <m:ctrlPr>
              <w:rPr>
                <w:rFonts w:ascii="Cambria Math" w:hAnsi="Cambria Math" w:cs="HiddenHorzOCR"/>
                <w:i/>
                <w:color w:val="000000" w:themeColor="text1"/>
                <w:kern w:val="0"/>
                <w:szCs w:val="21"/>
                <w14:textFill>
                  <w14:solidFill>
                    <w14:schemeClr w14:val="tx1"/>
                  </w14:solidFill>
                </w14:textFill>
              </w:rPr>
            </m:ctrlPr>
          </m:sSubPr>
          <m:e>
            <m:r>
              <w:rPr>
                <w:rFonts w:ascii="Cambria Math" w:hAnsi="Cambria Math" w:cs="HiddenHorzOCR"/>
                <w:color w:val="000000" w:themeColor="text1"/>
                <w:kern w:val="0"/>
                <w:szCs w:val="21"/>
                <w14:textFill>
                  <w14:solidFill>
                    <w14:schemeClr w14:val="tx1"/>
                  </w14:solidFill>
                </w14:textFill>
              </w:rPr>
              <m:t>t</m:t>
            </m:r>
            <m:ctrlPr>
              <w:rPr>
                <w:rFonts w:ascii="Cambria Math" w:hAnsi="Cambria Math" w:cs="HiddenHorzOCR"/>
                <w:i/>
                <w:color w:val="000000" w:themeColor="text1"/>
                <w:kern w:val="0"/>
                <w:szCs w:val="21"/>
                <w14:textFill>
                  <w14:solidFill>
                    <w14:schemeClr w14:val="tx1"/>
                  </w14:solidFill>
                </w14:textFill>
              </w:rPr>
            </m:ctrlPr>
          </m:e>
          <m:sub>
            <m:r>
              <w:rPr>
                <w:rFonts w:ascii="Cambria Math" w:hAnsi="Cambria Math" w:cs="HiddenHorzOCR"/>
                <w:color w:val="000000" w:themeColor="text1"/>
                <w:kern w:val="0"/>
                <w:szCs w:val="21"/>
                <w14:textFill>
                  <w14:solidFill>
                    <w14:schemeClr w14:val="tx1"/>
                  </w14:solidFill>
                </w14:textFill>
              </w:rPr>
              <m:t>1</m:t>
            </m:r>
            <m:ctrlPr>
              <w:rPr>
                <w:rFonts w:ascii="Cambria Math" w:hAnsi="Cambria Math" w:cs="HiddenHorzOCR"/>
                <w:i/>
                <w:color w:val="000000" w:themeColor="text1"/>
                <w:kern w:val="0"/>
                <w:szCs w:val="21"/>
                <w14:textFill>
                  <w14:solidFill>
                    <w14:schemeClr w14:val="tx1"/>
                  </w14:solidFill>
                </w14:textFill>
              </w:rPr>
            </m:ctrlPr>
          </m:sub>
        </m:sSub>
      </m:oMath>
      <w:r>
        <w:rPr>
          <w:rFonts w:hint="eastAsia" w:cs="宋体" w:asciiTheme="minorEastAsia" w:hAnsiTheme="minorEastAsia"/>
          <w:color w:val="000000" w:themeColor="text1"/>
          <w:kern w:val="0"/>
          <w:szCs w:val="21"/>
          <w14:textFill>
            <w14:solidFill>
              <w14:schemeClr w14:val="tx1"/>
            </w14:solidFill>
          </w14:textFill>
        </w:rPr>
        <w:t>为</w:t>
      </w:r>
      <w:r>
        <w:rPr>
          <w:rFonts w:hint="eastAsia" w:cs="MS Mincho" w:asciiTheme="minorEastAsia" w:hAnsiTheme="minorEastAsia"/>
          <w:color w:val="000000" w:themeColor="text1"/>
          <w:kern w:val="0"/>
          <w:szCs w:val="21"/>
          <w14:textFill>
            <w14:solidFill>
              <w14:schemeClr w14:val="tx1"/>
            </w14:solidFill>
          </w14:textFill>
        </w:rPr>
        <w:t>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厚度。</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7.5.3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、牛腿和柱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埋件构</w:t>
      </w:r>
      <w:r>
        <w:rPr>
          <w:rFonts w:hint="eastAsia" w:cs="HiddenHorzOCR" w:asciiTheme="minorEastAsia" w:hAnsiTheme="minorEastAsia"/>
          <w:color w:val="000000" w:themeColor="text1"/>
          <w:kern w:val="0"/>
          <w:szCs w:val="21"/>
          <w14:textFill>
            <w14:solidFill>
              <w14:schemeClr w14:val="tx1"/>
            </w14:solidFill>
          </w14:textFill>
        </w:rPr>
        <w:t>造，</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顶预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宜采用φ</w:t>
      </w:r>
      <w:r>
        <w:rPr>
          <w:rFonts w:hint="eastAsia" w:cs="HiddenHorzOCR" w:asciiTheme="minorEastAsia" w:hAnsiTheme="minorEastAsia"/>
          <w:color w:val="000000" w:themeColor="text1"/>
          <w:kern w:val="0"/>
          <w:szCs w:val="21"/>
          <w14:textFill>
            <w14:solidFill>
              <w14:schemeClr w14:val="tx1"/>
            </w14:solidFill>
          </w14:textFill>
        </w:rPr>
        <w:t>14，烈度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宜采用φ</w:t>
      </w:r>
      <w:r>
        <w:rPr>
          <w:rFonts w:hint="eastAsia" w:cs="HiddenHorzOCR" w:asciiTheme="minorEastAsia" w:hAnsiTheme="minorEastAsia"/>
          <w:color w:val="000000" w:themeColor="text1"/>
          <w:kern w:val="0"/>
          <w:szCs w:val="21"/>
          <w14:textFill>
            <w14:solidFill>
              <w14:schemeClr w14:val="tx1"/>
            </w14:solidFill>
          </w14:textFill>
        </w:rPr>
        <w:t>16，有柱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支撑的柱子，柱</w:t>
      </w:r>
      <w:r>
        <w:rPr>
          <w:rFonts w:hint="eastAsia" w:cs="宋体" w:asciiTheme="minorEastAsia" w:hAnsiTheme="minorEastAsia"/>
          <w:color w:val="000000" w:themeColor="text1"/>
          <w:kern w:val="0"/>
          <w:szCs w:val="21"/>
          <w14:textFill>
            <w14:solidFill>
              <w14:schemeClr w14:val="tx1"/>
            </w14:solidFill>
          </w14:textFill>
        </w:rPr>
        <w:t>顶预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宋体" w:asciiTheme="minorEastAsia" w:hAnsiTheme="minorEastAsia"/>
          <w:color w:val="000000" w:themeColor="text1"/>
          <w:kern w:val="0"/>
          <w:szCs w:val="21"/>
          <w14:textFill>
            <w14:solidFill>
              <w14:schemeClr w14:val="tx1"/>
            </w14:solidFill>
          </w14:textFill>
        </w:rPr>
        <w:t>还应</w:t>
      </w:r>
      <w:r>
        <w:rPr>
          <w:rFonts w:hint="eastAsia" w:cs="MS Mincho" w:asciiTheme="minorEastAsia" w:hAnsiTheme="minorEastAsia"/>
          <w:color w:val="000000" w:themeColor="text1"/>
          <w:kern w:val="0"/>
          <w:szCs w:val="21"/>
          <w14:textFill>
            <w14:solidFill>
              <w14:schemeClr w14:val="tx1"/>
            </w14:solidFill>
          </w14:textFill>
        </w:rPr>
        <w:t>增</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抗剪</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支承低跨屋盖的中柱牛腿（柱肩梁）的</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埋板</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7.5.3-1），</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与牛腿</w:t>
      </w:r>
      <w:r>
        <w:rPr>
          <w:rFonts w:hint="eastAsia" w:cs="HiddenHorzOCR" w:asciiTheme="minorEastAsia" w:hAnsiTheme="minorEastAsia"/>
          <w:color w:val="000000" w:themeColor="text1"/>
          <w:kern w:val="0"/>
          <w:szCs w:val="21"/>
          <w14:textFill>
            <w14:solidFill>
              <w14:schemeClr w14:val="tx1"/>
            </w14:solidFill>
          </w14:textFill>
        </w:rPr>
        <w:t>（柱肩梁）中按</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算承受水平拉力部分的</w:t>
      </w:r>
      <w:r>
        <w:rPr>
          <w:rFonts w:hint="eastAsia" w:cs="宋体" w:asciiTheme="minorEastAsia" w:hAnsiTheme="minorEastAsia"/>
          <w:color w:val="000000" w:themeColor="text1"/>
          <w:kern w:val="0"/>
          <w:szCs w:val="21"/>
          <w14:textFill>
            <w14:solidFill>
              <w14:schemeClr w14:val="tx1"/>
            </w14:solidFill>
          </w14:textFill>
        </w:rPr>
        <w:t>纵</w:t>
      </w:r>
      <w:r>
        <w:rPr>
          <w:rFonts w:hint="eastAsia" w:cs="MS Mincho" w:asciiTheme="minorEastAsia" w:hAnsiTheme="minorEastAsia"/>
          <w:color w:val="000000" w:themeColor="text1"/>
          <w:kern w:val="0"/>
          <w:szCs w:val="21"/>
          <w14:textFill>
            <w14:solidFill>
              <w14:schemeClr w14:val="tx1"/>
            </w14:solidFill>
          </w14:textFill>
        </w:rPr>
        <w:t>向</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接，且</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接的</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筋，烈度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6度和7度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少于</w:t>
      </w:r>
      <w:r>
        <w:rPr>
          <w:rFonts w:hint="eastAsia" w:cs="HiddenHorzOCR" w:asciiTheme="minorEastAsia" w:hAnsiTheme="minorEastAsia"/>
          <w:color w:val="000000" w:themeColor="text1"/>
          <w:kern w:val="0"/>
          <w:szCs w:val="21"/>
          <w14:textFill>
            <w14:solidFill>
              <w14:schemeClr w14:val="tx1"/>
            </w14:solidFill>
          </w14:textFill>
        </w:rPr>
        <w:t>2φ12，烈度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少于</w:t>
      </w:r>
      <w:r>
        <w:rPr>
          <w:rFonts w:hint="eastAsia" w:cs="HiddenHorzOCR" w:asciiTheme="minorEastAsia" w:hAnsiTheme="minorEastAsia"/>
          <w:color w:val="000000" w:themeColor="text1"/>
          <w:kern w:val="0"/>
          <w:szCs w:val="21"/>
          <w14:textFill>
            <w14:solidFill>
              <w14:schemeClr w14:val="tx1"/>
            </w14:solidFill>
          </w14:textFill>
        </w:rPr>
        <w:t>2φ14，烈度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少于</w:t>
      </w:r>
      <w:r>
        <w:rPr>
          <w:rFonts w:hint="eastAsia" w:cs="HiddenHorzOCR" w:asciiTheme="minorEastAsia" w:hAnsiTheme="minorEastAsia"/>
          <w:color w:val="000000" w:themeColor="text1"/>
          <w:kern w:val="0"/>
          <w:szCs w:val="21"/>
          <w14:textFill>
            <w14:solidFill>
              <w14:schemeClr w14:val="tx1"/>
            </w14:solidFill>
          </w14:textFill>
        </w:rPr>
        <w:t>2φ16。</w:t>
      </w:r>
    </w:p>
    <w:p>
      <w:pPr>
        <w:autoSpaceDE w:val="0"/>
        <w:autoSpaceDN w:val="0"/>
        <w:spacing w:line="360" w:lineRule="auto"/>
        <w:ind w:firstLine="360"/>
        <w:jc w:val="center"/>
        <w:rPr>
          <w:color w:val="000000" w:themeColor="text1"/>
          <w14:textFill>
            <w14:solidFill>
              <w14:schemeClr w14:val="tx1"/>
            </w14:solidFill>
          </w14:textFill>
        </w:rPr>
      </w:pPr>
      <w:r>
        <w:rPr>
          <w:rFonts w:cs="HiddenHorzOCR" w:asciiTheme="minorEastAsia" w:hAnsiTheme="minorEastAsia"/>
          <w:color w:val="000000" w:themeColor="text1"/>
          <w:kern w:val="0"/>
          <w:sz w:val="18"/>
          <w:szCs w:val="18"/>
          <w14:textFill>
            <w14:solidFill>
              <w14:schemeClr w14:val="tx1"/>
            </w14:solidFill>
          </w14:textFill>
        </w:rPr>
        <w:drawing>
          <wp:inline distT="0" distB="0" distL="0" distR="0">
            <wp:extent cx="2139315" cy="1517650"/>
            <wp:effectExtent l="0" t="0" r="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2139519" cy="1517779"/>
                    </a:xfrm>
                    <a:prstGeom prst="rect">
                      <a:avLst/>
                    </a:prstGeom>
                  </pic:spPr>
                </pic:pic>
              </a:graphicData>
            </a:graphic>
          </wp:inline>
        </w:drawing>
      </w:r>
    </w:p>
    <w:p>
      <w:pPr>
        <w:autoSpaceDE w:val="0"/>
        <w:autoSpaceDN w:val="0"/>
        <w:spacing w:line="360" w:lineRule="auto"/>
        <w:ind w:firstLine="420"/>
        <w:jc w:val="center"/>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图7.5.3-1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高低跨牛腿处预埋件</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630" w:firstLineChars="30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柱</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支撑与柱</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埋件的</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固件型式和构造，宜</w:t>
      </w:r>
      <w:r>
        <w:rPr>
          <w:rFonts w:hint="eastAsia" w:cs="HiddenHorzOCR" w:asciiTheme="minorEastAsia" w:hAnsiTheme="minorEastAsia"/>
          <w:color w:val="000000" w:themeColor="text1"/>
          <w:kern w:val="0"/>
          <w:szCs w:val="21"/>
          <w14:textFill>
            <w14:solidFill>
              <w14:schemeClr w14:val="tx1"/>
            </w14:solidFill>
          </w14:textFill>
        </w:rPr>
        <w:t>符合下列要求：</w:t>
      </w:r>
    </w:p>
    <w:p>
      <w:pPr>
        <w:autoSpaceDE w:val="0"/>
        <w:autoSpaceDN w:val="0"/>
        <w:spacing w:line="360" w:lineRule="auto"/>
        <w:ind w:left="1050" w:leftChars="400" w:hanging="210" w:hangingChars="1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1）烈度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8度Ⅲ、Ⅳ</w:t>
      </w:r>
      <w:r>
        <w:rPr>
          <w:rFonts w:hint="eastAsia" w:cs="宋体" w:asciiTheme="minorEastAsia" w:hAnsiTheme="minorEastAsia"/>
          <w:color w:val="000000" w:themeColor="text1"/>
          <w:kern w:val="0"/>
          <w:szCs w:val="21"/>
          <w14:textFill>
            <w14:solidFill>
              <w14:schemeClr w14:val="tx1"/>
            </w14:solidFill>
          </w14:textFill>
        </w:rPr>
        <w:t>类场</w:t>
      </w:r>
      <w:r>
        <w:rPr>
          <w:rFonts w:hint="eastAsia" w:cs="MS Mincho" w:asciiTheme="minorEastAsia" w:hAnsiTheme="minorEastAsia"/>
          <w:color w:val="000000" w:themeColor="text1"/>
          <w:kern w:val="0"/>
          <w:szCs w:val="21"/>
          <w14:textFill>
            <w14:solidFill>
              <w14:schemeClr w14:val="tx1"/>
            </w14:solidFill>
          </w14:textFill>
        </w:rPr>
        <w:t>地和烈度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HiddenHorzOCR" w:asciiTheme="minorEastAsia" w:hAnsiTheme="minorEastAsia"/>
          <w:color w:val="000000" w:themeColor="text1"/>
          <w:kern w:val="0"/>
          <w:szCs w:val="21"/>
          <w14:textFill>
            <w14:solidFill>
              <w14:schemeClr w14:val="tx1"/>
            </w14:solidFill>
          </w14:textFill>
        </w:rPr>
        <w:t>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，其他情况可采用</w:t>
      </w:r>
      <w:r>
        <w:rPr>
          <w:rFonts w:hint="eastAsia" w:cs="HiddenHorzOCR" w:asciiTheme="minorEastAsia" w:hAnsiTheme="minorEastAsia"/>
          <w:color w:val="000000" w:themeColor="text1"/>
          <w:kern w:val="0"/>
          <w:szCs w:val="21"/>
          <w14:textFill>
            <w14:solidFill>
              <w14:schemeClr w14:val="tx1"/>
            </w14:solidFill>
          </w14:textFill>
        </w:rPr>
        <w:t>Ⅱ</w:t>
      </w:r>
      <w:r>
        <w:rPr>
          <w:rFonts w:hint="eastAsia" w:cs="宋体" w:asciiTheme="minorEastAsia" w:hAnsiTheme="minorEastAsia"/>
          <w:color w:val="000000" w:themeColor="text1"/>
          <w:kern w:val="0"/>
          <w:szCs w:val="21"/>
          <w14:textFill>
            <w14:solidFill>
              <w14:schemeClr w14:val="tx1"/>
            </w14:solidFill>
          </w14:textFill>
        </w:rPr>
        <w:t>级钢</w:t>
      </w:r>
      <w:r>
        <w:rPr>
          <w:rFonts w:hint="eastAsia" w:cs="MS Mincho" w:asciiTheme="minorEastAsia" w:hAnsiTheme="minorEastAsia"/>
          <w:color w:val="000000" w:themeColor="text1"/>
          <w:kern w:val="0"/>
          <w:szCs w:val="21"/>
          <w14:textFill>
            <w14:solidFill>
              <w14:schemeClr w14:val="tx1"/>
            </w14:solidFill>
          </w14:textFill>
        </w:rPr>
        <w:t>筋，</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和</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筋的截面面</w:t>
      </w:r>
      <w:r>
        <w:rPr>
          <w:rFonts w:hint="eastAsia" w:cs="宋体" w:asciiTheme="minorEastAsia" w:hAnsiTheme="minorEastAsia"/>
          <w:color w:val="000000" w:themeColor="text1"/>
          <w:kern w:val="0"/>
          <w:szCs w:val="21"/>
          <w14:textFill>
            <w14:solidFill>
              <w14:schemeClr w14:val="tx1"/>
            </w14:solidFill>
          </w14:textFill>
        </w:rPr>
        <w:t>积应</w:t>
      </w:r>
      <w:r>
        <w:rPr>
          <w:rFonts w:hint="eastAsia" w:cs="HiddenHorzOCR" w:asciiTheme="minorEastAsia" w:hAnsiTheme="minorEastAsia"/>
          <w:color w:val="000000" w:themeColor="text1"/>
          <w:kern w:val="0"/>
          <w:szCs w:val="21"/>
          <w14:textFill>
            <w14:solidFill>
              <w14:schemeClr w14:val="tx1"/>
            </w14:solidFill>
          </w14:textFill>
        </w:rPr>
        <w:t>由</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算确定</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840" w:firstLineChars="400"/>
        <w:jc w:val="left"/>
        <w:rPr>
          <w:rFonts w:cs="MS Mincho"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2）</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固角</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和</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筋的端部均宜</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端板。</w:t>
      </w:r>
    </w:p>
    <w:p>
      <w:pPr>
        <w:autoSpaceDE w:val="0"/>
        <w:autoSpaceDN w:val="0"/>
        <w:spacing w:line="360" w:lineRule="auto"/>
        <w:ind w:firstLine="840" w:firstLineChars="40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center"/>
        <w:rPr>
          <w:rFonts w:cs="MS Mincho"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7.6 </w:t>
      </w:r>
      <w:r>
        <w:rPr>
          <w:rFonts w:hint="eastAsia" w:cs="HiddenHorzOCR" w:asciiTheme="minorEastAsia" w:hAnsiTheme="minorEastAsia"/>
          <w:color w:val="000000" w:themeColor="text1"/>
          <w:kern w:val="0"/>
          <w:szCs w:val="21"/>
          <w14:textFill>
            <w14:solidFill>
              <w14:schemeClr w14:val="tx1"/>
            </w14:solidFill>
          </w14:textFill>
        </w:rPr>
        <w:t>构造措施（3）——构件</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p>
    <w:p>
      <w:pPr>
        <w:autoSpaceDE w:val="0"/>
        <w:autoSpaceDN w:val="0"/>
        <w:spacing w:line="360" w:lineRule="auto"/>
        <w:ind w:firstLine="0" w:firstLineChars="0"/>
        <w:jc w:val="center"/>
        <w:rPr>
          <w:rFonts w:cs="Times New Roman"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7.6.1 </w:t>
      </w:r>
      <w:r>
        <w:rPr>
          <w:rFonts w:hint="eastAsia" w:cs="HiddenHorzOCR" w:asciiTheme="minorEastAsia" w:hAnsiTheme="minorEastAsia"/>
          <w:color w:val="000000" w:themeColor="text1"/>
          <w:kern w:val="0"/>
          <w:szCs w:val="21"/>
          <w14:textFill>
            <w14:solidFill>
              <w14:schemeClr w14:val="tx1"/>
            </w14:solidFill>
          </w14:textFill>
        </w:rPr>
        <w:t>屋架（屋面梁）与柱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8度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宜采用螺栓，</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9度</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宜采用</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铰</w:t>
      </w:r>
      <w:r>
        <w:rPr>
          <w:rFonts w:hint="eastAsia" w:cs="MS Mincho" w:asciiTheme="minorEastAsia" w:hAnsiTheme="minorEastAsia"/>
          <w:color w:val="000000" w:themeColor="text1"/>
          <w:kern w:val="0"/>
          <w:szCs w:val="21"/>
          <w14:textFill>
            <w14:solidFill>
              <w14:schemeClr w14:val="tx1"/>
            </w14:solidFill>
          </w14:textFill>
        </w:rPr>
        <w:t>，也可采用螺栓</w:t>
      </w:r>
      <w:r>
        <w:rPr>
          <w:rFonts w:hint="eastAsia" w:cs="HiddenHorzOCR" w:asciiTheme="minorEastAsia" w:hAnsiTheme="minorEastAsia"/>
          <w:color w:val="000000" w:themeColor="text1"/>
          <w:kern w:val="0"/>
          <w:szCs w:val="21"/>
          <w14:textFill>
            <w14:solidFill>
              <w14:schemeClr w14:val="tx1"/>
            </w14:solidFill>
          </w14:textFill>
        </w:rPr>
        <w:t>；各种</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接方式，</w:t>
      </w:r>
      <w:r>
        <w:rPr>
          <w:rFonts w:hint="eastAsia" w:cs="宋体" w:asciiTheme="minorEastAsia" w:hAnsiTheme="minorEastAsia"/>
          <w:color w:val="000000" w:themeColor="text1"/>
          <w:kern w:val="0"/>
          <w:szCs w:val="21"/>
          <w14:textFill>
            <w14:solidFill>
              <w14:schemeClr w14:val="tx1"/>
            </w14:solidFill>
          </w14:textFill>
        </w:rPr>
        <w:t>应</w:t>
      </w:r>
      <w:r>
        <w:rPr>
          <w:rFonts w:hint="eastAsia" w:cs="HiddenHorzOCR"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螺栓</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，屋架</w:t>
      </w:r>
      <w:r>
        <w:rPr>
          <w:rFonts w:hint="eastAsia" w:cs="HiddenHorzOCR" w:asciiTheme="minorEastAsia" w:hAnsiTheme="minorEastAsia"/>
          <w:color w:val="000000" w:themeColor="text1"/>
          <w:kern w:val="0"/>
          <w:szCs w:val="21"/>
          <w14:textFill>
            <w14:solidFill>
              <w14:schemeClr w14:val="tx1"/>
            </w14:solidFill>
          </w14:textFill>
        </w:rPr>
        <w:t>（屋面梁）端部下</w:t>
      </w:r>
      <w:r>
        <w:rPr>
          <w:rFonts w:hint="eastAsia" w:cs="宋体" w:asciiTheme="minorEastAsia" w:hAnsiTheme="minorEastAsia"/>
          <w:color w:val="000000" w:themeColor="text1"/>
          <w:kern w:val="0"/>
          <w:szCs w:val="21"/>
          <w14:textFill>
            <w14:solidFill>
              <w14:schemeClr w14:val="tx1"/>
            </w14:solidFill>
          </w14:textFill>
        </w:rPr>
        <w:t>应设</w:t>
      </w:r>
      <w:r>
        <w:rPr>
          <w:rFonts w:hint="eastAsia" w:cs="MS Mincho" w:asciiTheme="minorEastAsia" w:hAnsiTheme="minorEastAsia"/>
          <w:color w:val="000000" w:themeColor="text1"/>
          <w:kern w:val="0"/>
          <w:szCs w:val="21"/>
          <w14:textFill>
            <w14:solidFill>
              <w14:schemeClr w14:val="tx1"/>
            </w14:solidFill>
          </w14:textFill>
        </w:rPr>
        <w:t>支承</w:t>
      </w:r>
      <w:r>
        <w:rPr>
          <w:rFonts w:hint="eastAsia" w:cs="宋体" w:asciiTheme="minorEastAsia" w:hAnsiTheme="minorEastAsia"/>
          <w:color w:val="000000" w:themeColor="text1"/>
          <w:kern w:val="0"/>
          <w:szCs w:val="21"/>
          <w14:textFill>
            <w14:solidFill>
              <w14:schemeClr w14:val="tx1"/>
            </w14:solidFill>
          </w14:textFill>
        </w:rPr>
        <w:t>垫</w:t>
      </w:r>
      <w:r>
        <w:rPr>
          <w:rFonts w:hint="eastAsia" w:cs="MS Mincho" w:asciiTheme="minorEastAsia" w:hAnsiTheme="minorEastAsia"/>
          <w:color w:val="000000" w:themeColor="text1"/>
          <w:kern w:val="0"/>
          <w:szCs w:val="21"/>
          <w14:textFill>
            <w14:solidFill>
              <w14:schemeClr w14:val="tx1"/>
            </w14:solidFill>
          </w14:textFill>
        </w:rPr>
        <w:t>板，其</w:t>
      </w:r>
      <w:r>
        <w:rPr>
          <w:rFonts w:hint="eastAsia" w:cs="HiddenHorzOCR" w:asciiTheme="minorEastAsia" w:hAnsiTheme="minorEastAsia"/>
          <w:color w:val="000000" w:themeColor="text1"/>
          <w:kern w:val="0"/>
          <w:szCs w:val="21"/>
          <w14:textFill>
            <w14:solidFill>
              <w14:schemeClr w14:val="tx1"/>
            </w14:solidFill>
          </w14:textFill>
        </w:rPr>
        <w:t>厚度不宜小于16mm。</w:t>
      </w:r>
    </w:p>
    <w:p>
      <w:pPr>
        <w:autoSpaceDE w:val="0"/>
        <w:autoSpaceDN w:val="0"/>
        <w:spacing w:line="360" w:lineRule="auto"/>
        <w:ind w:firstLine="420"/>
        <w:jc w:val="left"/>
        <w:rPr>
          <w:rFonts w:cs="MS Mincho"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螺栓</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接的螺栓直径</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按</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算确定，但不宜小于</w:t>
      </w:r>
      <w:r>
        <w:rPr>
          <w:rFonts w:hint="eastAsia" w:cs="HiddenHorzOCR" w:asciiTheme="minorEastAsia" w:hAnsiTheme="minorEastAsia"/>
          <w:color w:val="000000" w:themeColor="text1"/>
          <w:kern w:val="0"/>
          <w:szCs w:val="21"/>
          <w14:textFill>
            <w14:solidFill>
              <w14:schemeClr w14:val="tx1"/>
            </w14:solidFill>
          </w14:textFill>
        </w:rPr>
        <w:t>φ22，其</w:t>
      </w:r>
      <w:r>
        <w:rPr>
          <w:rFonts w:hint="eastAsia" w:cs="宋体" w:asciiTheme="minorEastAsia" w:hAnsiTheme="minorEastAsia"/>
          <w:color w:val="000000" w:themeColor="text1"/>
          <w:kern w:val="0"/>
          <w:szCs w:val="21"/>
          <w14:textFill>
            <w14:solidFill>
              <w14:schemeClr w14:val="tx1"/>
            </w14:solidFill>
          </w14:textFill>
        </w:rPr>
        <w:t>锚</w:t>
      </w:r>
      <w:r>
        <w:rPr>
          <w:rFonts w:hint="eastAsia" w:cs="MS Mincho" w:asciiTheme="minorEastAsia" w:hAnsiTheme="minorEastAsia"/>
          <w:color w:val="000000" w:themeColor="text1"/>
          <w:kern w:val="0"/>
          <w:szCs w:val="21"/>
          <w14:textFill>
            <w14:solidFill>
              <w14:schemeClr w14:val="tx1"/>
            </w14:solidFill>
          </w14:textFill>
        </w:rPr>
        <w:t>固</w:t>
      </w:r>
      <w:r>
        <w:rPr>
          <w:rFonts w:hint="eastAsia" w:cs="宋体" w:asciiTheme="minorEastAsia" w:hAnsiTheme="minorEastAsia"/>
          <w:color w:val="000000" w:themeColor="text1"/>
          <w:kern w:val="0"/>
          <w:szCs w:val="21"/>
          <w14:textFill>
            <w14:solidFill>
              <w14:schemeClr w14:val="tx1"/>
            </w14:solidFill>
          </w14:textFill>
        </w:rPr>
        <w:t>长</w:t>
      </w:r>
      <w:r>
        <w:rPr>
          <w:rFonts w:hint="eastAsia" w:cs="MS Mincho" w:asciiTheme="minorEastAsia" w:hAnsiTheme="minorEastAsia"/>
          <w:color w:val="000000" w:themeColor="text1"/>
          <w:kern w:val="0"/>
          <w:szCs w:val="21"/>
          <w14:textFill>
            <w14:solidFill>
              <w14:schemeClr w14:val="tx1"/>
            </w14:solidFill>
          </w14:textFill>
        </w:rPr>
        <w:t>度不</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小于</w:t>
      </w:r>
      <w:r>
        <w:rPr>
          <w:rFonts w:hint="eastAsia" w:cs="HiddenHorzOCR" w:asciiTheme="minorEastAsia" w:hAnsiTheme="minorEastAsia"/>
          <w:color w:val="000000" w:themeColor="text1"/>
          <w:kern w:val="0"/>
          <w:szCs w:val="21"/>
          <w14:textFill>
            <w14:solidFill>
              <w14:schemeClr w14:val="tx1"/>
            </w14:solidFill>
          </w14:textFill>
        </w:rPr>
        <w:t>20倍螺栓直径，且螺栓外</w:t>
      </w:r>
      <w:r>
        <w:rPr>
          <w:rFonts w:hint="eastAsia" w:cs="宋体" w:asciiTheme="minorEastAsia" w:hAnsiTheme="minorEastAsia"/>
          <w:color w:val="000000" w:themeColor="text1"/>
          <w:kern w:val="0"/>
          <w:szCs w:val="21"/>
          <w14:textFill>
            <w14:solidFill>
              <w14:schemeClr w14:val="tx1"/>
            </w14:solidFill>
          </w14:textFill>
        </w:rPr>
        <w:t>侧应</w:t>
      </w:r>
      <w:r>
        <w:rPr>
          <w:rFonts w:hint="eastAsia" w:cs="MS Mincho" w:asciiTheme="minorEastAsia" w:hAnsiTheme="minorEastAsia"/>
          <w:color w:val="000000" w:themeColor="text1"/>
          <w:kern w:val="0"/>
          <w:szCs w:val="21"/>
          <w14:textFill>
            <w14:solidFill>
              <w14:schemeClr w14:val="tx1"/>
            </w14:solidFill>
          </w14:textFill>
        </w:rPr>
        <w:t>有箍筋</w:t>
      </w:r>
      <w:r>
        <w:rPr>
          <w:rFonts w:hint="eastAsia" w:cs="HiddenHorzOCR" w:asciiTheme="minorEastAsia" w:hAnsiTheme="minorEastAsia"/>
          <w:color w:val="000000" w:themeColor="text1"/>
          <w:kern w:val="0"/>
          <w:szCs w:val="21"/>
          <w14:textFill>
            <w14:solidFill>
              <w14:schemeClr w14:val="tx1"/>
            </w14:solidFill>
          </w14:textFill>
        </w:rPr>
        <w:t>，螺栓</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与柱</w:t>
      </w:r>
      <w:r>
        <w:rPr>
          <w:rFonts w:hint="eastAsia" w:cs="宋体" w:asciiTheme="minorEastAsia" w:hAnsiTheme="minorEastAsia"/>
          <w:color w:val="000000" w:themeColor="text1"/>
          <w:kern w:val="0"/>
          <w:szCs w:val="21"/>
          <w14:textFill>
            <w14:solidFill>
              <w14:schemeClr w14:val="tx1"/>
            </w14:solidFill>
          </w14:textFill>
        </w:rPr>
        <w:t>顶预</w:t>
      </w:r>
      <w:r>
        <w:rPr>
          <w:rFonts w:hint="eastAsia" w:cs="MS Mincho" w:asciiTheme="minorEastAsia" w:hAnsiTheme="minorEastAsia"/>
          <w:color w:val="000000" w:themeColor="text1"/>
          <w:kern w:val="0"/>
          <w:szCs w:val="21"/>
          <w14:textFill>
            <w14:solidFill>
              <w14:schemeClr w14:val="tx1"/>
            </w14:solidFill>
          </w14:textFill>
        </w:rPr>
        <w:t>埋</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板底面</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接。屋架端部</w:t>
      </w:r>
      <w:r>
        <w:rPr>
          <w:rFonts w:hint="eastAsia" w:cs="宋体" w:asciiTheme="minorEastAsia" w:hAnsiTheme="minorEastAsia"/>
          <w:color w:val="000000" w:themeColor="text1"/>
          <w:kern w:val="0"/>
          <w:szCs w:val="21"/>
          <w14:textFill>
            <w14:solidFill>
              <w14:schemeClr w14:val="tx1"/>
            </w14:solidFill>
          </w14:textFill>
        </w:rPr>
        <w:t>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与柱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的支承</w:t>
      </w:r>
      <w:r>
        <w:rPr>
          <w:rFonts w:hint="eastAsia" w:cs="宋体" w:asciiTheme="minorEastAsia" w:hAnsiTheme="minorEastAsia"/>
          <w:color w:val="000000" w:themeColor="text1"/>
          <w:kern w:val="0"/>
          <w:szCs w:val="21"/>
          <w14:textFill>
            <w14:solidFill>
              <w14:schemeClr w14:val="tx1"/>
            </w14:solidFill>
          </w14:textFill>
        </w:rPr>
        <w:t>垫</w:t>
      </w:r>
      <w:r>
        <w:rPr>
          <w:rFonts w:hint="eastAsia" w:cs="HiddenHorzOCR"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接，螺栓</w:t>
      </w:r>
      <w:r>
        <w:rPr>
          <w:rFonts w:hint="eastAsia" w:cs="宋体" w:asciiTheme="minorEastAsia" w:hAnsiTheme="minorEastAsia"/>
          <w:color w:val="000000" w:themeColor="text1"/>
          <w:kern w:val="0"/>
          <w:szCs w:val="21"/>
          <w14:textFill>
            <w14:solidFill>
              <w14:schemeClr w14:val="tx1"/>
            </w14:solidFill>
          </w14:textFill>
        </w:rPr>
        <w:t>拧紧</w:t>
      </w:r>
      <w:r>
        <w:rPr>
          <w:rFonts w:hint="eastAsia" w:cs="MS Mincho" w:asciiTheme="minorEastAsia" w:hAnsiTheme="minorEastAsia"/>
          <w:color w:val="000000" w:themeColor="text1"/>
          <w:kern w:val="0"/>
          <w:szCs w:val="21"/>
          <w14:textFill>
            <w14:solidFill>
              <w14:schemeClr w14:val="tx1"/>
            </w14:solidFill>
          </w14:textFill>
        </w:rPr>
        <w:t>后</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与</w:t>
      </w:r>
      <w:r>
        <w:rPr>
          <w:rFonts w:hint="eastAsia" w:cs="宋体" w:asciiTheme="minorEastAsia" w:hAnsiTheme="minorEastAsia"/>
          <w:color w:val="000000" w:themeColor="text1"/>
          <w:kern w:val="0"/>
          <w:szCs w:val="21"/>
          <w14:textFill>
            <w14:solidFill>
              <w14:schemeClr w14:val="tx1"/>
            </w14:solidFill>
          </w14:textFill>
        </w:rPr>
        <w:t>垫</w:t>
      </w:r>
      <w:r>
        <w:rPr>
          <w:rFonts w:hint="eastAsia" w:cs="MS Mincho" w:asciiTheme="minorEastAsia" w:hAnsiTheme="minorEastAsia"/>
          <w:color w:val="000000" w:themeColor="text1"/>
          <w:kern w:val="0"/>
          <w:szCs w:val="21"/>
          <w14:textFill>
            <w14:solidFill>
              <w14:schemeClr w14:val="tx1"/>
            </w14:solidFill>
          </w14:textFill>
        </w:rPr>
        <w:t>圈点</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宋体" w:asciiTheme="minorEastAsia" w:hAnsiTheme="minorEastAsia"/>
          <w:color w:val="000000" w:themeColor="text1"/>
          <w:kern w:val="0"/>
          <w:szCs w:val="21"/>
          <w14:textFill>
            <w14:solidFill>
              <w14:schemeClr w14:val="tx1"/>
            </w14:solidFill>
          </w14:textFill>
        </w:rPr>
        <w:t>铰</w:t>
      </w:r>
      <w:r>
        <w:rPr>
          <w:rFonts w:hint="eastAsia" w:cs="MS Mincho"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接构造</w:t>
      </w:r>
      <w:r>
        <w:rPr>
          <w:rFonts w:hint="eastAsia" w:cs="HiddenHorzOCR" w:asciiTheme="minorEastAsia" w:hAnsiTheme="minorEastAsia"/>
          <w:color w:val="000000" w:themeColor="text1"/>
          <w:kern w:val="0"/>
          <w:szCs w:val="21"/>
          <w14:textFill>
            <w14:solidFill>
              <w14:schemeClr w14:val="tx1"/>
            </w14:solidFill>
          </w14:textFill>
        </w:rPr>
        <w:t>（</w:t>
      </w:r>
      <w:r>
        <w:rPr>
          <w:rFonts w:hint="eastAsia" w:cs="宋体" w:asciiTheme="minorEastAsia" w:hAnsiTheme="minorEastAsia"/>
          <w:color w:val="000000" w:themeColor="text1"/>
          <w:kern w:val="0"/>
          <w:szCs w:val="21"/>
          <w14:textFill>
            <w14:solidFill>
              <w14:schemeClr w14:val="tx1"/>
            </w14:solidFill>
          </w14:textFill>
        </w:rPr>
        <w:t>图</w:t>
      </w:r>
      <w:r>
        <w:rPr>
          <w:rFonts w:hint="eastAsia" w:cs="HiddenHorzOCR" w:asciiTheme="minorEastAsia" w:hAnsiTheme="minorEastAsia"/>
          <w:color w:val="000000" w:themeColor="text1"/>
          <w:kern w:val="0"/>
          <w:szCs w:val="21"/>
          <w14:textFill>
            <w14:solidFill>
              <w14:schemeClr w14:val="tx1"/>
            </w14:solidFill>
          </w14:textFill>
        </w:rPr>
        <w:t>7.6.1-1），</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符合下列要求</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屋架(屋面梁)端部下</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两</w:t>
      </w:r>
      <w:r>
        <w:rPr>
          <w:rFonts w:hint="eastAsia" w:cs="宋体" w:asciiTheme="minorEastAsia" w:hAnsiTheme="minorEastAsia"/>
          <w:color w:val="000000" w:themeColor="text1"/>
          <w:kern w:val="0"/>
          <w:szCs w:val="21"/>
          <w14:textFill>
            <w14:solidFill>
              <w14:schemeClr w14:val="tx1"/>
            </w14:solidFill>
          </w14:textFill>
        </w:rPr>
        <w:t>层</w:t>
      </w:r>
      <w:r>
        <w:rPr>
          <w:rFonts w:hint="eastAsia" w:cs="MS Mincho" w:asciiTheme="minorEastAsia" w:hAnsiTheme="minorEastAsia"/>
          <w:color w:val="000000" w:themeColor="text1"/>
          <w:kern w:val="0"/>
          <w:szCs w:val="21"/>
          <w14:textFill>
            <w14:solidFill>
              <w14:schemeClr w14:val="tx1"/>
            </w14:solidFill>
          </w14:textFill>
        </w:rPr>
        <w:t>支承</w:t>
      </w:r>
      <w:r>
        <w:rPr>
          <w:rFonts w:hint="eastAsia" w:cs="宋体" w:asciiTheme="minorEastAsia" w:hAnsiTheme="minorEastAsia"/>
          <w:color w:val="000000" w:themeColor="text1"/>
          <w:kern w:val="0"/>
          <w:szCs w:val="21"/>
          <w14:textFill>
            <w14:solidFill>
              <w14:schemeClr w14:val="tx1"/>
            </w14:solidFill>
          </w14:textFill>
        </w:rPr>
        <w:t>垫</w:t>
      </w:r>
      <w:r>
        <w:rPr>
          <w:rFonts w:hint="eastAsia" w:cs="MS Mincho" w:asciiTheme="minorEastAsia" w:hAnsiTheme="minorEastAsia"/>
          <w:color w:val="000000" w:themeColor="text1"/>
          <w:kern w:val="0"/>
          <w:szCs w:val="21"/>
          <w14:textFill>
            <w14:solidFill>
              <w14:schemeClr w14:val="tx1"/>
            </w14:solidFill>
          </w14:textFill>
        </w:rPr>
        <w:t>板，每</w:t>
      </w:r>
      <w:r>
        <w:rPr>
          <w:rFonts w:hint="eastAsia" w:cs="宋体" w:asciiTheme="minorEastAsia" w:hAnsiTheme="minorEastAsia"/>
          <w:color w:val="000000" w:themeColor="text1"/>
          <w:kern w:val="0"/>
          <w:szCs w:val="21"/>
          <w14:textFill>
            <w14:solidFill>
              <w14:schemeClr w14:val="tx1"/>
            </w14:solidFill>
          </w14:textFill>
        </w:rPr>
        <w:t>层垫</w:t>
      </w:r>
      <w:r>
        <w:rPr>
          <w:rFonts w:hint="eastAsia" w:cs="MS Mincho" w:asciiTheme="minorEastAsia" w:hAnsiTheme="minorEastAsia"/>
          <w:color w:val="000000" w:themeColor="text1"/>
          <w:kern w:val="0"/>
          <w:szCs w:val="21"/>
          <w14:textFill>
            <w14:solidFill>
              <w14:schemeClr w14:val="tx1"/>
            </w14:solidFill>
          </w14:textFill>
        </w:rPr>
        <w:t>板厚度宜取</w:t>
      </w:r>
      <w:r>
        <w:rPr>
          <w:rFonts w:hint="eastAsia" w:cs="HiddenHorzOCR" w:asciiTheme="minorEastAsia" w:hAnsiTheme="minorEastAsia"/>
          <w:color w:val="000000" w:themeColor="text1"/>
          <w:kern w:val="0"/>
          <w:szCs w:val="21"/>
          <w14:textFill>
            <w14:solidFill>
              <w14:schemeClr w14:val="tx1"/>
            </w14:solidFill>
          </w14:textFill>
        </w:rPr>
        <w:t>lOmm和12mm（上薄下厚）；安装</w:t>
      </w:r>
      <w:r>
        <w:rPr>
          <w:rFonts w:hint="eastAsia" w:cs="宋体" w:asciiTheme="minorEastAsia" w:hAnsiTheme="minorEastAsia"/>
          <w:color w:val="000000" w:themeColor="text1"/>
          <w:kern w:val="0"/>
          <w:szCs w:val="21"/>
          <w14:textFill>
            <w14:solidFill>
              <w14:schemeClr w14:val="tx1"/>
            </w14:solidFill>
          </w14:textFill>
        </w:rPr>
        <w:t>调</w:t>
      </w:r>
      <w:r>
        <w:rPr>
          <w:rFonts w:hint="eastAsia" w:cs="MS Mincho" w:asciiTheme="minorEastAsia" w:hAnsiTheme="minorEastAsia"/>
          <w:color w:val="000000" w:themeColor="text1"/>
          <w:kern w:val="0"/>
          <w:szCs w:val="21"/>
          <w14:textFill>
            <w14:solidFill>
              <w14:schemeClr w14:val="tx1"/>
            </w14:solidFill>
          </w14:textFill>
        </w:rPr>
        <w:t>整后，上、下</w:t>
      </w:r>
      <w:r>
        <w:rPr>
          <w:rFonts w:hint="eastAsia" w:cs="宋体" w:asciiTheme="minorEastAsia" w:hAnsiTheme="minorEastAsia"/>
          <w:color w:val="000000" w:themeColor="text1"/>
          <w:kern w:val="0"/>
          <w:szCs w:val="21"/>
          <w14:textFill>
            <w14:solidFill>
              <w14:schemeClr w14:val="tx1"/>
            </w14:solidFill>
          </w14:textFill>
        </w:rPr>
        <w:t>垫</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HiddenHorzOCR" w:asciiTheme="minorEastAsia" w:hAnsiTheme="minorEastAsia"/>
          <w:color w:val="000000" w:themeColor="text1"/>
          <w:kern w:val="0"/>
          <w:szCs w:val="21"/>
          <w14:textFill>
            <w14:solidFill>
              <w14:schemeClr w14:val="tx1"/>
            </w14:solidFill>
          </w14:textFill>
        </w:rPr>
        <w:t>（板A和板B）</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与屋架端部和柱</w:t>
      </w:r>
      <w:r>
        <w:rPr>
          <w:rFonts w:hint="eastAsia" w:cs="宋体" w:asciiTheme="minorEastAsia" w:hAnsiTheme="minorEastAsia"/>
          <w:color w:val="000000" w:themeColor="text1"/>
          <w:kern w:val="0"/>
          <w:szCs w:val="21"/>
          <w14:textFill>
            <w14:solidFill>
              <w14:schemeClr w14:val="tx1"/>
            </w14:solidFill>
          </w14:textFill>
        </w:rPr>
        <w:t>顶预</w:t>
      </w:r>
      <w:r>
        <w:rPr>
          <w:rFonts w:hint="eastAsia" w:cs="MS Mincho" w:asciiTheme="minorEastAsia" w:hAnsiTheme="minorEastAsia"/>
          <w:color w:val="000000" w:themeColor="text1"/>
          <w:kern w:val="0"/>
          <w:szCs w:val="21"/>
          <w14:textFill>
            <w14:solidFill>
              <w14:schemeClr w14:val="tx1"/>
            </w14:solidFill>
          </w14:textFill>
        </w:rPr>
        <w:t>埋件</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接，两</w:t>
      </w:r>
      <w:r>
        <w:rPr>
          <w:rFonts w:hint="eastAsia" w:cs="宋体" w:asciiTheme="minorEastAsia" w:hAnsiTheme="minorEastAsia"/>
          <w:color w:val="000000" w:themeColor="text1"/>
          <w:kern w:val="0"/>
          <w:szCs w:val="21"/>
          <w14:textFill>
            <w14:solidFill>
              <w14:schemeClr w14:val="tx1"/>
            </w14:solidFill>
          </w14:textFill>
        </w:rPr>
        <w:t>层垫</w:t>
      </w:r>
      <w:r>
        <w:rPr>
          <w:rFonts w:hint="eastAsia" w:cs="MS Mincho" w:asciiTheme="minorEastAsia" w:hAnsiTheme="minorEastAsia"/>
          <w:color w:val="000000" w:themeColor="text1"/>
          <w:kern w:val="0"/>
          <w:szCs w:val="21"/>
          <w14:textFill>
            <w14:solidFill>
              <w14:schemeClr w14:val="tx1"/>
            </w14:solidFill>
          </w14:textFill>
        </w:rPr>
        <w:t>板之</w:t>
      </w:r>
      <w:r>
        <w:rPr>
          <w:rFonts w:hint="eastAsia" w:cs="宋体" w:asciiTheme="minorEastAsia" w:hAnsiTheme="minorEastAsia"/>
          <w:color w:val="000000" w:themeColor="text1"/>
          <w:kern w:val="0"/>
          <w:szCs w:val="21"/>
          <w14:textFill>
            <w14:solidFill>
              <w14:schemeClr w14:val="tx1"/>
            </w14:solidFill>
          </w14:textFill>
        </w:rPr>
        <w:t>间</w:t>
      </w:r>
      <w:r>
        <w:rPr>
          <w:rFonts w:hint="eastAsia" w:cs="MS Mincho" w:asciiTheme="minorEastAsia" w:hAnsiTheme="minorEastAsia"/>
          <w:color w:val="000000" w:themeColor="text1"/>
          <w:kern w:val="0"/>
          <w:szCs w:val="21"/>
          <w14:textFill>
            <w14:solidFill>
              <w14:schemeClr w14:val="tx1"/>
            </w14:solidFill>
          </w14:textFill>
        </w:rPr>
        <w:t>用螺栓</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接，不得</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HiddenHorzOCR" w:asciiTheme="minorEastAsia" w:hAnsiTheme="minorEastAsia"/>
          <w:color w:val="000000" w:themeColor="text1"/>
          <w:kern w:val="0"/>
          <w:szCs w:val="21"/>
          <w14:textFill>
            <w14:solidFill>
              <w14:schemeClr w14:val="tx1"/>
            </w14:solidFill>
          </w14:textFill>
        </w:rPr>
        <w:t>；螺栓直径由</w:t>
      </w:r>
      <w:r>
        <w:rPr>
          <w:rFonts w:hint="eastAsia" w:cs="宋体" w:asciiTheme="minorEastAsia" w:hAnsiTheme="minorEastAsia"/>
          <w:color w:val="000000" w:themeColor="text1"/>
          <w:kern w:val="0"/>
          <w:szCs w:val="21"/>
          <w14:textFill>
            <w14:solidFill>
              <w14:schemeClr w14:val="tx1"/>
            </w14:solidFill>
          </w14:textFill>
        </w:rPr>
        <w:t>计</w:t>
      </w:r>
      <w:r>
        <w:rPr>
          <w:rFonts w:hint="eastAsia" w:cs="MS Mincho" w:asciiTheme="minorEastAsia" w:hAnsiTheme="minorEastAsia"/>
          <w:color w:val="000000" w:themeColor="text1"/>
          <w:kern w:val="0"/>
          <w:szCs w:val="21"/>
          <w14:textFill>
            <w14:solidFill>
              <w14:schemeClr w14:val="tx1"/>
            </w14:solidFill>
          </w14:textFill>
        </w:rPr>
        <w:t>算确定，但不宜小于</w:t>
      </w:r>
      <w:r>
        <w:rPr>
          <w:rFonts w:hint="eastAsia" w:cs="HiddenHorzOCR" w:asciiTheme="minorEastAsia" w:hAnsiTheme="minorEastAsia"/>
          <w:color w:val="000000" w:themeColor="text1"/>
          <w:kern w:val="0"/>
          <w:szCs w:val="21"/>
          <w14:textFill>
            <w14:solidFill>
              <w14:schemeClr w14:val="tx1"/>
            </w14:solidFill>
          </w14:textFill>
        </w:rPr>
        <w:t>φ22mm；</w:t>
      </w:r>
      <w:r>
        <w:rPr>
          <w:rFonts w:hint="eastAsia" w:cs="宋体" w:asciiTheme="minorEastAsia" w:hAnsiTheme="minorEastAsia"/>
          <w:color w:val="000000" w:themeColor="text1"/>
          <w:kern w:val="0"/>
          <w:szCs w:val="21"/>
          <w14:textFill>
            <w14:solidFill>
              <w14:schemeClr w14:val="tx1"/>
            </w14:solidFill>
          </w14:textFill>
        </w:rPr>
        <w:t>垫</w:t>
      </w:r>
      <w:r>
        <w:rPr>
          <w:rFonts w:hint="eastAsia" w:cs="HiddenHorzOCR" w:asciiTheme="minorEastAsia" w:hAnsiTheme="minorEastAsia"/>
          <w:color w:val="000000" w:themeColor="text1"/>
          <w:kern w:val="0"/>
          <w:szCs w:val="21"/>
          <w14:textFill>
            <w14:solidFill>
              <w14:schemeClr w14:val="tx1"/>
            </w14:solidFill>
          </w14:textFill>
        </w:rPr>
        <w:t>板孔径宜取螺栓直径加lmm；螺栓中心至柱</w:t>
      </w:r>
      <w:r>
        <w:rPr>
          <w:rFonts w:hint="eastAsia" w:cs="宋体" w:asciiTheme="minorEastAsia" w:hAnsiTheme="minorEastAsia"/>
          <w:color w:val="000000" w:themeColor="text1"/>
          <w:kern w:val="0"/>
          <w:szCs w:val="21"/>
          <w14:textFill>
            <w14:solidFill>
              <w14:schemeClr w14:val="tx1"/>
            </w14:solidFill>
          </w14:textFill>
        </w:rPr>
        <w:t>侧边</w:t>
      </w:r>
      <w:r>
        <w:rPr>
          <w:rFonts w:hint="eastAsia" w:cs="MS Mincho" w:asciiTheme="minorEastAsia" w:hAnsiTheme="minorEastAsia"/>
          <w:color w:val="000000" w:themeColor="text1"/>
          <w:kern w:val="0"/>
          <w:szCs w:val="21"/>
          <w14:textFill>
            <w14:solidFill>
              <w14:schemeClr w14:val="tx1"/>
            </w14:solidFill>
          </w14:textFill>
        </w:rPr>
        <w:t>的距离宜取</w:t>
      </w:r>
      <w:r>
        <w:rPr>
          <w:rFonts w:hint="eastAsia" w:cs="HiddenHorzOCR" w:asciiTheme="minorEastAsia" w:hAnsiTheme="minorEastAsia"/>
          <w:color w:val="000000" w:themeColor="text1"/>
          <w:kern w:val="0"/>
          <w:szCs w:val="21"/>
          <w14:textFill>
            <w14:solidFill>
              <w14:schemeClr w14:val="tx1"/>
            </w14:solidFill>
          </w14:textFill>
        </w:rPr>
        <w:t>40mm，螺栓</w:t>
      </w:r>
      <w:r>
        <w:rPr>
          <w:rFonts w:hint="eastAsia" w:cs="宋体" w:asciiTheme="minorEastAsia" w:hAnsiTheme="minorEastAsia"/>
          <w:color w:val="000000" w:themeColor="text1"/>
          <w:kern w:val="0"/>
          <w:szCs w:val="21"/>
          <w14:textFill>
            <w14:solidFill>
              <w14:schemeClr w14:val="tx1"/>
            </w14:solidFill>
          </w14:textFill>
        </w:rPr>
        <w:t>拧紧</w:t>
      </w:r>
      <w:r>
        <w:rPr>
          <w:rFonts w:hint="eastAsia" w:cs="MS Mincho" w:asciiTheme="minorEastAsia" w:hAnsiTheme="minorEastAsia"/>
          <w:color w:val="000000" w:themeColor="text1"/>
          <w:kern w:val="0"/>
          <w:szCs w:val="21"/>
          <w14:textFill>
            <w14:solidFill>
              <w14:schemeClr w14:val="tx1"/>
            </w14:solidFill>
          </w14:textFill>
        </w:rPr>
        <w:t>后与其</w:t>
      </w:r>
      <w:r>
        <w:rPr>
          <w:rFonts w:hint="eastAsia" w:cs="宋体" w:asciiTheme="minorEastAsia" w:hAnsiTheme="minorEastAsia"/>
          <w:color w:val="000000" w:themeColor="text1"/>
          <w:kern w:val="0"/>
          <w:szCs w:val="21"/>
          <w14:textFill>
            <w14:solidFill>
              <w14:schemeClr w14:val="tx1"/>
            </w14:solidFill>
          </w14:textFill>
        </w:rPr>
        <w:t>垫</w:t>
      </w:r>
      <w:r>
        <w:rPr>
          <w:rFonts w:hint="eastAsia" w:cs="MS Mincho" w:asciiTheme="minorEastAsia" w:hAnsiTheme="minorEastAsia"/>
          <w:color w:val="000000" w:themeColor="text1"/>
          <w:kern w:val="0"/>
          <w:szCs w:val="21"/>
          <w14:textFill>
            <w14:solidFill>
              <w14:schemeClr w14:val="tx1"/>
            </w14:solidFill>
          </w14:textFill>
        </w:rPr>
        <w:t>圈点</w:t>
      </w:r>
      <w:r>
        <w:rPr>
          <w:rFonts w:hint="eastAsia" w:cs="宋体" w:asciiTheme="minorEastAsia" w:hAnsiTheme="minorEastAsia"/>
          <w:color w:val="000000" w:themeColor="text1"/>
          <w:kern w:val="0"/>
          <w:szCs w:val="21"/>
          <w14:textFill>
            <w14:solidFill>
              <w14:schemeClr w14:val="tx1"/>
            </w14:solidFill>
          </w14:textFill>
        </w:rPr>
        <w:t>焊</w:t>
      </w:r>
      <w:r>
        <w:rPr>
          <w:rFonts w:hint="eastAsia" w:cs="MS Mincho"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1080" w:firstLineChars="6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 w:val="18"/>
          <w:szCs w:val="18"/>
          <w14:textFill>
            <w14:solidFill>
              <w14:schemeClr w14:val="tx1"/>
            </w14:solidFill>
          </w14:textFill>
        </w:rPr>
        <w:drawing>
          <wp:inline distT="0" distB="0" distL="0" distR="0">
            <wp:extent cx="3601720" cy="1574800"/>
            <wp:effectExtent l="0" t="0" r="0"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3608877" cy="1578151"/>
                    </a:xfrm>
                    <a:prstGeom prst="rect">
                      <a:avLst/>
                    </a:prstGeom>
                    <a:noFill/>
                    <a:ln>
                      <a:noFill/>
                    </a:ln>
                  </pic:spPr>
                </pic:pic>
              </a:graphicData>
            </a:graphic>
          </wp:inline>
        </w:drawing>
      </w:r>
    </w:p>
    <w:p>
      <w:pPr>
        <w:autoSpaceDE w:val="0"/>
        <w:autoSpaceDN w:val="0"/>
        <w:spacing w:line="360" w:lineRule="auto"/>
        <w:ind w:firstLine="1890" w:firstLineChars="90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图7.6.1-1</w:t>
      </w:r>
      <w:r>
        <w:rPr>
          <w:rFonts w:cs="HiddenHorzOCR" w:asciiTheme="minorEastAsia" w:hAnsiTheme="minorEastAsia"/>
          <w:color w:val="000000" w:themeColor="text1"/>
          <w:kern w:val="0"/>
          <w:szCs w:val="21"/>
          <w14:textFill>
            <w14:solidFill>
              <w14:schemeClr w14:val="tx1"/>
            </w14:solidFill>
          </w14:textFill>
        </w:rPr>
        <w:t xml:space="preserve">    </w:t>
      </w:r>
      <w:r>
        <w:rPr>
          <w:rFonts w:hint="eastAsia" w:cs="HiddenHorzOCR" w:asciiTheme="minorEastAsia" w:hAnsiTheme="minorEastAsia"/>
          <w:color w:val="000000" w:themeColor="text1"/>
          <w:kern w:val="0"/>
          <w:szCs w:val="21"/>
          <w14:textFill>
            <w14:solidFill>
              <w14:schemeClr w14:val="tx1"/>
            </w14:solidFill>
          </w14:textFill>
        </w:rPr>
        <w:t>屋架与柱顶钢板铰连接</w:t>
      </w:r>
    </w:p>
    <w:p>
      <w:pPr>
        <w:autoSpaceDE w:val="0"/>
        <w:autoSpaceDN w:val="0"/>
        <w:spacing w:line="360" w:lineRule="auto"/>
        <w:ind w:firstLine="1260" w:firstLineChars="600"/>
        <w:jc w:val="left"/>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7.6.2 </w:t>
      </w:r>
      <w:r>
        <w:rPr>
          <w:rFonts w:hint="eastAsia" w:cs="HiddenHorzOCR" w:asciiTheme="minorEastAsia" w:hAnsiTheme="minorEastAsia"/>
          <w:color w:val="000000" w:themeColor="text1"/>
          <w:kern w:val="0"/>
          <w:szCs w:val="21"/>
          <w14:textFill>
            <w14:solidFill>
              <w14:schemeClr w14:val="tx1"/>
            </w14:solidFill>
          </w14:textFill>
        </w:rPr>
        <w:t>山</w:t>
      </w:r>
      <w:r>
        <w:rPr>
          <w:rFonts w:hint="eastAsia" w:cs="宋体" w:asciiTheme="minorEastAsia" w:hAnsiTheme="minorEastAsia"/>
          <w:color w:val="000000" w:themeColor="text1"/>
          <w:kern w:val="0"/>
          <w:szCs w:val="21"/>
          <w14:textFill>
            <w14:solidFill>
              <w14:schemeClr w14:val="tx1"/>
            </w14:solidFill>
          </w14:textFill>
        </w:rPr>
        <w:t>墙</w:t>
      </w:r>
      <w:r>
        <w:rPr>
          <w:rFonts w:hint="eastAsia" w:cs="MS Mincho" w:asciiTheme="minorEastAsia" w:hAnsiTheme="minorEastAsia"/>
          <w:color w:val="000000" w:themeColor="text1"/>
          <w:kern w:val="0"/>
          <w:szCs w:val="21"/>
          <w14:textFill>
            <w14:solidFill>
              <w14:schemeClr w14:val="tx1"/>
            </w14:solidFill>
          </w14:textFill>
        </w:rPr>
        <w:t>壁柱柱</w:t>
      </w:r>
      <w:r>
        <w:rPr>
          <w:rFonts w:hint="eastAsia" w:cs="宋体" w:asciiTheme="minorEastAsia" w:hAnsiTheme="minorEastAsia"/>
          <w:color w:val="000000" w:themeColor="text1"/>
          <w:kern w:val="0"/>
          <w:szCs w:val="21"/>
          <w14:textFill>
            <w14:solidFill>
              <w14:schemeClr w14:val="tx1"/>
            </w14:solidFill>
          </w14:textFill>
        </w:rPr>
        <w:t>顶应</w:t>
      </w:r>
      <w:r>
        <w:rPr>
          <w:rFonts w:hint="eastAsia" w:cs="MS Mincho" w:asciiTheme="minorEastAsia" w:hAnsiTheme="minorEastAsia"/>
          <w:color w:val="000000" w:themeColor="text1"/>
          <w:kern w:val="0"/>
          <w:szCs w:val="21"/>
          <w14:textFill>
            <w14:solidFill>
              <w14:schemeClr w14:val="tx1"/>
            </w14:solidFill>
          </w14:textFill>
        </w:rPr>
        <w:t>与屋盖构件有可靠</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符合下列要</w:t>
      </w:r>
      <w:r>
        <w:rPr>
          <w:rFonts w:hint="eastAsia" w:cs="HiddenHorzOCR" w:asciiTheme="minorEastAsia" w:hAnsiTheme="minorEastAsia"/>
          <w:color w:val="000000" w:themeColor="text1"/>
          <w:kern w:val="0"/>
          <w:szCs w:val="21"/>
          <w14:textFill>
            <w14:solidFill>
              <w14:schemeClr w14:val="tx1"/>
            </w14:solidFill>
          </w14:textFill>
        </w:rPr>
        <w:t>求：</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1 </w:t>
      </w:r>
      <w:r>
        <w:rPr>
          <w:rFonts w:hint="eastAsia" w:cs="HiddenHorzOCR" w:asciiTheme="minorEastAsia" w:hAnsiTheme="minorEastAsia"/>
          <w:color w:val="000000" w:themeColor="text1"/>
          <w:kern w:val="0"/>
          <w:szCs w:val="21"/>
          <w14:textFill>
            <w14:solidFill>
              <w14:schemeClr w14:val="tx1"/>
            </w14:solidFill>
          </w14:textFill>
        </w:rPr>
        <w:t>烈度</w:t>
      </w:r>
      <w:r>
        <w:rPr>
          <w:rFonts w:hint="eastAsia" w:cs="宋体" w:asciiTheme="minorEastAsia" w:hAnsiTheme="minorEastAsia"/>
          <w:color w:val="000000" w:themeColor="text1"/>
          <w:kern w:val="0"/>
          <w:szCs w:val="21"/>
          <w14:textFill>
            <w14:solidFill>
              <w14:schemeClr w14:val="tx1"/>
            </w14:solidFill>
          </w14:textFill>
        </w:rPr>
        <w:t>为</w:t>
      </w:r>
      <w:r>
        <w:rPr>
          <w:rFonts w:hint="eastAsia" w:cs="HiddenHorzOCR" w:asciiTheme="minorEastAsia" w:hAnsiTheme="minorEastAsia"/>
          <w:color w:val="000000" w:themeColor="text1"/>
          <w:kern w:val="0"/>
          <w:szCs w:val="21"/>
          <w14:textFill>
            <w14:solidFill>
              <w14:schemeClr w14:val="tx1"/>
            </w14:solidFill>
          </w14:textFill>
        </w:rPr>
        <w:t>6度、7度和8度Ⅰ、Ⅱ</w:t>
      </w:r>
      <w:r>
        <w:rPr>
          <w:rFonts w:hint="eastAsia" w:cs="宋体" w:asciiTheme="minorEastAsia" w:hAnsiTheme="minorEastAsia"/>
          <w:color w:val="000000" w:themeColor="text1"/>
          <w:kern w:val="0"/>
          <w:szCs w:val="21"/>
          <w14:textFill>
            <w14:solidFill>
              <w14:schemeClr w14:val="tx1"/>
            </w14:solidFill>
          </w14:textFill>
        </w:rPr>
        <w:t>类场</w:t>
      </w:r>
      <w:r>
        <w:rPr>
          <w:rFonts w:hint="eastAsia" w:cs="MS Mincho" w:asciiTheme="minorEastAsia" w:hAnsiTheme="minorEastAsia"/>
          <w:color w:val="000000" w:themeColor="text1"/>
          <w:kern w:val="0"/>
          <w:szCs w:val="21"/>
          <w14:textFill>
            <w14:solidFill>
              <w14:schemeClr w14:val="tx1"/>
            </w14:solidFill>
          </w14:textFill>
        </w:rPr>
        <w:t>地且柱高不大于</w:t>
      </w:r>
      <w:r>
        <w:rPr>
          <w:rFonts w:hint="eastAsia" w:cs="HiddenHorzOCR" w:asciiTheme="minorEastAsia" w:hAnsiTheme="minorEastAsia"/>
          <w:color w:val="000000" w:themeColor="text1"/>
          <w:kern w:val="0"/>
          <w:szCs w:val="21"/>
          <w14:textFill>
            <w14:solidFill>
              <w14:schemeClr w14:val="tx1"/>
            </w14:solidFill>
          </w14:textFill>
        </w:rPr>
        <w:t>10m</w:t>
      </w:r>
      <w:r>
        <w:rPr>
          <w:rFonts w:hint="eastAsia" w:cs="宋体" w:asciiTheme="minorEastAsia" w:hAnsiTheme="minorEastAsia"/>
          <w:color w:val="000000" w:themeColor="text1"/>
          <w:kern w:val="0"/>
          <w:szCs w:val="21"/>
          <w14:textFill>
            <w14:solidFill>
              <w14:schemeClr w14:val="tx1"/>
            </w14:solidFill>
          </w14:textFill>
        </w:rPr>
        <w:t>时</w:t>
      </w:r>
      <w:r>
        <w:rPr>
          <w:rFonts w:hint="eastAsia" w:cs="MS Mincho" w:asciiTheme="minorEastAsia" w:hAnsiTheme="minorEastAsia"/>
          <w:color w:val="000000" w:themeColor="text1"/>
          <w:kern w:val="0"/>
          <w:szCs w:val="21"/>
          <w14:textFill>
            <w14:solidFill>
              <w14:schemeClr w14:val="tx1"/>
            </w14:solidFill>
          </w14:textFill>
        </w:rPr>
        <w:t>，壁柱柱</w:t>
      </w:r>
      <w:r>
        <w:rPr>
          <w:rFonts w:hint="eastAsia" w:cs="宋体" w:asciiTheme="minorEastAsia" w:hAnsiTheme="minorEastAsia"/>
          <w:color w:val="000000" w:themeColor="text1"/>
          <w:kern w:val="0"/>
          <w:szCs w:val="21"/>
          <w14:textFill>
            <w14:solidFill>
              <w14:schemeClr w14:val="tx1"/>
            </w14:solidFill>
          </w14:textFill>
        </w:rPr>
        <w:t>顶</w:t>
      </w:r>
      <w:r>
        <w:rPr>
          <w:rFonts w:hint="eastAsia" w:cs="MS Mincho" w:asciiTheme="minorEastAsia" w:hAnsiTheme="minorEastAsia"/>
          <w:color w:val="000000" w:themeColor="text1"/>
          <w:kern w:val="0"/>
          <w:szCs w:val="21"/>
          <w14:textFill>
            <w14:solidFill>
              <w14:schemeClr w14:val="tx1"/>
            </w14:solidFill>
          </w14:textFill>
        </w:rPr>
        <w:t>可</w:t>
      </w:r>
      <w:r>
        <w:rPr>
          <w:rFonts w:hint="eastAsia" w:cs="宋体" w:asciiTheme="minorEastAsia" w:hAnsiTheme="minorEastAsia"/>
          <w:color w:val="000000" w:themeColor="text1"/>
          <w:kern w:val="0"/>
          <w:szCs w:val="21"/>
          <w14:textFill>
            <w14:solidFill>
              <w14:schemeClr w14:val="tx1"/>
            </w14:solidFill>
          </w14:textFill>
        </w:rPr>
        <w:t>仅</w:t>
      </w:r>
      <w:r>
        <w:rPr>
          <w:rFonts w:hint="eastAsia" w:cs="MS Mincho" w:asciiTheme="minorEastAsia" w:hAnsiTheme="minorEastAsia"/>
          <w:color w:val="000000" w:themeColor="text1"/>
          <w:kern w:val="0"/>
          <w:szCs w:val="21"/>
          <w14:textFill>
            <w14:solidFill>
              <w14:schemeClr w14:val="tx1"/>
            </w14:solidFill>
          </w14:textFill>
        </w:rPr>
        <w:t>与屋架上弦杆</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r>
        <w:rPr>
          <w:rFonts w:hint="eastAsia" w:cs="HiddenHorzOCR" w:asciiTheme="minorEastAsia" w:hAnsiTheme="minorEastAsia"/>
          <w:color w:val="000000" w:themeColor="text1"/>
          <w:kern w:val="0"/>
          <w:szCs w:val="21"/>
          <w14:textFill>
            <w14:solidFill>
              <w14:schemeClr w14:val="tx1"/>
            </w14:solidFill>
          </w14:textFill>
        </w:rPr>
        <w:t>；其他情况宜与屋架上、下弦杆均有</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2 </w:t>
      </w:r>
      <w:r>
        <w:rPr>
          <w:rFonts w:hint="eastAsia" w:cs="HiddenHorzOCR" w:asciiTheme="minorEastAsia" w:hAnsiTheme="minorEastAsia"/>
          <w:color w:val="000000" w:themeColor="text1"/>
          <w:kern w:val="0"/>
          <w:szCs w:val="21"/>
          <w14:textFill>
            <w14:solidFill>
              <w14:schemeClr w14:val="tx1"/>
            </w14:solidFill>
          </w14:textFill>
        </w:rPr>
        <w:t>壁柱与屋架</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接点的位置</w:t>
      </w:r>
      <w:r>
        <w:rPr>
          <w:rFonts w:hint="eastAsia" w:cs="宋体" w:asciiTheme="minorEastAsia" w:hAnsiTheme="minorEastAsia"/>
          <w:color w:val="000000" w:themeColor="text1"/>
          <w:kern w:val="0"/>
          <w:szCs w:val="21"/>
          <w14:textFill>
            <w14:solidFill>
              <w14:schemeClr w14:val="tx1"/>
            </w14:solidFill>
          </w14:textFill>
        </w:rPr>
        <w:t>应设</w:t>
      </w:r>
      <w:r>
        <w:rPr>
          <w:rFonts w:hint="eastAsia" w:cs="MS Mincho" w:asciiTheme="minorEastAsia" w:hAnsiTheme="minorEastAsia"/>
          <w:color w:val="000000" w:themeColor="text1"/>
          <w:kern w:val="0"/>
          <w:szCs w:val="21"/>
          <w14:textFill>
            <w14:solidFill>
              <w14:schemeClr w14:val="tx1"/>
            </w14:solidFill>
          </w14:textFill>
        </w:rPr>
        <w:t>在屋架上、下弦横向支撑</w:t>
      </w:r>
      <w:r>
        <w:rPr>
          <w:rFonts w:hint="eastAsia" w:cs="HiddenHorzOCR" w:asciiTheme="minorEastAsia" w:hAnsiTheme="minorEastAsia"/>
          <w:color w:val="000000" w:themeColor="text1"/>
          <w:kern w:val="0"/>
          <w:szCs w:val="21"/>
          <w14:textFill>
            <w14:solidFill>
              <w14:schemeClr w14:val="tx1"/>
            </w14:solidFill>
          </w14:textFill>
        </w:rPr>
        <w:t>的</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处</w:t>
      </w:r>
      <w:r>
        <w:rPr>
          <w:rFonts w:hint="eastAsia" w:cs="HiddenHorzOCR" w:asciiTheme="minorEastAsia" w:hAnsiTheme="minorEastAsia"/>
          <w:color w:val="000000" w:themeColor="text1"/>
          <w:kern w:val="0"/>
          <w:szCs w:val="21"/>
          <w14:textFill>
            <w14:solidFill>
              <w14:schemeClr w14:val="tx1"/>
            </w14:solidFill>
          </w14:textFill>
        </w:rPr>
        <w:t>；不在支撑</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处</w:t>
      </w:r>
      <w:r>
        <w:rPr>
          <w:rFonts w:hint="eastAsia" w:cs="MS Mincho" w:asciiTheme="minorEastAsia" w:hAnsiTheme="minorEastAsia"/>
          <w:color w:val="000000" w:themeColor="text1"/>
          <w:kern w:val="0"/>
          <w:szCs w:val="21"/>
          <w14:textFill>
            <w14:solidFill>
              <w14:schemeClr w14:val="tx1"/>
            </w14:solidFill>
          </w14:textFill>
        </w:rPr>
        <w:t>时，</w:t>
      </w:r>
      <w:r>
        <w:rPr>
          <w:rFonts w:hint="eastAsia" w:cs="宋体" w:asciiTheme="minorEastAsia" w:hAnsiTheme="minorEastAsia"/>
          <w:color w:val="000000" w:themeColor="text1"/>
          <w:kern w:val="0"/>
          <w:szCs w:val="21"/>
          <w14:textFill>
            <w14:solidFill>
              <w14:schemeClr w14:val="tx1"/>
            </w14:solidFill>
          </w14:textFill>
        </w:rPr>
        <w:t>应</w:t>
      </w:r>
      <w:r>
        <w:rPr>
          <w:rFonts w:hint="eastAsia" w:cs="MS Mincho" w:asciiTheme="minorEastAsia" w:hAnsiTheme="minorEastAsia"/>
          <w:color w:val="000000" w:themeColor="text1"/>
          <w:kern w:val="0"/>
          <w:szCs w:val="21"/>
          <w14:textFill>
            <w14:solidFill>
              <w14:schemeClr w14:val="tx1"/>
            </w14:solidFill>
          </w14:textFill>
        </w:rPr>
        <w:t>在支撑中附加撑杆或平行于</w:t>
      </w:r>
      <w:r>
        <w:rPr>
          <w:rFonts w:hint="eastAsia" w:cs="HiddenHorzOCR" w:asciiTheme="minorEastAsia" w:hAnsiTheme="minorEastAsia"/>
          <w:color w:val="000000" w:themeColor="text1"/>
          <w:kern w:val="0"/>
          <w:szCs w:val="21"/>
          <w14:textFill>
            <w14:solidFill>
              <w14:schemeClr w14:val="tx1"/>
            </w14:solidFill>
          </w14:textFill>
        </w:rPr>
        <w:t>屋架弦杆另</w:t>
      </w:r>
      <w:r>
        <w:rPr>
          <w:rFonts w:hint="eastAsia" w:cs="宋体" w:asciiTheme="minorEastAsia" w:hAnsiTheme="minorEastAsia"/>
          <w:color w:val="000000" w:themeColor="text1"/>
          <w:kern w:val="0"/>
          <w:szCs w:val="21"/>
          <w14:textFill>
            <w14:solidFill>
              <w14:schemeClr w14:val="tx1"/>
            </w14:solidFill>
          </w14:textFill>
        </w:rPr>
        <w:t>设</w:t>
      </w:r>
      <w:r>
        <w:rPr>
          <w:rFonts w:hint="eastAsia" w:cs="MS Mincho" w:asciiTheme="minorEastAsia" w:hAnsiTheme="minorEastAsia"/>
          <w:color w:val="000000" w:themeColor="text1"/>
          <w:kern w:val="0"/>
          <w:szCs w:val="21"/>
          <w14:textFill>
            <w14:solidFill>
              <w14:schemeClr w14:val="tx1"/>
            </w14:solidFill>
          </w14:textFill>
        </w:rPr>
        <w:t>水平的</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横梁，</w:t>
      </w:r>
      <w:r>
        <w:rPr>
          <w:rFonts w:hint="eastAsia" w:cs="宋体" w:asciiTheme="minorEastAsia" w:hAnsiTheme="minorEastAsia"/>
          <w:color w:val="000000" w:themeColor="text1"/>
          <w:kern w:val="0"/>
          <w:szCs w:val="21"/>
          <w14:textFill>
            <w14:solidFill>
              <w14:schemeClr w14:val="tx1"/>
            </w14:solidFill>
          </w14:textFill>
        </w:rPr>
        <w:t>该</w:t>
      </w:r>
      <w:r>
        <w:rPr>
          <w:rFonts w:hint="eastAsia" w:cs="MS Mincho" w:asciiTheme="minorEastAsia" w:hAnsiTheme="minorEastAsia"/>
          <w:color w:val="000000" w:themeColor="text1"/>
          <w:kern w:val="0"/>
          <w:szCs w:val="21"/>
          <w14:textFill>
            <w14:solidFill>
              <w14:schemeClr w14:val="tx1"/>
            </w14:solidFill>
          </w14:textFill>
        </w:rPr>
        <w:t>横梁分</w:t>
      </w:r>
      <w:r>
        <w:rPr>
          <w:rFonts w:hint="eastAsia" w:cs="宋体" w:asciiTheme="minorEastAsia" w:hAnsiTheme="minorEastAsia"/>
          <w:color w:val="000000" w:themeColor="text1"/>
          <w:kern w:val="0"/>
          <w:szCs w:val="21"/>
          <w14:textFill>
            <w14:solidFill>
              <w14:schemeClr w14:val="tx1"/>
            </w14:solidFill>
          </w14:textFill>
        </w:rPr>
        <w:t>别</w:t>
      </w:r>
      <w:r>
        <w:rPr>
          <w:rFonts w:hint="eastAsia" w:cs="MS Mincho" w:asciiTheme="minorEastAsia" w:hAnsiTheme="minorEastAsia"/>
          <w:color w:val="000000" w:themeColor="text1"/>
          <w:kern w:val="0"/>
          <w:szCs w:val="21"/>
          <w14:textFill>
            <w14:solidFill>
              <w14:schemeClr w14:val="tx1"/>
            </w14:solidFill>
          </w14:textFill>
        </w:rPr>
        <w:t>与壁柱及屋架横向支撑</w:t>
      </w:r>
      <w:r>
        <w:rPr>
          <w:rFonts w:hint="eastAsia" w:cs="HiddenHorzOCR" w:asciiTheme="minorEastAsia" w:hAnsiTheme="minorEastAsia"/>
          <w:color w:val="000000" w:themeColor="text1"/>
          <w:kern w:val="0"/>
          <w:szCs w:val="21"/>
          <w14:textFill>
            <w14:solidFill>
              <w14:schemeClr w14:val="tx1"/>
            </w14:solidFill>
          </w14:textFill>
        </w:rPr>
        <w:t>在其</w:t>
      </w:r>
      <w:r>
        <w:rPr>
          <w:rFonts w:hint="eastAsia" w:cs="宋体" w:asciiTheme="minorEastAsia" w:hAnsiTheme="minorEastAsia"/>
          <w:color w:val="000000" w:themeColor="text1"/>
          <w:kern w:val="0"/>
          <w:szCs w:val="21"/>
          <w14:textFill>
            <w14:solidFill>
              <w14:schemeClr w14:val="tx1"/>
            </w14:solidFill>
          </w14:textFill>
        </w:rPr>
        <w:t>节</w:t>
      </w:r>
      <w:r>
        <w:rPr>
          <w:rFonts w:hint="eastAsia" w:cs="MS Mincho" w:asciiTheme="minorEastAsia" w:hAnsiTheme="minorEastAsia"/>
          <w:color w:val="000000" w:themeColor="text1"/>
          <w:kern w:val="0"/>
          <w:szCs w:val="21"/>
          <w14:textFill>
            <w14:solidFill>
              <w14:schemeClr w14:val="tx1"/>
            </w14:solidFill>
          </w14:textFill>
        </w:rPr>
        <w:t>点</w:t>
      </w:r>
      <w:r>
        <w:rPr>
          <w:rFonts w:hint="eastAsia" w:cs="宋体" w:asciiTheme="minorEastAsia" w:hAnsiTheme="minorEastAsia"/>
          <w:color w:val="000000" w:themeColor="text1"/>
          <w:kern w:val="0"/>
          <w:szCs w:val="21"/>
          <w14:textFill>
            <w14:solidFill>
              <w14:schemeClr w14:val="tx1"/>
            </w14:solidFill>
          </w14:textFill>
        </w:rPr>
        <w:t>处连</w:t>
      </w:r>
      <w:r>
        <w:rPr>
          <w:rFonts w:hint="eastAsia" w:cs="MS Mincho" w:asciiTheme="minorEastAsia" w:hAnsiTheme="minorEastAsia"/>
          <w:color w:val="000000" w:themeColor="text1"/>
          <w:kern w:val="0"/>
          <w:szCs w:val="21"/>
          <w14:textFill>
            <w14:solidFill>
              <w14:schemeClr w14:val="tx1"/>
            </w14:solidFill>
          </w14:textFill>
        </w:rPr>
        <w:t>接。</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3 </w:t>
      </w:r>
      <w:r>
        <w:rPr>
          <w:rFonts w:hint="eastAsia" w:cs="HiddenHorzOCR" w:asciiTheme="minorEastAsia" w:hAnsiTheme="minorEastAsia"/>
          <w:color w:val="000000" w:themeColor="text1"/>
          <w:kern w:val="0"/>
          <w:szCs w:val="21"/>
          <w14:textFill>
            <w14:solidFill>
              <w14:schemeClr w14:val="tx1"/>
            </w14:solidFill>
          </w14:textFill>
        </w:rPr>
        <w:t>壁柱与屋架弦杆</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接的</w:t>
      </w:r>
      <w:r>
        <w:rPr>
          <w:rFonts w:hint="eastAsia" w:cs="宋体" w:asciiTheme="minorEastAsia" w:hAnsiTheme="minorEastAsia"/>
          <w:color w:val="000000" w:themeColor="text1"/>
          <w:kern w:val="0"/>
          <w:szCs w:val="21"/>
          <w14:textFill>
            <w14:solidFill>
              <w14:schemeClr w14:val="tx1"/>
            </w14:solidFill>
          </w14:textFill>
        </w:rPr>
        <w:t>连</w:t>
      </w:r>
      <w:r>
        <w:rPr>
          <w:rFonts w:hint="eastAsia" w:cs="MS Mincho" w:asciiTheme="minorEastAsia" w:hAnsiTheme="minorEastAsia"/>
          <w:color w:val="000000" w:themeColor="text1"/>
          <w:kern w:val="0"/>
          <w:szCs w:val="21"/>
          <w14:textFill>
            <w14:solidFill>
              <w14:schemeClr w14:val="tx1"/>
            </w14:solidFill>
          </w14:textFill>
        </w:rPr>
        <w:t>接件，宜采用弯折</w:t>
      </w:r>
      <w:r>
        <w:rPr>
          <w:rFonts w:hint="eastAsia" w:cs="宋体" w:asciiTheme="minorEastAsia" w:hAnsiTheme="minorEastAsia"/>
          <w:color w:val="000000" w:themeColor="text1"/>
          <w:kern w:val="0"/>
          <w:szCs w:val="21"/>
          <w14:textFill>
            <w14:solidFill>
              <w14:schemeClr w14:val="tx1"/>
            </w14:solidFill>
          </w14:textFill>
        </w:rPr>
        <w:t>钢</w:t>
      </w:r>
      <w:r>
        <w:rPr>
          <w:rFonts w:hint="eastAsia" w:cs="MS Mincho" w:asciiTheme="minorEastAsia" w:hAnsiTheme="minorEastAsia"/>
          <w:color w:val="000000" w:themeColor="text1"/>
          <w:kern w:val="0"/>
          <w:szCs w:val="21"/>
          <w14:textFill>
            <w14:solidFill>
              <w14:schemeClr w14:val="tx1"/>
            </w14:solidFill>
          </w14:textFill>
        </w:rPr>
        <w:t>板</w:t>
      </w:r>
      <w:r>
        <w:rPr>
          <w:rFonts w:hint="eastAsia" w:cs="HiddenHorzOCR" w:asciiTheme="minorEastAsia" w:hAnsiTheme="minorEastAsia"/>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cs="HiddenHorzOCR" w:asciiTheme="minorEastAsia" w:hAnsiTheme="minorEastAsia"/>
          <w:color w:val="000000" w:themeColor="text1"/>
          <w:kern w:val="0"/>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spacing w:line="360" w:lineRule="auto"/>
        <w:ind w:firstLine="0" w:firstLineChars="0"/>
        <w:rPr>
          <w:rFonts w:ascii="宋体" w:hAnsi="宋体"/>
          <w:color w:val="000000" w:themeColor="text1"/>
          <w:szCs w:val="21"/>
          <w14:textFill>
            <w14:solidFill>
              <w14:schemeClr w14:val="tx1"/>
            </w14:solidFill>
          </w14:textFill>
        </w:rPr>
      </w:pPr>
    </w:p>
    <w:p>
      <w:pPr>
        <w:widowControl/>
        <w:adjustRightInd/>
        <w:snapToGrid/>
        <w:ind w:firstLine="0" w:firstLineChars="0"/>
        <w:jc w:val="left"/>
        <w:rPr>
          <w:rFonts w:cs="Times New Roman"/>
          <w:b/>
          <w:color w:val="000000" w:themeColor="text1"/>
          <w:kern w:val="44"/>
          <w:sz w:val="30"/>
          <w:szCs w:val="20"/>
          <w:lang w:val="zh-CN"/>
          <w14:textFill>
            <w14:solidFill>
              <w14:schemeClr w14:val="tx1"/>
            </w14:solidFill>
          </w14:textFill>
        </w:rPr>
      </w:pPr>
      <w:r>
        <w:rPr>
          <w:color w:val="000000" w:themeColor="text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148" w:name="_Toc48841043"/>
      <w:r>
        <w:rPr>
          <w:rFonts w:hint="eastAsia"/>
          <w:color w:val="000000" w:themeColor="text1"/>
          <w14:textFill>
            <w14:solidFill>
              <w14:schemeClr w14:val="tx1"/>
            </w14:solidFill>
          </w14:textFill>
        </w:rPr>
        <w:t>多层混凝土结构</w:t>
      </w:r>
      <w:bookmarkEnd w:id="148"/>
    </w:p>
    <w:p>
      <w:pPr>
        <w:pStyle w:val="3"/>
      </w:pPr>
      <w:bookmarkStart w:id="149" w:name="_Toc48841044"/>
      <w:r>
        <w:rPr>
          <w:rFonts w:hint="eastAsia"/>
        </w:rPr>
        <w:t>一般规定</w:t>
      </w:r>
      <w:bookmarkEnd w:id="149"/>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 xml:space="preserve">8.1.1 </w:t>
      </w:r>
      <w:r>
        <w:rPr>
          <w:rFonts w:hint="eastAsia" w:ascii="宋体" w:hAnsi="宋体" w:cs="MS Mincho"/>
          <w:color w:val="000000" w:themeColor="text1"/>
          <w:kern w:val="0"/>
          <w:szCs w:val="21"/>
          <w14:textFill>
            <w14:solidFill>
              <w14:schemeClr w14:val="tx1"/>
            </w14:solidFill>
          </w14:textFill>
        </w:rPr>
        <w:t>支撑的型式，</w:t>
      </w:r>
      <w:r>
        <w:rPr>
          <w:rFonts w:hint="eastAsia" w:ascii="宋体" w:hAnsi="宋体" w:cs="HiddenHorzOCR"/>
          <w:color w:val="000000" w:themeColor="text1"/>
          <w:kern w:val="0"/>
          <w:szCs w:val="21"/>
          <w14:textFill>
            <w14:solidFill>
              <w14:schemeClr w14:val="tx1"/>
            </w14:solidFill>
          </w14:textFill>
        </w:rPr>
        <w:t>宜按下列要求</w:t>
      </w:r>
      <w:r>
        <w:rPr>
          <w:rFonts w:hint="eastAsia" w:ascii="宋体" w:hAnsi="宋体" w:cs="Times New Roman"/>
          <w:color w:val="000000" w:themeColor="text1"/>
          <w:kern w:val="0"/>
          <w:szCs w:val="21"/>
          <w14:textFill>
            <w14:solidFill>
              <w14:schemeClr w14:val="tx1"/>
            </w14:solidFill>
          </w14:textFill>
        </w:rPr>
        <w:t>选</w:t>
      </w:r>
      <w:r>
        <w:rPr>
          <w:rFonts w:hint="eastAsia" w:ascii="宋体" w:hAnsi="宋体" w:cs="MS Mincho"/>
          <w:color w:val="000000" w:themeColor="text1"/>
          <w:kern w:val="0"/>
          <w:szCs w:val="21"/>
          <w14:textFill>
            <w14:solidFill>
              <w14:schemeClr w14:val="tx1"/>
            </w14:solidFill>
          </w14:textFill>
        </w:rPr>
        <w:t>用</w:t>
      </w:r>
      <w:r>
        <w:rPr>
          <w:rFonts w:hint="eastAsia" w:ascii="宋体" w:hAnsi="宋体" w:cs="HiddenHorzOCR"/>
          <w:color w:val="000000" w:themeColor="text1"/>
          <w:kern w:val="0"/>
          <w:szCs w:val="21"/>
          <w14:textFill>
            <w14:solidFill>
              <w14:schemeClr w14:val="tx1"/>
            </w14:solidFill>
          </w14:textFill>
        </w:rPr>
        <w:t>（</w:t>
      </w:r>
      <w:r>
        <w:rPr>
          <w:rFonts w:hint="eastAsia" w:ascii="宋体" w:hAnsi="宋体" w:cs="Times New Roman"/>
          <w:color w:val="000000" w:themeColor="text1"/>
          <w:kern w:val="0"/>
          <w:szCs w:val="21"/>
          <w14:textFill>
            <w14:solidFill>
              <w14:schemeClr w14:val="tx1"/>
            </w14:solidFill>
          </w14:textFill>
        </w:rPr>
        <w:t>图</w:t>
      </w:r>
      <w:r>
        <w:rPr>
          <w:rFonts w:hint="eastAsia" w:ascii="宋体" w:hAnsi="宋体" w:cs="HiddenHorzOCR"/>
          <w:color w:val="000000" w:themeColor="text1"/>
          <w:kern w:val="0"/>
          <w:szCs w:val="21"/>
          <w14:textFill>
            <w14:solidFill>
              <w14:schemeClr w14:val="tx1"/>
            </w14:solidFill>
          </w14:textFill>
        </w:rPr>
        <w:t>8.1.1-1）：</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1 一般情况，宜采用交叉形</w:t>
      </w:r>
      <w:r>
        <w:rPr>
          <w:rFonts w:hint="eastAsia" w:ascii="宋体" w:hAnsi="宋体" w:cs="Times New Roman"/>
          <w:color w:val="000000" w:themeColor="text1"/>
          <w:kern w:val="0"/>
          <w:szCs w:val="21"/>
          <w14:textFill>
            <w14:solidFill>
              <w14:schemeClr w14:val="tx1"/>
            </w14:solidFill>
          </w14:textFill>
        </w:rPr>
        <w:t>钢</w:t>
      </w:r>
      <w:r>
        <w:rPr>
          <w:rFonts w:hint="eastAsia" w:ascii="宋体" w:hAnsi="宋体" w:cs="MS Mincho"/>
          <w:color w:val="000000" w:themeColor="text1"/>
          <w:kern w:val="0"/>
          <w:szCs w:val="21"/>
          <w14:textFill>
            <w14:solidFill>
              <w14:schemeClr w14:val="tx1"/>
            </w14:solidFill>
          </w14:textFill>
        </w:rPr>
        <w:t>支撑</w:t>
      </w:r>
      <w:r>
        <w:rPr>
          <w:rFonts w:hint="eastAsia" w:ascii="宋体" w:hAnsi="宋体" w:cs="HiddenHorzOCR"/>
          <w:color w:val="000000" w:themeColor="text1"/>
          <w:kern w:val="0"/>
          <w:szCs w:val="21"/>
          <w14:textFill>
            <w14:solidFill>
              <w14:schemeClr w14:val="tx1"/>
            </w14:solidFill>
          </w14:textFill>
        </w:rPr>
        <w:t>；</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2 当室内交通条件有要求</w:t>
      </w:r>
      <w:r>
        <w:rPr>
          <w:rFonts w:hint="eastAsia" w:ascii="宋体" w:hAnsi="宋体" w:cs="Times New Roman"/>
          <w:color w:val="000000" w:themeColor="text1"/>
          <w:kern w:val="0"/>
          <w:szCs w:val="21"/>
          <w14:textFill>
            <w14:solidFill>
              <w14:schemeClr w14:val="tx1"/>
            </w14:solidFill>
          </w14:textFill>
        </w:rPr>
        <w:t>时</w:t>
      </w:r>
      <w:r>
        <w:rPr>
          <w:rFonts w:hint="eastAsia" w:ascii="宋体" w:hAnsi="宋体" w:cs="MS Mincho"/>
          <w:color w:val="000000" w:themeColor="text1"/>
          <w:kern w:val="0"/>
          <w:szCs w:val="21"/>
          <w14:textFill>
            <w14:solidFill>
              <w14:schemeClr w14:val="tx1"/>
            </w14:solidFill>
          </w14:textFill>
        </w:rPr>
        <w:t>，可采用人字形或</w:t>
      </w:r>
      <w:r>
        <w:rPr>
          <w:rFonts w:hint="eastAsia" w:ascii="宋体" w:hAnsi="宋体" w:cs="HiddenHorzOCR"/>
          <w:color w:val="000000" w:themeColor="text1"/>
          <w:kern w:val="0"/>
          <w:szCs w:val="21"/>
          <w14:textFill>
            <w14:solidFill>
              <w14:schemeClr w14:val="tx1"/>
            </w14:solidFill>
          </w14:textFill>
        </w:rPr>
        <w:t>V形</w:t>
      </w:r>
      <w:r>
        <w:rPr>
          <w:rFonts w:hint="eastAsia" w:ascii="宋体" w:hAnsi="宋体" w:cs="Times New Roman"/>
          <w:color w:val="000000" w:themeColor="text1"/>
          <w:kern w:val="0"/>
          <w:szCs w:val="21"/>
          <w14:textFill>
            <w14:solidFill>
              <w14:schemeClr w14:val="tx1"/>
            </w14:solidFill>
          </w14:textFill>
        </w:rPr>
        <w:t>钢</w:t>
      </w:r>
      <w:r>
        <w:rPr>
          <w:rFonts w:hint="eastAsia" w:ascii="宋体" w:hAnsi="宋体" w:cs="MS Mincho"/>
          <w:color w:val="000000" w:themeColor="text1"/>
          <w:kern w:val="0"/>
          <w:szCs w:val="21"/>
          <w14:textFill>
            <w14:solidFill>
              <w14:schemeClr w14:val="tx1"/>
            </w14:solidFill>
          </w14:textFill>
        </w:rPr>
        <w:t>支撑。</w:t>
      </w:r>
    </w:p>
    <w:p>
      <w:pPr>
        <w:autoSpaceDE w:val="0"/>
        <w:autoSpaceDN w:val="0"/>
        <w:spacing w:line="360" w:lineRule="auto"/>
        <w:ind w:firstLine="420"/>
        <w:jc w:val="center"/>
        <w:rPr>
          <w:rFonts w:ascii="宋体" w:hAnsi="宋体" w:cs="HiddenHorzOCR"/>
          <w:color w:val="000000" w:themeColor="text1"/>
          <w:kern w:val="0"/>
          <w:szCs w:val="21"/>
          <w14:textFill>
            <w14:solidFill>
              <w14:schemeClr w14:val="tx1"/>
            </w14:solidFill>
          </w14:textFill>
        </w:rPr>
      </w:pPr>
      <w:r>
        <w:rPr>
          <w:rFonts w:cs="Times New Roman"/>
          <w:color w:val="000000" w:themeColor="text1"/>
          <w:szCs w:val="21"/>
          <w14:textFill>
            <w14:solidFill>
              <w14:schemeClr w14:val="tx1"/>
            </w14:solidFill>
          </w14:textFill>
        </w:rPr>
        <w:drawing>
          <wp:inline distT="0" distB="0" distL="0" distR="0">
            <wp:extent cx="2847340" cy="222250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852356" cy="2226315"/>
                    </a:xfrm>
                    <a:prstGeom prst="rect">
                      <a:avLst/>
                    </a:prstGeom>
                    <a:noFill/>
                    <a:ln>
                      <a:noFill/>
                    </a:ln>
                  </pic:spPr>
                </pic:pic>
              </a:graphicData>
            </a:graphic>
          </wp:inline>
        </w:drawing>
      </w:r>
      <w:r>
        <w:rPr>
          <w:rFonts w:hint="eastAsia" w:ascii="宋体" w:hAnsi="宋体" w:cs="HiddenHorzOCR"/>
          <w:color w:val="000000" w:themeColor="text1"/>
          <w:kern w:val="0"/>
          <w:szCs w:val="21"/>
          <w14:textFill>
            <w14:solidFill>
              <w14:schemeClr w14:val="tx1"/>
            </w14:solidFill>
          </w14:textFill>
        </w:rPr>
        <w:t xml:space="preserve"> </w:t>
      </w:r>
    </w:p>
    <w:p>
      <w:pPr>
        <w:autoSpaceDE w:val="0"/>
        <w:autoSpaceDN w:val="0"/>
        <w:spacing w:line="360" w:lineRule="auto"/>
        <w:ind w:firstLine="2100" w:firstLineChars="1000"/>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（a）交叉形支撑 （b）人字形支撑（c）V形支撑</w:t>
      </w:r>
    </w:p>
    <w:p>
      <w:pPr>
        <w:autoSpaceDE w:val="0"/>
        <w:autoSpaceDN w:val="0"/>
        <w:spacing w:line="360" w:lineRule="auto"/>
        <w:ind w:firstLine="420"/>
        <w:jc w:val="center"/>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图</w:t>
      </w:r>
      <w:r>
        <w:rPr>
          <w:rFonts w:hint="eastAsia" w:ascii="宋体" w:hAnsi="宋体" w:cs="HiddenHorzOCR"/>
          <w:color w:val="000000" w:themeColor="text1"/>
          <w:kern w:val="0"/>
          <w:szCs w:val="21"/>
          <w14:textFill>
            <w14:solidFill>
              <w14:schemeClr w14:val="tx1"/>
            </w14:solidFill>
          </w14:textFill>
        </w:rPr>
        <w:t>8.1.1-1 支撑形式</w:t>
      </w:r>
    </w:p>
    <w:p>
      <w:pPr>
        <w:autoSpaceDE w:val="0"/>
        <w:autoSpaceDN w:val="0"/>
        <w:spacing w:line="360" w:lineRule="auto"/>
        <w:ind w:firstLine="0" w:firstLineChars="0"/>
        <w:jc w:val="left"/>
        <w:rPr>
          <w:rFonts w:ascii="宋体" w:hAnsi="宋体" w:cs="MS Mincho"/>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 xml:space="preserve">8.1.2 </w:t>
      </w:r>
      <w:r>
        <w:rPr>
          <w:rFonts w:hint="eastAsia" w:ascii="宋体" w:hAnsi="宋体" w:cs="HiddenHorzOCR"/>
          <w:color w:val="000000" w:themeColor="text1"/>
          <w:kern w:val="0"/>
          <w:szCs w:val="21"/>
          <w14:textFill>
            <w14:solidFill>
              <w14:schemeClr w14:val="tx1"/>
            </w14:solidFill>
          </w14:textFill>
        </w:rPr>
        <w:t>厂房的</w:t>
      </w:r>
      <w:r>
        <w:rPr>
          <w:rFonts w:hint="eastAsia" w:ascii="宋体" w:hAnsi="宋体" w:cs="Times New Roman"/>
          <w:color w:val="000000" w:themeColor="text1"/>
          <w:kern w:val="0"/>
          <w:szCs w:val="21"/>
          <w14:textFill>
            <w14:solidFill>
              <w14:schemeClr w14:val="tx1"/>
            </w14:solidFill>
          </w14:textFill>
        </w:rPr>
        <w:t>围护墙</w:t>
      </w:r>
      <w:r>
        <w:rPr>
          <w:rFonts w:hint="eastAsia" w:ascii="宋体" w:hAnsi="宋体" w:cs="MS Mincho"/>
          <w:color w:val="000000" w:themeColor="text1"/>
          <w:kern w:val="0"/>
          <w:szCs w:val="21"/>
          <w14:textFill>
            <w14:solidFill>
              <w14:schemeClr w14:val="tx1"/>
            </w14:solidFill>
          </w14:textFill>
        </w:rPr>
        <w:t>与隔</w:t>
      </w:r>
      <w:r>
        <w:rPr>
          <w:rFonts w:hint="eastAsia" w:ascii="宋体" w:hAnsi="宋体" w:cs="Times New Roman"/>
          <w:color w:val="000000" w:themeColor="text1"/>
          <w:kern w:val="0"/>
          <w:szCs w:val="21"/>
          <w14:textFill>
            <w14:solidFill>
              <w14:schemeClr w14:val="tx1"/>
            </w14:solidFill>
          </w14:textFill>
        </w:rPr>
        <w:t>墙</w:t>
      </w:r>
      <w:r>
        <w:rPr>
          <w:rFonts w:hint="eastAsia" w:ascii="宋体" w:hAnsi="宋体" w:cs="MS Mincho"/>
          <w:color w:val="000000" w:themeColor="text1"/>
          <w:kern w:val="0"/>
          <w:szCs w:val="21"/>
          <w14:textFill>
            <w14:solidFill>
              <w14:schemeClr w14:val="tx1"/>
            </w14:solidFill>
          </w14:textFill>
        </w:rPr>
        <w:t>，宜采用</w:t>
      </w:r>
      <w:r>
        <w:rPr>
          <w:rFonts w:hint="eastAsia" w:ascii="宋体" w:hAnsi="宋体" w:cs="Times New Roman"/>
          <w:color w:val="000000" w:themeColor="text1"/>
          <w:kern w:val="0"/>
          <w:szCs w:val="21"/>
          <w14:textFill>
            <w14:solidFill>
              <w14:schemeClr w14:val="tx1"/>
            </w14:solidFill>
          </w14:textFill>
        </w:rPr>
        <w:t>轻质墙</w:t>
      </w:r>
      <w:r>
        <w:rPr>
          <w:rFonts w:hint="eastAsia" w:ascii="宋体" w:hAnsi="宋体" w:cs="MS Mincho"/>
          <w:color w:val="000000" w:themeColor="text1"/>
          <w:kern w:val="0"/>
          <w:szCs w:val="21"/>
          <w14:textFill>
            <w14:solidFill>
              <w14:schemeClr w14:val="tx1"/>
            </w14:solidFill>
          </w14:textFill>
        </w:rPr>
        <w:t>体。</w:t>
      </w:r>
    </w:p>
    <w:p>
      <w:pPr>
        <w:spacing w:line="360" w:lineRule="auto"/>
        <w:ind w:firstLine="0" w:firstLineChars="0"/>
        <w:jc w:val="left"/>
        <w:rPr>
          <w:rFonts w:ascii="宋体" w:cs="Times New Roman"/>
          <w:color w:val="000000" w:themeColor="text1"/>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8.1.3</w:t>
      </w:r>
      <w:r>
        <w:rPr>
          <w:rFonts w:hint="eastAsia" w:ascii="宋体" w:hAnsi="宋体" w:cs="HiddenHorzOCR"/>
          <w:color w:val="000000" w:themeColor="text1"/>
          <w:kern w:val="0"/>
          <w:szCs w:val="21"/>
          <w14:textFill>
            <w14:solidFill>
              <w14:schemeClr w14:val="tx1"/>
            </w14:solidFill>
          </w14:textFill>
        </w:rPr>
        <w:t>多</w:t>
      </w:r>
      <w:r>
        <w:rPr>
          <w:rFonts w:hint="eastAsia" w:ascii="宋体" w:hAnsi="宋体" w:cs="Times New Roman"/>
          <w:color w:val="000000" w:themeColor="text1"/>
          <w:kern w:val="0"/>
          <w:szCs w:val="21"/>
          <w14:textFill>
            <w14:solidFill>
              <w14:schemeClr w14:val="tx1"/>
            </w14:solidFill>
          </w14:textFill>
        </w:rPr>
        <w:t>层</w:t>
      </w:r>
      <w:r>
        <w:rPr>
          <w:rFonts w:hint="eastAsia" w:ascii="宋体" w:hAnsi="宋体" w:cs="MS Mincho"/>
          <w:color w:val="000000" w:themeColor="text1"/>
          <w:kern w:val="0"/>
          <w:szCs w:val="21"/>
          <w14:textFill>
            <w14:solidFill>
              <w14:schemeClr w14:val="tx1"/>
            </w14:solidFill>
          </w14:textFill>
        </w:rPr>
        <w:t>混凝土</w:t>
      </w:r>
      <w:r>
        <w:rPr>
          <w:rFonts w:hint="eastAsia" w:ascii="宋体" w:hAnsi="宋体" w:cs="Times New Roman"/>
          <w:color w:val="000000" w:themeColor="text1"/>
          <w:kern w:val="0"/>
          <w:szCs w:val="21"/>
          <w14:textFill>
            <w14:solidFill>
              <w14:schemeClr w14:val="tx1"/>
            </w14:solidFill>
          </w14:textFill>
        </w:rPr>
        <w:t>结</w:t>
      </w:r>
      <w:r>
        <w:rPr>
          <w:rFonts w:hint="eastAsia" w:ascii="宋体" w:hAnsi="宋体" w:cs="MS Mincho"/>
          <w:color w:val="000000" w:themeColor="text1"/>
          <w:kern w:val="0"/>
          <w:szCs w:val="21"/>
          <w14:textFill>
            <w14:solidFill>
              <w14:schemeClr w14:val="tx1"/>
            </w14:solidFill>
          </w14:textFill>
        </w:rPr>
        <w:t>构</w:t>
      </w:r>
      <w:r>
        <w:rPr>
          <w:rFonts w:hint="eastAsia" w:ascii="宋体" w:hAnsi="宋体" w:cs="Times New Roman"/>
          <w:color w:val="000000" w:themeColor="text1"/>
          <w:szCs w:val="21"/>
          <w14:textFill>
            <w14:solidFill>
              <w14:schemeClr w14:val="tx1"/>
            </w14:solidFill>
          </w14:textFill>
        </w:rPr>
        <w:t>的平面和竖向布置，应符合下列规定：</w:t>
      </w:r>
    </w:p>
    <w:p>
      <w:pPr>
        <w:spacing w:line="360" w:lineRule="auto"/>
        <w:ind w:firstLine="420"/>
        <w:jc w:val="left"/>
        <w:rPr>
          <w:rFonts w:ascii="宋体" w:cs="Times New Roman"/>
          <w:color w:val="000000" w:themeColor="text1"/>
          <w:szCs w:val="21"/>
          <w14:textFill>
            <w14:solidFill>
              <w14:schemeClr w14:val="tx1"/>
            </w14:solidFill>
          </w14:textFill>
        </w:rPr>
      </w:pPr>
      <w:r>
        <w:rPr>
          <w:rFonts w:hint="eastAsia" w:ascii="宋体" w:cs="Times New Roman"/>
          <w:color w:val="000000" w:themeColor="text1"/>
          <w:szCs w:val="21"/>
          <w14:textFill>
            <w14:solidFill>
              <w14:schemeClr w14:val="tx1"/>
            </w14:solidFill>
          </w14:textFill>
        </w:rPr>
        <w:t xml:space="preserve">1 </w:t>
      </w:r>
      <w:r>
        <w:rPr>
          <w:rFonts w:hint="eastAsia" w:ascii="宋体" w:hAnsi="宋体" w:cs="Times New Roman"/>
          <w:color w:val="000000" w:themeColor="text1"/>
          <w:szCs w:val="21"/>
          <w14:textFill>
            <w14:solidFill>
              <w14:schemeClr w14:val="tx1"/>
            </w14:solidFill>
          </w14:textFill>
        </w:rPr>
        <w:t>在结构单元内抗侧力构件宜对称均匀布置，并宜沿结构全高设置，侧向刚度宜均匀，竖向抗侧力构件截面尺寸宜自下而上逐渐减小，并应避免抗侧力构件的侧移刚度和承载力突变。</w:t>
      </w:r>
    </w:p>
    <w:p>
      <w:pPr>
        <w:spacing w:line="360" w:lineRule="auto"/>
        <w:ind w:firstLine="420"/>
        <w:jc w:val="left"/>
        <w:rPr>
          <w:rFonts w:ascii="宋体" w:cs="Times New Roman"/>
          <w:color w:val="000000" w:themeColor="text1"/>
          <w:szCs w:val="21"/>
          <w14:textFill>
            <w14:solidFill>
              <w14:schemeClr w14:val="tx1"/>
            </w14:solidFill>
          </w14:textFill>
        </w:rPr>
      </w:pPr>
      <w:r>
        <w:rPr>
          <w:rFonts w:hint="eastAsia" w:ascii="宋体" w:cs="Times New Roman"/>
          <w:color w:val="000000" w:themeColor="text1"/>
          <w:szCs w:val="21"/>
          <w14:textFill>
            <w14:solidFill>
              <w14:schemeClr w14:val="tx1"/>
            </w14:solidFill>
          </w14:textFill>
        </w:rPr>
        <w:t>2 质量较大的设备，宜布置在距刚度中心较近的部位上，在满足工艺要求的条件下，宜采用低位布置；</w:t>
      </w:r>
    </w:p>
    <w:p>
      <w:pPr>
        <w:spacing w:line="360" w:lineRule="auto"/>
        <w:ind w:firstLine="420"/>
        <w:jc w:val="left"/>
        <w:rPr>
          <w:rFonts w:ascii="宋体" w:cs="Times New Roman"/>
          <w:color w:val="000000" w:themeColor="text1"/>
          <w:szCs w:val="21"/>
          <w14:textFill>
            <w14:solidFill>
              <w14:schemeClr w14:val="tx1"/>
            </w14:solidFill>
          </w14:textFill>
        </w:rPr>
      </w:pPr>
      <w:r>
        <w:rPr>
          <w:rFonts w:hint="eastAsia" w:ascii="宋体" w:cs="Times New Roman"/>
          <w:color w:val="000000" w:themeColor="text1"/>
          <w:szCs w:val="21"/>
          <w14:textFill>
            <w14:solidFill>
              <w14:schemeClr w14:val="tx1"/>
            </w14:solidFill>
          </w14:textFill>
        </w:rPr>
        <w:t>3 当结构单元的一端敞开，另一端有山墙时，其山墙与主体结构应采用柔性连接。</w:t>
      </w:r>
    </w:p>
    <w:p>
      <w:pPr>
        <w:spacing w:line="360" w:lineRule="auto"/>
        <w:ind w:firstLine="420"/>
        <w:jc w:val="left"/>
        <w:rPr>
          <w:rFonts w:ascii="宋体" w:cs="Times New Roman"/>
          <w:color w:val="000000" w:themeColor="text1"/>
          <w:szCs w:val="21"/>
          <w14:textFill>
            <w14:solidFill>
              <w14:schemeClr w14:val="tx1"/>
            </w14:solidFill>
          </w14:textFill>
        </w:rPr>
      </w:pPr>
      <w:r>
        <w:rPr>
          <w:rFonts w:hint="eastAsia" w:ascii="宋体" w:cs="Times New Roman"/>
          <w:color w:val="000000" w:themeColor="text1"/>
          <w:szCs w:val="21"/>
          <w14:textFill>
            <w14:solidFill>
              <w14:schemeClr w14:val="tx1"/>
            </w14:solidFill>
          </w14:textFill>
        </w:rPr>
        <w:t xml:space="preserve">4 </w:t>
      </w:r>
      <w:r>
        <w:rPr>
          <w:rFonts w:hint="eastAsia" w:ascii="宋体" w:hAnsi="宋体" w:cs="Times New Roman"/>
          <w:color w:val="000000" w:themeColor="text1"/>
          <w:szCs w:val="21"/>
          <w14:textFill>
            <w14:solidFill>
              <w14:schemeClr w14:val="tx1"/>
            </w14:solidFill>
          </w14:textFill>
        </w:rPr>
        <w:t>不宜采用长悬挑结构；</w:t>
      </w:r>
      <w:r>
        <w:rPr>
          <w:rFonts w:hint="eastAsia" w:ascii="宋体" w:cs="Times New Roman"/>
          <w:color w:val="000000" w:themeColor="text1"/>
          <w:szCs w:val="21"/>
          <w14:textFill>
            <w14:solidFill>
              <w14:schemeClr w14:val="tx1"/>
            </w14:solidFill>
          </w14:textFill>
        </w:rPr>
        <w:t xml:space="preserve"> </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5 贮仓</w:t>
      </w:r>
      <w:r>
        <w:rPr>
          <w:rFonts w:hint="eastAsia" w:ascii="宋体" w:hAnsi="宋体" w:cs="MS Mincho"/>
          <w:color w:val="000000" w:themeColor="text1"/>
          <w:kern w:val="0"/>
          <w:szCs w:val="21"/>
          <w14:textFill>
            <w14:solidFill>
              <w14:schemeClr w14:val="tx1"/>
            </w14:solidFill>
          </w14:textFill>
        </w:rPr>
        <w:t>的平面尺寸宜与柱网尺寸</w:t>
      </w:r>
      <w:r>
        <w:rPr>
          <w:rFonts w:hint="eastAsia" w:ascii="宋体" w:hAnsi="宋体" w:cs="Times New Roman"/>
          <w:color w:val="000000" w:themeColor="text1"/>
          <w:kern w:val="0"/>
          <w:szCs w:val="21"/>
          <w14:textFill>
            <w14:solidFill>
              <w14:schemeClr w14:val="tx1"/>
            </w14:solidFill>
          </w14:textFill>
        </w:rPr>
        <w:t>协调</w:t>
      </w:r>
      <w:r>
        <w:rPr>
          <w:rFonts w:hint="eastAsia" w:ascii="宋体" w:hAnsi="宋体" w:cs="MS Mincho"/>
          <w:color w:val="000000" w:themeColor="text1"/>
          <w:kern w:val="0"/>
          <w:szCs w:val="21"/>
          <w14:textFill>
            <w14:solidFill>
              <w14:schemeClr w14:val="tx1"/>
            </w14:solidFill>
          </w14:textFill>
        </w:rPr>
        <w:t>一致。如生</w:t>
      </w:r>
      <w:r>
        <w:rPr>
          <w:rFonts w:hint="eastAsia" w:ascii="宋体" w:hAnsi="宋体" w:cs="Times New Roman"/>
          <w:color w:val="000000" w:themeColor="text1"/>
          <w:kern w:val="0"/>
          <w:szCs w:val="21"/>
          <w14:textFill>
            <w14:solidFill>
              <w14:schemeClr w14:val="tx1"/>
            </w14:solidFill>
          </w14:textFill>
        </w:rPr>
        <w:t>产</w:t>
      </w:r>
      <w:r>
        <w:rPr>
          <w:rFonts w:hint="eastAsia" w:ascii="宋体" w:hAnsi="宋体" w:cs="MS Mincho"/>
          <w:color w:val="000000" w:themeColor="text1"/>
          <w:kern w:val="0"/>
          <w:szCs w:val="21"/>
          <w14:textFill>
            <w14:solidFill>
              <w14:schemeClr w14:val="tx1"/>
            </w14:solidFill>
          </w14:textFill>
        </w:rPr>
        <w:t>需要</w:t>
      </w:r>
      <w:r>
        <w:rPr>
          <w:rFonts w:hint="eastAsia" w:ascii="宋体" w:hAnsi="宋体" w:cs="Times New Roman"/>
          <w:color w:val="000000" w:themeColor="text1"/>
          <w:kern w:val="0"/>
          <w:szCs w:val="21"/>
          <w14:textFill>
            <w14:solidFill>
              <w14:schemeClr w14:val="tx1"/>
            </w14:solidFill>
          </w14:textFill>
        </w:rPr>
        <w:t>设长仓时</w:t>
      </w:r>
      <w:r>
        <w:rPr>
          <w:rFonts w:hint="eastAsia" w:ascii="宋体" w:hAnsi="宋体" w:cs="MS Mincho"/>
          <w:color w:val="000000" w:themeColor="text1"/>
          <w:kern w:val="0"/>
          <w:szCs w:val="21"/>
          <w14:textFill>
            <w14:solidFill>
              <w14:schemeClr w14:val="tx1"/>
            </w14:solidFill>
          </w14:textFill>
        </w:rPr>
        <w:t>，宜在所有</w:t>
      </w:r>
      <w:r>
        <w:rPr>
          <w:rFonts w:hint="eastAsia" w:ascii="宋体" w:hAnsi="宋体" w:cs="Times New Roman"/>
          <w:color w:val="000000" w:themeColor="text1"/>
          <w:kern w:val="0"/>
          <w:szCs w:val="21"/>
          <w14:textFill>
            <w14:solidFill>
              <w14:schemeClr w14:val="tx1"/>
            </w14:solidFill>
          </w14:textFill>
        </w:rPr>
        <w:t>轴线处</w:t>
      </w:r>
      <w:r>
        <w:rPr>
          <w:rFonts w:hint="eastAsia" w:ascii="宋体" w:hAnsi="宋体" w:cs="MS Mincho"/>
          <w:color w:val="000000" w:themeColor="text1"/>
          <w:kern w:val="0"/>
          <w:szCs w:val="21"/>
          <w14:textFill>
            <w14:solidFill>
              <w14:schemeClr w14:val="tx1"/>
            </w14:solidFill>
          </w14:textFill>
        </w:rPr>
        <w:t>加中</w:t>
      </w:r>
      <w:r>
        <w:rPr>
          <w:rFonts w:hint="eastAsia" w:ascii="宋体" w:hAnsi="宋体" w:cs="Times New Roman"/>
          <w:color w:val="000000" w:themeColor="text1"/>
          <w:kern w:val="0"/>
          <w:szCs w:val="21"/>
          <w14:textFill>
            <w14:solidFill>
              <w14:schemeClr w14:val="tx1"/>
            </w14:solidFill>
          </w14:textFill>
        </w:rPr>
        <w:t>间</w:t>
      </w:r>
      <w:r>
        <w:rPr>
          <w:rFonts w:hint="eastAsia" w:ascii="宋体" w:hAnsi="宋体" w:cs="MS Mincho"/>
          <w:color w:val="000000" w:themeColor="text1"/>
          <w:kern w:val="0"/>
          <w:szCs w:val="21"/>
          <w14:textFill>
            <w14:solidFill>
              <w14:schemeClr w14:val="tx1"/>
            </w14:solidFill>
          </w14:textFill>
        </w:rPr>
        <w:t>横隔板</w:t>
      </w:r>
      <w:r>
        <w:rPr>
          <w:rFonts w:hint="eastAsia" w:ascii="宋体" w:hAnsi="宋体" w:cs="HiddenHorzOCR"/>
          <w:color w:val="000000" w:themeColor="text1"/>
          <w:kern w:val="0"/>
          <w:szCs w:val="21"/>
          <w14:textFill>
            <w14:solidFill>
              <w14:schemeClr w14:val="tx1"/>
            </w14:solidFill>
          </w14:textFill>
        </w:rPr>
        <w:t>（</w:t>
      </w:r>
      <w:r>
        <w:rPr>
          <w:rFonts w:hint="eastAsia" w:ascii="宋体" w:hAnsi="宋体" w:cs="Times New Roman"/>
          <w:color w:val="000000" w:themeColor="text1"/>
          <w:kern w:val="0"/>
          <w:szCs w:val="21"/>
          <w14:textFill>
            <w14:solidFill>
              <w14:schemeClr w14:val="tx1"/>
            </w14:solidFill>
          </w14:textFill>
        </w:rPr>
        <w:t>图</w:t>
      </w:r>
      <w:r>
        <w:rPr>
          <w:rFonts w:hint="eastAsia" w:ascii="宋体" w:hAnsi="宋体" w:cs="HiddenHorzOCR"/>
          <w:color w:val="000000" w:themeColor="text1"/>
          <w:kern w:val="0"/>
          <w:szCs w:val="21"/>
          <w14:textFill>
            <w14:solidFill>
              <w14:schemeClr w14:val="tx1"/>
            </w14:solidFill>
          </w14:textFill>
        </w:rPr>
        <w:t>8.1.3-1）。</w:t>
      </w:r>
    </w:p>
    <w:p>
      <w:pPr>
        <w:autoSpaceDE w:val="0"/>
        <w:autoSpaceDN w:val="0"/>
        <w:spacing w:line="360" w:lineRule="auto"/>
        <w:ind w:firstLine="420"/>
        <w:jc w:val="left"/>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 xml:space="preserve"> </w:t>
      </w:r>
    </w:p>
    <w:p>
      <w:pPr>
        <w:autoSpaceDE w:val="0"/>
        <w:autoSpaceDN w:val="0"/>
        <w:spacing w:line="360" w:lineRule="auto"/>
        <w:ind w:firstLine="420"/>
        <w:jc w:val="left"/>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 xml:space="preserve"> </w:t>
      </w:r>
    </w:p>
    <w:p>
      <w:pPr>
        <w:autoSpaceDE w:val="0"/>
        <w:autoSpaceDN w:val="0"/>
        <w:spacing w:line="360" w:lineRule="auto"/>
        <w:ind w:firstLine="420"/>
        <w:jc w:val="center"/>
        <w:rPr>
          <w:rFonts w:ascii="宋体" w:hAnsi="宋体" w:cs="Arial"/>
          <w:color w:val="000000" w:themeColor="text1"/>
          <w:kern w:val="0"/>
          <w:szCs w:val="21"/>
          <w14:textFill>
            <w14:solidFill>
              <w14:schemeClr w14:val="tx1"/>
            </w14:solidFill>
          </w14:textFill>
        </w:rPr>
      </w:pPr>
      <w:r>
        <w:rPr>
          <w:rFonts w:cs="HiddenHorzOCR" w:asciiTheme="minorEastAsia" w:hAnsiTheme="minorEastAsia"/>
          <w:color w:val="000000" w:themeColor="text1"/>
          <w:kern w:val="0"/>
          <w:szCs w:val="21"/>
          <w14:textFill>
            <w14:solidFill>
              <w14:schemeClr w14:val="tx1"/>
            </w14:solidFill>
          </w14:textFill>
        </w:rPr>
        <w:drawing>
          <wp:inline distT="0" distB="0" distL="0" distR="0">
            <wp:extent cx="3503295" cy="1496695"/>
            <wp:effectExtent l="0" t="0" r="1905" b="8255"/>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3504367" cy="1496987"/>
                    </a:xfrm>
                    <a:prstGeom prst="rect">
                      <a:avLst/>
                    </a:prstGeom>
                    <a:noFill/>
                    <a:ln>
                      <a:noFill/>
                    </a:ln>
                  </pic:spPr>
                </pic:pic>
              </a:graphicData>
            </a:graphic>
          </wp:inline>
        </w:drawing>
      </w:r>
    </w:p>
    <w:p>
      <w:pPr>
        <w:autoSpaceDE w:val="0"/>
        <w:autoSpaceDN w:val="0"/>
        <w:spacing w:line="360" w:lineRule="auto"/>
        <w:ind w:firstLine="0" w:firstLineChars="0"/>
        <w:jc w:val="center"/>
        <w:rPr>
          <w:rFonts w:ascii="宋体" w:hAnsi="宋体" w:cs="HiddenHorzOCR"/>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 xml:space="preserve">（a）平面 </w:t>
      </w:r>
      <w:r>
        <w:rPr>
          <w:rFonts w:ascii="宋体" w:hAnsi="宋体" w:cs="Arial"/>
          <w:color w:val="000000" w:themeColor="text1"/>
          <w:kern w:val="0"/>
          <w:szCs w:val="21"/>
          <w14:textFill>
            <w14:solidFill>
              <w14:schemeClr w14:val="tx1"/>
            </w14:solidFill>
          </w14:textFill>
        </w:rPr>
        <w:t xml:space="preserve">            </w:t>
      </w:r>
      <w:r>
        <w:rPr>
          <w:rFonts w:hint="eastAsia" w:ascii="宋体" w:hAnsi="宋体" w:cs="Arial"/>
          <w:color w:val="000000" w:themeColor="text1"/>
          <w:kern w:val="0"/>
          <w:szCs w:val="21"/>
          <w14:textFill>
            <w14:solidFill>
              <w14:schemeClr w14:val="tx1"/>
            </w14:solidFill>
          </w14:textFill>
        </w:rPr>
        <w:t>（b）A—A剖面</w:t>
      </w:r>
    </w:p>
    <w:p>
      <w:pPr>
        <w:autoSpaceDE w:val="0"/>
        <w:autoSpaceDN w:val="0"/>
        <w:spacing w:line="360" w:lineRule="auto"/>
        <w:ind w:firstLine="1680" w:firstLineChars="800"/>
        <w:jc w:val="left"/>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图8.1.3-1  长仓时设中间横隔板</w:t>
      </w:r>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 xml:space="preserve">8.1.4 </w:t>
      </w:r>
      <w:r>
        <w:rPr>
          <w:rFonts w:hint="eastAsia" w:ascii="宋体" w:hAnsi="宋体" w:cs="Times New Roman"/>
          <w:color w:val="000000" w:themeColor="text1"/>
          <w:szCs w:val="21"/>
          <w14:textFill>
            <w14:solidFill>
              <w14:schemeClr w14:val="tx1"/>
            </w14:solidFill>
          </w14:textFill>
        </w:rPr>
        <w:t>框架－抗震墙结构中抗震墙的设置，宜符合下列要求：</w:t>
      </w:r>
    </w:p>
    <w:p>
      <w:pPr>
        <w:autoSpaceDE w:val="0"/>
        <w:autoSpaceDN w:val="0"/>
        <w:spacing w:line="360" w:lineRule="auto"/>
        <w:ind w:firstLine="420"/>
        <w:jc w:val="left"/>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 抗震墙宜贯通结构全高；</w:t>
      </w:r>
      <w:r>
        <w:rPr>
          <w:rFonts w:hint="eastAsia" w:ascii="宋体" w:hAnsi="宋体" w:cs="Times New Roman"/>
          <w:color w:val="000000" w:themeColor="text1"/>
          <w:szCs w:val="21"/>
          <w14:textFill>
            <w14:solidFill>
              <w14:schemeClr w14:val="tx1"/>
            </w14:solidFill>
          </w14:textFill>
        </w:rPr>
        <w:t>若不能贯通全高时，结构下部应竖向连续布置抗震墙并落地。</w:t>
      </w:r>
    </w:p>
    <w:p>
      <w:pPr>
        <w:autoSpaceDE w:val="0"/>
        <w:autoSpaceDN w:val="0"/>
        <w:spacing w:line="360" w:lineRule="auto"/>
        <w:ind w:firstLine="420"/>
        <w:jc w:val="left"/>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 结构较长时，侧移刚度较大的纵向抗震墙不宜设置在结构的端开间；</w:t>
      </w:r>
    </w:p>
    <w:p>
      <w:pPr>
        <w:autoSpaceDE w:val="0"/>
        <w:autoSpaceDN w:val="0"/>
        <w:spacing w:line="360" w:lineRule="auto"/>
        <w:ind w:firstLine="420"/>
        <w:jc w:val="left"/>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3 抗震墙不宜开设大洞口，洞口宜上下对齐，且洞边距端柱不宜小于300mm；</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4 抗震墙的两端（不包括洞口两侧）宜设置端柱，或与另一方向的抗震墙相连。</w:t>
      </w:r>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8.1.5 采用框架－抗震墙结构时，抗震墙底部加强部位的范围，宜符合下列规定：</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1 底部加强部位的高度，应从地下室顶板算起；</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2 结构高度大于24m时，底部加强部位的高度可取底部两层和墙体总高度的1/10中二者的较大值；结构高度不大于24m时，底部加强部位可取底部一层；</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3 当结构计算嵌固端位于地下一层底板或以下时，底部加强部位尚应向下延伸到计算嵌固端。</w:t>
      </w:r>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8.1.6 楼梯间应符合下列要求：</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1 宜设抗震墙，但不宜造成较大的扭转效应；</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2 对于框架结构，楼梯间的布置不应导致结构平面特别不规则；</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3 不应采用悬挑楼梯；</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4 楼梯间构件与主体结构整体现浇时，应计入楼梯构件对地震作用及其效应的影响，并应进行楼梯构件的抗震承载力验算；</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5 宜采取构造措施，减少楼梯构件对主体结构刚度的影响；</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6 楼梯间两侧填充墙与柱之间应加强拉结。</w:t>
      </w:r>
    </w:p>
    <w:p>
      <w:pPr>
        <w:autoSpaceDE w:val="0"/>
        <w:autoSpaceDN w:val="0"/>
        <w:spacing w:line="360" w:lineRule="auto"/>
        <w:ind w:firstLine="420"/>
        <w:jc w:val="left"/>
        <w:rPr>
          <w:rFonts w:ascii="宋体" w:hAnsi="宋体" w:cs="Times New Roman"/>
          <w:color w:val="000000" w:themeColor="text1"/>
          <w:szCs w:val="21"/>
          <w14:textFill>
            <w14:solidFill>
              <w14:schemeClr w14:val="tx1"/>
            </w14:solidFill>
          </w14:textFill>
        </w:rPr>
      </w:pPr>
      <w:r>
        <w:rPr>
          <w:rFonts w:hint="eastAsia" w:ascii="宋体" w:cs="Times New Roman"/>
          <w:color w:val="000000" w:themeColor="text1"/>
          <w:szCs w:val="21"/>
          <w14:textFill>
            <w14:solidFill>
              <w14:schemeClr w14:val="tx1"/>
            </w14:solidFill>
          </w14:textFill>
        </w:rPr>
        <w:t xml:space="preserve">8.1.7 </w:t>
      </w:r>
      <w:r>
        <w:rPr>
          <w:rFonts w:hint="eastAsia" w:ascii="宋体" w:hAnsi="宋体" w:cs="Times New Roman"/>
          <w:color w:val="000000" w:themeColor="text1"/>
          <w:szCs w:val="21"/>
          <w14:textFill>
            <w14:solidFill>
              <w14:schemeClr w14:val="tx1"/>
            </w14:solidFill>
          </w14:textFill>
        </w:rPr>
        <w:t>乙类建筑以及高度大于</w:t>
      </w:r>
      <w:r>
        <w:rPr>
          <w:rFonts w:hint="eastAsia" w:cs="Times New Roman"/>
          <w:color w:val="000000" w:themeColor="text1"/>
          <w:szCs w:val="21"/>
          <w14:textFill>
            <w14:solidFill>
              <w14:schemeClr w14:val="tx1"/>
            </w14:solidFill>
          </w14:textFill>
        </w:rPr>
        <w:t>24m</w:t>
      </w:r>
      <w:r>
        <w:rPr>
          <w:rFonts w:hint="eastAsia" w:ascii="宋体" w:hAnsi="宋体" w:cs="Times New Roman"/>
          <w:color w:val="000000" w:themeColor="text1"/>
          <w:szCs w:val="21"/>
          <w14:textFill>
            <w14:solidFill>
              <w14:schemeClr w14:val="tx1"/>
            </w14:solidFill>
          </w14:textFill>
        </w:rPr>
        <w:t>的丙类建筑，采用单跨框架结构时，宜将水平地震性能系数提高</w:t>
      </w:r>
      <w:r>
        <w:rPr>
          <w:rFonts w:hint="eastAsia" w:cs="Times New Roman"/>
          <w:color w:val="000000" w:themeColor="text1"/>
          <w:szCs w:val="21"/>
          <w14:textFill>
            <w14:solidFill>
              <w14:schemeClr w14:val="tx1"/>
            </w14:solidFill>
          </w14:textFill>
        </w:rPr>
        <w:t>50%</w:t>
      </w:r>
      <w:r>
        <w:rPr>
          <w:rFonts w:hint="eastAsia" w:ascii="宋体" w:hAnsi="宋体" w:cs="Times New Roman"/>
          <w:color w:val="000000" w:themeColor="text1"/>
          <w:szCs w:val="21"/>
          <w14:textFill>
            <w14:solidFill>
              <w14:schemeClr w14:val="tx1"/>
            </w14:solidFill>
          </w14:textFill>
        </w:rPr>
        <w:t>进行抗震设计。</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p>
    <w:p>
      <w:pPr>
        <w:pStyle w:val="3"/>
      </w:pPr>
      <w:bookmarkStart w:id="150" w:name="_Toc48841045"/>
      <w:r>
        <w:rPr>
          <w:rFonts w:hint="eastAsia"/>
        </w:rPr>
        <w:t>抗震验算（1）——结构地震作用计算</w:t>
      </w:r>
      <w:bookmarkEnd w:id="150"/>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ascii="宋体" w:hAnsi="宋体" w:cs="Times New Roman"/>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8.2.1 多层混</w:t>
      </w:r>
      <w:r>
        <w:rPr>
          <w:rFonts w:hint="eastAsia" w:ascii="宋体" w:hAnsi="宋体" w:cs="MS Mincho"/>
          <w:color w:val="000000" w:themeColor="text1"/>
          <w:kern w:val="0"/>
          <w:szCs w:val="21"/>
          <w14:textFill>
            <w14:solidFill>
              <w14:schemeClr w14:val="tx1"/>
            </w14:solidFill>
          </w14:textFill>
        </w:rPr>
        <w:t>凝土</w:t>
      </w:r>
      <w:r>
        <w:rPr>
          <w:rFonts w:hint="eastAsia" w:ascii="宋体" w:hAnsi="宋体" w:cs="Times New Roman"/>
          <w:color w:val="000000" w:themeColor="text1"/>
          <w:kern w:val="0"/>
          <w:szCs w:val="21"/>
          <w14:textFill>
            <w14:solidFill>
              <w14:schemeClr w14:val="tx1"/>
            </w14:solidFill>
          </w14:textFill>
        </w:rPr>
        <w:t>结构</w:t>
      </w:r>
      <w:r>
        <w:rPr>
          <w:rFonts w:hint="eastAsia" w:ascii="宋体" w:hAnsi="宋体" w:cs="HiddenHorzOCR"/>
          <w:color w:val="000000" w:themeColor="text1"/>
          <w:kern w:val="0"/>
          <w:szCs w:val="21"/>
          <w14:textFill>
            <w14:solidFill>
              <w14:schemeClr w14:val="tx1"/>
            </w14:solidFill>
          </w14:textFill>
        </w:rPr>
        <w:t>采用塑性结构或弹性结构进行设计时，结构和构件应采用相应的结构性能系数。</w:t>
      </w:r>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8.2.2 多层</w:t>
      </w:r>
      <w:r>
        <w:rPr>
          <w:rFonts w:hint="eastAsia" w:ascii="宋体" w:hAnsi="宋体" w:cs="HiddenHorzOCR"/>
          <w:color w:val="000000" w:themeColor="text1"/>
          <w:kern w:val="0"/>
          <w:szCs w:val="21"/>
          <w14:textFill>
            <w14:solidFill>
              <w14:schemeClr w14:val="tx1"/>
            </w14:solidFill>
          </w14:textFill>
        </w:rPr>
        <w:t>混凝土</w:t>
      </w:r>
      <w:r>
        <w:rPr>
          <w:rFonts w:hint="eastAsia" w:ascii="宋体" w:hAnsi="宋体" w:cs="Times New Roman"/>
          <w:color w:val="000000" w:themeColor="text1"/>
          <w:kern w:val="0"/>
          <w:szCs w:val="21"/>
          <w14:textFill>
            <w14:solidFill>
              <w14:schemeClr w14:val="tx1"/>
            </w14:solidFill>
          </w14:textFill>
        </w:rPr>
        <w:t>结</w:t>
      </w:r>
      <w:r>
        <w:rPr>
          <w:rFonts w:hint="eastAsia" w:ascii="宋体" w:hAnsi="宋体" w:cs="MS Mincho"/>
          <w:color w:val="000000" w:themeColor="text1"/>
          <w:kern w:val="0"/>
          <w:szCs w:val="21"/>
          <w14:textFill>
            <w14:solidFill>
              <w14:schemeClr w14:val="tx1"/>
            </w14:solidFill>
          </w14:textFill>
        </w:rPr>
        <w:t>构应按多质点空间结构体系计算地震作用，且</w:t>
      </w:r>
      <w:r>
        <w:rPr>
          <w:rFonts w:hint="eastAsia" w:ascii="宋体" w:hAnsi="宋体" w:cs="Times New Roman"/>
          <w:color w:val="000000" w:themeColor="text1"/>
          <w:kern w:val="0"/>
          <w:szCs w:val="21"/>
          <w14:textFill>
            <w14:solidFill>
              <w14:schemeClr w14:val="tx1"/>
            </w14:solidFill>
          </w14:textFill>
        </w:rPr>
        <w:t>应</w:t>
      </w:r>
      <w:r>
        <w:rPr>
          <w:rFonts w:hint="eastAsia" w:ascii="宋体" w:hAnsi="宋体" w:cs="MS Mincho"/>
          <w:color w:val="000000" w:themeColor="text1"/>
          <w:kern w:val="0"/>
          <w:szCs w:val="21"/>
          <w14:textFill>
            <w14:solidFill>
              <w14:schemeClr w14:val="tx1"/>
            </w14:solidFill>
          </w14:textFill>
        </w:rPr>
        <w:t>符合下列规定</w:t>
      </w:r>
      <w:r>
        <w:rPr>
          <w:rFonts w:hint="eastAsia" w:ascii="宋体" w:hAnsi="宋体" w:cs="HiddenHorzOCR"/>
          <w:color w:val="000000" w:themeColor="text1"/>
          <w:kern w:val="0"/>
          <w:szCs w:val="21"/>
          <w14:textFill>
            <w14:solidFill>
              <w14:schemeClr w14:val="tx1"/>
            </w14:solidFill>
          </w14:textFill>
        </w:rPr>
        <w:t>：</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 复杂多层混凝土结构进行多遇地震作用下的内力和变形分析时，应采用不少于两个不同的力学模型，并对其计算结果进行分析比较</w:t>
      </w:r>
      <w:r>
        <w:rPr>
          <w:rFonts w:hint="eastAsia" w:ascii="宋体" w:hAnsi="宋体" w:cs="HiddenHorzOCR"/>
          <w:color w:val="000000" w:themeColor="text1"/>
          <w:kern w:val="0"/>
          <w:szCs w:val="21"/>
          <w14:textFill>
            <w14:solidFill>
              <w14:schemeClr w14:val="tx1"/>
            </w14:solidFill>
          </w14:textFill>
        </w:rPr>
        <w:t>。</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2 设有贮仓的框排架结构，贮仓设有横向和纵向竖壁时，贮料荷载应分配给纵向和横向竖壁上；当仅设有纵向竖壁（横向为梁）时，贮料荷载应仅分配给纵向竖壁上；</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3 采用振型分解反应谱法计算时，振型数不宜少于12个，并应保证质</w:t>
      </w:r>
      <w:r>
        <w:rPr>
          <w:rFonts w:hint="eastAsia" w:ascii="宋体" w:hAnsi="宋体" w:cs="Times New Roman"/>
          <w:color w:val="000000" w:themeColor="text1"/>
          <w:szCs w:val="21"/>
          <w14:textFill>
            <w14:solidFill>
              <w14:schemeClr w14:val="tx1"/>
            </w14:solidFill>
          </w14:textFill>
        </w:rPr>
        <w:t>量参与系数大于</w:t>
      </w:r>
      <w:r>
        <w:rPr>
          <w:rFonts w:cs="Times New Roman"/>
          <w:color w:val="000000" w:themeColor="text1"/>
          <w:szCs w:val="21"/>
          <w14:textFill>
            <w14:solidFill>
              <w14:schemeClr w14:val="tx1"/>
            </w14:solidFill>
          </w14:textFill>
        </w:rPr>
        <w:t>90%</w:t>
      </w:r>
      <w:r>
        <w:rPr>
          <w:rFonts w:hint="eastAsia" w:ascii="宋体" w:hAnsi="宋体" w:cs="Times New Roman"/>
          <w:color w:val="000000" w:themeColor="text1"/>
          <w:szCs w:val="21"/>
          <w14:textFill>
            <w14:solidFill>
              <w14:schemeClr w14:val="tx1"/>
            </w14:solidFill>
          </w14:textFill>
        </w:rPr>
        <w:t>；</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cs="Times New Roman"/>
          <w:color w:val="000000" w:themeColor="text1"/>
          <w:szCs w:val="21"/>
          <w14:textFill>
            <w14:solidFill>
              <w14:schemeClr w14:val="tx1"/>
            </w14:solidFill>
          </w14:textFill>
        </w:rPr>
        <w:t xml:space="preserve">4 </w:t>
      </w:r>
      <w:r>
        <w:rPr>
          <w:rFonts w:hint="eastAsia" w:ascii="宋体" w:hAnsi="宋体" w:cs="Times New Roman"/>
          <w:color w:val="000000" w:themeColor="text1"/>
          <w:szCs w:val="21"/>
          <w14:textFill>
            <w14:solidFill>
              <w14:schemeClr w14:val="tx1"/>
            </w14:solidFill>
          </w14:textFill>
        </w:rPr>
        <w:t>计算的结构自振周期应乘以</w:t>
      </w:r>
      <w:r>
        <w:rPr>
          <w:rFonts w:hint="eastAsia" w:ascii="宋体" w:cs="Times New Roman"/>
          <w:color w:val="000000" w:themeColor="text1"/>
          <w:szCs w:val="21"/>
          <w14:textFill>
            <w14:solidFill>
              <w14:schemeClr w14:val="tx1"/>
            </w14:solidFill>
          </w14:textFill>
        </w:rPr>
        <w:t>0.8～0.9的周期调整系数</w:t>
      </w:r>
      <w:r>
        <w:rPr>
          <w:rFonts w:hint="eastAsia" w:ascii="宋体" w:hAnsi="宋体" w:cs="Times New Roman"/>
          <w:color w:val="000000" w:themeColor="text1"/>
          <w:szCs w:val="21"/>
          <w14:textFill>
            <w14:solidFill>
              <w14:schemeClr w14:val="tx1"/>
            </w14:solidFill>
          </w14:textFill>
        </w:rPr>
        <w:t>，当没有围护结构及隔墙时，周期可不进行调整。</w:t>
      </w:r>
    </w:p>
    <w:p>
      <w:pPr>
        <w:autoSpaceDE w:val="0"/>
        <w:autoSpaceDN w:val="0"/>
        <w:spacing w:line="360" w:lineRule="auto"/>
        <w:ind w:firstLine="420"/>
        <w:jc w:val="left"/>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5 对</w:t>
      </w:r>
      <w:r>
        <w:rPr>
          <w:rFonts w:hint="eastAsia" w:ascii="宋体" w:hAnsi="宋体" w:cs="MS Mincho"/>
          <w:color w:val="000000" w:themeColor="text1"/>
          <w:kern w:val="0"/>
          <w:szCs w:val="21"/>
          <w14:textFill>
            <w14:solidFill>
              <w14:schemeClr w14:val="tx1"/>
            </w14:solidFill>
          </w14:textFill>
        </w:rPr>
        <w:t>有防腐</w:t>
      </w:r>
      <w:r>
        <w:rPr>
          <w:rFonts w:hint="eastAsia" w:ascii="宋体" w:hAnsi="宋体" w:cs="Times New Roman"/>
          <w:color w:val="000000" w:themeColor="text1"/>
          <w:kern w:val="0"/>
          <w:szCs w:val="21"/>
          <w14:textFill>
            <w14:solidFill>
              <w14:schemeClr w14:val="tx1"/>
            </w14:solidFill>
          </w14:textFill>
        </w:rPr>
        <w:t>蚀</w:t>
      </w:r>
      <w:r>
        <w:rPr>
          <w:rFonts w:hint="eastAsia" w:ascii="宋体" w:hAnsi="宋体" w:cs="MS Mincho"/>
          <w:color w:val="000000" w:themeColor="text1"/>
          <w:kern w:val="0"/>
          <w:szCs w:val="21"/>
          <w14:textFill>
            <w14:solidFill>
              <w14:schemeClr w14:val="tx1"/>
            </w14:solidFill>
          </w14:textFill>
        </w:rPr>
        <w:t>要求的框架和框架</w:t>
      </w:r>
      <w:r>
        <w:rPr>
          <w:rFonts w:hint="eastAsia" w:ascii="宋体" w:hAnsi="宋体" w:cs="HiddenHorzOCR"/>
          <w:color w:val="000000" w:themeColor="text1"/>
          <w:kern w:val="0"/>
          <w:szCs w:val="21"/>
          <w14:textFill>
            <w14:solidFill>
              <w14:schemeClr w14:val="tx1"/>
            </w14:solidFill>
          </w14:textFill>
        </w:rPr>
        <w:t>-抗震墙</w:t>
      </w:r>
      <w:r>
        <w:rPr>
          <w:rFonts w:hint="eastAsia" w:ascii="宋体" w:hAnsi="宋体" w:cs="Times New Roman"/>
          <w:color w:val="000000" w:themeColor="text1"/>
          <w:kern w:val="0"/>
          <w:szCs w:val="21"/>
          <w14:textFill>
            <w14:solidFill>
              <w14:schemeClr w14:val="tx1"/>
            </w14:solidFill>
          </w14:textFill>
        </w:rPr>
        <w:t>结</w:t>
      </w:r>
      <w:r>
        <w:rPr>
          <w:rFonts w:hint="eastAsia" w:ascii="宋体" w:hAnsi="宋体" w:cs="MS Mincho"/>
          <w:color w:val="000000" w:themeColor="text1"/>
          <w:kern w:val="0"/>
          <w:szCs w:val="21"/>
          <w14:textFill>
            <w14:solidFill>
              <w14:schemeClr w14:val="tx1"/>
            </w14:solidFill>
          </w14:textFill>
        </w:rPr>
        <w:t>构，尚宜按第</w:t>
      </w:r>
      <w:r>
        <w:rPr>
          <w:rFonts w:hint="eastAsia" w:ascii="宋体" w:hAnsi="宋体" w:cs="HiddenHorzOCR"/>
          <w:color w:val="000000" w:themeColor="text1"/>
          <w:kern w:val="0"/>
          <w:szCs w:val="21"/>
          <w14:textFill>
            <w14:solidFill>
              <w14:schemeClr w14:val="tx1"/>
            </w14:solidFill>
          </w14:textFill>
        </w:rPr>
        <w:t>4.7.1条的要求和</w:t>
      </w:r>
      <w:r>
        <w:rPr>
          <w:rFonts w:hint="eastAsia" w:ascii="宋体" w:hAnsi="宋体" w:cs="Times New Roman"/>
          <w:color w:val="000000" w:themeColor="text1"/>
          <w:kern w:val="0"/>
          <w:szCs w:val="21"/>
          <w14:textFill>
            <w14:solidFill>
              <w14:schemeClr w14:val="tx1"/>
            </w14:solidFill>
          </w14:textFill>
        </w:rPr>
        <w:t>规</w:t>
      </w:r>
      <w:r>
        <w:rPr>
          <w:rFonts w:hint="eastAsia" w:ascii="宋体" w:hAnsi="宋体" w:cs="MS Mincho"/>
          <w:color w:val="000000" w:themeColor="text1"/>
          <w:kern w:val="0"/>
          <w:szCs w:val="21"/>
          <w14:textFill>
            <w14:solidFill>
              <w14:schemeClr w14:val="tx1"/>
            </w14:solidFill>
          </w14:textFill>
        </w:rPr>
        <w:t>定，</w:t>
      </w:r>
      <w:r>
        <w:rPr>
          <w:rFonts w:hint="eastAsia" w:ascii="宋体" w:hAnsi="宋体" w:cs="Times New Roman"/>
          <w:color w:val="000000" w:themeColor="text1"/>
          <w:kern w:val="0"/>
          <w:szCs w:val="21"/>
          <w14:textFill>
            <w14:solidFill>
              <w14:schemeClr w14:val="tx1"/>
            </w14:solidFill>
          </w14:textFill>
        </w:rPr>
        <w:t>进</w:t>
      </w:r>
      <w:r>
        <w:rPr>
          <w:rFonts w:hint="eastAsia" w:ascii="宋体" w:hAnsi="宋体" w:cs="MS Mincho"/>
          <w:color w:val="000000" w:themeColor="text1"/>
          <w:kern w:val="0"/>
          <w:szCs w:val="21"/>
          <w14:textFill>
            <w14:solidFill>
              <w14:schemeClr w14:val="tx1"/>
            </w14:solidFill>
          </w14:textFill>
        </w:rPr>
        <w:t>行多遇水平地震作用</w:t>
      </w:r>
      <w:r>
        <w:rPr>
          <w:rFonts w:hint="eastAsia" w:ascii="宋体" w:hAnsi="宋体" w:cs="HiddenHorzOCR"/>
          <w:color w:val="000000" w:themeColor="text1"/>
          <w:kern w:val="0"/>
          <w:szCs w:val="21"/>
          <w14:textFill>
            <w14:solidFill>
              <w14:schemeClr w14:val="tx1"/>
            </w14:solidFill>
          </w14:textFill>
        </w:rPr>
        <w:t>下</w:t>
      </w:r>
      <w:r>
        <w:rPr>
          <w:rFonts w:hint="eastAsia" w:ascii="宋体" w:hAnsi="宋体" w:cs="Times New Roman"/>
          <w:color w:val="000000" w:themeColor="text1"/>
          <w:kern w:val="0"/>
          <w:szCs w:val="21"/>
          <w14:textFill>
            <w14:solidFill>
              <w14:schemeClr w14:val="tx1"/>
            </w14:solidFill>
          </w14:textFill>
        </w:rPr>
        <w:t>结</w:t>
      </w:r>
      <w:r>
        <w:rPr>
          <w:rFonts w:hint="eastAsia" w:ascii="宋体" w:hAnsi="宋体" w:cs="MS Mincho"/>
          <w:color w:val="000000" w:themeColor="text1"/>
          <w:kern w:val="0"/>
          <w:szCs w:val="21"/>
          <w14:textFill>
            <w14:solidFill>
              <w14:schemeClr w14:val="tx1"/>
            </w14:solidFill>
          </w14:textFill>
        </w:rPr>
        <w:t>构的</w:t>
      </w:r>
      <w:r>
        <w:rPr>
          <w:rFonts w:hint="eastAsia" w:ascii="宋体" w:hAnsi="宋体" w:cs="Times New Roman"/>
          <w:color w:val="000000" w:themeColor="text1"/>
          <w:kern w:val="0"/>
          <w:szCs w:val="21"/>
          <w14:textFill>
            <w14:solidFill>
              <w14:schemeClr w14:val="tx1"/>
            </w14:solidFill>
          </w14:textFill>
        </w:rPr>
        <w:t>弹</w:t>
      </w:r>
      <w:r>
        <w:rPr>
          <w:rFonts w:hint="eastAsia" w:ascii="宋体" w:hAnsi="宋体" w:cs="MS Mincho"/>
          <w:color w:val="000000" w:themeColor="text1"/>
          <w:kern w:val="0"/>
          <w:szCs w:val="21"/>
          <w14:textFill>
            <w14:solidFill>
              <w14:schemeClr w14:val="tx1"/>
            </w14:solidFill>
          </w14:textFill>
        </w:rPr>
        <w:t>性</w:t>
      </w:r>
      <w:r>
        <w:rPr>
          <w:rFonts w:hint="eastAsia" w:ascii="宋体" w:hAnsi="宋体" w:cs="Times New Roman"/>
          <w:color w:val="000000" w:themeColor="text1"/>
          <w:kern w:val="0"/>
          <w:szCs w:val="21"/>
          <w14:textFill>
            <w14:solidFill>
              <w14:schemeClr w14:val="tx1"/>
            </w14:solidFill>
          </w14:textFill>
        </w:rPr>
        <w:t>变</w:t>
      </w:r>
      <w:r>
        <w:rPr>
          <w:rFonts w:hint="eastAsia" w:ascii="宋体" w:hAnsi="宋体" w:cs="MS Mincho"/>
          <w:color w:val="000000" w:themeColor="text1"/>
          <w:kern w:val="0"/>
          <w:szCs w:val="21"/>
          <w14:textFill>
            <w14:solidFill>
              <w14:schemeClr w14:val="tx1"/>
            </w14:solidFill>
          </w14:textFill>
        </w:rPr>
        <w:t>形</w:t>
      </w:r>
      <w:r>
        <w:rPr>
          <w:rFonts w:hint="eastAsia" w:ascii="宋体" w:hAnsi="宋体" w:cs="Times New Roman"/>
          <w:color w:val="000000" w:themeColor="text1"/>
          <w:kern w:val="0"/>
          <w:szCs w:val="21"/>
          <w14:textFill>
            <w14:solidFill>
              <w14:schemeClr w14:val="tx1"/>
            </w14:solidFill>
          </w14:textFill>
        </w:rPr>
        <w:t>验</w:t>
      </w:r>
      <w:r>
        <w:rPr>
          <w:rFonts w:hint="eastAsia" w:ascii="宋体" w:hAnsi="宋体" w:cs="MS Mincho"/>
          <w:color w:val="000000" w:themeColor="text1"/>
          <w:kern w:val="0"/>
          <w:szCs w:val="21"/>
          <w14:textFill>
            <w14:solidFill>
              <w14:schemeClr w14:val="tx1"/>
            </w14:solidFill>
          </w14:textFill>
        </w:rPr>
        <w:t>算。</w:t>
      </w:r>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r>
        <w:rPr>
          <w:rFonts w:hint="eastAsia" w:cs="Times New Roman"/>
          <w:color w:val="000000" w:themeColor="text1"/>
          <w:szCs w:val="21"/>
          <w14:textFill>
            <w14:solidFill>
              <w14:schemeClr w14:val="tx1"/>
            </w14:solidFill>
          </w14:textFill>
        </w:rPr>
        <w:t>8.2.</w:t>
      </w:r>
      <w:r>
        <w:rPr>
          <w:rFonts w:cs="Times New Roman"/>
          <w:color w:val="000000" w:themeColor="text1"/>
          <w:szCs w:val="21"/>
          <w14:textFill>
            <w14:solidFill>
              <w14:schemeClr w14:val="tx1"/>
            </w14:solidFill>
          </w14:textFill>
        </w:rPr>
        <w:t xml:space="preserve">3 </w:t>
      </w:r>
      <w:r>
        <w:rPr>
          <w:rFonts w:hint="eastAsia" w:ascii="宋体" w:hAnsi="宋体" w:cs="Times New Roman"/>
          <w:color w:val="000000" w:themeColor="text1"/>
          <w:szCs w:val="21"/>
          <w14:textFill>
            <w14:solidFill>
              <w14:schemeClr w14:val="tx1"/>
            </w14:solidFill>
          </w14:textFill>
        </w:rPr>
        <w:t>设有筒仓的框排架结构计算地震作用时，贮料重力荷载代表值可按下式确定：</w:t>
      </w:r>
    </w:p>
    <w:p>
      <w:pPr>
        <w:spacing w:line="360" w:lineRule="auto"/>
        <w:ind w:firstLine="420"/>
        <w:jc w:val="center"/>
        <w:rPr>
          <w:rFonts w:cs="Times New Roman"/>
          <w:color w:val="000000" w:themeColor="text1"/>
          <w:szCs w:val="21"/>
          <w14:textFill>
            <w14:solidFill>
              <w14:schemeClr w14:val="tx1"/>
            </w14:solidFill>
          </w14:textFill>
        </w:rPr>
      </w:pPr>
      <m:oMath>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G</m:t>
            </m:r>
            <m:ctrlPr>
              <w:rPr>
                <w:rFonts w:ascii="Cambria Math" w:hAnsi="Cambria Math" w:cs="Times New Roman"/>
                <w:i/>
                <w:color w:val="000000" w:themeColor="text1"/>
                <w:szCs w:val="21"/>
                <w14:textFill>
                  <w14:solidFill>
                    <w14:schemeClr w14:val="tx1"/>
                  </w14:solidFill>
                </w14:textFill>
              </w:rPr>
            </m:ctrlPr>
          </m:e>
          <m:sub>
            <m:r>
              <w:rPr>
                <w:rFonts w:hint="eastAsia" w:ascii="Cambria Math" w:hAnsi="Cambria Math" w:cs="Times New Roman"/>
                <w:color w:val="000000" w:themeColor="text1"/>
                <w:szCs w:val="21"/>
                <w14:textFill>
                  <w14:solidFill>
                    <w14:schemeClr w14:val="tx1"/>
                  </w14:solidFill>
                </w14:textFill>
              </w:rPr>
              <m:t>zeq</m:t>
            </m:r>
            <m:ctrlPr>
              <w:rPr>
                <w:rFonts w:ascii="Cambria Math" w:hAnsi="Cambria Math" w:cs="Times New Roman"/>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oMath>
      <w:r>
        <w:rPr>
          <w:rFonts w:cs="Times New Roman"/>
          <w:color w:val="000000" w:themeColor="text1"/>
          <w:szCs w:val="21"/>
          <w14:textFill>
            <w14:solidFill>
              <w14:schemeClr w14:val="tx1"/>
            </w14:solidFill>
          </w14:textFill>
        </w:rPr>
        <w:t xml:space="preserve"> </w:t>
      </w:r>
      <w:r>
        <w:rPr>
          <w:rFonts w:hint="eastAsia" w:ascii="等线" w:hAnsi="等线" w:eastAsia="等线" w:cs="Times New Roman"/>
          <w:i/>
          <w:iCs/>
          <w:color w:val="000000" w:themeColor="text1"/>
          <w:szCs w:val="21"/>
          <w14:textFill>
            <w14:solidFill>
              <w14:schemeClr w14:val="tx1"/>
            </w14:solidFill>
          </w14:textFill>
        </w:rPr>
        <w:t>ψ</w:t>
      </w:r>
      <m:oMath>
        <m:r>
          <w:rPr>
            <w:rFonts w:ascii="Cambria Math" w:hAnsi="Cambria Math" w:eastAsia="等线" w:cs="Times New Roman"/>
            <w:color w:val="000000" w:themeColor="text1"/>
            <w:szCs w:val="21"/>
            <w14:textFill>
              <w14:solidFill>
                <w14:schemeClr w14:val="tx1"/>
              </w14:solidFill>
            </w14:textFill>
          </w:rPr>
          <m:t xml:space="preserve"> </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G</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z</m:t>
            </m:r>
            <m:ctrlPr>
              <w:rPr>
                <w:rFonts w:ascii="Cambria Math" w:hAnsi="Cambria Math" w:cs="Times New Roman"/>
                <w:i/>
                <w:color w:val="000000" w:themeColor="text1"/>
                <w:szCs w:val="21"/>
                <w14:textFill>
                  <w14:solidFill>
                    <w14:schemeClr w14:val="tx1"/>
                  </w14:solidFill>
                </w14:textFill>
              </w:rPr>
            </m:ctrlPr>
          </m:sub>
        </m:sSub>
      </m:oMath>
      <w:r>
        <w:rPr>
          <w:rFonts w:cs="Times New Roman"/>
          <w:color w:val="000000" w:themeColor="text1"/>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8.2</w:t>
      </w: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-1</w:t>
      </w:r>
      <w:r>
        <w:rPr>
          <w:rFonts w:hint="eastAsia" w:ascii="宋体" w:hAnsi="宋体" w:cs="Times New Roman"/>
          <w:color w:val="000000" w:themeColor="text1"/>
          <w:szCs w:val="21"/>
          <w14:textFill>
            <w14:solidFill>
              <w14:schemeClr w14:val="tx1"/>
            </w14:solidFill>
          </w14:textFill>
        </w:rPr>
        <w:t>）</w:t>
      </w:r>
    </w:p>
    <w:p>
      <w:pPr>
        <w:spacing w:line="360" w:lineRule="auto"/>
        <w:ind w:firstLine="0" w:firstLineChars="0"/>
        <w:rPr>
          <w:rFonts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m:oMath>
        <m:r>
          <w:rPr>
            <w:rFonts w:ascii="Cambria Math" w:hAnsi="Cambria Math" w:cs="Times New Roman"/>
            <w:color w:val="000000" w:themeColor="text1"/>
            <w:szCs w:val="21"/>
            <w14:textFill>
              <w14:solidFill>
                <w14:schemeClr w14:val="tx1"/>
              </w14:solidFill>
            </w14:textFill>
          </w:rPr>
          <m:t xml:space="preserve"> </m:t>
        </m:r>
        <m:sSub>
          <m:sSubPr>
            <m:ctrlPr>
              <w:rPr>
                <w:rFonts w:ascii="Cambria Math" w:hAnsi="Cambria Math" w:cs="Times New Roman"/>
                <w:i/>
                <w:color w:val="000000" w:themeColor="text1"/>
                <w:szCs w:val="21"/>
                <w14:textFill>
                  <w14:solidFill>
                    <w14:schemeClr w14:val="tx1"/>
                  </w14:solidFill>
                </w14:textFill>
              </w:rPr>
            </m:ctrlPr>
          </m:sSubPr>
          <m:e>
            <w:bookmarkStart w:id="151" w:name="_Hlk46035012"/>
            <m:r>
              <w:rPr>
                <w:rFonts w:ascii="Cambria Math" w:hAnsi="Cambria Math" w:cs="Times New Roman"/>
                <w:color w:val="000000" w:themeColor="text1"/>
                <w:szCs w:val="21"/>
                <w14:textFill>
                  <w14:solidFill>
                    <w14:schemeClr w14:val="tx1"/>
                  </w14:solidFill>
                </w14:textFill>
              </w:rPr>
              <m:t>G</m:t>
            </m:r>
            <m:ctrlPr>
              <w:rPr>
                <w:rFonts w:ascii="Cambria Math" w:hAnsi="Cambria Math" w:cs="Times New Roman"/>
                <w:i/>
                <w:color w:val="000000" w:themeColor="text1"/>
                <w:szCs w:val="21"/>
                <w14:textFill>
                  <w14:solidFill>
                    <w14:schemeClr w14:val="tx1"/>
                  </w14:solidFill>
                </w14:textFill>
              </w:rPr>
            </m:ctrlPr>
          </m:e>
          <m:sub>
            <m:r>
              <w:rPr>
                <w:rFonts w:hint="eastAsia" w:ascii="Cambria Math" w:hAnsi="Cambria Math" w:cs="Times New Roman"/>
                <w:color w:val="000000" w:themeColor="text1"/>
                <w:szCs w:val="21"/>
                <w14:textFill>
                  <w14:solidFill>
                    <w14:schemeClr w14:val="tx1"/>
                  </w14:solidFill>
                </w14:textFill>
              </w:rPr>
              <m:t>zeq</m:t>
            </m:r>
            <w:bookmarkEnd w:id="151"/>
            <m:ctrlPr>
              <w:rPr>
                <w:rFonts w:ascii="Cambria Math" w:hAnsi="Cambria Math" w:cs="Times New Roman"/>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oMath>
      <w:r>
        <w:rPr>
          <w:rFonts w:hint="eastAsia" w:cs="Times New Roman"/>
          <w:color w:val="000000" w:themeColor="text1"/>
          <w:szCs w:val="21"/>
          <w14:textFill>
            <w14:solidFill>
              <w14:schemeClr w14:val="tx1"/>
            </w14:solidFill>
          </w14:textFill>
        </w:rPr>
        <w:t>贮料重力荷载代表值；</w:t>
      </w:r>
    </w:p>
    <w:p>
      <w:pPr>
        <w:spacing w:line="360" w:lineRule="auto"/>
        <w:ind w:firstLine="619" w:firstLineChars="295"/>
        <w:rPr>
          <w:rFonts w:cs="Times New Roman"/>
          <w:color w:val="000000" w:themeColor="text1"/>
          <w:szCs w:val="21"/>
          <w14:textFill>
            <w14:solidFill>
              <w14:schemeClr w14:val="tx1"/>
            </w14:solidFill>
          </w14:textFill>
        </w:rPr>
      </w:pPr>
      <w:bookmarkStart w:id="152" w:name="_Hlk46035022"/>
      <w:r>
        <w:rPr>
          <w:rFonts w:hint="eastAsia" w:ascii="等线" w:hAnsi="等线" w:eastAsia="等线" w:cs="Times New Roman"/>
          <w:i/>
          <w:iCs/>
          <w:color w:val="000000" w:themeColor="text1"/>
          <w:szCs w:val="21"/>
          <w14:textFill>
            <w14:solidFill>
              <w14:schemeClr w14:val="tx1"/>
            </w14:solidFill>
          </w14:textFill>
        </w:rPr>
        <w:t>ψ</w:t>
      </w:r>
      <w:bookmarkEnd w:id="152"/>
      <w:r>
        <w:rPr>
          <w:rFonts w:hint="eastAsia" w:cs="Times New Roman"/>
          <w:color w:val="000000" w:themeColor="text1"/>
          <w:szCs w:val="21"/>
          <w14:textFill>
            <w14:solidFill>
              <w14:schemeClr w14:val="tx1"/>
            </w14:solidFill>
          </w14:textFill>
        </w:rPr>
        <w:t>——充盈系数，对单仓和双联仓，可取</w:t>
      </w:r>
      <w:r>
        <w:rPr>
          <w:rFonts w:cs="Times New Roman"/>
          <w:color w:val="000000" w:themeColor="text1"/>
          <w:szCs w:val="21"/>
          <w14:textFill>
            <w14:solidFill>
              <w14:schemeClr w14:val="tx1"/>
            </w14:solidFill>
          </w14:textFill>
        </w:rPr>
        <w:t>0.9</w:t>
      </w:r>
      <w:r>
        <w:rPr>
          <w:rFonts w:hint="eastAsia" w:ascii="宋体" w:hAnsi="宋体" w:cs="Times New Roman"/>
          <w:color w:val="000000" w:themeColor="text1"/>
          <w:szCs w:val="21"/>
          <w14:textFill>
            <w14:solidFill>
              <w14:schemeClr w14:val="tx1"/>
            </w14:solidFill>
          </w14:textFill>
        </w:rPr>
        <w:t>；对多联仓，可取</w:t>
      </w:r>
      <w:r>
        <w:rPr>
          <w:rFonts w:cs="Times New Roman"/>
          <w:color w:val="000000" w:themeColor="text1"/>
          <w:szCs w:val="21"/>
          <w14:textFill>
            <w14:solidFill>
              <w14:schemeClr w14:val="tx1"/>
            </w14:solidFill>
          </w14:textFill>
        </w:rPr>
        <w:t>0.8</w:t>
      </w:r>
      <w:r>
        <w:rPr>
          <w:rFonts w:hint="eastAsia" w:ascii="宋体" w:hAnsi="宋体" w:cs="Times New Roman"/>
          <w:color w:val="000000" w:themeColor="text1"/>
          <w:szCs w:val="21"/>
          <w14:textFill>
            <w14:solidFill>
              <w14:schemeClr w14:val="tx1"/>
            </w14:solidFill>
          </w14:textFill>
        </w:rPr>
        <w:t>；</w:t>
      </w:r>
    </w:p>
    <w:p>
      <w:pPr>
        <w:autoSpaceDE w:val="0"/>
        <w:autoSpaceDN w:val="0"/>
        <w:spacing w:line="360" w:lineRule="auto"/>
        <w:ind w:firstLine="619" w:firstLineChars="295"/>
        <w:jc w:val="left"/>
        <w:rPr>
          <w:rFonts w:cs="Times New Roman"/>
          <w:color w:val="000000" w:themeColor="text1"/>
          <w:szCs w:val="21"/>
          <w14:textFill>
            <w14:solidFill>
              <w14:schemeClr w14:val="tx1"/>
            </w14:solidFill>
          </w14:textFill>
        </w:rPr>
      </w:pPr>
      <m:oMath>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G</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z</m:t>
            </m:r>
            <m:ctrlPr>
              <w:rPr>
                <w:rFonts w:ascii="Cambria Math" w:hAnsi="Cambria Math" w:cs="Times New Roman"/>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oMath>
      <w:r>
        <w:rPr>
          <w:rFonts w:hint="eastAsia" w:cs="Times New Roman"/>
          <w:color w:val="000000" w:themeColor="text1"/>
          <w:szCs w:val="21"/>
          <w14:textFill>
            <w14:solidFill>
              <w14:schemeClr w14:val="tx1"/>
            </w14:solidFill>
          </w14:textFill>
        </w:rPr>
        <w:t>按筒仓实际容积计算的贮料荷载标准值。</w:t>
      </w:r>
    </w:p>
    <w:p>
      <w:pPr>
        <w:autoSpaceDE w:val="0"/>
        <w:autoSpaceDN w:val="0"/>
        <w:spacing w:line="360" w:lineRule="auto"/>
        <w:ind w:firstLine="409" w:firstLineChars="195"/>
        <w:jc w:val="left"/>
        <w:rPr>
          <w:rFonts w:cs="Times New Roman"/>
          <w:color w:val="000000" w:themeColor="text1"/>
          <w:szCs w:val="21"/>
          <w14:textFill>
            <w14:solidFill>
              <w14:schemeClr w14:val="tx1"/>
            </w14:solidFill>
          </w14:textFill>
        </w:rPr>
      </w:pPr>
    </w:p>
    <w:p>
      <w:pPr>
        <w:pStyle w:val="3"/>
        <w:rPr>
          <w:rFonts w:cs="MS Mincho"/>
        </w:rPr>
      </w:pPr>
      <w:bookmarkStart w:id="153" w:name="_Toc48841046"/>
      <w:r>
        <w:rPr>
          <w:rFonts w:hint="eastAsia"/>
        </w:rPr>
        <w:t>抗震验</w:t>
      </w:r>
      <w:r>
        <w:rPr>
          <w:rFonts w:hint="eastAsia" w:cs="MS Mincho"/>
        </w:rPr>
        <w:t>算</w:t>
      </w:r>
      <w:r>
        <w:rPr>
          <w:rFonts w:hint="eastAsia"/>
        </w:rPr>
        <w:t>（2）——</w:t>
      </w:r>
      <w:bookmarkStart w:id="154" w:name="_Hlk16335754"/>
      <w:bookmarkEnd w:id="154"/>
      <w:r>
        <w:rPr>
          <w:rFonts w:hint="eastAsia"/>
        </w:rPr>
        <w:t>设备</w:t>
      </w:r>
      <w:r>
        <w:rPr>
          <w:rFonts w:hint="eastAsia" w:cs="MS Mincho"/>
        </w:rPr>
        <w:t>地震作用</w:t>
      </w:r>
      <w:r>
        <w:rPr>
          <w:rFonts w:hint="eastAsia"/>
        </w:rPr>
        <w:t>计</w:t>
      </w:r>
      <w:r>
        <w:rPr>
          <w:rFonts w:hint="eastAsia" w:cs="MS Mincho"/>
        </w:rPr>
        <w:t>算</w:t>
      </w:r>
      <w:bookmarkEnd w:id="153"/>
    </w:p>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p>
    <w:p>
      <w:pPr>
        <w:spacing w:line="36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8.3.1 本节适用于支承设备的多层混凝土结构设计，设备通过支座或裙座可靠连接于结构上。</w:t>
      </w:r>
    </w:p>
    <w:p>
      <w:pPr>
        <w:autoSpaceDE w:val="0"/>
        <w:autoSpaceDN w:val="0"/>
        <w:spacing w:line="360" w:lineRule="auto"/>
        <w:ind w:firstLine="0" w:firstLineChars="0"/>
        <w:jc w:val="left"/>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8.3.2 设备按受力特性可分为刚性设备和柔性设备，主要设备类型见表8.3.2-1。</w:t>
      </w:r>
    </w:p>
    <w:p>
      <w:pPr>
        <w:autoSpaceDE w:val="0"/>
        <w:autoSpaceDN w:val="0"/>
        <w:spacing w:line="360" w:lineRule="auto"/>
        <w:ind w:firstLine="0" w:firstLineChars="0"/>
        <w:jc w:val="left"/>
        <w:rPr>
          <w:rFonts w:ascii="宋体" w:hAnsi="宋体" w:cs="Times New Roman"/>
          <w:color w:val="000000" w:themeColor="text1"/>
          <w:kern w:val="0"/>
          <w:szCs w:val="21"/>
          <w14:textFill>
            <w14:solidFill>
              <w14:schemeClr w14:val="tx1"/>
            </w14:solidFill>
          </w14:textFill>
        </w:rPr>
      </w:pPr>
    </w:p>
    <w:p>
      <w:pPr>
        <w:autoSpaceDE w:val="0"/>
        <w:autoSpaceDN w:val="0"/>
        <w:spacing w:line="360" w:lineRule="auto"/>
        <w:ind w:left="210" w:hanging="210" w:hangingChars="10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表8.3.2-1 设备类型</w:t>
      </w:r>
    </w:p>
    <w:tbl>
      <w:tblPr>
        <w:tblStyle w:val="32"/>
        <w:tblW w:w="5000" w:type="pct"/>
        <w:tblInd w:w="0" w:type="dxa"/>
        <w:tblLayout w:type="autofit"/>
        <w:tblCellMar>
          <w:top w:w="0" w:type="dxa"/>
          <w:left w:w="108" w:type="dxa"/>
          <w:bottom w:w="0" w:type="dxa"/>
          <w:right w:w="108" w:type="dxa"/>
        </w:tblCellMar>
      </w:tblPr>
      <w:tblGrid>
        <w:gridCol w:w="2372"/>
        <w:gridCol w:w="2383"/>
        <w:gridCol w:w="4476"/>
      </w:tblGrid>
      <w:tr>
        <w:tblPrEx>
          <w:tblCellMar>
            <w:top w:w="0" w:type="dxa"/>
            <w:left w:w="108" w:type="dxa"/>
            <w:bottom w:w="0" w:type="dxa"/>
            <w:right w:w="108" w:type="dxa"/>
          </w:tblCellMar>
        </w:tblPrEx>
        <w:trPr>
          <w:tblHeader/>
        </w:trPr>
        <w:tc>
          <w:tcPr>
            <w:tcW w:w="2576" w:type="pct"/>
            <w:gridSpan w:val="2"/>
            <w:tcBorders>
              <w:top w:val="single" w:color="auto" w:sz="4" w:space="0"/>
              <w:left w:val="single" w:color="auto" w:sz="4" w:space="0"/>
              <w:bottom w:val="single" w:color="auto" w:sz="4" w:space="0"/>
              <w:right w:val="single" w:color="auto" w:sz="4" w:space="0"/>
            </w:tcBorders>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设备类型</w:t>
            </w:r>
          </w:p>
        </w:tc>
        <w:tc>
          <w:tcPr>
            <w:tcW w:w="2424" w:type="pct"/>
            <w:tcBorders>
              <w:top w:val="single" w:color="auto" w:sz="4" w:space="0"/>
              <w:left w:val="nil"/>
              <w:bottom w:val="single" w:color="auto" w:sz="4" w:space="0"/>
              <w:right w:val="single" w:color="auto" w:sz="4" w:space="0"/>
            </w:tcBorders>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常见设备</w:t>
            </w:r>
          </w:p>
        </w:tc>
      </w:tr>
      <w:tr>
        <w:tblPrEx>
          <w:tblCellMar>
            <w:top w:w="0" w:type="dxa"/>
            <w:left w:w="108" w:type="dxa"/>
            <w:bottom w:w="0" w:type="dxa"/>
            <w:right w:w="108" w:type="dxa"/>
          </w:tblCellMar>
        </w:tblPrEx>
        <w:tc>
          <w:tcPr>
            <w:tcW w:w="1285" w:type="pct"/>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刚性设备</w:t>
            </w:r>
          </w:p>
        </w:tc>
        <w:tc>
          <w:tcPr>
            <w:tcW w:w="1291" w:type="pct"/>
            <w:tcBorders>
              <w:top w:val="single" w:color="auto" w:sz="4" w:space="0"/>
              <w:left w:val="nil"/>
              <w:bottom w:val="single" w:color="auto" w:sz="4" w:space="0"/>
              <w:right w:val="single" w:color="auto" w:sz="4" w:space="0"/>
            </w:tcBorders>
            <w:vAlign w:val="center"/>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块式设备</w:t>
            </w:r>
          </w:p>
        </w:tc>
        <w:tc>
          <w:tcPr>
            <w:tcW w:w="2424" w:type="pct"/>
            <w:tcBorders>
              <w:top w:val="single" w:color="auto" w:sz="4" w:space="0"/>
              <w:left w:val="nil"/>
              <w:bottom w:val="single" w:color="auto" w:sz="4" w:space="0"/>
              <w:right w:val="single" w:color="auto" w:sz="4" w:space="0"/>
            </w:tcBorders>
          </w:tcPr>
          <w:p>
            <w:pPr>
              <w:autoSpaceDE w:val="0"/>
              <w:autoSpaceDN w:val="0"/>
              <w:spacing w:line="360" w:lineRule="auto"/>
              <w:ind w:firstLine="420"/>
              <w:jc w:val="left"/>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储箱、柜式设备、变压器、泵、压缩机等设备（直接由设备梁支承）</w:t>
            </w:r>
          </w:p>
        </w:tc>
      </w:tr>
      <w:tr>
        <w:tblPrEx>
          <w:tblCellMar>
            <w:top w:w="0" w:type="dxa"/>
            <w:left w:w="108" w:type="dxa"/>
            <w:bottom w:w="0" w:type="dxa"/>
            <w:right w:w="108" w:type="dxa"/>
          </w:tblCellMar>
        </w:tblPrEx>
        <w:tc>
          <w:tcPr>
            <w:tcW w:w="1285" w:type="pct"/>
            <w:vMerge w:val="restart"/>
            <w:tcBorders>
              <w:top w:val="nil"/>
              <w:left w:val="single" w:color="auto" w:sz="4" w:space="0"/>
              <w:bottom w:val="single" w:color="auto" w:sz="4" w:space="0"/>
              <w:right w:val="single" w:color="auto" w:sz="4" w:space="0"/>
            </w:tcBorders>
            <w:vAlign w:val="center"/>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柔性设备</w:t>
            </w:r>
          </w:p>
        </w:tc>
        <w:tc>
          <w:tcPr>
            <w:tcW w:w="1291" w:type="pct"/>
            <w:tcBorders>
              <w:top w:val="single" w:color="auto" w:sz="4" w:space="0"/>
              <w:left w:val="nil"/>
              <w:bottom w:val="single" w:color="auto" w:sz="4" w:space="0"/>
              <w:right w:val="single" w:color="auto" w:sz="4" w:space="0"/>
            </w:tcBorders>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立式设备</w:t>
            </w:r>
          </w:p>
        </w:tc>
        <w:tc>
          <w:tcPr>
            <w:tcW w:w="2424" w:type="pct"/>
            <w:tcBorders>
              <w:top w:val="single" w:color="auto" w:sz="4" w:space="0"/>
              <w:left w:val="nil"/>
              <w:bottom w:val="single" w:color="auto" w:sz="4" w:space="0"/>
              <w:right w:val="single" w:color="auto" w:sz="4" w:space="0"/>
            </w:tcBorders>
          </w:tcPr>
          <w:p>
            <w:pPr>
              <w:autoSpaceDE w:val="0"/>
              <w:autoSpaceDN w:val="0"/>
              <w:spacing w:line="360" w:lineRule="auto"/>
              <w:ind w:firstLine="420"/>
              <w:jc w:val="left"/>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立式容器、塔型容器（直接由设备梁支承，属于高悬重心设备）</w:t>
            </w:r>
          </w:p>
        </w:tc>
      </w:tr>
      <w:tr>
        <w:tblPrEx>
          <w:tblCellMar>
            <w:top w:w="0" w:type="dxa"/>
            <w:left w:w="108" w:type="dxa"/>
            <w:bottom w:w="0" w:type="dxa"/>
            <w:right w:w="108" w:type="dxa"/>
          </w:tblCellMar>
        </w:tblPrEx>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ind w:firstLine="0" w:firstLineChars="0"/>
              <w:jc w:val="left"/>
              <w:rPr>
                <w:rFonts w:ascii="宋体" w:hAnsi="宋体" w:cs="MS Mincho"/>
                <w:color w:val="000000" w:themeColor="text1"/>
                <w:kern w:val="0"/>
                <w:szCs w:val="21"/>
                <w14:textFill>
                  <w14:solidFill>
                    <w14:schemeClr w14:val="tx1"/>
                  </w14:solidFill>
                </w14:textFill>
              </w:rPr>
            </w:pPr>
          </w:p>
        </w:tc>
        <w:tc>
          <w:tcPr>
            <w:tcW w:w="1291" w:type="pct"/>
            <w:tcBorders>
              <w:top w:val="single" w:color="auto" w:sz="4" w:space="0"/>
              <w:left w:val="nil"/>
              <w:bottom w:val="single" w:color="auto" w:sz="4" w:space="0"/>
              <w:right w:val="single" w:color="auto" w:sz="4" w:space="0"/>
            </w:tcBorders>
            <w:vAlign w:val="center"/>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卧式设备</w:t>
            </w:r>
          </w:p>
        </w:tc>
        <w:tc>
          <w:tcPr>
            <w:tcW w:w="2424" w:type="pct"/>
            <w:tcBorders>
              <w:top w:val="single" w:color="auto" w:sz="4" w:space="0"/>
              <w:left w:val="nil"/>
              <w:bottom w:val="single" w:color="auto" w:sz="4" w:space="0"/>
              <w:right w:val="single" w:color="auto" w:sz="4" w:space="0"/>
            </w:tcBorders>
          </w:tcPr>
          <w:p>
            <w:pPr>
              <w:autoSpaceDE w:val="0"/>
              <w:autoSpaceDN w:val="0"/>
              <w:spacing w:line="360" w:lineRule="auto"/>
              <w:ind w:firstLine="420"/>
              <w:jc w:val="left"/>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卧式容器、卧式冷换设备（一般通过结构支座支承于设备梁上）</w:t>
            </w:r>
          </w:p>
        </w:tc>
      </w:tr>
      <w:tr>
        <w:tblPrEx>
          <w:tblCellMar>
            <w:top w:w="0" w:type="dxa"/>
            <w:left w:w="108" w:type="dxa"/>
            <w:bottom w:w="0" w:type="dxa"/>
            <w:right w:w="108" w:type="dxa"/>
          </w:tblCellMar>
        </w:tblPrEx>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ind w:firstLine="0" w:firstLineChars="0"/>
              <w:jc w:val="left"/>
              <w:rPr>
                <w:rFonts w:ascii="宋体" w:hAnsi="宋体" w:cs="MS Mincho"/>
                <w:color w:val="000000" w:themeColor="text1"/>
                <w:kern w:val="0"/>
                <w:szCs w:val="21"/>
                <w14:textFill>
                  <w14:solidFill>
                    <w14:schemeClr w14:val="tx1"/>
                  </w14:solidFill>
                </w14:textFill>
              </w:rPr>
            </w:pPr>
          </w:p>
        </w:tc>
        <w:tc>
          <w:tcPr>
            <w:tcW w:w="1291" w:type="pct"/>
            <w:tcBorders>
              <w:top w:val="single" w:color="auto" w:sz="4" w:space="0"/>
              <w:left w:val="nil"/>
              <w:bottom w:val="single" w:color="auto" w:sz="4" w:space="0"/>
              <w:right w:val="single" w:color="auto" w:sz="4" w:space="0"/>
            </w:tcBorders>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构架式设备</w:t>
            </w:r>
          </w:p>
        </w:tc>
        <w:tc>
          <w:tcPr>
            <w:tcW w:w="2424" w:type="pct"/>
            <w:tcBorders>
              <w:top w:val="single" w:color="auto" w:sz="4" w:space="0"/>
              <w:left w:val="nil"/>
              <w:bottom w:val="single" w:color="auto" w:sz="4" w:space="0"/>
              <w:right w:val="single" w:color="auto" w:sz="4" w:space="0"/>
            </w:tcBorders>
          </w:tcPr>
          <w:p>
            <w:pPr>
              <w:autoSpaceDE w:val="0"/>
              <w:autoSpaceDN w:val="0"/>
              <w:spacing w:line="360" w:lineRule="auto"/>
              <w:ind w:firstLine="420"/>
              <w:jc w:val="center"/>
              <w:rPr>
                <w:rFonts w:ascii="宋体" w:hAnsi="宋体" w:cs="MS Mincho"/>
                <w:color w:val="000000" w:themeColor="text1"/>
                <w:kern w:val="0"/>
                <w:szCs w:val="21"/>
                <w14:textFill>
                  <w14:solidFill>
                    <w14:schemeClr w14:val="tx1"/>
                  </w14:solidFill>
                </w14:textFill>
              </w:rPr>
            </w:pPr>
            <w:r>
              <w:rPr>
                <w:rFonts w:hint="eastAsia" w:ascii="宋体" w:hAnsi="宋体" w:cs="MS Mincho"/>
                <w:color w:val="000000" w:themeColor="text1"/>
                <w:kern w:val="0"/>
                <w:szCs w:val="21"/>
                <w14:textFill>
                  <w14:solidFill>
                    <w14:schemeClr w14:val="tx1"/>
                  </w14:solidFill>
                </w14:textFill>
              </w:rPr>
              <w:t>空冷器等</w:t>
            </w:r>
          </w:p>
        </w:tc>
      </w:tr>
    </w:tbl>
    <w:p>
      <w:pPr>
        <w:autoSpaceDE w:val="0"/>
        <w:autoSpaceDN w:val="0"/>
        <w:spacing w:line="360" w:lineRule="auto"/>
        <w:ind w:left="180" w:hanging="180" w:hangingChars="100"/>
        <w:jc w:val="left"/>
        <w:rPr>
          <w:rFonts w:ascii="宋体" w:hAnsi="宋体" w:cs="Times New Roman"/>
          <w:color w:val="000000" w:themeColor="text1"/>
          <w:sz w:val="18"/>
          <w:szCs w:val="18"/>
          <w14:textFill>
            <w14:solidFill>
              <w14:schemeClr w14:val="tx1"/>
            </w14:solidFill>
          </w14:textFill>
        </w:rPr>
      </w:pPr>
      <w:r>
        <w:rPr>
          <w:rFonts w:hint="eastAsia" w:ascii="宋体" w:hAnsi="宋体" w:cs="Times New Roman"/>
          <w:color w:val="000000" w:themeColor="text1"/>
          <w:sz w:val="18"/>
          <w:szCs w:val="18"/>
          <w14:textFill>
            <w14:solidFill>
              <w14:schemeClr w14:val="tx1"/>
            </w14:solidFill>
          </w14:textFill>
        </w:rPr>
        <w:t>注：1 刚性设备指自振周期小于等于0.1s的设备，柔性设备指自振周期大于0.1s的设备。</w:t>
      </w:r>
    </w:p>
    <w:p>
      <w:pPr>
        <w:autoSpaceDE w:val="0"/>
        <w:autoSpaceDN w:val="0"/>
        <w:spacing w:line="360" w:lineRule="auto"/>
        <w:ind w:firstLine="0" w:firstLineChars="0"/>
        <w:jc w:val="left"/>
        <w:rPr>
          <w:rFonts w:ascii="宋体" w:hAnsi="宋体" w:cs="Times New Roman"/>
          <w:color w:val="000000" w:themeColor="text1"/>
          <w:sz w:val="18"/>
          <w:szCs w:val="18"/>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8.3.3 结构楼层支承柔性设备的重量不小于含设备的结构总重量的10%时，设备模型宜建入到主体结构模型中，设备应采用刚度和质量分布与实际相当的模型。</w:t>
      </w:r>
    </w:p>
    <w:p>
      <w:pPr>
        <w:autoSpaceDE w:val="0"/>
        <w:autoSpaceDN w:val="0"/>
        <w:spacing w:line="36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8.3.4 结构楼层支承刚性设备，或支承柔性设备的重量小于含设备的结构总重量的10%时，设备可不参与结构整体建模，只需要将设备及其操作介质重力荷载布置在设备梁上。 </w:t>
      </w:r>
    </w:p>
    <w:p>
      <w:pPr>
        <w:autoSpaceDE w:val="0"/>
        <w:autoSpaceDN w:val="0"/>
        <w:spacing w:line="36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8.3.5 支承设备的梁及其连接应进行抗震设计。设备不参与结构整体建模时，支承设备的构件及其连接应计及设备水平地震作用产生的附加弯矩，该水平地震作用可按下式计算</w:t>
      </w:r>
    </w:p>
    <w:p>
      <w:pPr>
        <w:autoSpaceDE w:val="0"/>
        <w:autoSpaceDN w:val="0"/>
        <w:spacing w:line="360" w:lineRule="auto"/>
        <w:ind w:left="210" w:hanging="210" w:hangingChars="100"/>
        <w:jc w:val="center"/>
        <w:rPr>
          <w:rFonts w:ascii="宋体" w:hAnsi="宋体" w:cs="Times New Roman"/>
          <w:color w:val="000000" w:themeColor="text1"/>
          <w:szCs w:val="21"/>
          <w14:textFill>
            <w14:solidFill>
              <w14:schemeClr w14:val="tx1"/>
            </w14:solidFill>
          </w14:textFill>
        </w:rPr>
      </w:pPr>
      <m:oMath>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sk</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α</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max</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(1+</m:t>
        </m:r>
        <m:f>
          <m:fPr>
            <m:ctrlPr>
              <w:rPr>
                <w:rFonts w:ascii="Cambria Math" w:hAnsi="Cambria Math" w:cs="Times New Roman"/>
                <w:color w:val="000000" w:themeColor="text1"/>
                <w:szCs w:val="21"/>
                <w14:textFill>
                  <w14:solidFill>
                    <w14:schemeClr w14:val="tx1"/>
                  </w14:solidFill>
                </w14:textFill>
              </w:rPr>
            </m:ctrlPr>
          </m:fPr>
          <m:num>
            <m:r>
              <w:rPr>
                <w:rFonts w:ascii="Cambria Math" w:hAnsi="Cambria Math" w:cs="Times New Roman"/>
                <w:color w:val="000000" w:themeColor="text1"/>
                <w:szCs w:val="21"/>
                <w14:textFill>
                  <w14:solidFill>
                    <w14:schemeClr w14:val="tx1"/>
                  </w14:solidFill>
                </w14:textFill>
              </w:rPr>
              <m:t>z</m:t>
            </m:r>
            <m:ctrlPr>
              <w:rPr>
                <w:rFonts w:ascii="Cambria Math" w:hAnsi="Cambria Math" w:cs="Times New Roman"/>
                <w:color w:val="000000" w:themeColor="text1"/>
                <w:szCs w:val="21"/>
                <w14:textFill>
                  <w14:solidFill>
                    <w14:schemeClr w14:val="tx1"/>
                  </w14:solidFill>
                </w14:textFill>
              </w:rPr>
            </m:ctrlPr>
          </m:num>
          <m:den>
            <m:r>
              <w:rPr>
                <w:rFonts w:ascii="Cambria Math" w:hAnsi="Cambria Math" w:cs="Times New Roman"/>
                <w:color w:val="000000" w:themeColor="text1"/>
                <w:szCs w:val="21"/>
                <w14:textFill>
                  <w14:solidFill>
                    <w14:schemeClr w14:val="tx1"/>
                  </w14:solidFill>
                </w14:textFill>
              </w:rPr>
              <m:t>H</m:t>
            </m:r>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G</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eq</m:t>
            </m:r>
            <m:ctrlPr>
              <w:rPr>
                <w:rFonts w:ascii="Cambria Math" w:hAnsi="Cambria Math" w:cs="Times New Roman"/>
                <w:color w:val="000000" w:themeColor="text1"/>
                <w:szCs w:val="21"/>
                <w14:textFill>
                  <w14:solidFill>
                    <w14:schemeClr w14:val="tx1"/>
                  </w14:solidFill>
                </w14:textFill>
              </w:rPr>
            </m:ctrlPr>
          </m:sub>
        </m:sSub>
      </m:oMath>
      <w:r>
        <w:rPr>
          <w:rFonts w:hint="eastAsia" w:ascii="宋体" w:hAnsi="宋体" w:cs="Times New Roman"/>
          <w:color w:val="000000" w:themeColor="text1"/>
          <w:szCs w:val="21"/>
          <w14:textFill>
            <w14:solidFill>
              <w14:schemeClr w14:val="tx1"/>
            </w14:solidFill>
          </w14:textFill>
        </w:rPr>
        <w:t xml:space="preserve">  </w:t>
      </w:r>
      <w:r>
        <w:rPr>
          <w:rFonts w:ascii="宋体" w:hAnsi="宋体" w:cs="Times New Roman"/>
          <w:color w:val="000000" w:themeColor="text1"/>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 xml:space="preserve">  （8.3.5-1）</w:t>
      </w:r>
    </w:p>
    <w:p>
      <w:pPr>
        <w:spacing w:line="36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m:oMath>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sk</m:t>
            </m:r>
            <m:ctrlPr>
              <w:rPr>
                <w:rFonts w:ascii="Cambria Math" w:hAnsi="Cambria Math" w:cs="Times New Roman"/>
                <w:i/>
                <w:color w:val="000000" w:themeColor="text1"/>
                <w:szCs w:val="21"/>
                <w14:textFill>
                  <w14:solidFill>
                    <w14:schemeClr w14:val="tx1"/>
                  </w14:solidFill>
                </w14:textFill>
              </w:rPr>
            </m:ctrlPr>
          </m:sub>
        </m:sSub>
      </m:oMath>
      <w:r>
        <w:rPr>
          <w:rFonts w:hint="eastAsia" w:ascii="宋体" w:hAnsi="宋体" w:cs="Times New Roman"/>
          <w:color w:val="000000" w:themeColor="text1"/>
          <w:szCs w:val="21"/>
          <w14:textFill>
            <w14:solidFill>
              <w14:schemeClr w14:val="tx1"/>
            </w14:solidFill>
          </w14:textFill>
        </w:rPr>
        <w:t>—设备重心处的水平地震力标准值；</w:t>
      </w:r>
    </w:p>
    <w:p>
      <w:pPr>
        <w:spacing w:line="360" w:lineRule="auto"/>
        <w:ind w:firstLine="630" w:firstLineChars="300"/>
        <w:rPr>
          <w:rFonts w:ascii="宋体" w:hAnsi="宋体" w:cs="Times New Roman"/>
          <w:color w:val="000000" w:themeColor="text1"/>
          <w:szCs w:val="21"/>
          <w14:textFill>
            <w14:solidFill>
              <w14:schemeClr w14:val="tx1"/>
            </w14:solidFill>
          </w14:textFill>
        </w:rPr>
      </w:pPr>
      <m:oMath>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α</m:t>
            </m:r>
            <m:ctrlPr>
              <w:rPr>
                <w:rFonts w:ascii="Cambria Math" w:hAnsi="Cambria Math" w:cs="Times New Roman"/>
                <w:i/>
                <w:color w:val="000000" w:themeColor="text1"/>
                <w:szCs w:val="21"/>
                <w14:textFill>
                  <w14:solidFill>
                    <w14:schemeClr w14:val="tx1"/>
                  </w14:solidFill>
                </w14:textFill>
              </w:rPr>
            </m:ctrlPr>
          </m:e>
          <m:sub>
            <m:r>
              <w:rPr>
                <w:rFonts w:hint="eastAsia" w:ascii="Cambria Math" w:hAnsi="Cambria Math" w:cs="Times New Roman"/>
                <w:color w:val="000000" w:themeColor="text1"/>
                <w:szCs w:val="21"/>
                <w14:textFill>
                  <w14:solidFill>
                    <w14:schemeClr w14:val="tx1"/>
                  </w14:solidFill>
                </w14:textFill>
              </w:rPr>
              <m:t>max</m:t>
            </m:r>
            <m:ctrlPr>
              <w:rPr>
                <w:rFonts w:ascii="Cambria Math" w:hAnsi="Cambria Math" w:cs="Times New Roman"/>
                <w:i/>
                <w:color w:val="000000" w:themeColor="text1"/>
                <w:szCs w:val="21"/>
                <w14:textFill>
                  <w14:solidFill>
                    <w14:schemeClr w14:val="tx1"/>
                  </w14:solidFill>
                </w14:textFill>
              </w:rPr>
            </m:ctrlPr>
          </m:sub>
        </m:sSub>
      </m:oMath>
      <w:r>
        <w:rPr>
          <w:rFonts w:hint="eastAsia" w:ascii="宋体" w:hAnsi="宋体" w:cs="Times New Roman"/>
          <w:color w:val="000000" w:themeColor="text1"/>
          <w:szCs w:val="21"/>
          <w14:textFill>
            <w14:solidFill>
              <w14:schemeClr w14:val="tx1"/>
            </w14:solidFill>
          </w14:textFill>
        </w:rPr>
        <w:t>—水平地震影响系数最大值；</w:t>
      </w:r>
    </w:p>
    <w:p>
      <w:pPr>
        <w:spacing w:line="360" w:lineRule="auto"/>
        <w:ind w:firstLine="630" w:firstLineChars="3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z—设备重心至地面的高度；</w:t>
      </w:r>
    </w:p>
    <w:p>
      <w:pPr>
        <w:spacing w:line="360" w:lineRule="auto"/>
        <w:ind w:firstLine="630" w:firstLineChars="3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H—结构总高度；</w:t>
      </w:r>
    </w:p>
    <w:p>
      <w:pPr>
        <w:spacing w:line="360" w:lineRule="auto"/>
        <w:ind w:firstLine="619" w:firstLineChars="295"/>
        <w:rPr>
          <w:rFonts w:ascii="宋体" w:hAnsi="宋体" w:cs="Times New Roman"/>
          <w:color w:val="000000" w:themeColor="text1"/>
          <w:szCs w:val="21"/>
          <w14:textFill>
            <w14:solidFill>
              <w14:schemeClr w14:val="tx1"/>
            </w14:solidFill>
          </w14:textFill>
        </w:rPr>
      </w:pPr>
      <m:oMath>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G</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eq</m:t>
            </m:r>
            <m:ctrlPr>
              <w:rPr>
                <w:rFonts w:ascii="Cambria Math" w:hAnsi="Cambria Math" w:cs="Times New Roman"/>
                <w:i/>
                <w:color w:val="000000" w:themeColor="text1"/>
                <w:szCs w:val="21"/>
                <w14:textFill>
                  <w14:solidFill>
                    <w14:schemeClr w14:val="tx1"/>
                  </w14:solidFill>
                </w14:textFill>
              </w:rPr>
            </m:ctrlPr>
          </m:sub>
        </m:sSub>
      </m:oMath>
      <w:r>
        <w:rPr>
          <w:rFonts w:hint="eastAsia" w:ascii="宋体" w:hAnsi="宋体" w:cs="Times New Roman"/>
          <w:color w:val="000000" w:themeColor="text1"/>
          <w:szCs w:val="21"/>
          <w14:textFill>
            <w14:solidFill>
              <w14:schemeClr w14:val="tx1"/>
            </w14:solidFill>
          </w14:textFill>
        </w:rPr>
        <w:t>—设备的重力荷载代表值，应包含设备内介质或储料的重量。</w:t>
      </w:r>
    </w:p>
    <w:p>
      <w:pPr>
        <w:autoSpaceDE w:val="0"/>
        <w:autoSpaceDN w:val="0"/>
        <w:spacing w:line="36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8.3.6 当设备的刚度大，支承设备的框架按塑性结构进行设计时，非框架梁的设备梁地震作用内力设计值宜乘以增大系数2.5。</w:t>
      </w:r>
    </w:p>
    <w:p>
      <w:pPr>
        <w:autoSpaceDE w:val="0"/>
        <w:autoSpaceDN w:val="0"/>
        <w:spacing w:line="36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8.3.7 设备阻尼比应按相关设备抗震设计标准取值，当没有相关标准可依时，立式设备和空冷器等可取0.03，卧式设备可取0.05。</w:t>
      </w:r>
    </w:p>
    <w:p>
      <w:pPr>
        <w:autoSpaceDE w:val="0"/>
        <w:autoSpaceDN w:val="0"/>
        <w:spacing w:line="360" w:lineRule="auto"/>
        <w:ind w:firstLine="0" w:firstLineChars="0"/>
        <w:jc w:val="left"/>
        <w:rPr>
          <w:rFonts w:ascii="宋体" w:hAnsi="宋体" w:cs="Times New Roman"/>
          <w:color w:val="000000" w:themeColor="text1"/>
          <w:szCs w:val="21"/>
          <w14:textFill>
            <w14:solidFill>
              <w14:schemeClr w14:val="tx1"/>
            </w14:solidFill>
          </w14:textFill>
        </w:rPr>
      </w:pPr>
    </w:p>
    <w:p>
      <w:pPr>
        <w:pStyle w:val="3"/>
      </w:pPr>
      <w:bookmarkStart w:id="155" w:name="_Toc48841047"/>
      <w:r>
        <w:rPr>
          <w:rFonts w:hint="eastAsia" w:cs="HiddenHorzOCR"/>
        </w:rPr>
        <w:t>抗震</w:t>
      </w:r>
      <w:r>
        <w:rPr>
          <w:rFonts w:hint="eastAsia"/>
        </w:rPr>
        <w:t>验算</w:t>
      </w:r>
      <w:r>
        <w:rPr>
          <w:rFonts w:hint="eastAsia" w:cs="HiddenHorzOCR"/>
        </w:rPr>
        <w:t>（3）——</w:t>
      </w:r>
      <w:r>
        <w:rPr>
          <w:rFonts w:hint="eastAsia"/>
        </w:rPr>
        <w:t>结构构件地震作用及效应的调整</w:t>
      </w:r>
      <w:bookmarkEnd w:id="155"/>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ascii="宋体" w:hAnsi="宋体" w:cs="Times New Roman"/>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8.4.1 多层混</w:t>
      </w:r>
      <w:r>
        <w:rPr>
          <w:rFonts w:hint="eastAsia" w:ascii="宋体" w:hAnsi="宋体" w:cs="MS Mincho"/>
          <w:color w:val="000000" w:themeColor="text1"/>
          <w:kern w:val="0"/>
          <w:szCs w:val="21"/>
          <w14:textFill>
            <w14:solidFill>
              <w14:schemeClr w14:val="tx1"/>
            </w14:solidFill>
          </w14:textFill>
        </w:rPr>
        <w:t>凝土</w:t>
      </w:r>
      <w:r>
        <w:rPr>
          <w:rFonts w:hint="eastAsia" w:ascii="宋体" w:hAnsi="宋体" w:cs="Times New Roman"/>
          <w:color w:val="000000" w:themeColor="text1"/>
          <w:kern w:val="0"/>
          <w:szCs w:val="21"/>
          <w14:textFill>
            <w14:solidFill>
              <w14:schemeClr w14:val="tx1"/>
            </w14:solidFill>
          </w14:textFill>
        </w:rPr>
        <w:t>结构</w:t>
      </w:r>
      <w:r>
        <w:rPr>
          <w:rFonts w:hint="eastAsia" w:ascii="宋体" w:hAnsi="宋体" w:cs="HiddenHorzOCR"/>
          <w:color w:val="000000" w:themeColor="text1"/>
          <w:kern w:val="0"/>
          <w:szCs w:val="21"/>
          <w14:textFill>
            <w14:solidFill>
              <w14:schemeClr w14:val="tx1"/>
            </w14:solidFill>
          </w14:textFill>
        </w:rPr>
        <w:t>采用弹性结构进行设计时，结构构件地震作用及效应不调整。</w:t>
      </w:r>
    </w:p>
    <w:p>
      <w:pPr>
        <w:autoSpaceDE w:val="0"/>
        <w:autoSpaceDN w:val="0"/>
        <w:spacing w:line="360" w:lineRule="auto"/>
        <w:ind w:left="-15" w:leftChars="-7" w:firstLine="0" w:firstLineChars="0"/>
        <w:jc w:val="left"/>
        <w:rPr>
          <w:rFonts w:ascii="宋体" w:hAnsi="宋体" w:cs="Times New Roman"/>
          <w:color w:val="000000" w:themeColor="text1"/>
          <w:kern w:val="0"/>
          <w:szCs w:val="21"/>
          <w14:textFill>
            <w14:solidFill>
              <w14:schemeClr w14:val="tx1"/>
            </w14:solidFill>
          </w14:textFill>
        </w:rPr>
      </w:pPr>
      <w:r>
        <w:rPr>
          <w:rFonts w:hint="eastAsia" w:ascii="宋体" w:hAnsi="宋体" w:cs="HiddenHorzOCR"/>
          <w:color w:val="000000" w:themeColor="text1"/>
          <w:kern w:val="0"/>
          <w:szCs w:val="21"/>
          <w14:textFill>
            <w14:solidFill>
              <w14:schemeClr w14:val="tx1"/>
            </w14:solidFill>
          </w14:textFill>
        </w:rPr>
        <w:t>8.4.2 多层混</w:t>
      </w:r>
      <w:r>
        <w:rPr>
          <w:rFonts w:hint="eastAsia" w:ascii="宋体" w:hAnsi="宋体" w:cs="MS Mincho"/>
          <w:color w:val="000000" w:themeColor="text1"/>
          <w:kern w:val="0"/>
          <w:szCs w:val="21"/>
          <w14:textFill>
            <w14:solidFill>
              <w14:schemeClr w14:val="tx1"/>
            </w14:solidFill>
          </w14:textFill>
        </w:rPr>
        <w:t>凝土</w:t>
      </w:r>
      <w:r>
        <w:rPr>
          <w:rFonts w:hint="eastAsia" w:ascii="宋体" w:hAnsi="宋体" w:cs="Times New Roman"/>
          <w:color w:val="000000" w:themeColor="text1"/>
          <w:kern w:val="0"/>
          <w:szCs w:val="21"/>
          <w14:textFill>
            <w14:solidFill>
              <w14:schemeClr w14:val="tx1"/>
            </w14:solidFill>
          </w14:textFill>
        </w:rPr>
        <w:t>结构</w:t>
      </w:r>
      <w:r>
        <w:rPr>
          <w:rFonts w:hint="eastAsia" w:ascii="宋体" w:hAnsi="宋体" w:cs="HiddenHorzOCR"/>
          <w:color w:val="000000" w:themeColor="text1"/>
          <w:kern w:val="0"/>
          <w:szCs w:val="21"/>
          <w14:textFill>
            <w14:solidFill>
              <w14:schemeClr w14:val="tx1"/>
            </w14:solidFill>
          </w14:textFill>
        </w:rPr>
        <w:t>采用塑性结构进行设计时，结构构件地震作用及效应按《建筑抗震设计规范》GB50011第6章进行调整。</w:t>
      </w:r>
    </w:p>
    <w:p>
      <w:pPr>
        <w:autoSpaceDE w:val="0"/>
        <w:autoSpaceDN w:val="0"/>
        <w:spacing w:line="360" w:lineRule="auto"/>
        <w:ind w:firstLine="0" w:firstLineChars="0"/>
        <w:jc w:val="left"/>
        <w:rPr>
          <w:rFonts w:ascii="宋体" w:hAnsi="宋体" w:cs="HiddenHorzOCR"/>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8.4.3 支承设备的设备梁、框架梁及支承设备梁的框架梁，当按塑性结构进行设计时，</w:t>
      </w:r>
      <w:r>
        <w:rPr>
          <w:rFonts w:hint="eastAsia" w:ascii="宋体" w:hAnsi="宋体" w:cs="Times New Roman"/>
          <w:color w:val="000000" w:themeColor="text1"/>
          <w:szCs w:val="21"/>
          <w14:textFill>
            <w14:solidFill>
              <w14:schemeClr w14:val="tx1"/>
            </w14:solidFill>
          </w14:textFill>
        </w:rPr>
        <w:t>构件地震作用效应宜乘以不小于2的增大系数，</w:t>
      </w:r>
      <w:r>
        <w:rPr>
          <w:rFonts w:hint="eastAsia" w:ascii="宋体" w:hAnsi="宋体" w:cs="Times New Roman"/>
          <w:color w:val="000000" w:themeColor="text1"/>
          <w:kern w:val="0"/>
          <w:szCs w:val="21"/>
          <w14:textFill>
            <w14:solidFill>
              <w14:schemeClr w14:val="tx1"/>
            </w14:solidFill>
          </w14:textFill>
        </w:rPr>
        <w:t>按弹性结构进行设计时</w:t>
      </w:r>
      <w:r>
        <w:rPr>
          <w:rFonts w:hint="eastAsia" w:ascii="宋体" w:hAnsi="宋体" w:cs="Times New Roman"/>
          <w:color w:val="000000" w:themeColor="text1"/>
          <w:szCs w:val="21"/>
          <w14:textFill>
            <w14:solidFill>
              <w14:schemeClr w14:val="tx1"/>
            </w14:solidFill>
          </w14:textFill>
        </w:rPr>
        <w:t>，构件地震作用宜乘以不小于1.5的增大系数。</w:t>
      </w:r>
    </w:p>
    <w:p>
      <w:pPr>
        <w:spacing w:line="360" w:lineRule="auto"/>
        <w:ind w:firstLine="420"/>
        <w:rPr>
          <w:rFonts w:cs="Times New Roman"/>
          <w:color w:val="000000" w:themeColor="text1"/>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 xml:space="preserve"> </w:t>
      </w:r>
      <w:r>
        <w:rPr>
          <w:rFonts w:hint="eastAsia" w:cs="Times New Roman"/>
          <w:color w:val="000000" w:themeColor="text1"/>
          <w:szCs w:val="21"/>
          <w14:textFill>
            <w14:solidFill>
              <w14:schemeClr w14:val="tx1"/>
            </w14:solidFill>
          </w14:textFill>
        </w:rPr>
        <w:t xml:space="preserve"> </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 </w:t>
      </w:r>
    </w:p>
    <w:p>
      <w:pPr>
        <w:widowControl/>
        <w:adjustRightInd/>
        <w:snapToGrid/>
        <w:ind w:firstLine="0" w:firstLineChars="0"/>
        <w:jc w:val="left"/>
        <w:rPr>
          <w:rFonts w:cs="Times New Roman"/>
          <w:b/>
          <w:color w:val="000000" w:themeColor="text1"/>
          <w:kern w:val="44"/>
          <w:sz w:val="30"/>
          <w:szCs w:val="20"/>
          <w:lang w:val="zh-CN"/>
          <w14:textFill>
            <w14:solidFill>
              <w14:schemeClr w14:val="tx1"/>
            </w14:solidFill>
          </w14:textFill>
        </w:rPr>
      </w:pPr>
      <w:r>
        <w:rPr>
          <w:color w:val="000000" w:themeColor="text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156" w:name="_Toc48841048"/>
      <w:r>
        <w:rPr>
          <w:rFonts w:hint="eastAsia"/>
          <w:color w:val="000000" w:themeColor="text1"/>
          <w14:textFill>
            <w14:solidFill>
              <w14:schemeClr w14:val="tx1"/>
            </w14:solidFill>
          </w14:textFill>
        </w:rPr>
        <w:t>钢结构基本要求</w:t>
      </w:r>
      <w:bookmarkEnd w:id="156"/>
    </w:p>
    <w:p>
      <w:pPr>
        <w:pStyle w:val="3"/>
      </w:pPr>
      <w:bookmarkStart w:id="157" w:name="_Toc48841049"/>
      <w:r>
        <w:rPr>
          <w:rFonts w:hint="eastAsia"/>
        </w:rPr>
        <w:t>一般规定</w:t>
      </w:r>
      <w:bookmarkEnd w:id="157"/>
    </w:p>
    <w:p>
      <w:pPr>
        <w:spacing w:line="360" w:lineRule="auto"/>
        <w:ind w:firstLine="0" w:firstLineChars="0"/>
        <w:rPr>
          <w:rFonts w:cs="Times New Roman"/>
          <w:bCs/>
          <w:color w:val="000000" w:themeColor="text1"/>
          <w:szCs w:val="24"/>
          <w14:textFill>
            <w14:solidFill>
              <w14:schemeClr w14:val="tx1"/>
            </w14:solidFill>
          </w14:textFill>
        </w:rPr>
      </w:pPr>
    </w:p>
    <w:p>
      <w:pPr>
        <w:spacing w:line="360" w:lineRule="auto"/>
        <w:ind w:firstLine="0" w:firstLineChars="0"/>
        <w:rPr>
          <w:rFonts w:cs="Times New Roman"/>
          <w:bCs/>
          <w:color w:val="000000" w:themeColor="text1"/>
          <w:szCs w:val="24"/>
          <w14:textFill>
            <w14:solidFill>
              <w14:schemeClr w14:val="tx1"/>
            </w14:solidFill>
          </w14:textFill>
        </w:rPr>
      </w:pPr>
      <w:r>
        <w:rPr>
          <w:rFonts w:hint="eastAsia" w:cs="Times New Roman"/>
          <w:bCs/>
          <w:color w:val="000000" w:themeColor="text1"/>
          <w:szCs w:val="24"/>
          <w14:textFill>
            <w14:solidFill>
              <w14:schemeClr w14:val="tx1"/>
            </w14:solidFill>
          </w14:textFill>
        </w:rPr>
        <w:t>9</w:t>
      </w:r>
      <w:r>
        <w:rPr>
          <w:rFonts w:cs="Times New Roman"/>
          <w:bCs/>
          <w:color w:val="000000" w:themeColor="text1"/>
          <w:szCs w:val="24"/>
          <w14:textFill>
            <w14:solidFill>
              <w14:schemeClr w14:val="tx1"/>
            </w14:solidFill>
          </w14:textFill>
        </w:rPr>
        <w:t xml:space="preserve">.1.1 </w:t>
      </w:r>
      <w:r>
        <w:rPr>
          <w:rFonts w:hint="eastAsia" w:cs="Times New Roman"/>
          <w:bCs/>
          <w:color w:val="000000" w:themeColor="text1"/>
          <w:szCs w:val="24"/>
          <w14:textFill>
            <w14:solidFill>
              <w14:schemeClr w14:val="tx1"/>
            </w14:solidFill>
          </w14:textFill>
        </w:rPr>
        <w:t>本章适用于钢结构及圆钢管混凝土柱结构（包括单层钢结构、多层钢结构、单—多层钢结构）的抗震设计。</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单层钢结构及单层圆钢管混凝土柱结构的抗震设计要求见第10章。</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多层钢结构的抗震设计要求见第11章。</w:t>
      </w:r>
    </w:p>
    <w:p>
      <w:pPr>
        <w:autoSpaceDE w:val="0"/>
        <w:autoSpaceDN w:val="0"/>
        <w:spacing w:line="360" w:lineRule="auto"/>
        <w:ind w:firstLine="420"/>
        <w:jc w:val="left"/>
        <w:rPr>
          <w:rFonts w:cs="HiddenHorzOCR" w:asciiTheme="minorEastAsia" w:hAnsiTheme="minorEastAsia"/>
          <w:color w:val="000000" w:themeColor="text1"/>
          <w:kern w:val="0"/>
          <w:szCs w:val="21"/>
          <w14:textFill>
            <w14:solidFill>
              <w14:schemeClr w14:val="tx1"/>
            </w14:solidFill>
          </w14:textFill>
        </w:rPr>
      </w:pPr>
      <w:r>
        <w:rPr>
          <w:rFonts w:hint="eastAsia" w:cs="HiddenHorzOCR" w:asciiTheme="minorEastAsia" w:hAnsiTheme="minorEastAsia"/>
          <w:color w:val="000000" w:themeColor="text1"/>
          <w:kern w:val="0"/>
          <w:szCs w:val="21"/>
          <w14:textFill>
            <w14:solidFill>
              <w14:schemeClr w14:val="tx1"/>
            </w14:solidFill>
          </w14:textFill>
        </w:rPr>
        <w:t>单-多层钢结构的抗震设计要求参见第10、11章。</w:t>
      </w:r>
    </w:p>
    <w:p>
      <w:pPr>
        <w:spacing w:line="400" w:lineRule="exact"/>
        <w:ind w:firstLine="0" w:firstLineChars="0"/>
        <w:rPr>
          <w:rFonts w:cs="Times New Roman"/>
          <w:bCs/>
          <w:color w:val="000000" w:themeColor="text1"/>
          <w:szCs w:val="24"/>
          <w14:textFill>
            <w14:solidFill>
              <w14:schemeClr w14:val="tx1"/>
            </w14:solidFill>
          </w14:textFill>
        </w:rPr>
      </w:pPr>
      <w:r>
        <w:rPr>
          <w:rFonts w:hint="eastAsia" w:cs="Times New Roman"/>
          <w:bCs/>
          <w:color w:val="000000" w:themeColor="text1"/>
          <w:szCs w:val="24"/>
          <w14:textFill>
            <w14:solidFill>
              <w14:schemeClr w14:val="tx1"/>
            </w14:solidFill>
          </w14:textFill>
        </w:rPr>
        <w:t>9</w:t>
      </w:r>
      <w:r>
        <w:rPr>
          <w:rFonts w:cs="Times New Roman"/>
          <w:bCs/>
          <w:color w:val="000000" w:themeColor="text1"/>
          <w:szCs w:val="24"/>
          <w14:textFill>
            <w14:solidFill>
              <w14:schemeClr w14:val="tx1"/>
            </w14:solidFill>
          </w14:textFill>
        </w:rPr>
        <w:t xml:space="preserve">.1.2 </w:t>
      </w:r>
      <w:r>
        <w:rPr>
          <w:rFonts w:hint="eastAsia" w:cs="Times New Roman"/>
          <w:bCs/>
          <w:color w:val="000000" w:themeColor="text1"/>
          <w:szCs w:val="24"/>
          <w14:textFill>
            <w14:solidFill>
              <w14:schemeClr w14:val="tx1"/>
            </w14:solidFill>
          </w14:textFill>
        </w:rPr>
        <w:t>钢结构及其构件和连接，当按本章的规定进行设计时，尚应符合下列现行国家标准中与本标准不相抵触的其他要求：</w:t>
      </w:r>
    </w:p>
    <w:p>
      <w:pPr>
        <w:autoSpaceDN w:val="0"/>
        <w:adjustRightInd/>
        <w:spacing w:line="400" w:lineRule="exact"/>
        <w:ind w:right="95" w:firstLine="420"/>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1</w:t>
      </w:r>
      <w:r>
        <w:rPr>
          <w:rFonts w:hint="eastAsia" w:cs="Times New Roman"/>
          <w:bCs/>
          <w:color w:val="000000" w:themeColor="text1"/>
          <w:kern w:val="0"/>
          <w:szCs w:val="21"/>
          <w14:textFill>
            <w14:solidFill>
              <w14:schemeClr w14:val="tx1"/>
            </w14:solidFill>
          </w14:textFill>
        </w:rPr>
        <w:t>《钢结构设计标准》</w:t>
      </w:r>
      <w:r>
        <w:rPr>
          <w:rFonts w:cs="Times New Roman"/>
          <w:bCs/>
          <w:color w:val="000000" w:themeColor="text1"/>
          <w:kern w:val="0"/>
          <w:szCs w:val="21"/>
          <w14:textFill>
            <w14:solidFill>
              <w14:schemeClr w14:val="tx1"/>
            </w14:solidFill>
          </w14:textFill>
        </w:rPr>
        <w:t>GB 50017</w:t>
      </w:r>
      <w:r>
        <w:rPr>
          <w:rFonts w:hint="eastAsia" w:cs="Times New Roman"/>
          <w:bCs/>
          <w:color w:val="000000" w:themeColor="text1"/>
          <w:kern w:val="0"/>
          <w:szCs w:val="21"/>
          <w14:textFill>
            <w14:solidFill>
              <w14:schemeClr w14:val="tx1"/>
            </w14:solidFill>
          </w14:textFill>
        </w:rPr>
        <w:t>；</w:t>
      </w:r>
    </w:p>
    <w:p>
      <w:pPr>
        <w:autoSpaceDN w:val="0"/>
        <w:adjustRightInd/>
        <w:spacing w:line="400" w:lineRule="exact"/>
        <w:ind w:right="95" w:firstLine="409" w:firstLineChars="195"/>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2</w:t>
      </w:r>
      <w:r>
        <w:rPr>
          <w:rFonts w:hint="eastAsia" w:cs="Times New Roman"/>
          <w:bCs/>
          <w:color w:val="000000" w:themeColor="text1"/>
          <w:kern w:val="0"/>
          <w:szCs w:val="21"/>
          <w14:textFill>
            <w14:solidFill>
              <w14:schemeClr w14:val="tx1"/>
            </w14:solidFill>
          </w14:textFill>
        </w:rPr>
        <w:t>《冷弯薄壁型钢结构技术规范》</w:t>
      </w:r>
      <w:r>
        <w:rPr>
          <w:rFonts w:cs="Times New Roman"/>
          <w:bCs/>
          <w:color w:val="000000" w:themeColor="text1"/>
          <w:kern w:val="0"/>
          <w:szCs w:val="21"/>
          <w14:textFill>
            <w14:solidFill>
              <w14:schemeClr w14:val="tx1"/>
            </w14:solidFill>
          </w14:textFill>
        </w:rPr>
        <w:t>GB 50018</w:t>
      </w:r>
      <w:r>
        <w:rPr>
          <w:rFonts w:hint="eastAsia" w:cs="Times New Roman"/>
          <w:bCs/>
          <w:color w:val="000000" w:themeColor="text1"/>
          <w:kern w:val="0"/>
          <w:szCs w:val="21"/>
          <w14:textFill>
            <w14:solidFill>
              <w14:schemeClr w14:val="tx1"/>
            </w14:solidFill>
          </w14:textFill>
        </w:rPr>
        <w:t>；</w:t>
      </w:r>
    </w:p>
    <w:p>
      <w:pPr>
        <w:autoSpaceDN w:val="0"/>
        <w:adjustRightInd/>
        <w:spacing w:line="400" w:lineRule="exact"/>
        <w:ind w:right="95" w:firstLine="409" w:firstLineChars="195"/>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3</w:t>
      </w:r>
      <w:r>
        <w:rPr>
          <w:rFonts w:hint="eastAsia" w:cs="Times New Roman"/>
          <w:bCs/>
          <w:color w:val="000000" w:themeColor="text1"/>
          <w:kern w:val="0"/>
          <w:szCs w:val="21"/>
          <w14:textFill>
            <w14:solidFill>
              <w14:schemeClr w14:val="tx1"/>
            </w14:solidFill>
          </w14:textFill>
        </w:rPr>
        <w:t>《建筑抗震设计规范》</w:t>
      </w:r>
      <w:r>
        <w:rPr>
          <w:rFonts w:cs="Times New Roman"/>
          <w:bCs/>
          <w:color w:val="000000" w:themeColor="text1"/>
          <w:kern w:val="0"/>
          <w:szCs w:val="21"/>
          <w14:textFill>
            <w14:solidFill>
              <w14:schemeClr w14:val="tx1"/>
            </w14:solidFill>
          </w14:textFill>
        </w:rPr>
        <w:t>GB5001</w:t>
      </w:r>
      <w:r>
        <w:rPr>
          <w:rFonts w:hint="eastAsia" w:cs="Times New Roman"/>
          <w:bCs/>
          <w:color w:val="000000" w:themeColor="text1"/>
          <w:kern w:val="0"/>
          <w:szCs w:val="21"/>
          <w14:textFill>
            <w14:solidFill>
              <w14:schemeClr w14:val="tx1"/>
            </w14:solidFill>
          </w14:textFill>
        </w:rPr>
        <w:t>1；</w:t>
      </w:r>
    </w:p>
    <w:p>
      <w:pPr>
        <w:autoSpaceDN w:val="0"/>
        <w:adjustRightInd/>
        <w:spacing w:line="400" w:lineRule="exact"/>
        <w:ind w:left="420" w:leftChars="200" w:right="95" w:firstLine="0" w:firstLineChars="0"/>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4</w:t>
      </w:r>
      <w:r>
        <w:rPr>
          <w:rFonts w:hint="eastAsia" w:cs="Times New Roman"/>
          <w:bCs/>
          <w:color w:val="000000" w:themeColor="text1"/>
          <w:kern w:val="0"/>
          <w:szCs w:val="21"/>
          <w14:textFill>
            <w14:solidFill>
              <w14:schemeClr w14:val="tx1"/>
            </w14:solidFill>
          </w14:textFill>
        </w:rPr>
        <w:t>《门式刚架轻型房屋钢结构技术规范》</w:t>
      </w:r>
      <w:r>
        <w:rPr>
          <w:rFonts w:cs="Times New Roman"/>
          <w:bCs/>
          <w:color w:val="000000" w:themeColor="text1"/>
          <w:kern w:val="0"/>
          <w:szCs w:val="21"/>
          <w14:textFill>
            <w14:solidFill>
              <w14:schemeClr w14:val="tx1"/>
            </w14:solidFill>
          </w14:textFill>
        </w:rPr>
        <w:t>GB 51022</w:t>
      </w:r>
      <w:r>
        <w:rPr>
          <w:rFonts w:hint="eastAsia" w:cs="Times New Roman"/>
          <w:bCs/>
          <w:color w:val="000000" w:themeColor="text1"/>
          <w:kern w:val="0"/>
          <w:szCs w:val="21"/>
          <w14:textFill>
            <w14:solidFill>
              <w14:schemeClr w14:val="tx1"/>
            </w14:solidFill>
          </w14:textFill>
        </w:rPr>
        <w:t>；</w:t>
      </w:r>
    </w:p>
    <w:p>
      <w:pPr>
        <w:autoSpaceDN w:val="0"/>
        <w:adjustRightInd/>
        <w:spacing w:line="400" w:lineRule="exact"/>
        <w:ind w:right="95" w:firstLine="409" w:firstLineChars="195"/>
        <w:rPr>
          <w:rFonts w:cs="Times New Roman"/>
          <w:bCs/>
          <w:color w:val="000000" w:themeColor="text1"/>
          <w:kern w:val="0"/>
          <w:szCs w:val="21"/>
          <w14:textFill>
            <w14:solidFill>
              <w14:schemeClr w14:val="tx1"/>
            </w14:solidFill>
          </w14:textFill>
        </w:rPr>
      </w:pPr>
      <w:r>
        <w:rPr>
          <w:rFonts w:hint="eastAsia" w:cs="Times New Roman"/>
          <w:bCs/>
          <w:color w:val="000000" w:themeColor="text1"/>
          <w:kern w:val="0"/>
          <w:szCs w:val="21"/>
          <w14:textFill>
            <w14:solidFill>
              <w14:schemeClr w14:val="tx1"/>
            </w14:solidFill>
          </w14:textFill>
        </w:rPr>
        <w:t>5</w:t>
      </w:r>
      <w:bookmarkStart w:id="158" w:name="_Hlk45182608"/>
      <w:r>
        <w:rPr>
          <w:rFonts w:hint="eastAsia" w:cs="Times New Roman"/>
          <w:bCs/>
          <w:color w:val="000000" w:themeColor="text1"/>
          <w:kern w:val="0"/>
          <w:szCs w:val="21"/>
          <w14:textFill>
            <w14:solidFill>
              <w14:schemeClr w14:val="tx1"/>
            </w14:solidFill>
          </w14:textFill>
        </w:rPr>
        <w:t>《钢管混凝土结构技术规范》</w:t>
      </w:r>
      <w:r>
        <w:rPr>
          <w:rFonts w:cs="Times New Roman"/>
          <w:bCs/>
          <w:color w:val="000000" w:themeColor="text1"/>
          <w:kern w:val="0"/>
          <w:szCs w:val="21"/>
          <w14:textFill>
            <w14:solidFill>
              <w14:schemeClr w14:val="tx1"/>
            </w14:solidFill>
          </w14:textFill>
        </w:rPr>
        <w:t>GB 50936</w:t>
      </w:r>
      <w:bookmarkEnd w:id="158"/>
      <w:r>
        <w:rPr>
          <w:rFonts w:hint="eastAsia" w:cs="Times New Roman"/>
          <w:bCs/>
          <w:color w:val="000000" w:themeColor="text1"/>
          <w:kern w:val="0"/>
          <w:szCs w:val="21"/>
          <w14:textFill>
            <w14:solidFill>
              <w14:schemeClr w14:val="tx1"/>
            </w14:solidFill>
          </w14:textFill>
        </w:rPr>
        <w:t>；</w:t>
      </w:r>
    </w:p>
    <w:p>
      <w:pPr>
        <w:autoSpaceDE w:val="0"/>
        <w:autoSpaceDN w:val="0"/>
        <w:spacing w:line="400" w:lineRule="exact"/>
        <w:ind w:right="95" w:firstLine="409" w:firstLineChars="195"/>
        <w:jc w:val="left"/>
        <w:rPr>
          <w:rFonts w:cs="Times New Roman"/>
          <w:bCs/>
          <w:color w:val="000000" w:themeColor="text1"/>
          <w:kern w:val="0"/>
          <w:szCs w:val="21"/>
          <w14:textFill>
            <w14:solidFill>
              <w14:schemeClr w14:val="tx1"/>
            </w14:solidFill>
          </w14:textFill>
        </w:rPr>
      </w:pPr>
      <w:r>
        <w:rPr>
          <w:rFonts w:hint="eastAsia" w:cs="Times New Roman"/>
          <w:bCs/>
          <w:color w:val="000000" w:themeColor="text1"/>
          <w:kern w:val="0"/>
          <w:szCs w:val="21"/>
          <w14:textFill>
            <w14:solidFill>
              <w14:schemeClr w14:val="tx1"/>
            </w14:solidFill>
          </w14:textFill>
        </w:rPr>
        <w:t>6《组合结构设计规范》</w:t>
      </w:r>
      <w:r>
        <w:rPr>
          <w:rFonts w:cs="Times New Roman"/>
          <w:bCs/>
          <w:color w:val="000000" w:themeColor="text1"/>
          <w:kern w:val="0"/>
          <w:szCs w:val="21"/>
          <w14:textFill>
            <w14:solidFill>
              <w14:schemeClr w14:val="tx1"/>
            </w14:solidFill>
          </w14:textFill>
        </w:rPr>
        <w:t>JGJ 138</w:t>
      </w:r>
      <w:r>
        <w:rPr>
          <w:rFonts w:hint="eastAsia" w:cs="Times New Roman"/>
          <w:bCs/>
          <w:color w:val="000000" w:themeColor="text1"/>
          <w:kern w:val="0"/>
          <w:szCs w:val="21"/>
          <w14:textFill>
            <w14:solidFill>
              <w14:schemeClr w14:val="tx1"/>
            </w14:solidFill>
          </w14:textFill>
        </w:rPr>
        <w:t>。</w:t>
      </w:r>
    </w:p>
    <w:p>
      <w:pPr>
        <w:spacing w:line="400" w:lineRule="exact"/>
        <w:ind w:firstLine="0" w:firstLineChars="0"/>
        <w:rPr>
          <w:rFonts w:cs="Times New Roman"/>
          <w:bCs/>
          <w:color w:val="000000" w:themeColor="text1"/>
          <w:szCs w:val="24"/>
          <w14:textFill>
            <w14:solidFill>
              <w14:schemeClr w14:val="tx1"/>
            </w14:solidFill>
          </w14:textFill>
        </w:rPr>
      </w:pPr>
      <w:r>
        <w:rPr>
          <w:rFonts w:hint="eastAsia" w:cs="Times New Roman" w:asciiTheme="minorEastAsia" w:hAnsiTheme="minorEastAsia"/>
          <w:color w:val="000000" w:themeColor="text1"/>
          <w:kern w:val="0"/>
          <w:szCs w:val="21"/>
          <w14:textFill>
            <w14:solidFill>
              <w14:schemeClr w14:val="tx1"/>
            </w14:solidFill>
          </w14:textFill>
        </w:rPr>
        <w:t xml:space="preserve"> </w:t>
      </w:r>
      <w:r>
        <w:rPr>
          <w:rFonts w:hint="eastAsia" w:cs="Times New Roman"/>
          <w:bCs/>
          <w:color w:val="000000" w:themeColor="text1"/>
          <w:szCs w:val="24"/>
          <w14:textFill>
            <w14:solidFill>
              <w14:schemeClr w14:val="tx1"/>
            </w14:solidFill>
          </w14:textFill>
        </w:rPr>
        <w:t>9</w:t>
      </w:r>
      <w:r>
        <w:rPr>
          <w:rFonts w:cs="Times New Roman"/>
          <w:bCs/>
          <w:color w:val="000000" w:themeColor="text1"/>
          <w:szCs w:val="24"/>
          <w14:textFill>
            <w14:solidFill>
              <w14:schemeClr w14:val="tx1"/>
            </w14:solidFill>
          </w14:textFill>
        </w:rPr>
        <w:t xml:space="preserve">.1.3 </w:t>
      </w:r>
      <w:r>
        <w:rPr>
          <w:rFonts w:hint="eastAsia" w:cs="Times New Roman"/>
          <w:bCs/>
          <w:color w:val="000000" w:themeColor="text1"/>
          <w:szCs w:val="24"/>
          <w14:textFill>
            <w14:solidFill>
              <w14:schemeClr w14:val="tx1"/>
            </w14:solidFill>
          </w14:textFill>
        </w:rPr>
        <w:t>钢结构及钢管混凝土柱的材料应符合下列规定：</w:t>
      </w:r>
    </w:p>
    <w:p>
      <w:pPr>
        <w:spacing w:line="400" w:lineRule="exact"/>
        <w:ind w:firstLine="420" w:firstLineChars="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 xml:space="preserve">1 </w:t>
      </w:r>
      <w:r>
        <w:rPr>
          <w:rFonts w:hint="eastAsia" w:cs="Times New Roman"/>
          <w:bCs/>
          <w:color w:val="000000" w:themeColor="text1"/>
          <w:szCs w:val="24"/>
          <w14:textFill>
            <w14:solidFill>
              <w14:schemeClr w14:val="tx1"/>
            </w14:solidFill>
          </w14:textFill>
        </w:rPr>
        <w:t>钢材应符合下列要求：</w:t>
      </w:r>
    </w:p>
    <w:p>
      <w:pPr>
        <w:spacing w:line="400" w:lineRule="exact"/>
        <w:ind w:left="1050" w:leftChars="400" w:hanging="210" w:hangingChars="100"/>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1</w:t>
      </w:r>
      <w:r>
        <w:rPr>
          <w:rFonts w:hint="eastAsia" w:cs="Times New Roman"/>
          <w:bCs/>
          <w:color w:val="000000" w:themeColor="text1"/>
          <w:szCs w:val="21"/>
          <w14:textFill>
            <w14:solidFill>
              <w14:schemeClr w14:val="tx1"/>
            </w14:solidFill>
          </w14:textFill>
        </w:rPr>
        <w:t>）</w:t>
      </w:r>
      <w:r>
        <w:rPr>
          <w:rFonts w:hint="eastAsia" w:cs="Times New Roman"/>
          <w:bCs/>
          <w:snapToGrid w:val="0"/>
          <w:color w:val="000000" w:themeColor="text1"/>
          <w:szCs w:val="21"/>
          <w14:textFill>
            <w14:solidFill>
              <w14:schemeClr w14:val="tx1"/>
            </w14:solidFill>
          </w14:textFill>
        </w:rPr>
        <w:t>钢材</w:t>
      </w:r>
      <w:r>
        <w:rPr>
          <w:rFonts w:hint="eastAsia" w:cs="Times New Roman"/>
          <w:bCs/>
          <w:color w:val="000000" w:themeColor="text1"/>
          <w:szCs w:val="21"/>
          <w14:textFill>
            <w14:solidFill>
              <w14:schemeClr w14:val="tx1"/>
            </w14:solidFill>
          </w14:textFill>
        </w:rPr>
        <w:t>的屈服</w:t>
      </w:r>
      <w:r>
        <w:rPr>
          <w:rFonts w:hint="eastAsia" w:cs="Times New Roman"/>
          <w:bCs/>
          <w:color w:val="000000" w:themeColor="text1"/>
          <w:szCs w:val="24"/>
          <w14:textFill>
            <w14:solidFill>
              <w14:schemeClr w14:val="tx1"/>
            </w14:solidFill>
          </w14:textFill>
        </w:rPr>
        <w:t>强度</w:t>
      </w:r>
      <w:r>
        <w:rPr>
          <w:rFonts w:hint="eastAsia" w:cs="Times New Roman"/>
          <w:bCs/>
          <w:color w:val="000000" w:themeColor="text1"/>
          <w:szCs w:val="21"/>
          <w14:textFill>
            <w14:solidFill>
              <w14:schemeClr w14:val="tx1"/>
            </w14:solidFill>
          </w14:textFill>
        </w:rPr>
        <w:t>与抗拉强度的实测值之比不应大于</w:t>
      </w:r>
      <w:r>
        <w:rPr>
          <w:rFonts w:cs="Times New Roman"/>
          <w:bCs/>
          <w:color w:val="000000" w:themeColor="text1"/>
          <w:szCs w:val="21"/>
          <w14:textFill>
            <w14:solidFill>
              <w14:schemeClr w14:val="tx1"/>
            </w14:solidFill>
          </w14:textFill>
        </w:rPr>
        <w:t>0.85</w:t>
      </w:r>
      <w:r>
        <w:rPr>
          <w:rFonts w:hint="eastAsia" w:cs="Times New Roman"/>
          <w:bCs/>
          <w:color w:val="000000" w:themeColor="text1"/>
          <w:szCs w:val="21"/>
          <w14:textFill>
            <w14:solidFill>
              <w14:schemeClr w14:val="tx1"/>
            </w14:solidFill>
          </w14:textFill>
        </w:rPr>
        <w:t>，塑性结构的塑性铰区、受拉型支撑杆件不宜大于</w:t>
      </w:r>
      <w:r>
        <w:rPr>
          <w:rFonts w:cs="Times New Roman"/>
          <w:bCs/>
          <w:color w:val="000000" w:themeColor="text1"/>
          <w:szCs w:val="21"/>
          <w14:textFill>
            <w14:solidFill>
              <w14:schemeClr w14:val="tx1"/>
            </w14:solidFill>
          </w14:textFill>
        </w:rPr>
        <w:t>0.8</w:t>
      </w:r>
      <w:r>
        <w:rPr>
          <w:rFonts w:hint="eastAsia" w:cs="Times New Roman"/>
          <w:bCs/>
          <w:color w:val="000000" w:themeColor="text1"/>
          <w:szCs w:val="21"/>
          <w14:textFill>
            <w14:solidFill>
              <w14:schemeClr w14:val="tx1"/>
            </w14:solidFill>
          </w14:textFill>
        </w:rPr>
        <w:t>；</w:t>
      </w:r>
    </w:p>
    <w:p>
      <w:pPr>
        <w:spacing w:line="400" w:lineRule="exact"/>
        <w:ind w:firstLine="840" w:firstLineChars="400"/>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2</w:t>
      </w:r>
      <w:r>
        <w:rPr>
          <w:rFonts w:hint="eastAsia" w:cs="Times New Roman"/>
          <w:bCs/>
          <w:color w:val="000000" w:themeColor="text1"/>
          <w:szCs w:val="21"/>
          <w14:textFill>
            <w14:solidFill>
              <w14:schemeClr w14:val="tx1"/>
            </w14:solidFill>
          </w14:textFill>
        </w:rPr>
        <w:t>）钢材的伸长率应大于</w:t>
      </w:r>
      <w:r>
        <w:rPr>
          <w:rFonts w:cs="Times New Roman"/>
          <w:bCs/>
          <w:color w:val="000000" w:themeColor="text1"/>
          <w:szCs w:val="21"/>
          <w14:textFill>
            <w14:solidFill>
              <w14:schemeClr w14:val="tx1"/>
            </w14:solidFill>
          </w14:textFill>
        </w:rPr>
        <w:t>20%</w:t>
      </w:r>
      <w:r>
        <w:rPr>
          <w:rFonts w:hint="eastAsia" w:cs="Times New Roman"/>
          <w:bCs/>
          <w:color w:val="000000" w:themeColor="text1"/>
          <w:szCs w:val="21"/>
          <w14:textFill>
            <w14:solidFill>
              <w14:schemeClr w14:val="tx1"/>
            </w14:solidFill>
          </w14:textFill>
        </w:rPr>
        <w:t>，且应有明显的屈服台阶；</w:t>
      </w:r>
    </w:p>
    <w:p>
      <w:pPr>
        <w:spacing w:line="400" w:lineRule="exact"/>
        <w:ind w:left="1050" w:leftChars="400" w:hanging="210" w:hangingChars="100"/>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3</w:t>
      </w:r>
      <w:r>
        <w:rPr>
          <w:rFonts w:hint="eastAsia" w:cs="Times New Roman"/>
          <w:bCs/>
          <w:color w:val="000000" w:themeColor="text1"/>
          <w:szCs w:val="21"/>
          <w14:textFill>
            <w14:solidFill>
              <w14:schemeClr w14:val="tx1"/>
            </w14:solidFill>
          </w14:textFill>
        </w:rPr>
        <w:t>）钢材应具有良好的焊接性和合格的冲击韧性，工作温度下的夏比冲击韧性不应低于</w:t>
      </w:r>
      <w:r>
        <w:rPr>
          <w:rFonts w:cs="Times New Roman"/>
          <w:bCs/>
          <w:color w:val="000000" w:themeColor="text1"/>
          <w:szCs w:val="21"/>
          <w14:textFill>
            <w14:solidFill>
              <w14:schemeClr w14:val="tx1"/>
            </w14:solidFill>
          </w14:textFill>
        </w:rPr>
        <w:t>27J</w:t>
      </w:r>
      <w:r>
        <w:rPr>
          <w:rFonts w:hint="eastAsia" w:cs="Times New Roman"/>
          <w:bCs/>
          <w:color w:val="000000" w:themeColor="text1"/>
          <w:szCs w:val="21"/>
          <w14:textFill>
            <w14:solidFill>
              <w14:schemeClr w14:val="tx1"/>
            </w14:solidFill>
          </w14:textFill>
        </w:rPr>
        <w:t>；</w:t>
      </w:r>
    </w:p>
    <w:p>
      <w:pPr>
        <w:spacing w:line="400" w:lineRule="exact"/>
        <w:ind w:left="1050" w:leftChars="400" w:hanging="210" w:hangingChars="10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4</w:t>
      </w:r>
      <w:r>
        <w:rPr>
          <w:rFonts w:hint="eastAsia" w:cs="Times New Roman"/>
          <w:bCs/>
          <w:color w:val="000000" w:themeColor="text1"/>
          <w:szCs w:val="24"/>
          <w14:textFill>
            <w14:solidFill>
              <w14:schemeClr w14:val="tx1"/>
            </w14:solidFill>
          </w14:textFill>
        </w:rPr>
        <w:t>）钢材应采用等级不低于</w:t>
      </w:r>
      <w:r>
        <w:rPr>
          <w:rFonts w:cs="Times New Roman"/>
          <w:bCs/>
          <w:color w:val="000000" w:themeColor="text1"/>
          <w:szCs w:val="24"/>
          <w14:textFill>
            <w14:solidFill>
              <w14:schemeClr w14:val="tx1"/>
            </w14:solidFill>
          </w14:textFill>
        </w:rPr>
        <w:t>B</w:t>
      </w:r>
      <w:r>
        <w:rPr>
          <w:rFonts w:hint="eastAsia" w:cs="Times New Roman"/>
          <w:bCs/>
          <w:color w:val="000000" w:themeColor="text1"/>
          <w:szCs w:val="24"/>
          <w14:textFill>
            <w14:solidFill>
              <w14:schemeClr w14:val="tx1"/>
            </w14:solidFill>
          </w14:textFill>
        </w:rPr>
        <w:t>级的</w:t>
      </w:r>
      <w:r>
        <w:rPr>
          <w:rFonts w:cs="Times New Roman"/>
          <w:bCs/>
          <w:color w:val="000000" w:themeColor="text1"/>
          <w:szCs w:val="24"/>
          <w14:textFill>
            <w14:solidFill>
              <w14:schemeClr w14:val="tx1"/>
            </w14:solidFill>
          </w14:textFill>
        </w:rPr>
        <w:t>Q235</w:t>
      </w:r>
      <w:r>
        <w:rPr>
          <w:rFonts w:hint="eastAsia" w:cs="Times New Roman"/>
          <w:bCs/>
          <w:color w:val="000000" w:themeColor="text1"/>
          <w:szCs w:val="24"/>
          <w14:textFill>
            <w14:solidFill>
              <w14:schemeClr w14:val="tx1"/>
            </w14:solidFill>
          </w14:textFill>
        </w:rPr>
        <w:t>钢、</w:t>
      </w:r>
      <w:r>
        <w:rPr>
          <w:rFonts w:cs="Times New Roman"/>
          <w:bCs/>
          <w:color w:val="000000" w:themeColor="text1"/>
          <w:szCs w:val="24"/>
          <w14:textFill>
            <w14:solidFill>
              <w14:schemeClr w14:val="tx1"/>
            </w14:solidFill>
          </w14:textFill>
        </w:rPr>
        <w:t>Q345</w:t>
      </w:r>
      <w:r>
        <w:rPr>
          <w:rFonts w:hint="eastAsia" w:cs="Times New Roman"/>
          <w:bCs/>
          <w:color w:val="000000" w:themeColor="text1"/>
          <w:szCs w:val="24"/>
          <w14:textFill>
            <w14:solidFill>
              <w14:schemeClr w14:val="tx1"/>
            </w14:solidFill>
          </w14:textFill>
        </w:rPr>
        <w:t>钢和</w:t>
      </w:r>
      <w:r>
        <w:rPr>
          <w:rFonts w:cs="Times New Roman"/>
          <w:bCs/>
          <w:color w:val="000000" w:themeColor="text1"/>
          <w:szCs w:val="24"/>
          <w14:textFill>
            <w14:solidFill>
              <w14:schemeClr w14:val="tx1"/>
            </w14:solidFill>
          </w14:textFill>
        </w:rPr>
        <w:t>Q345GJ</w:t>
      </w:r>
      <w:r>
        <w:rPr>
          <w:rFonts w:hint="eastAsia" w:cs="Times New Roman"/>
          <w:bCs/>
          <w:color w:val="000000" w:themeColor="text1"/>
          <w:szCs w:val="24"/>
          <w14:textFill>
            <w14:solidFill>
              <w14:schemeClr w14:val="tx1"/>
            </w14:solidFill>
          </w14:textFill>
        </w:rPr>
        <w:t>钢，其质量应分别符合现行国家标准《碳素结构钢》</w:t>
      </w:r>
      <w:r>
        <w:rPr>
          <w:rFonts w:cs="Times New Roman"/>
          <w:bCs/>
          <w:color w:val="000000" w:themeColor="text1"/>
          <w:szCs w:val="24"/>
          <w14:textFill>
            <w14:solidFill>
              <w14:schemeClr w14:val="tx1"/>
            </w14:solidFill>
          </w14:textFill>
        </w:rPr>
        <w:t>GB/T 700</w:t>
      </w:r>
      <w:r>
        <w:rPr>
          <w:rFonts w:hint="eastAsia" w:cs="Times New Roman"/>
          <w:bCs/>
          <w:color w:val="000000" w:themeColor="text1"/>
          <w:szCs w:val="24"/>
          <w14:textFill>
            <w14:solidFill>
              <w14:schemeClr w14:val="tx1"/>
            </w14:solidFill>
          </w14:textFill>
        </w:rPr>
        <w:t>、《低合金高强度结构钢》</w:t>
      </w:r>
      <w:r>
        <w:rPr>
          <w:rFonts w:cs="Times New Roman"/>
          <w:bCs/>
          <w:color w:val="000000" w:themeColor="text1"/>
          <w:szCs w:val="24"/>
          <w14:textFill>
            <w14:solidFill>
              <w14:schemeClr w14:val="tx1"/>
            </w14:solidFill>
          </w14:textFill>
        </w:rPr>
        <w:t>GB/T 1951</w:t>
      </w:r>
      <w:r>
        <w:rPr>
          <w:rFonts w:hint="eastAsia" w:cs="Times New Roman"/>
          <w:bCs/>
          <w:color w:val="000000" w:themeColor="text1"/>
          <w:szCs w:val="24"/>
          <w14:textFill>
            <w14:solidFill>
              <w14:schemeClr w14:val="tx1"/>
            </w14:solidFill>
          </w14:textFill>
        </w:rPr>
        <w:t>和《建筑结构用钢板》</w:t>
      </w:r>
      <w:r>
        <w:rPr>
          <w:rFonts w:cs="Times New Roman"/>
          <w:bCs/>
          <w:color w:val="000000" w:themeColor="text1"/>
          <w:szCs w:val="24"/>
          <w14:textFill>
            <w14:solidFill>
              <w14:schemeClr w14:val="tx1"/>
            </w14:solidFill>
          </w14:textFill>
        </w:rPr>
        <w:t>GB/T 19879</w:t>
      </w:r>
      <w:r>
        <w:rPr>
          <w:rFonts w:hint="eastAsia" w:cs="Times New Roman"/>
          <w:bCs/>
          <w:color w:val="000000" w:themeColor="text1"/>
          <w:szCs w:val="24"/>
          <w14:textFill>
            <w14:solidFill>
              <w14:schemeClr w14:val="tx1"/>
            </w14:solidFill>
          </w14:textFill>
        </w:rPr>
        <w:t>的规定；</w:t>
      </w:r>
    </w:p>
    <w:p>
      <w:pPr>
        <w:spacing w:line="400" w:lineRule="exact"/>
        <w:ind w:firstLine="1050" w:firstLineChars="500"/>
        <w:rPr>
          <w:rFonts w:cs="Times New Roman"/>
          <w:bCs/>
          <w:color w:val="000000" w:themeColor="text1"/>
          <w:szCs w:val="24"/>
          <w14:textFill>
            <w14:solidFill>
              <w14:schemeClr w14:val="tx1"/>
            </w14:solidFill>
          </w14:textFill>
        </w:rPr>
      </w:pPr>
      <w:r>
        <w:rPr>
          <w:rFonts w:hint="eastAsia" w:cs="Times New Roman"/>
          <w:bCs/>
          <w:color w:val="000000" w:themeColor="text1"/>
          <w:szCs w:val="24"/>
          <w14:textFill>
            <w14:solidFill>
              <w14:schemeClr w14:val="tx1"/>
            </w14:solidFill>
          </w14:textFill>
        </w:rPr>
        <w:t>塑性结构宜优先按《建筑结构用钢板》</w:t>
      </w:r>
      <w:r>
        <w:rPr>
          <w:rFonts w:cs="Times New Roman"/>
          <w:bCs/>
          <w:color w:val="000000" w:themeColor="text1"/>
          <w:szCs w:val="24"/>
          <w14:textFill>
            <w14:solidFill>
              <w14:schemeClr w14:val="tx1"/>
            </w14:solidFill>
          </w14:textFill>
        </w:rPr>
        <w:t>GB/T 19879</w:t>
      </w:r>
      <w:r>
        <w:rPr>
          <w:rFonts w:hint="eastAsia" w:cs="Times New Roman"/>
          <w:bCs/>
          <w:color w:val="000000" w:themeColor="text1"/>
          <w:szCs w:val="24"/>
          <w14:textFill>
            <w14:solidFill>
              <w14:schemeClr w14:val="tx1"/>
            </w14:solidFill>
          </w14:textFill>
        </w:rPr>
        <w:t>选用钢材；</w:t>
      </w:r>
    </w:p>
    <w:p>
      <w:pPr>
        <w:spacing w:line="400" w:lineRule="exact"/>
        <w:ind w:left="840" w:leftChars="400" w:firstLine="0" w:firstLineChars="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5</w:t>
      </w:r>
      <w:r>
        <w:rPr>
          <w:rFonts w:hint="eastAsia" w:cs="Times New Roman"/>
          <w:bCs/>
          <w:color w:val="000000" w:themeColor="text1"/>
          <w:szCs w:val="24"/>
          <w14:textFill>
            <w14:solidFill>
              <w14:schemeClr w14:val="tx1"/>
            </w14:solidFill>
          </w14:textFill>
        </w:rPr>
        <w:t>）当有可靠依据时，也可采用其他钢种和钢号的钢材，其性能应符合本款</w:t>
      </w:r>
      <w:r>
        <w:rPr>
          <w:rFonts w:cs="Times New Roman"/>
          <w:bCs/>
          <w:color w:val="000000" w:themeColor="text1"/>
          <w:szCs w:val="24"/>
          <w14:textFill>
            <w14:solidFill>
              <w14:schemeClr w14:val="tx1"/>
            </w14:solidFill>
          </w14:textFill>
        </w:rPr>
        <w:t>1</w:t>
      </w:r>
      <w:r>
        <w:rPr>
          <w:rFonts w:hint="eastAsia" w:cs="Times New Roman"/>
          <w:bCs/>
          <w:color w:val="000000" w:themeColor="text1"/>
          <w:szCs w:val="24"/>
          <w14:textFill>
            <w14:solidFill>
              <w14:schemeClr w14:val="tx1"/>
            </w14:solidFill>
          </w14:textFill>
        </w:rPr>
        <w:t>）、</w:t>
      </w:r>
      <w:r>
        <w:rPr>
          <w:rFonts w:cs="Times New Roman"/>
          <w:bCs/>
          <w:color w:val="000000" w:themeColor="text1"/>
          <w:szCs w:val="24"/>
          <w14:textFill>
            <w14:solidFill>
              <w14:schemeClr w14:val="tx1"/>
            </w14:solidFill>
          </w14:textFill>
        </w:rPr>
        <w:t>2</w:t>
      </w:r>
      <w:r>
        <w:rPr>
          <w:rFonts w:hint="eastAsia" w:cs="Times New Roman"/>
          <w:bCs/>
          <w:color w:val="000000" w:themeColor="text1"/>
          <w:szCs w:val="24"/>
          <w14:textFill>
            <w14:solidFill>
              <w14:schemeClr w14:val="tx1"/>
            </w14:solidFill>
          </w14:textFill>
        </w:rPr>
        <w:t>）和</w:t>
      </w:r>
      <w:r>
        <w:rPr>
          <w:rFonts w:cs="Times New Roman"/>
          <w:bCs/>
          <w:color w:val="000000" w:themeColor="text1"/>
          <w:szCs w:val="24"/>
          <w14:textFill>
            <w14:solidFill>
              <w14:schemeClr w14:val="tx1"/>
            </w14:solidFill>
          </w14:textFill>
        </w:rPr>
        <w:t>3</w:t>
      </w:r>
      <w:r>
        <w:rPr>
          <w:rFonts w:hint="eastAsia" w:cs="Times New Roman"/>
          <w:bCs/>
          <w:color w:val="000000" w:themeColor="text1"/>
          <w:szCs w:val="24"/>
          <w14:textFill>
            <w14:solidFill>
              <w14:schemeClr w14:val="tx1"/>
            </w14:solidFill>
          </w14:textFill>
        </w:rPr>
        <w:t>）的要求。</w:t>
      </w:r>
    </w:p>
    <w:p>
      <w:pPr>
        <w:spacing w:line="400" w:lineRule="exact"/>
        <w:ind w:firstLine="42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 xml:space="preserve">2 </w:t>
      </w:r>
      <w:r>
        <w:rPr>
          <w:rFonts w:hint="eastAsia" w:cs="Times New Roman"/>
          <w:bCs/>
          <w:color w:val="000000" w:themeColor="text1"/>
          <w:szCs w:val="24"/>
          <w14:textFill>
            <w14:solidFill>
              <w14:schemeClr w14:val="tx1"/>
            </w14:solidFill>
          </w14:textFill>
        </w:rPr>
        <w:t>采用焊接连接的节点，当板厚不小于</w:t>
      </w:r>
      <w:r>
        <w:rPr>
          <w:rFonts w:cs="Times New Roman"/>
          <w:bCs/>
          <w:color w:val="000000" w:themeColor="text1"/>
          <w:szCs w:val="24"/>
          <w14:textFill>
            <w14:solidFill>
              <w14:schemeClr w14:val="tx1"/>
            </w14:solidFill>
          </w14:textFill>
        </w:rPr>
        <w:t>40mm</w:t>
      </w:r>
      <w:r>
        <w:rPr>
          <w:rFonts w:hint="eastAsia" w:cs="Times New Roman"/>
          <w:bCs/>
          <w:color w:val="000000" w:themeColor="text1"/>
          <w:szCs w:val="24"/>
          <w14:textFill>
            <w14:solidFill>
              <w14:schemeClr w14:val="tx1"/>
            </w14:solidFill>
          </w14:textFill>
        </w:rPr>
        <w:t>，且沿板厚方向承受拉力作用时，应对该部分钢材提出关于沿板厚方向受拉试件破坏后断面收缩率的附加要求，该值不得小于国家标准《厚度方向性能钢板》</w:t>
      </w:r>
      <w:r>
        <w:rPr>
          <w:rFonts w:cs="Times New Roman"/>
          <w:bCs/>
          <w:color w:val="000000" w:themeColor="text1"/>
          <w:szCs w:val="24"/>
          <w14:textFill>
            <w14:solidFill>
              <w14:schemeClr w14:val="tx1"/>
            </w14:solidFill>
          </w14:textFill>
        </w:rPr>
        <w:t>GB/T 5313</w:t>
      </w:r>
      <w:r>
        <w:rPr>
          <w:rFonts w:hint="eastAsia" w:cs="Times New Roman"/>
          <w:bCs/>
          <w:color w:val="000000" w:themeColor="text1"/>
          <w:szCs w:val="24"/>
          <w14:textFill>
            <w14:solidFill>
              <w14:schemeClr w14:val="tx1"/>
            </w14:solidFill>
          </w14:textFill>
        </w:rPr>
        <w:t>规定的</w:t>
      </w:r>
      <w:r>
        <w:rPr>
          <w:rFonts w:cs="Times New Roman"/>
          <w:bCs/>
          <w:color w:val="000000" w:themeColor="text1"/>
          <w:szCs w:val="24"/>
          <w14:textFill>
            <w14:solidFill>
              <w14:schemeClr w14:val="tx1"/>
            </w14:solidFill>
          </w14:textFill>
        </w:rPr>
        <w:t>Z15</w:t>
      </w:r>
      <w:r>
        <w:rPr>
          <w:rFonts w:hint="eastAsia" w:cs="Times New Roman"/>
          <w:bCs/>
          <w:color w:val="000000" w:themeColor="text1"/>
          <w:szCs w:val="24"/>
          <w14:textFill>
            <w14:solidFill>
              <w14:schemeClr w14:val="tx1"/>
            </w14:solidFill>
          </w14:textFill>
        </w:rPr>
        <w:t>级的限值。</w:t>
      </w:r>
    </w:p>
    <w:p>
      <w:pPr>
        <w:spacing w:line="400" w:lineRule="exact"/>
        <w:ind w:firstLine="42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 xml:space="preserve">3 </w:t>
      </w:r>
      <w:r>
        <w:rPr>
          <w:rFonts w:hint="eastAsia" w:cs="Times New Roman"/>
          <w:bCs/>
          <w:color w:val="000000" w:themeColor="text1"/>
          <w:szCs w:val="24"/>
          <w14:textFill>
            <w14:solidFill>
              <w14:schemeClr w14:val="tx1"/>
            </w14:solidFill>
          </w14:textFill>
        </w:rPr>
        <w:t>钢结构构件关键性焊缝的填充金属应检验</w:t>
      </w:r>
      <w:r>
        <w:rPr>
          <w:rFonts w:cs="Times New Roman"/>
          <w:bCs/>
          <w:color w:val="000000" w:themeColor="text1"/>
          <w:szCs w:val="24"/>
          <w14:textFill>
            <w14:solidFill>
              <w14:schemeClr w14:val="tx1"/>
            </w14:solidFill>
          </w14:textFill>
        </w:rPr>
        <w:t>V</w:t>
      </w:r>
      <w:r>
        <w:rPr>
          <w:rFonts w:hint="eastAsia" w:cs="Times New Roman"/>
          <w:bCs/>
          <w:color w:val="000000" w:themeColor="text1"/>
          <w:szCs w:val="24"/>
          <w14:textFill>
            <w14:solidFill>
              <w14:schemeClr w14:val="tx1"/>
            </w14:solidFill>
          </w14:textFill>
        </w:rPr>
        <w:t>形切口的冲击韧性，</w:t>
      </w:r>
      <w:r>
        <w:rPr>
          <w:rFonts w:hint="eastAsia" w:cs="Times New Roman"/>
          <w:bCs/>
          <w:color w:val="000000" w:themeColor="text1"/>
          <w:szCs w:val="21"/>
          <w14:textFill>
            <w14:solidFill>
              <w14:schemeClr w14:val="tx1"/>
            </w14:solidFill>
          </w14:textFill>
        </w:rPr>
        <w:t>工作温度下</w:t>
      </w:r>
      <w:r>
        <w:rPr>
          <w:rFonts w:hint="eastAsia" w:cs="Times New Roman"/>
          <w:bCs/>
          <w:color w:val="000000" w:themeColor="text1"/>
          <w:szCs w:val="24"/>
          <w14:textFill>
            <w14:solidFill>
              <w14:schemeClr w14:val="tx1"/>
            </w14:solidFill>
          </w14:textFill>
        </w:rPr>
        <w:t>的夏比冲击韧性不应低于</w:t>
      </w:r>
      <w:r>
        <w:rPr>
          <w:rFonts w:cs="Times New Roman"/>
          <w:bCs/>
          <w:color w:val="000000" w:themeColor="text1"/>
          <w:szCs w:val="24"/>
          <w14:textFill>
            <w14:solidFill>
              <w14:schemeClr w14:val="tx1"/>
            </w14:solidFill>
          </w14:textFill>
        </w:rPr>
        <w:t>27J</w:t>
      </w:r>
      <w:r>
        <w:rPr>
          <w:rFonts w:hint="eastAsia" w:cs="Times New Roman"/>
          <w:bCs/>
          <w:color w:val="000000" w:themeColor="text1"/>
          <w:szCs w:val="24"/>
          <w14:textFill>
            <w14:solidFill>
              <w14:schemeClr w14:val="tx1"/>
            </w14:solidFill>
          </w14:textFill>
        </w:rPr>
        <w:t>。</w:t>
      </w:r>
    </w:p>
    <w:p>
      <w:pPr>
        <w:spacing w:line="400" w:lineRule="exact"/>
        <w:ind w:firstLine="420" w:firstLineChars="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 xml:space="preserve">4 </w:t>
      </w:r>
      <w:r>
        <w:rPr>
          <w:rFonts w:hint="eastAsia" w:cs="Times New Roman"/>
          <w:bCs/>
          <w:color w:val="000000" w:themeColor="text1"/>
          <w:szCs w:val="24"/>
          <w14:textFill>
            <w14:solidFill>
              <w14:schemeClr w14:val="tx1"/>
            </w14:solidFill>
          </w14:textFill>
        </w:rPr>
        <w:t>钢管混凝土柱应符合下列要求：</w:t>
      </w:r>
    </w:p>
    <w:p>
      <w:pPr>
        <w:spacing w:line="400" w:lineRule="exact"/>
        <w:ind w:left="1050" w:leftChars="400" w:hanging="210" w:hangingChars="10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1</w:t>
      </w:r>
      <w:r>
        <w:rPr>
          <w:rFonts w:hint="eastAsia" w:cs="Times New Roman"/>
          <w:bCs/>
          <w:color w:val="000000" w:themeColor="text1"/>
          <w:szCs w:val="24"/>
          <w14:textFill>
            <w14:solidFill>
              <w14:schemeClr w14:val="tx1"/>
            </w14:solidFill>
          </w14:textFill>
        </w:rPr>
        <w:t>）钢管不宜选用输送流体用的螺旋焊管；焊接钢管应采用对接熔透焊缝，焊缝强度不应低于管材强度。</w:t>
      </w:r>
    </w:p>
    <w:p>
      <w:pPr>
        <w:spacing w:line="400" w:lineRule="exact"/>
        <w:ind w:left="1050" w:leftChars="400" w:hanging="210" w:hangingChars="10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2</w:t>
      </w:r>
      <w:r>
        <w:rPr>
          <w:rFonts w:hint="eastAsia" w:cs="Times New Roman"/>
          <w:bCs/>
          <w:color w:val="000000" w:themeColor="text1"/>
          <w:szCs w:val="24"/>
          <w14:textFill>
            <w14:solidFill>
              <w14:schemeClr w14:val="tx1"/>
            </w14:solidFill>
          </w14:textFill>
        </w:rPr>
        <w:t>）混凝土可采用普通混凝土和自密实混凝土，其强度等级不应低于</w:t>
      </w:r>
      <w:r>
        <w:rPr>
          <w:rFonts w:cs="Times New Roman"/>
          <w:bCs/>
          <w:color w:val="000000" w:themeColor="text1"/>
          <w:szCs w:val="24"/>
          <w14:textFill>
            <w14:solidFill>
              <w14:schemeClr w14:val="tx1"/>
            </w14:solidFill>
          </w14:textFill>
        </w:rPr>
        <w:t>C30</w:t>
      </w:r>
      <w:r>
        <w:rPr>
          <w:rFonts w:hint="eastAsia" w:cs="Times New Roman"/>
          <w:bCs/>
          <w:color w:val="000000" w:themeColor="text1"/>
          <w:szCs w:val="24"/>
          <w14:textFill>
            <w14:solidFill>
              <w14:schemeClr w14:val="tx1"/>
            </w14:solidFill>
          </w14:textFill>
        </w:rPr>
        <w:t>。混凝土的抗压强度和弹性模量应按现行国家标准《混凝土结构设计规范》</w:t>
      </w:r>
      <w:r>
        <w:rPr>
          <w:rFonts w:cs="Times New Roman"/>
          <w:bCs/>
          <w:color w:val="000000" w:themeColor="text1"/>
          <w:szCs w:val="24"/>
          <w14:textFill>
            <w14:solidFill>
              <w14:schemeClr w14:val="tx1"/>
            </w14:solidFill>
          </w14:textFill>
        </w:rPr>
        <w:t>GB 50010</w:t>
      </w:r>
      <w:r>
        <w:rPr>
          <w:rFonts w:hint="eastAsia" w:cs="Times New Roman"/>
          <w:bCs/>
          <w:color w:val="000000" w:themeColor="text1"/>
          <w:szCs w:val="24"/>
          <w14:textFill>
            <w14:solidFill>
              <w14:schemeClr w14:val="tx1"/>
            </w14:solidFill>
          </w14:textFill>
        </w:rPr>
        <w:t>执行；当采用</w:t>
      </w:r>
      <w:r>
        <w:rPr>
          <w:rFonts w:cs="Times New Roman"/>
          <w:bCs/>
          <w:color w:val="000000" w:themeColor="text1"/>
          <w:szCs w:val="24"/>
          <w14:textFill>
            <w14:solidFill>
              <w14:schemeClr w14:val="tx1"/>
            </w14:solidFill>
          </w14:textFill>
        </w:rPr>
        <w:t>C80</w:t>
      </w:r>
      <w:r>
        <w:rPr>
          <w:rFonts w:hint="eastAsia" w:cs="Times New Roman"/>
          <w:bCs/>
          <w:color w:val="000000" w:themeColor="text1"/>
          <w:szCs w:val="24"/>
          <w14:textFill>
            <w14:solidFill>
              <w14:schemeClr w14:val="tx1"/>
            </w14:solidFill>
          </w14:textFill>
        </w:rPr>
        <w:t>以上高强混凝土时，应有可靠的依据。</w:t>
      </w:r>
    </w:p>
    <w:p>
      <w:pPr>
        <w:spacing w:line="400" w:lineRule="exact"/>
        <w:ind w:firstLine="420"/>
        <w:rPr>
          <w:rFonts w:cs="Times New Roman"/>
          <w:bCs/>
          <w:color w:val="000000" w:themeColor="text1"/>
          <w:szCs w:val="24"/>
          <w14:textFill>
            <w14:solidFill>
              <w14:schemeClr w14:val="tx1"/>
            </w14:solidFill>
          </w14:textFill>
        </w:rPr>
      </w:pPr>
      <w:r>
        <w:rPr>
          <w:rFonts w:cs="Times New Roman"/>
          <w:bCs/>
          <w:color w:val="000000" w:themeColor="text1"/>
          <w:szCs w:val="24"/>
          <w14:textFill>
            <w14:solidFill>
              <w14:schemeClr w14:val="tx1"/>
            </w14:solidFill>
          </w14:textFill>
        </w:rPr>
        <w:t xml:space="preserve">5 </w:t>
      </w:r>
      <w:r>
        <w:rPr>
          <w:rFonts w:hint="eastAsia" w:cs="Times New Roman"/>
          <w:bCs/>
          <w:color w:val="000000" w:themeColor="text1"/>
          <w:szCs w:val="24"/>
          <w14:textFill>
            <w14:solidFill>
              <w14:schemeClr w14:val="tx1"/>
            </w14:solidFill>
          </w14:textFill>
        </w:rPr>
        <w:t>钢管混凝土柱采用埋入式柱脚时，钢管与底板的连接焊缝宜采用坡口全熔透焊缝，焊缝等级为二级；当采用非埋入式柱脚时，钢管与柱脚底板的连接应采用坡口全熔透焊缝，焊缝等级为一级。</w:t>
      </w:r>
    </w:p>
    <w:p>
      <w:pPr>
        <w:spacing w:line="400" w:lineRule="exact"/>
        <w:ind w:firstLine="420"/>
        <w:rPr>
          <w:rFonts w:cs="Times New Roman"/>
          <w:bCs/>
          <w:color w:val="000000" w:themeColor="text1"/>
          <w:szCs w:val="24"/>
          <w14:textFill>
            <w14:solidFill>
              <w14:schemeClr w14:val="tx1"/>
            </w14:solidFill>
          </w14:textFill>
        </w:rPr>
      </w:pPr>
    </w:p>
    <w:p>
      <w:pPr>
        <w:pStyle w:val="3"/>
      </w:pPr>
      <w:bookmarkStart w:id="159" w:name="_Toc48841050"/>
      <w:r>
        <w:rPr>
          <w:rFonts w:hint="eastAsia"/>
        </w:rPr>
        <w:t>结构性能系数和设计基本要求</w:t>
      </w:r>
      <w:bookmarkEnd w:id="159"/>
    </w:p>
    <w:p>
      <w:pPr>
        <w:spacing w:before="156" w:beforeLines="50" w:line="400" w:lineRule="exact"/>
        <w:ind w:firstLine="0" w:firstLineChars="0"/>
        <w:jc w:val="center"/>
        <w:rPr>
          <w:rFonts w:cs="Times New Roman"/>
          <w:bCs/>
          <w:color w:val="000000" w:themeColor="text1"/>
          <w:szCs w:val="21"/>
          <w14:textFill>
            <w14:solidFill>
              <w14:schemeClr w14:val="tx1"/>
            </w14:solidFill>
          </w14:textFill>
        </w:rPr>
      </w:pPr>
    </w:p>
    <w:p>
      <w:pPr>
        <w:spacing w:line="400" w:lineRule="exact"/>
        <w:ind w:firstLine="0" w:firstLineChars="0"/>
        <w:rPr>
          <w:rFonts w:cs="Times New Roman"/>
          <w:bCs/>
          <w:color w:val="000000" w:themeColor="text1"/>
          <w:szCs w:val="21"/>
          <w14:textFill>
            <w14:solidFill>
              <w14:schemeClr w14:val="tx1"/>
            </w14:solidFill>
          </w14:textFill>
        </w:rPr>
      </w:pPr>
      <w:r>
        <w:rPr>
          <w:rFonts w:hint="eastAsia" w:cs="Times New Roman"/>
          <w:bCs/>
          <w:color w:val="000000" w:themeColor="text1"/>
          <w:szCs w:val="21"/>
          <w14:textFill>
            <w14:solidFill>
              <w14:schemeClr w14:val="tx1"/>
            </w14:solidFill>
          </w14:textFill>
        </w:rPr>
        <w:t>9</w:t>
      </w:r>
      <w:r>
        <w:rPr>
          <w:rFonts w:cs="Times New Roman"/>
          <w:bCs/>
          <w:color w:val="000000" w:themeColor="text1"/>
          <w:szCs w:val="21"/>
          <w14:textFill>
            <w14:solidFill>
              <w14:schemeClr w14:val="tx1"/>
            </w14:solidFill>
          </w14:textFill>
        </w:rPr>
        <w:t>.2.1</w:t>
      </w:r>
      <w:r>
        <w:rPr>
          <w:rFonts w:hint="eastAsia" w:cs="Times New Roman"/>
          <w:bCs/>
          <w:color w:val="000000" w:themeColor="text1"/>
          <w:szCs w:val="21"/>
          <w14:textFill>
            <w14:solidFill>
              <w14:schemeClr w14:val="tx1"/>
            </w14:solidFill>
          </w14:textFill>
        </w:rPr>
        <w:t>钢结构应按本章规定调整地震作用效应，其层间变形应符合本标准</w:t>
      </w:r>
      <w:r>
        <w:rPr>
          <w:rFonts w:hint="eastAsia" w:cs="Times New Roman"/>
          <w:bCs/>
          <w:color w:val="000000" w:themeColor="text1"/>
          <w:kern w:val="0"/>
          <w:szCs w:val="21"/>
          <w14:textFill>
            <w14:solidFill>
              <w14:schemeClr w14:val="tx1"/>
            </w14:solidFill>
          </w14:textFill>
        </w:rPr>
        <w:t>第</w:t>
      </w:r>
      <w:r>
        <w:rPr>
          <w:rFonts w:cs="Times New Roman"/>
          <w:bCs/>
          <w:color w:val="000000" w:themeColor="text1"/>
          <w:kern w:val="0"/>
          <w:szCs w:val="21"/>
          <w14:textFill>
            <w14:solidFill>
              <w14:schemeClr w14:val="tx1"/>
            </w14:solidFill>
          </w14:textFill>
        </w:rPr>
        <w:t>4.</w:t>
      </w:r>
      <w:r>
        <w:rPr>
          <w:rFonts w:hint="eastAsia" w:cs="Times New Roman"/>
          <w:bCs/>
          <w:color w:val="000000" w:themeColor="text1"/>
          <w:kern w:val="0"/>
          <w:szCs w:val="21"/>
          <w14:textFill>
            <w14:solidFill>
              <w14:schemeClr w14:val="tx1"/>
            </w14:solidFill>
          </w14:textFill>
        </w:rPr>
        <w:t>8节的规定。</w:t>
      </w:r>
      <w:r>
        <w:rPr>
          <w:rFonts w:hint="eastAsia" w:cs="Times New Roman"/>
          <w:bCs/>
          <w:color w:val="000000" w:themeColor="text1"/>
          <w:szCs w:val="21"/>
          <w14:textFill>
            <w14:solidFill>
              <w14:schemeClr w14:val="tx1"/>
            </w14:solidFill>
          </w14:textFill>
        </w:rPr>
        <w:t>构件和连接的抗震承载力，除本章有专门说明或规定者外，均应符合现行国家标准《钢结构设计标准》</w:t>
      </w:r>
      <w:r>
        <w:rPr>
          <w:rFonts w:cs="Times New Roman"/>
          <w:bCs/>
          <w:color w:val="000000" w:themeColor="text1"/>
          <w:szCs w:val="21"/>
          <w14:textFill>
            <w14:solidFill>
              <w14:schemeClr w14:val="tx1"/>
            </w14:solidFill>
          </w14:textFill>
        </w:rPr>
        <w:t>GB 50017</w:t>
      </w:r>
      <w:r>
        <w:rPr>
          <w:rFonts w:hint="eastAsia" w:cs="Times New Roman"/>
          <w:bCs/>
          <w:color w:val="000000" w:themeColor="text1"/>
          <w:szCs w:val="21"/>
          <w14:textFill>
            <w14:solidFill>
              <w14:schemeClr w14:val="tx1"/>
            </w14:solidFill>
          </w14:textFill>
        </w:rPr>
        <w:t>和《钢管混凝土结构技术规范》</w:t>
      </w:r>
      <w:r>
        <w:rPr>
          <w:rFonts w:cs="Times New Roman"/>
          <w:bCs/>
          <w:color w:val="000000" w:themeColor="text1"/>
          <w:szCs w:val="21"/>
          <w14:textFill>
            <w14:solidFill>
              <w14:schemeClr w14:val="tx1"/>
            </w14:solidFill>
          </w14:textFill>
        </w:rPr>
        <w:t>GB 50936</w:t>
      </w:r>
      <w:r>
        <w:rPr>
          <w:rFonts w:hint="eastAsia" w:cs="Times New Roman"/>
          <w:bCs/>
          <w:color w:val="000000" w:themeColor="text1"/>
          <w:szCs w:val="21"/>
          <w14:textFill>
            <w14:solidFill>
              <w14:schemeClr w14:val="tx1"/>
            </w14:solidFill>
          </w14:textFill>
        </w:rPr>
        <w:t>等的有关公式和规定，但</w:t>
      </w:r>
      <w:r>
        <w:rPr>
          <w:rFonts w:hint="eastAsia" w:cs="Times New Roman"/>
          <w:bCs/>
          <w:color w:val="000000" w:themeColor="text1"/>
          <w:szCs w:val="24"/>
          <w14:textFill>
            <w14:solidFill>
              <w14:schemeClr w14:val="tx1"/>
            </w14:solidFill>
          </w14:textFill>
        </w:rPr>
        <w:t>承载力设计值应按本标准第</w:t>
      </w:r>
      <w:r>
        <w:rPr>
          <w:rFonts w:cs="Times New Roman"/>
          <w:bCs/>
          <w:color w:val="000000" w:themeColor="text1"/>
          <w:szCs w:val="24"/>
          <w14:textFill>
            <w14:solidFill>
              <w14:schemeClr w14:val="tx1"/>
            </w14:solidFill>
          </w14:textFill>
        </w:rPr>
        <w:t>4.</w:t>
      </w:r>
      <w:r>
        <w:rPr>
          <w:rFonts w:hint="eastAsia" w:cs="Times New Roman"/>
          <w:bCs/>
          <w:color w:val="000000" w:themeColor="text1"/>
          <w:szCs w:val="24"/>
          <w14:textFill>
            <w14:solidFill>
              <w14:schemeClr w14:val="tx1"/>
            </w14:solidFill>
          </w14:textFill>
        </w:rPr>
        <w:t>6节的规定除以承载力抗震调整系数</w:t>
      </w:r>
      <w:r>
        <w:rPr>
          <w:rFonts w:cs="Times New Roman"/>
          <w:bCs/>
          <w:color w:val="000000" w:themeColor="text1"/>
          <w:szCs w:val="24"/>
          <w14:textFill>
            <w14:solidFill>
              <w14:schemeClr w14:val="tx1"/>
            </w14:solidFill>
          </w14:textFill>
        </w:rPr>
        <w:t>γ</w:t>
      </w:r>
      <w:r>
        <w:rPr>
          <w:rFonts w:cs="Times New Roman"/>
          <w:bCs/>
          <w:color w:val="000000" w:themeColor="text1"/>
          <w:szCs w:val="24"/>
          <w:vertAlign w:val="subscript"/>
          <w14:textFill>
            <w14:solidFill>
              <w14:schemeClr w14:val="tx1"/>
            </w14:solidFill>
          </w14:textFill>
        </w:rPr>
        <w:t>RE</w:t>
      </w:r>
      <w:r>
        <w:rPr>
          <w:rFonts w:hint="eastAsia" w:cs="Times New Roman"/>
          <w:bCs/>
          <w:color w:val="000000" w:themeColor="text1"/>
          <w:szCs w:val="24"/>
          <w14:textFill>
            <w14:solidFill>
              <w14:schemeClr w14:val="tx1"/>
            </w14:solidFill>
          </w14:textFill>
        </w:rPr>
        <w:t>进行弹性阶段的抗震设计。</w:t>
      </w:r>
    </w:p>
    <w:p>
      <w:pPr>
        <w:spacing w:line="400" w:lineRule="exact"/>
        <w:ind w:firstLine="0" w:firstLineChars="0"/>
        <w:rPr>
          <w:rFonts w:cs="Times New Roman"/>
          <w:bCs/>
          <w:color w:val="000000" w:themeColor="text1"/>
          <w:kern w:val="0"/>
          <w:szCs w:val="21"/>
          <w14:textFill>
            <w14:solidFill>
              <w14:schemeClr w14:val="tx1"/>
            </w14:solidFill>
          </w14:textFill>
        </w:rPr>
      </w:pPr>
      <w:r>
        <w:rPr>
          <w:rFonts w:hint="eastAsia" w:cs="Times New Roman"/>
          <w:bCs/>
          <w:color w:val="000000" w:themeColor="text1"/>
          <w:szCs w:val="21"/>
          <w14:textFill>
            <w14:solidFill>
              <w14:schemeClr w14:val="tx1"/>
            </w14:solidFill>
          </w14:textFill>
        </w:rPr>
        <w:t>9</w:t>
      </w:r>
      <w:r>
        <w:rPr>
          <w:rFonts w:cs="Times New Roman"/>
          <w:bCs/>
          <w:color w:val="000000" w:themeColor="text1"/>
          <w:szCs w:val="21"/>
          <w14:textFill>
            <w14:solidFill>
              <w14:schemeClr w14:val="tx1"/>
            </w14:solidFill>
          </w14:textFill>
        </w:rPr>
        <w:t>.2.2</w:t>
      </w:r>
      <w:r>
        <w:rPr>
          <w:rFonts w:cs="Times New Roman"/>
          <w:bCs/>
          <w:color w:val="000000" w:themeColor="text1"/>
          <w:szCs w:val="21"/>
          <w:lang w:eastAsia="ja-JP"/>
          <w14:textFill>
            <w14:solidFill>
              <w14:schemeClr w14:val="tx1"/>
            </w14:solidFill>
          </w14:textFill>
        </w:rPr>
        <w:t xml:space="preserve"> </w:t>
      </w:r>
      <w:r>
        <w:rPr>
          <w:rFonts w:hint="eastAsia" w:cs="Times New Roman"/>
          <w:bCs/>
          <w:color w:val="000000" w:themeColor="text1"/>
          <w:szCs w:val="21"/>
          <w14:textFill>
            <w14:solidFill>
              <w14:schemeClr w14:val="tx1"/>
            </w14:solidFill>
          </w14:textFill>
        </w:rPr>
        <w:t>钢结构应据平面、竖向的规则性、地震作用大小和结构延性需求等综合考虑，可据需采用</w:t>
      </w:r>
      <w:r>
        <w:rPr>
          <w:rFonts w:hint="eastAsia" w:cs="Times New Roman"/>
          <w:bCs/>
          <w:color w:val="000000" w:themeColor="text1"/>
          <w:kern w:val="0"/>
          <w:szCs w:val="21"/>
          <w14:textFill>
            <w14:solidFill>
              <w14:schemeClr w14:val="tx1"/>
            </w14:solidFill>
          </w14:textFill>
        </w:rPr>
        <w:t>塑性结构</w:t>
      </w:r>
      <w:r>
        <w:rPr>
          <w:rFonts w:cs="Times New Roman"/>
          <w:bCs/>
          <w:color w:val="000000" w:themeColor="text1"/>
          <w:kern w:val="0"/>
          <w:szCs w:val="21"/>
          <w14:textFill>
            <w14:solidFill>
              <w14:schemeClr w14:val="tx1"/>
            </w14:solidFill>
          </w14:textFill>
        </w:rPr>
        <w:t>PS1</w:t>
      </w:r>
      <w:r>
        <w:rPr>
          <w:rFonts w:hint="eastAsia" w:cs="Times New Roman"/>
          <w:bCs/>
          <w:color w:val="000000" w:themeColor="text1"/>
          <w:kern w:val="0"/>
          <w:szCs w:val="21"/>
          <w14:textFill>
            <w14:solidFill>
              <w14:schemeClr w14:val="tx1"/>
            </w14:solidFill>
          </w14:textFill>
        </w:rPr>
        <w:t>、</w:t>
      </w:r>
      <w:r>
        <w:rPr>
          <w:rFonts w:cs="Times New Roman"/>
          <w:bCs/>
          <w:color w:val="000000" w:themeColor="text1"/>
          <w:kern w:val="0"/>
          <w:szCs w:val="21"/>
          <w14:textFill>
            <w14:solidFill>
              <w14:schemeClr w14:val="tx1"/>
            </w14:solidFill>
          </w14:textFill>
        </w:rPr>
        <w:t>PS2</w:t>
      </w:r>
      <w:r>
        <w:rPr>
          <w:rFonts w:hint="eastAsia" w:cs="Times New Roman"/>
          <w:bCs/>
          <w:color w:val="000000" w:themeColor="text1"/>
          <w:kern w:val="0"/>
          <w:szCs w:val="21"/>
          <w14:textFill>
            <w14:solidFill>
              <w14:schemeClr w14:val="tx1"/>
            </w14:solidFill>
          </w14:textFill>
        </w:rPr>
        <w:t>、弹性结构</w:t>
      </w:r>
      <w:r>
        <w:rPr>
          <w:rFonts w:cs="Times New Roman"/>
          <w:bCs/>
          <w:color w:val="000000" w:themeColor="text1"/>
          <w:kern w:val="0"/>
          <w:szCs w:val="21"/>
          <w14:textFill>
            <w14:solidFill>
              <w14:schemeClr w14:val="tx1"/>
            </w14:solidFill>
          </w14:textFill>
        </w:rPr>
        <w:t>ES1</w:t>
      </w:r>
      <w:r>
        <w:rPr>
          <w:rFonts w:hint="eastAsia" w:cs="Times New Roman"/>
          <w:bCs/>
          <w:color w:val="000000" w:themeColor="text1"/>
          <w:kern w:val="0"/>
          <w:szCs w:val="21"/>
          <w14:textFill>
            <w14:solidFill>
              <w14:schemeClr w14:val="tx1"/>
            </w14:solidFill>
          </w14:textFill>
        </w:rPr>
        <w:t>、</w:t>
      </w:r>
      <w:r>
        <w:rPr>
          <w:rFonts w:cs="Times New Roman"/>
          <w:bCs/>
          <w:color w:val="000000" w:themeColor="text1"/>
          <w:kern w:val="0"/>
          <w:szCs w:val="21"/>
          <w14:textFill>
            <w14:solidFill>
              <w14:schemeClr w14:val="tx1"/>
            </w14:solidFill>
          </w14:textFill>
        </w:rPr>
        <w:t>ES2</w:t>
      </w:r>
      <w:r>
        <w:rPr>
          <w:rFonts w:hint="eastAsia" w:cs="Times New Roman"/>
          <w:bCs/>
          <w:color w:val="000000" w:themeColor="text1"/>
          <w:kern w:val="0"/>
          <w:szCs w:val="21"/>
          <w14:textFill>
            <w14:solidFill>
              <w14:schemeClr w14:val="tx1"/>
            </w14:solidFill>
          </w14:textFill>
        </w:rPr>
        <w:t>或弹塑性结构</w:t>
      </w:r>
      <w:r>
        <w:rPr>
          <w:rFonts w:cs="Times New Roman"/>
          <w:bCs/>
          <w:color w:val="000000" w:themeColor="text1"/>
          <w:kern w:val="0"/>
          <w:szCs w:val="21"/>
          <w14:textFill>
            <w14:solidFill>
              <w14:schemeClr w14:val="tx1"/>
            </w14:solidFill>
          </w14:textFill>
        </w:rPr>
        <w:t>PES</w:t>
      </w:r>
      <w:r>
        <w:rPr>
          <w:rFonts w:hint="eastAsia" w:cs="Times New Roman"/>
          <w:bCs/>
          <w:color w:val="000000" w:themeColor="text1"/>
          <w:kern w:val="0"/>
          <w:szCs w:val="21"/>
          <w14:textFill>
            <w14:solidFill>
              <w14:schemeClr w14:val="tx1"/>
            </w14:solidFill>
          </w14:textFill>
        </w:rPr>
        <w:t>进行抗震设计。</w:t>
      </w:r>
    </w:p>
    <w:p>
      <w:pPr>
        <w:spacing w:line="400" w:lineRule="exact"/>
        <w:ind w:firstLine="360"/>
        <w:rPr>
          <w:rFonts w:cs="Times New Roman"/>
          <w:bCs/>
          <w:color w:val="000000" w:themeColor="text1"/>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 xml:space="preserve">注：1 </w:t>
      </w:r>
      <w:r>
        <w:rPr>
          <w:rFonts w:cs="Times New Roman"/>
          <w:bCs/>
          <w:color w:val="000000" w:themeColor="text1"/>
          <w:kern w:val="0"/>
          <w:sz w:val="18"/>
          <w:szCs w:val="18"/>
          <w14:textFill>
            <w14:solidFill>
              <w14:schemeClr w14:val="tx1"/>
            </w14:solidFill>
          </w14:textFill>
        </w:rPr>
        <w:t>PS1,PS2,ES1,ES2,PES</w:t>
      </w:r>
      <w:r>
        <w:rPr>
          <w:rFonts w:hint="eastAsia" w:cs="Times New Roman"/>
          <w:bCs/>
          <w:color w:val="000000" w:themeColor="text1"/>
          <w:kern w:val="0"/>
          <w:sz w:val="18"/>
          <w:szCs w:val="18"/>
          <w14:textFill>
            <w14:solidFill>
              <w14:schemeClr w14:val="tx1"/>
            </w14:solidFill>
          </w14:textFill>
        </w:rPr>
        <w:t>为结构性能等级。</w:t>
      </w:r>
    </w:p>
    <w:p>
      <w:pPr>
        <w:spacing w:line="400" w:lineRule="exact"/>
        <w:ind w:firstLine="420"/>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 xml:space="preserve">1 </w:t>
      </w:r>
      <w:r>
        <w:rPr>
          <w:rFonts w:hint="eastAsia" w:cs="Times New Roman"/>
          <w:bCs/>
          <w:color w:val="000000" w:themeColor="text1"/>
          <w:kern w:val="0"/>
          <w:szCs w:val="21"/>
          <w14:textFill>
            <w14:solidFill>
              <w14:schemeClr w14:val="tx1"/>
            </w14:solidFill>
          </w14:textFill>
        </w:rPr>
        <w:t>当框架、中心支撑框架、偏心支撑框架的梁柱截面等级、支撑等级的配置符合表9</w:t>
      </w:r>
      <w:r>
        <w:rPr>
          <w:rFonts w:cs="Times New Roman"/>
          <w:bCs/>
          <w:color w:val="000000" w:themeColor="text1"/>
          <w:kern w:val="0"/>
          <w:szCs w:val="21"/>
          <w14:textFill>
            <w14:solidFill>
              <w14:schemeClr w14:val="tx1"/>
            </w14:solidFill>
          </w14:textFill>
        </w:rPr>
        <w:t>.2.2-1</w:t>
      </w:r>
      <w:r>
        <w:rPr>
          <w:rFonts w:hint="eastAsia" w:cs="Times New Roman"/>
          <w:bCs/>
          <w:color w:val="000000" w:themeColor="text1"/>
          <w:kern w:val="0"/>
          <w:szCs w:val="21"/>
          <w14:textFill>
            <w14:solidFill>
              <w14:schemeClr w14:val="tx1"/>
            </w14:solidFill>
          </w14:textFill>
        </w:rPr>
        <w:t>的要求时，除本章另有规定者外，可采用表中性能系数</w:t>
      </w:r>
      <w:r>
        <w:rPr>
          <w:rFonts w:cs="Times New Roman"/>
          <w:bCs/>
          <w:color w:val="000000" w:themeColor="text1"/>
          <w:kern w:val="0"/>
          <w:szCs w:val="21"/>
          <w14:textFill>
            <w14:solidFill>
              <w14:schemeClr w14:val="tx1"/>
            </w14:solidFill>
          </w14:textFill>
        </w:rPr>
        <w:t>q</w:t>
      </w:r>
      <w:r>
        <w:rPr>
          <w:rFonts w:hint="eastAsia" w:cs="Times New Roman"/>
          <w:bCs/>
          <w:color w:val="000000" w:themeColor="text1"/>
          <w:kern w:val="0"/>
          <w:szCs w:val="21"/>
          <w14:textFill>
            <w14:solidFill>
              <w14:schemeClr w14:val="tx1"/>
            </w14:solidFill>
          </w14:textFill>
        </w:rPr>
        <w:t>，并按本标准第</w:t>
      </w:r>
      <w:r>
        <w:rPr>
          <w:rFonts w:cs="Times New Roman"/>
          <w:bCs/>
          <w:color w:val="000000" w:themeColor="text1"/>
          <w:kern w:val="0"/>
          <w:szCs w:val="21"/>
          <w14:textFill>
            <w14:solidFill>
              <w14:schemeClr w14:val="tx1"/>
            </w14:solidFill>
          </w14:textFill>
        </w:rPr>
        <w:t>4</w:t>
      </w:r>
      <w:r>
        <w:rPr>
          <w:rFonts w:hint="eastAsia" w:cs="Times New Roman"/>
          <w:bCs/>
          <w:color w:val="000000" w:themeColor="text1"/>
          <w:kern w:val="0"/>
          <w:szCs w:val="21"/>
          <w14:textFill>
            <w14:solidFill>
              <w14:schemeClr w14:val="tx1"/>
            </w14:solidFill>
          </w14:textFill>
        </w:rPr>
        <w:t>章的规定进行抗震计算。</w:t>
      </w:r>
    </w:p>
    <w:p>
      <w:pPr>
        <w:autoSpaceDE w:val="0"/>
        <w:autoSpaceDN w:val="0"/>
        <w:spacing w:line="360" w:lineRule="auto"/>
        <w:ind w:firstLine="420"/>
        <w:jc w:val="center"/>
        <w:rPr>
          <w:bCs/>
          <w:snapToGrid w:val="0"/>
          <w:color w:val="000000" w:themeColor="text1"/>
          <w:kern w:val="0"/>
          <w:szCs w:val="20"/>
          <w14:textFill>
            <w14:solidFill>
              <w14:schemeClr w14:val="tx1"/>
            </w14:solidFill>
          </w14:textFill>
        </w:rPr>
      </w:pPr>
      <w:r>
        <w:rPr>
          <w:rFonts w:hint="eastAsia"/>
          <w:bCs/>
          <w:color w:val="000000" w:themeColor="text1"/>
          <w:kern w:val="0"/>
          <w:szCs w:val="21"/>
          <w14:textFill>
            <w14:solidFill>
              <w14:schemeClr w14:val="tx1"/>
            </w14:solidFill>
          </w14:textFill>
        </w:rPr>
        <w:t>表9</w:t>
      </w:r>
      <w:r>
        <w:rPr>
          <w:bCs/>
          <w:color w:val="000000" w:themeColor="text1"/>
          <w:kern w:val="0"/>
          <w:szCs w:val="21"/>
          <w14:textFill>
            <w14:solidFill>
              <w14:schemeClr w14:val="tx1"/>
            </w14:solidFill>
          </w14:textFill>
        </w:rPr>
        <w:t xml:space="preserve">.2.2-1  </w:t>
      </w:r>
      <w:r>
        <w:rPr>
          <w:rFonts w:hint="eastAsia"/>
          <w:bCs/>
          <w:color w:val="000000" w:themeColor="text1"/>
          <w:kern w:val="0"/>
          <w:szCs w:val="21"/>
          <w14:textFill>
            <w14:solidFill>
              <w14:schemeClr w14:val="tx1"/>
            </w14:solidFill>
          </w14:textFill>
        </w:rPr>
        <w:t>钢结构性能系数</w:t>
      </w:r>
      <w:r>
        <w:rPr>
          <w:bCs/>
          <w:color w:val="000000" w:themeColor="text1"/>
          <w:kern w:val="0"/>
          <w:szCs w:val="21"/>
          <w14:textFill>
            <w14:solidFill>
              <w14:schemeClr w14:val="tx1"/>
            </w14:solidFill>
          </w14:textFill>
        </w:rPr>
        <w:t>q</w:t>
      </w:r>
    </w:p>
    <w:tbl>
      <w:tblPr>
        <w:tblStyle w:val="32"/>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215"/>
        <w:gridCol w:w="1416"/>
        <w:gridCol w:w="22"/>
        <w:gridCol w:w="1466"/>
        <w:gridCol w:w="1249"/>
        <w:gridCol w:w="1061"/>
        <w:gridCol w:w="1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blHeader/>
        </w:trPr>
        <w:tc>
          <w:tcPr>
            <w:tcW w:w="1999"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结构类型</w:t>
            </w:r>
          </w:p>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结构类别</w:t>
            </w:r>
          </w:p>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2904"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塑性结构</w:t>
            </w:r>
          </w:p>
        </w:tc>
        <w:tc>
          <w:tcPr>
            <w:tcW w:w="1249"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弹塑性结构</w:t>
            </w:r>
          </w:p>
        </w:tc>
        <w:tc>
          <w:tcPr>
            <w:tcW w:w="2121"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弹性结构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blHeader/>
        </w:trPr>
        <w:tc>
          <w:tcPr>
            <w:tcW w:w="321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PS1</w:t>
            </w:r>
          </w:p>
        </w:tc>
        <w:tc>
          <w:tcPr>
            <w:tcW w:w="146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PS2</w:t>
            </w:r>
          </w:p>
        </w:tc>
        <w:tc>
          <w:tcPr>
            <w:tcW w:w="1249"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PES</w:t>
            </w:r>
          </w:p>
        </w:tc>
        <w:tc>
          <w:tcPr>
            <w:tcW w:w="1061"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ES1</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ES2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框架</w:t>
            </w: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梁柱</w:t>
            </w:r>
          </w:p>
        </w:tc>
        <w:tc>
          <w:tcPr>
            <w:tcW w:w="1438"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S1</w:t>
            </w:r>
          </w:p>
        </w:tc>
        <w:tc>
          <w:tcPr>
            <w:tcW w:w="146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S2</w:t>
            </w:r>
          </w:p>
        </w:tc>
        <w:tc>
          <w:tcPr>
            <w:tcW w:w="1249"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S3</w:t>
            </w:r>
          </w:p>
        </w:tc>
        <w:tc>
          <w:tcPr>
            <w:tcW w:w="1061"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S4</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4"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中心支撑框架</w:t>
            </w: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梁柱</w:t>
            </w:r>
          </w:p>
        </w:tc>
        <w:tc>
          <w:tcPr>
            <w:tcW w:w="1438"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S1</w:t>
            </w:r>
          </w:p>
        </w:tc>
        <w:tc>
          <w:tcPr>
            <w:tcW w:w="146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S2</w:t>
            </w:r>
          </w:p>
        </w:tc>
        <w:tc>
          <w:tcPr>
            <w:tcW w:w="1249"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S3</w:t>
            </w:r>
          </w:p>
        </w:tc>
        <w:tc>
          <w:tcPr>
            <w:tcW w:w="1061"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S4</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199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215"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支撑</w:t>
            </w:r>
          </w:p>
        </w:tc>
        <w:tc>
          <w:tcPr>
            <w:tcW w:w="2904"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BRB</w:t>
            </w:r>
          </w:p>
        </w:tc>
        <w:tc>
          <w:tcPr>
            <w:tcW w:w="1249"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B2-1</w:t>
            </w:r>
            <w:r>
              <w:rPr>
                <w:rFonts w:hint="eastAsia"/>
                <w:bCs/>
                <w:snapToGrid w:val="0"/>
                <w:color w:val="000000" w:themeColor="text1"/>
                <w:kern w:val="0"/>
                <w:sz w:val="18"/>
                <w:szCs w:val="21"/>
                <w14:textFill>
                  <w14:solidFill>
                    <w14:schemeClr w14:val="tx1"/>
                  </w14:solidFill>
                </w14:textFill>
              </w:rPr>
              <w:t>、</w:t>
            </w:r>
            <w:r>
              <w:rPr>
                <w:bCs/>
                <w:snapToGrid w:val="0"/>
                <w:color w:val="000000" w:themeColor="text1"/>
                <w:kern w:val="0"/>
                <w:sz w:val="18"/>
                <w:szCs w:val="21"/>
                <w14:textFill>
                  <w14:solidFill>
                    <w14:schemeClr w14:val="tx1"/>
                  </w14:solidFill>
                </w14:textFill>
              </w:rPr>
              <w:t>B2-2</w:t>
            </w:r>
          </w:p>
        </w:tc>
        <w:tc>
          <w:tcPr>
            <w:tcW w:w="1061"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B2-2</w:t>
            </w:r>
            <w:r>
              <w:rPr>
                <w:rFonts w:hint="eastAsia"/>
                <w:bCs/>
                <w:snapToGrid w:val="0"/>
                <w:color w:val="000000" w:themeColor="text1"/>
                <w:kern w:val="0"/>
                <w:sz w:val="18"/>
                <w:szCs w:val="21"/>
                <w14:textFill>
                  <w14:solidFill>
                    <w14:schemeClr w14:val="tx1"/>
                  </w14:solidFill>
                </w14:textFill>
              </w:rPr>
              <w:t>、</w:t>
            </w:r>
            <w:r>
              <w:rPr>
                <w:bCs/>
                <w:snapToGrid w:val="0"/>
                <w:color w:val="000000" w:themeColor="text1"/>
                <w:kern w:val="0"/>
                <w:sz w:val="18"/>
                <w:szCs w:val="21"/>
                <w14:textFill>
                  <w14:solidFill>
                    <w14:schemeClr w14:val="tx1"/>
                  </w14:solidFill>
                </w14:textFill>
              </w:rPr>
              <w:t>B3</w:t>
            </w:r>
          </w:p>
        </w:tc>
        <w:tc>
          <w:tcPr>
            <w:tcW w:w="1060"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9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B1</w:t>
            </w:r>
          </w:p>
        </w:tc>
        <w:tc>
          <w:tcPr>
            <w:tcW w:w="146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B2-1</w:t>
            </w:r>
            <w:r>
              <w:rPr>
                <w:rFonts w:hint="eastAsia"/>
                <w:bCs/>
                <w:snapToGrid w:val="0"/>
                <w:color w:val="000000" w:themeColor="text1"/>
                <w:kern w:val="0"/>
                <w:sz w:val="18"/>
                <w:szCs w:val="21"/>
                <w14:textFill>
                  <w14:solidFill>
                    <w14:schemeClr w14:val="tx1"/>
                  </w14:solidFill>
                </w14:textFill>
              </w:rPr>
              <w:t>、</w:t>
            </w:r>
            <w:r>
              <w:rPr>
                <w:bCs/>
                <w:snapToGrid w:val="0"/>
                <w:color w:val="000000" w:themeColor="text1"/>
                <w:kern w:val="0"/>
                <w:sz w:val="18"/>
                <w:szCs w:val="21"/>
                <w14:textFill>
                  <w14:solidFill>
                    <w14:schemeClr w14:val="tx1"/>
                  </w14:solidFill>
                </w14:textFill>
              </w:rPr>
              <w:t>B2-2</w:t>
            </w:r>
          </w:p>
        </w:tc>
        <w:tc>
          <w:tcPr>
            <w:tcW w:w="337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2121"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06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4"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偏心支撑框架</w:t>
            </w: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梁</w:t>
            </w:r>
          </w:p>
        </w:tc>
        <w:tc>
          <w:tcPr>
            <w:tcW w:w="1438"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S1</w:t>
            </w:r>
          </w:p>
        </w:tc>
        <w:tc>
          <w:tcPr>
            <w:tcW w:w="146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S1</w:t>
            </w:r>
          </w:p>
        </w:tc>
        <w:tc>
          <w:tcPr>
            <w:tcW w:w="3370" w:type="dxa"/>
            <w:gridSpan w:val="3"/>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color w:val="000000" w:themeColor="text1"/>
                <w:sz w:val="18"/>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9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柱</w:t>
            </w:r>
          </w:p>
        </w:tc>
        <w:tc>
          <w:tcPr>
            <w:tcW w:w="1438"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S1</w:t>
            </w:r>
          </w:p>
        </w:tc>
        <w:tc>
          <w:tcPr>
            <w:tcW w:w="146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S2</w:t>
            </w:r>
          </w:p>
        </w:tc>
        <w:tc>
          <w:tcPr>
            <w:tcW w:w="6551" w:type="dxa"/>
            <w:gridSpan w:val="3"/>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199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215"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支撑</w:t>
            </w:r>
          </w:p>
        </w:tc>
        <w:tc>
          <w:tcPr>
            <w:tcW w:w="2904" w:type="dxa"/>
            <w:gridSpan w:val="3"/>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板件宽厚比同</w:t>
            </w:r>
            <w:r>
              <w:rPr>
                <w:bCs/>
                <w:snapToGrid w:val="0"/>
                <w:color w:val="000000" w:themeColor="text1"/>
                <w:kern w:val="0"/>
                <w:sz w:val="18"/>
                <w:szCs w:val="21"/>
                <w14:textFill>
                  <w14:solidFill>
                    <w14:schemeClr w14:val="tx1"/>
                  </w14:solidFill>
                </w14:textFill>
              </w:rPr>
              <w:t>B3</w:t>
            </w:r>
            <w:r>
              <w:rPr>
                <w:rFonts w:hint="eastAsia"/>
                <w:bCs/>
                <w:snapToGrid w:val="0"/>
                <w:color w:val="000000" w:themeColor="text1"/>
                <w:kern w:val="0"/>
                <w:sz w:val="18"/>
                <w:szCs w:val="21"/>
                <w14:textFill>
                  <w14:solidFill>
                    <w14:schemeClr w14:val="tx1"/>
                  </w14:solidFill>
                </w14:textFill>
              </w:rPr>
              <w:t>的要求</w:t>
            </w:r>
          </w:p>
        </w:tc>
        <w:tc>
          <w:tcPr>
            <w:tcW w:w="6551" w:type="dxa"/>
            <w:gridSpan w:val="3"/>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99"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性能系数</w:t>
            </w:r>
            <w:r>
              <w:rPr>
                <w:bCs/>
                <w:color w:val="000000" w:themeColor="text1"/>
                <w:kern w:val="0"/>
                <w:szCs w:val="21"/>
                <w14:textFill>
                  <w14:solidFill>
                    <w14:schemeClr w14:val="tx1"/>
                  </w14:solidFill>
                </w14:textFill>
              </w:rPr>
              <w:t>q</w:t>
            </w:r>
          </w:p>
        </w:tc>
        <w:tc>
          <w:tcPr>
            <w:tcW w:w="141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≤1.0</w:t>
            </w:r>
          </w:p>
        </w:tc>
        <w:tc>
          <w:tcPr>
            <w:tcW w:w="1488"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1.0</w:t>
            </w:r>
          </w:p>
        </w:tc>
        <w:tc>
          <w:tcPr>
            <w:tcW w:w="1249"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1.5</w:t>
            </w:r>
          </w:p>
        </w:tc>
        <w:tc>
          <w:tcPr>
            <w:tcW w:w="1061"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2.0</w:t>
            </w:r>
          </w:p>
        </w:tc>
        <w:tc>
          <w:tcPr>
            <w:tcW w:w="10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≥2.0</w:t>
            </w:r>
          </w:p>
        </w:tc>
      </w:tr>
    </w:tbl>
    <w:p>
      <w:pPr>
        <w:autoSpaceDE w:val="0"/>
        <w:autoSpaceDN w:val="0"/>
        <w:spacing w:before="156" w:beforeLines="50" w:line="320" w:lineRule="exact"/>
        <w:ind w:left="545" w:right="95" w:hanging="545" w:hangingChars="303"/>
        <w:rPr>
          <w:rFonts w:cs="Times New Roman"/>
          <w:bCs/>
          <w:snapToGrid w:val="0"/>
          <w:color w:val="000000" w:themeColor="text1"/>
          <w:kern w:val="0"/>
          <w:sz w:val="18"/>
          <w:szCs w:val="21"/>
          <w14:textFill>
            <w14:solidFill>
              <w14:schemeClr w14:val="tx1"/>
            </w14:solidFill>
          </w14:textFill>
        </w:rPr>
      </w:pPr>
      <w:r>
        <w:rPr>
          <w:rFonts w:hint="eastAsia" w:cs="Times New Roman"/>
          <w:bCs/>
          <w:snapToGrid w:val="0"/>
          <w:color w:val="000000" w:themeColor="text1"/>
          <w:kern w:val="0"/>
          <w:sz w:val="18"/>
          <w:szCs w:val="21"/>
          <w14:textFill>
            <w14:solidFill>
              <w14:schemeClr w14:val="tx1"/>
            </w14:solidFill>
          </w14:textFill>
        </w:rPr>
        <w:t>注：</w:t>
      </w:r>
      <w:r>
        <w:rPr>
          <w:rFonts w:cs="Times New Roman"/>
          <w:bCs/>
          <w:snapToGrid w:val="0"/>
          <w:color w:val="000000" w:themeColor="text1"/>
          <w:kern w:val="0"/>
          <w:sz w:val="18"/>
          <w:szCs w:val="21"/>
          <w14:textFill>
            <w14:solidFill>
              <w14:schemeClr w14:val="tx1"/>
            </w14:solidFill>
          </w14:textFill>
        </w:rPr>
        <w:t xml:space="preserve">1 </w:t>
      </w:r>
      <w:r>
        <w:rPr>
          <w:rFonts w:hint="eastAsia" w:cs="Times New Roman"/>
          <w:bCs/>
          <w:snapToGrid w:val="0"/>
          <w:color w:val="000000" w:themeColor="text1"/>
          <w:kern w:val="0"/>
          <w:sz w:val="18"/>
          <w:szCs w:val="21"/>
          <w14:textFill>
            <w14:solidFill>
              <w14:schemeClr w14:val="tx1"/>
            </w14:solidFill>
          </w14:textFill>
        </w:rPr>
        <w:t>弹性结构</w:t>
      </w:r>
      <w:r>
        <w:rPr>
          <w:rFonts w:cs="Times New Roman"/>
          <w:bCs/>
          <w:snapToGrid w:val="0"/>
          <w:color w:val="000000" w:themeColor="text1"/>
          <w:kern w:val="0"/>
          <w:sz w:val="18"/>
          <w:szCs w:val="21"/>
          <w14:textFill>
            <w14:solidFill>
              <w14:schemeClr w14:val="tx1"/>
            </w14:solidFill>
          </w14:textFill>
        </w:rPr>
        <w:t>ES2</w:t>
      </w:r>
      <w:r>
        <w:rPr>
          <w:rFonts w:hint="eastAsia" w:cs="Times New Roman"/>
          <w:bCs/>
          <w:snapToGrid w:val="0"/>
          <w:color w:val="000000" w:themeColor="text1"/>
          <w:kern w:val="0"/>
          <w:sz w:val="18"/>
          <w:szCs w:val="21"/>
          <w14:textFill>
            <w14:solidFill>
              <w14:schemeClr w14:val="tx1"/>
            </w14:solidFill>
          </w14:textFill>
        </w:rPr>
        <w:t>主要适用于高度小于</w:t>
      </w:r>
      <w:r>
        <w:rPr>
          <w:rFonts w:cs="Times New Roman"/>
          <w:bCs/>
          <w:snapToGrid w:val="0"/>
          <w:color w:val="000000" w:themeColor="text1"/>
          <w:kern w:val="0"/>
          <w:sz w:val="18"/>
          <w:szCs w:val="21"/>
          <w14:textFill>
            <w14:solidFill>
              <w14:schemeClr w14:val="tx1"/>
            </w14:solidFill>
          </w14:textFill>
        </w:rPr>
        <w:t>18m</w:t>
      </w:r>
      <w:r>
        <w:rPr>
          <w:rFonts w:hint="eastAsia" w:cs="Times New Roman"/>
          <w:bCs/>
          <w:snapToGrid w:val="0"/>
          <w:color w:val="000000" w:themeColor="text1"/>
          <w:kern w:val="0"/>
          <w:sz w:val="18"/>
          <w:szCs w:val="21"/>
          <w14:textFill>
            <w14:solidFill>
              <w14:schemeClr w14:val="tx1"/>
            </w14:solidFill>
          </w14:textFill>
        </w:rPr>
        <w:t>的单层轻型刚架结构，</w:t>
      </w:r>
      <w:r>
        <w:rPr>
          <w:rFonts w:hint="eastAsia" w:cs="Times New Roman"/>
          <w:bCs/>
          <w:color w:val="000000" w:themeColor="text1"/>
          <w:kern w:val="0"/>
          <w:sz w:val="18"/>
          <w:szCs w:val="21"/>
          <w14:textFill>
            <w14:solidFill>
              <w14:schemeClr w14:val="tx1"/>
            </w14:solidFill>
          </w14:textFill>
        </w:rPr>
        <w:t>一般可取</w:t>
      </w:r>
      <w:r>
        <w:rPr>
          <w:rFonts w:cs="Times New Roman"/>
          <w:bCs/>
          <w:color w:val="000000" w:themeColor="text1"/>
          <w:kern w:val="0"/>
          <w:sz w:val="18"/>
          <w:szCs w:val="21"/>
          <w14:textFill>
            <w14:solidFill>
              <w14:schemeClr w14:val="tx1"/>
            </w14:solidFill>
          </w14:textFill>
        </w:rPr>
        <w:t>q=2</w:t>
      </w:r>
      <w:r>
        <w:rPr>
          <w:rFonts w:hint="eastAsia" w:cs="Times New Roman"/>
          <w:bCs/>
          <w:color w:val="000000" w:themeColor="text1"/>
          <w:kern w:val="0"/>
          <w:sz w:val="18"/>
          <w:szCs w:val="21"/>
          <w14:textFill>
            <w14:solidFill>
              <w14:schemeClr w14:val="tx1"/>
            </w14:solidFill>
          </w14:textFill>
        </w:rPr>
        <w:t>进行抗震计算；</w:t>
      </w:r>
    </w:p>
    <w:p>
      <w:pPr>
        <w:spacing w:line="320" w:lineRule="exact"/>
        <w:ind w:firstLine="360"/>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 xml:space="preserve">2 </w:t>
      </w:r>
      <w:r>
        <w:rPr>
          <w:rFonts w:hint="eastAsia"/>
          <w:bCs/>
          <w:snapToGrid w:val="0"/>
          <w:color w:val="000000" w:themeColor="text1"/>
          <w:kern w:val="0"/>
          <w:sz w:val="18"/>
          <w:szCs w:val="21"/>
          <w14:textFill>
            <w14:solidFill>
              <w14:schemeClr w14:val="tx1"/>
            </w14:solidFill>
          </w14:textFill>
        </w:rPr>
        <w:t>弹塑性结构</w:t>
      </w:r>
      <w:r>
        <w:rPr>
          <w:bCs/>
          <w:snapToGrid w:val="0"/>
          <w:color w:val="000000" w:themeColor="text1"/>
          <w:kern w:val="0"/>
          <w:sz w:val="18"/>
          <w:szCs w:val="21"/>
          <w14:textFill>
            <w14:solidFill>
              <w14:schemeClr w14:val="tx1"/>
            </w14:solidFill>
          </w14:textFill>
        </w:rPr>
        <w:t>PES</w:t>
      </w:r>
      <w:r>
        <w:rPr>
          <w:rFonts w:hint="eastAsia"/>
          <w:bCs/>
          <w:snapToGrid w:val="0"/>
          <w:color w:val="000000" w:themeColor="text1"/>
          <w:kern w:val="0"/>
          <w:sz w:val="18"/>
          <w:szCs w:val="21"/>
          <w14:textFill>
            <w14:solidFill>
              <w14:schemeClr w14:val="tx1"/>
            </w14:solidFill>
          </w14:textFill>
        </w:rPr>
        <w:t>适用于单层结构和高度小于</w:t>
      </w:r>
      <w:r>
        <w:rPr>
          <w:bCs/>
          <w:snapToGrid w:val="0"/>
          <w:color w:val="000000" w:themeColor="text1"/>
          <w:kern w:val="0"/>
          <w:sz w:val="18"/>
          <w:szCs w:val="21"/>
          <w14:textFill>
            <w14:solidFill>
              <w14:schemeClr w14:val="tx1"/>
            </w14:solidFill>
          </w14:textFill>
        </w:rPr>
        <w:t>36m</w:t>
      </w:r>
      <w:r>
        <w:rPr>
          <w:rFonts w:hint="eastAsia"/>
          <w:bCs/>
          <w:snapToGrid w:val="0"/>
          <w:color w:val="000000" w:themeColor="text1"/>
          <w:kern w:val="0"/>
          <w:sz w:val="18"/>
          <w:szCs w:val="21"/>
          <w14:textFill>
            <w14:solidFill>
              <w14:schemeClr w14:val="tx1"/>
            </w14:solidFill>
          </w14:textFill>
        </w:rPr>
        <w:t>的规则多层结构；</w:t>
      </w:r>
    </w:p>
    <w:p>
      <w:pPr>
        <w:spacing w:line="320" w:lineRule="exact"/>
        <w:ind w:firstLine="360"/>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 xml:space="preserve">3 </w:t>
      </w:r>
      <w:r>
        <w:rPr>
          <w:rFonts w:hint="eastAsia"/>
          <w:bCs/>
          <w:snapToGrid w:val="0"/>
          <w:color w:val="000000" w:themeColor="text1"/>
          <w:kern w:val="0"/>
          <w:sz w:val="18"/>
          <w:szCs w:val="21"/>
          <w14:textFill>
            <w14:solidFill>
              <w14:schemeClr w14:val="tx1"/>
            </w14:solidFill>
          </w14:textFill>
        </w:rPr>
        <w:t>沿高度不规则的</w:t>
      </w:r>
      <w:r>
        <w:rPr>
          <w:bCs/>
          <w:snapToGrid w:val="0"/>
          <w:color w:val="000000" w:themeColor="text1"/>
          <w:kern w:val="0"/>
          <w:sz w:val="18"/>
          <w:szCs w:val="21"/>
          <w14:textFill>
            <w14:solidFill>
              <w14:schemeClr w14:val="tx1"/>
            </w14:solidFill>
          </w14:textFill>
        </w:rPr>
        <w:t>PS2</w:t>
      </w:r>
      <w:r>
        <w:rPr>
          <w:rFonts w:hint="eastAsia"/>
          <w:bCs/>
          <w:snapToGrid w:val="0"/>
          <w:color w:val="000000" w:themeColor="text1"/>
          <w:kern w:val="0"/>
          <w:sz w:val="18"/>
          <w:szCs w:val="21"/>
          <w14:textFill>
            <w14:solidFill>
              <w14:schemeClr w14:val="tx1"/>
            </w14:solidFill>
          </w14:textFill>
        </w:rPr>
        <w:t>，应按</w:t>
      </w:r>
      <w:r>
        <w:rPr>
          <w:bCs/>
          <w:snapToGrid w:val="0"/>
          <w:color w:val="000000" w:themeColor="text1"/>
          <w:kern w:val="0"/>
          <w:sz w:val="18"/>
          <w:szCs w:val="21"/>
          <w14:textFill>
            <w14:solidFill>
              <w14:schemeClr w14:val="tx1"/>
            </w14:solidFill>
          </w14:textFill>
        </w:rPr>
        <w:t>PS1</w:t>
      </w:r>
      <w:r>
        <w:rPr>
          <w:rFonts w:hint="eastAsia"/>
          <w:bCs/>
          <w:snapToGrid w:val="0"/>
          <w:color w:val="000000" w:themeColor="text1"/>
          <w:kern w:val="0"/>
          <w:sz w:val="18"/>
          <w:szCs w:val="21"/>
          <w14:textFill>
            <w14:solidFill>
              <w14:schemeClr w14:val="tx1"/>
            </w14:solidFill>
          </w14:textFill>
        </w:rPr>
        <w:t>的要求确定梁柱截面等级；</w:t>
      </w:r>
    </w:p>
    <w:p>
      <w:pPr>
        <w:spacing w:line="320" w:lineRule="exact"/>
        <w:ind w:left="600" w:leftChars="200" w:hanging="180" w:hangingChars="100"/>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 xml:space="preserve">4 </w:t>
      </w:r>
      <w:r>
        <w:rPr>
          <w:rFonts w:hint="eastAsia"/>
          <w:bCs/>
          <w:snapToGrid w:val="0"/>
          <w:color w:val="000000" w:themeColor="text1"/>
          <w:kern w:val="0"/>
          <w:sz w:val="18"/>
          <w:szCs w:val="21"/>
          <w14:textFill>
            <w14:solidFill>
              <w14:schemeClr w14:val="tx1"/>
            </w14:solidFill>
          </w14:textFill>
        </w:rPr>
        <w:t>沿高度不规则或高度超过</w:t>
      </w:r>
      <w:r>
        <w:rPr>
          <w:bCs/>
          <w:snapToGrid w:val="0"/>
          <w:color w:val="000000" w:themeColor="text1"/>
          <w:kern w:val="0"/>
          <w:sz w:val="18"/>
          <w:szCs w:val="21"/>
          <w14:textFill>
            <w14:solidFill>
              <w14:schemeClr w14:val="tx1"/>
            </w14:solidFill>
          </w14:textFill>
        </w:rPr>
        <w:t>36m</w:t>
      </w:r>
      <w:r>
        <w:rPr>
          <w:rFonts w:hint="eastAsia"/>
          <w:bCs/>
          <w:snapToGrid w:val="0"/>
          <w:color w:val="000000" w:themeColor="text1"/>
          <w:kern w:val="0"/>
          <w:sz w:val="18"/>
          <w:szCs w:val="21"/>
          <w14:textFill>
            <w14:solidFill>
              <w14:schemeClr w14:val="tx1"/>
            </w14:solidFill>
          </w14:textFill>
        </w:rPr>
        <w:t>的</w:t>
      </w:r>
      <w:r>
        <w:rPr>
          <w:bCs/>
          <w:snapToGrid w:val="0"/>
          <w:color w:val="000000" w:themeColor="text1"/>
          <w:kern w:val="0"/>
          <w:sz w:val="18"/>
          <w:szCs w:val="21"/>
          <w14:textFill>
            <w14:solidFill>
              <w14:schemeClr w14:val="tx1"/>
            </w14:solidFill>
          </w14:textFill>
        </w:rPr>
        <w:t>ES1</w:t>
      </w:r>
      <w:r>
        <w:rPr>
          <w:rFonts w:hint="eastAsia"/>
          <w:bCs/>
          <w:snapToGrid w:val="0"/>
          <w:color w:val="000000" w:themeColor="text1"/>
          <w:kern w:val="0"/>
          <w:sz w:val="18"/>
          <w:szCs w:val="21"/>
          <w14:textFill>
            <w14:solidFill>
              <w14:schemeClr w14:val="tx1"/>
            </w14:solidFill>
          </w14:textFill>
        </w:rPr>
        <w:t>单层结构，宜按</w:t>
      </w:r>
      <w:r>
        <w:rPr>
          <w:bCs/>
          <w:snapToGrid w:val="0"/>
          <w:color w:val="000000" w:themeColor="text1"/>
          <w:kern w:val="0"/>
          <w:sz w:val="18"/>
          <w:szCs w:val="21"/>
          <w14:textFill>
            <w14:solidFill>
              <w14:schemeClr w14:val="tx1"/>
            </w14:solidFill>
          </w14:textFill>
        </w:rPr>
        <w:t>PES</w:t>
      </w:r>
      <w:r>
        <w:rPr>
          <w:rFonts w:hint="eastAsia"/>
          <w:bCs/>
          <w:snapToGrid w:val="0"/>
          <w:color w:val="000000" w:themeColor="text1"/>
          <w:kern w:val="0"/>
          <w:sz w:val="18"/>
          <w:szCs w:val="21"/>
          <w14:textFill>
            <w14:solidFill>
              <w14:schemeClr w14:val="tx1"/>
            </w14:solidFill>
          </w14:textFill>
        </w:rPr>
        <w:t>的要求选用梁柱截面等级和支撑等级，但仍取</w:t>
      </w:r>
      <w:r>
        <w:rPr>
          <w:bCs/>
          <w:color w:val="000000" w:themeColor="text1"/>
          <w:kern w:val="0"/>
          <w:sz w:val="18"/>
          <w:szCs w:val="21"/>
          <w14:textFill>
            <w14:solidFill>
              <w14:schemeClr w14:val="tx1"/>
            </w14:solidFill>
          </w14:textFill>
        </w:rPr>
        <w:t>q=2</w:t>
      </w:r>
      <w:r>
        <w:rPr>
          <w:rFonts w:hint="eastAsia"/>
          <w:bCs/>
          <w:color w:val="000000" w:themeColor="text1"/>
          <w:kern w:val="0"/>
          <w:sz w:val="18"/>
          <w:szCs w:val="21"/>
          <w14:textFill>
            <w14:solidFill>
              <w14:schemeClr w14:val="tx1"/>
            </w14:solidFill>
          </w14:textFill>
        </w:rPr>
        <w:t>进行抗震计算</w:t>
      </w:r>
      <w:r>
        <w:rPr>
          <w:rFonts w:hint="eastAsia"/>
          <w:bCs/>
          <w:snapToGrid w:val="0"/>
          <w:color w:val="000000" w:themeColor="text1"/>
          <w:kern w:val="0"/>
          <w:sz w:val="18"/>
          <w:szCs w:val="21"/>
          <w14:textFill>
            <w14:solidFill>
              <w14:schemeClr w14:val="tx1"/>
            </w14:solidFill>
          </w14:textFill>
        </w:rPr>
        <w:t>；</w:t>
      </w:r>
    </w:p>
    <w:p>
      <w:pPr>
        <w:spacing w:line="320" w:lineRule="exact"/>
        <w:ind w:left="628" w:leftChars="170" w:hanging="271" w:hangingChars="151"/>
        <w:rPr>
          <w:bCs/>
          <w:color w:val="000000" w:themeColor="text1"/>
          <w:kern w:val="0"/>
          <w:sz w:val="18"/>
          <w:szCs w:val="21"/>
          <w14:textFill>
            <w14:solidFill>
              <w14:schemeClr w14:val="tx1"/>
            </w14:solidFill>
          </w14:textFill>
        </w:rPr>
      </w:pPr>
      <w:r>
        <w:rPr>
          <w:bCs/>
          <w:color w:val="000000" w:themeColor="text1"/>
          <w:kern w:val="0"/>
          <w:sz w:val="18"/>
          <w:szCs w:val="21"/>
          <w14:textFill>
            <w14:solidFill>
              <w14:schemeClr w14:val="tx1"/>
            </w14:solidFill>
          </w14:textFill>
        </w:rPr>
        <w:t>5 PS1</w:t>
      </w:r>
      <w:r>
        <w:rPr>
          <w:rFonts w:hint="eastAsia"/>
          <w:bCs/>
          <w:color w:val="000000" w:themeColor="text1"/>
          <w:kern w:val="0"/>
          <w:sz w:val="18"/>
          <w:szCs w:val="21"/>
          <w14:textFill>
            <w14:solidFill>
              <w14:schemeClr w14:val="tx1"/>
            </w14:solidFill>
          </w14:textFill>
        </w:rPr>
        <w:t>一般可取</w:t>
      </w:r>
      <w:r>
        <w:rPr>
          <w:bCs/>
          <w:color w:val="000000" w:themeColor="text1"/>
          <w:kern w:val="0"/>
          <w:sz w:val="18"/>
          <w:szCs w:val="21"/>
          <w14:textFill>
            <w14:solidFill>
              <w14:schemeClr w14:val="tx1"/>
            </w14:solidFill>
          </w14:textFill>
        </w:rPr>
        <w:t>q=1</w:t>
      </w:r>
      <w:r>
        <w:rPr>
          <w:rFonts w:hint="eastAsia"/>
          <w:bCs/>
          <w:color w:val="000000" w:themeColor="text1"/>
          <w:kern w:val="0"/>
          <w:sz w:val="18"/>
          <w:szCs w:val="21"/>
          <w14:textFill>
            <w14:solidFill>
              <w14:schemeClr w14:val="tx1"/>
            </w14:solidFill>
          </w14:textFill>
        </w:rPr>
        <w:t>，有足够经验时对规则结构也可取</w:t>
      </w:r>
      <w:r>
        <w:rPr>
          <w:bCs/>
          <w:color w:val="000000" w:themeColor="text1"/>
          <w:kern w:val="0"/>
          <w:sz w:val="18"/>
          <w:szCs w:val="21"/>
          <w14:textFill>
            <w14:solidFill>
              <w14:schemeClr w14:val="tx1"/>
            </w14:solidFill>
          </w14:textFill>
        </w:rPr>
        <w:t>q=0.8</w:t>
      </w:r>
      <w:r>
        <w:rPr>
          <w:rFonts w:hint="eastAsia"/>
          <w:bCs/>
          <w:color w:val="000000" w:themeColor="text1"/>
          <w:kern w:val="0"/>
          <w:sz w:val="18"/>
          <w:szCs w:val="21"/>
          <w14:textFill>
            <w14:solidFill>
              <w14:schemeClr w14:val="tx1"/>
            </w14:solidFill>
          </w14:textFill>
        </w:rPr>
        <w:t>进行抗震</w:t>
      </w:r>
      <w:r>
        <w:rPr>
          <w:rFonts w:hint="eastAsia"/>
          <w:bCs/>
          <w:snapToGrid w:val="0"/>
          <w:color w:val="000000" w:themeColor="text1"/>
          <w:kern w:val="0"/>
          <w:sz w:val="18"/>
          <w:szCs w:val="21"/>
          <w14:textFill>
            <w14:solidFill>
              <w14:schemeClr w14:val="tx1"/>
            </w14:solidFill>
          </w14:textFill>
        </w:rPr>
        <w:t>计算</w:t>
      </w:r>
      <w:r>
        <w:rPr>
          <w:rFonts w:hint="eastAsia"/>
          <w:bCs/>
          <w:color w:val="000000" w:themeColor="text1"/>
          <w:kern w:val="0"/>
          <w:sz w:val="18"/>
          <w:szCs w:val="21"/>
          <w14:textFill>
            <w14:solidFill>
              <w14:schemeClr w14:val="tx1"/>
            </w14:solidFill>
          </w14:textFill>
        </w:rPr>
        <w:t>；</w:t>
      </w:r>
    </w:p>
    <w:p>
      <w:pPr>
        <w:spacing w:line="320" w:lineRule="exact"/>
        <w:ind w:firstLine="360"/>
        <w:rPr>
          <w:bCs/>
          <w:snapToGrid w:val="0"/>
          <w:color w:val="000000" w:themeColor="text1"/>
          <w:sz w:val="18"/>
          <w:szCs w:val="21"/>
          <w14:textFill>
            <w14:solidFill>
              <w14:schemeClr w14:val="tx1"/>
            </w14:solidFill>
          </w14:textFill>
        </w:rPr>
      </w:pPr>
      <w:r>
        <w:rPr>
          <w:bCs/>
          <w:snapToGrid w:val="0"/>
          <w:color w:val="000000" w:themeColor="text1"/>
          <w:sz w:val="18"/>
          <w:szCs w:val="21"/>
          <w14:textFill>
            <w14:solidFill>
              <w14:schemeClr w14:val="tx1"/>
            </w14:solidFill>
          </w14:textFill>
        </w:rPr>
        <w:t xml:space="preserve">6 </w:t>
      </w:r>
      <w:r>
        <w:rPr>
          <w:rFonts w:hint="eastAsia"/>
          <w:bCs/>
          <w:snapToGrid w:val="0"/>
          <w:color w:val="000000" w:themeColor="text1"/>
          <w:sz w:val="18"/>
          <w:szCs w:val="21"/>
          <w14:textFill>
            <w14:solidFill>
              <w14:schemeClr w14:val="tx1"/>
            </w14:solidFill>
          </w14:textFill>
        </w:rPr>
        <w:t>截面板件宽厚比性能高的等级可代替性能低的等级，中心支撑性能高的等级可代替性能低的等级；</w:t>
      </w:r>
    </w:p>
    <w:p>
      <w:pPr>
        <w:autoSpaceDE w:val="0"/>
        <w:autoSpaceDN w:val="0"/>
        <w:spacing w:line="320" w:lineRule="exact"/>
        <w:ind w:firstLine="360"/>
        <w:jc w:val="left"/>
        <w:rPr>
          <w:bCs/>
          <w:color w:val="000000" w:themeColor="text1"/>
          <w:kern w:val="0"/>
          <w:sz w:val="18"/>
          <w:szCs w:val="21"/>
          <w14:textFill>
            <w14:solidFill>
              <w14:schemeClr w14:val="tx1"/>
            </w14:solidFill>
          </w14:textFill>
        </w:rPr>
      </w:pPr>
      <w:r>
        <w:rPr>
          <w:bCs/>
          <w:snapToGrid w:val="0"/>
          <w:color w:val="000000" w:themeColor="text1"/>
          <w:sz w:val="18"/>
          <w:szCs w:val="21"/>
          <w14:textFill>
            <w14:solidFill>
              <w14:schemeClr w14:val="tx1"/>
            </w14:solidFill>
          </w14:textFill>
        </w:rPr>
        <w:t xml:space="preserve">7 </w:t>
      </w:r>
      <w:r>
        <w:rPr>
          <w:rFonts w:hint="eastAsia"/>
          <w:bCs/>
          <w:color w:val="000000" w:themeColor="text1"/>
          <w:kern w:val="0"/>
          <w:sz w:val="18"/>
          <w:szCs w:val="21"/>
          <w14:textFill>
            <w14:solidFill>
              <w14:schemeClr w14:val="tx1"/>
            </w14:solidFill>
          </w14:textFill>
        </w:rPr>
        <w:t>沿结构纵、横两个方向分别进行抗震计算时，可据该方向的结构类别取用不同的性能系数</w:t>
      </w:r>
      <w:r>
        <w:rPr>
          <w:bCs/>
          <w:color w:val="000000" w:themeColor="text1"/>
          <w:kern w:val="0"/>
          <w:sz w:val="18"/>
          <w:szCs w:val="21"/>
          <w14:textFill>
            <w14:solidFill>
              <w14:schemeClr w14:val="tx1"/>
            </w14:solidFill>
          </w14:textFill>
        </w:rPr>
        <w:t>q</w:t>
      </w:r>
      <w:r>
        <w:rPr>
          <w:rFonts w:hint="eastAsia"/>
          <w:bCs/>
          <w:color w:val="000000" w:themeColor="text1"/>
          <w:kern w:val="0"/>
          <w:sz w:val="18"/>
          <w:szCs w:val="21"/>
          <w14:textFill>
            <w14:solidFill>
              <w14:schemeClr w14:val="tx1"/>
            </w14:solidFill>
          </w14:textFill>
        </w:rPr>
        <w:t>。</w:t>
      </w:r>
    </w:p>
    <w:p>
      <w:pPr>
        <w:pStyle w:val="129"/>
        <w:adjustRightInd/>
        <w:snapToGrid/>
        <w:spacing w:line="360" w:lineRule="auto"/>
        <w:rPr>
          <w:bCs/>
          <w:snapToGrid w:val="0"/>
          <w:color w:val="000000" w:themeColor="text1"/>
          <w:kern w:val="0"/>
          <w14:textFill>
            <w14:solidFill>
              <w14:schemeClr w14:val="tx1"/>
            </w14:solidFill>
          </w14:textFill>
        </w:rPr>
      </w:pPr>
      <w:r>
        <w:rPr>
          <w:bCs/>
          <w:color w:val="000000" w:themeColor="text1"/>
          <w:kern w:val="0"/>
          <w:szCs w:val="21"/>
          <w14:textFill>
            <w14:solidFill>
              <w14:schemeClr w14:val="tx1"/>
            </w14:solidFill>
          </w14:textFill>
        </w:rPr>
        <w:t xml:space="preserve">2 </w:t>
      </w:r>
      <w:r>
        <w:rPr>
          <w:bCs/>
          <w:snapToGrid w:val="0"/>
          <w:color w:val="000000" w:themeColor="text1"/>
          <w:kern w:val="0"/>
          <w14:textFill>
            <w14:solidFill>
              <w14:schemeClr w14:val="tx1"/>
            </w14:solidFill>
          </w14:textFill>
        </w:rPr>
        <w:t>框架</w:t>
      </w:r>
      <w:r>
        <w:rPr>
          <w:bCs/>
          <w:color w:val="000000" w:themeColor="text1"/>
          <w:kern w:val="0"/>
          <w:szCs w:val="21"/>
          <w14:textFill>
            <w14:solidFill>
              <w14:schemeClr w14:val="tx1"/>
            </w14:solidFill>
          </w14:textFill>
        </w:rPr>
        <w:t>梁柱</w:t>
      </w:r>
      <w:r>
        <w:rPr>
          <w:rFonts w:hint="eastAsia"/>
          <w:bCs/>
          <w:snapToGrid w:val="0"/>
          <w:color w:val="000000" w:themeColor="text1"/>
          <w:kern w:val="0"/>
          <w14:textFill>
            <w14:solidFill>
              <w14:schemeClr w14:val="tx1"/>
            </w14:solidFill>
          </w14:textFill>
        </w:rPr>
        <w:t>的</w:t>
      </w:r>
      <w:r>
        <w:rPr>
          <w:bCs/>
          <w:snapToGrid w:val="0"/>
          <w:color w:val="000000" w:themeColor="text1"/>
          <w:kern w:val="0"/>
          <w14:textFill>
            <w14:solidFill>
              <w14:schemeClr w14:val="tx1"/>
            </w14:solidFill>
          </w14:textFill>
        </w:rPr>
        <w:t>截面等级</w:t>
      </w:r>
    </w:p>
    <w:p>
      <w:pPr>
        <w:pStyle w:val="129"/>
        <w:adjustRightInd/>
        <w:snapToGrid/>
        <w:spacing w:line="360" w:lineRule="auto"/>
        <w:ind w:firstLine="840" w:firstLineChars="400"/>
        <w:rPr>
          <w:bCs/>
          <w:snapToGrid w:val="0"/>
          <w:color w:val="000000" w:themeColor="text1"/>
          <w:kern w:val="0"/>
          <w14:textFill>
            <w14:solidFill>
              <w14:schemeClr w14:val="tx1"/>
            </w14:solidFill>
          </w14:textFill>
        </w:rPr>
      </w:pPr>
      <w:r>
        <w:rPr>
          <w:rFonts w:hint="eastAsia"/>
          <w:bCs/>
          <w:snapToGrid w:val="0"/>
          <w:color w:val="000000" w:themeColor="text1"/>
          <w:kern w:val="0"/>
          <w14:textFill>
            <w14:solidFill>
              <w14:schemeClr w14:val="tx1"/>
            </w14:solidFill>
          </w14:textFill>
        </w:rPr>
        <w:t>1）钢构件各截面等级</w:t>
      </w:r>
      <w:r>
        <w:rPr>
          <w:bCs/>
          <w:snapToGrid w:val="0"/>
          <w:color w:val="000000" w:themeColor="text1"/>
          <w:kern w:val="0"/>
          <w14:textFill>
            <w14:solidFill>
              <w14:schemeClr w14:val="tx1"/>
            </w14:solidFill>
          </w14:textFill>
        </w:rPr>
        <w:t>的板件</w:t>
      </w:r>
      <w:r>
        <w:rPr>
          <w:bCs/>
          <w:color w:val="000000" w:themeColor="text1"/>
          <w:kern w:val="0"/>
          <w:szCs w:val="21"/>
          <w14:textFill>
            <w14:solidFill>
              <w14:schemeClr w14:val="tx1"/>
            </w14:solidFill>
          </w14:textFill>
        </w:rPr>
        <w:t>宽厚</w:t>
      </w:r>
      <w:r>
        <w:rPr>
          <w:bCs/>
          <w:snapToGrid w:val="0"/>
          <w:color w:val="000000" w:themeColor="text1"/>
          <w:kern w:val="0"/>
          <w14:textFill>
            <w14:solidFill>
              <w14:schemeClr w14:val="tx1"/>
            </w14:solidFill>
          </w14:textFill>
        </w:rPr>
        <w:t>比不应大于表</w:t>
      </w:r>
      <w:r>
        <w:rPr>
          <w:rFonts w:hint="eastAsia"/>
          <w:bCs/>
          <w:snapToGrid w:val="0"/>
          <w:color w:val="000000" w:themeColor="text1"/>
          <w:kern w:val="0"/>
          <w14:textFill>
            <w14:solidFill>
              <w14:schemeClr w14:val="tx1"/>
            </w14:solidFill>
          </w14:textFill>
        </w:rPr>
        <w:t>9</w:t>
      </w:r>
      <w:r>
        <w:rPr>
          <w:bCs/>
          <w:snapToGrid w:val="0"/>
          <w:color w:val="000000" w:themeColor="text1"/>
          <w:kern w:val="0"/>
          <w14:textFill>
            <w14:solidFill>
              <w14:schemeClr w14:val="tx1"/>
            </w14:solidFill>
          </w14:textFill>
        </w:rPr>
        <w:t>.2.2-2所列限值</w:t>
      </w:r>
      <w:r>
        <w:rPr>
          <w:rFonts w:hint="eastAsia"/>
          <w:bCs/>
          <w:snapToGrid w:val="0"/>
          <w:color w:val="000000" w:themeColor="text1"/>
          <w:kern w:val="0"/>
          <w14:textFill>
            <w14:solidFill>
              <w14:schemeClr w14:val="tx1"/>
            </w14:solidFill>
          </w14:textFill>
        </w:rPr>
        <w:t>。</w:t>
      </w:r>
    </w:p>
    <w:p>
      <w:pPr>
        <w:spacing w:line="360" w:lineRule="exact"/>
        <w:ind w:left="1262" w:hanging="1262" w:hangingChars="601"/>
        <w:jc w:val="center"/>
        <w:rPr>
          <w:bCs/>
          <w:snapToGrid w:val="0"/>
          <w:color w:val="000000" w:themeColor="text1"/>
          <w:kern w:val="0"/>
          <w14:textFill>
            <w14:solidFill>
              <w14:schemeClr w14:val="tx1"/>
            </w14:solidFill>
          </w14:textFill>
        </w:rPr>
      </w:pPr>
      <w:r>
        <w:rPr>
          <w:rFonts w:hint="eastAsia"/>
          <w:bCs/>
          <w:snapToGrid w:val="0"/>
          <w:color w:val="000000" w:themeColor="text1"/>
          <w:kern w:val="0"/>
          <w14:textFill>
            <w14:solidFill>
              <w14:schemeClr w14:val="tx1"/>
            </w14:solidFill>
          </w14:textFill>
        </w:rPr>
        <w:t>表9</w:t>
      </w:r>
      <w:r>
        <w:rPr>
          <w:bCs/>
          <w:snapToGrid w:val="0"/>
          <w:color w:val="000000" w:themeColor="text1"/>
          <w:kern w:val="0"/>
          <w14:textFill>
            <w14:solidFill>
              <w14:schemeClr w14:val="tx1"/>
            </w14:solidFill>
          </w14:textFill>
        </w:rPr>
        <w:t xml:space="preserve">.2.2-2  </w:t>
      </w:r>
      <w:r>
        <w:rPr>
          <w:rFonts w:hint="eastAsia"/>
          <w:bCs/>
          <w:snapToGrid w:val="0"/>
          <w:color w:val="000000" w:themeColor="text1"/>
          <w:kern w:val="0"/>
          <w14:textFill>
            <w14:solidFill>
              <w14:schemeClr w14:val="tx1"/>
            </w14:solidFill>
          </w14:textFill>
        </w:rPr>
        <w:t>框架梁柱截面等级及其板件宽厚比限值</w:t>
      </w:r>
    </w:p>
    <w:tbl>
      <w:tblPr>
        <w:tblStyle w:val="32"/>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772"/>
        <w:gridCol w:w="1176"/>
        <w:gridCol w:w="1260"/>
        <w:gridCol w:w="1260"/>
        <w:gridCol w:w="1260"/>
        <w:gridCol w:w="1260"/>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6" w:hRule="atLeast"/>
        </w:trPr>
        <w:tc>
          <w:tcPr>
            <w:tcW w:w="44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构件</w:t>
            </w:r>
          </w:p>
        </w:tc>
        <w:tc>
          <w:tcPr>
            <w:tcW w:w="1948"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截面等级</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S1</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S2</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S3</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S4</w:t>
            </w:r>
          </w:p>
        </w:tc>
        <w:tc>
          <w:tcPr>
            <w:tcW w:w="83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S5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 w:hRule="atLeast"/>
        </w:trPr>
        <w:tc>
          <w:tcPr>
            <w:tcW w:w="440"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柱</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H</w:t>
            </w:r>
            <w:r>
              <w:rPr>
                <w:rFonts w:hint="eastAsia"/>
                <w:bCs/>
                <w:color w:val="000000" w:themeColor="text1"/>
                <w:sz w:val="18"/>
                <w:szCs w:val="21"/>
                <w14:textFill>
                  <w14:solidFill>
                    <w14:schemeClr w14:val="tx1"/>
                  </w14:solidFill>
                </w14:textFill>
              </w:rPr>
              <w:t>形</w:t>
            </w:r>
          </w:p>
        </w:tc>
        <w:tc>
          <w:tcPr>
            <w:tcW w:w="117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翼缘</w:t>
            </w:r>
            <w:r>
              <w:rPr>
                <w:rFonts w:cs="Times New Roman"/>
                <w:bCs/>
                <w:snapToGrid w:val="0"/>
                <w:color w:val="000000" w:themeColor="text1"/>
                <w:kern w:val="0"/>
                <w:sz w:val="18"/>
                <w:szCs w:val="21"/>
                <w14:textFill>
                  <w14:solidFill>
                    <w14:schemeClr w14:val="tx1"/>
                  </w14:solidFill>
                </w14:textFill>
              </w:rPr>
              <w:t>b</w:t>
            </w:r>
            <w:r>
              <w:rPr>
                <w:rFonts w:hint="eastAsia" w:cs="Times New Roman"/>
                <w:bCs/>
                <w:snapToGrid w:val="0"/>
                <w:color w:val="000000" w:themeColor="text1"/>
                <w:kern w:val="0"/>
                <w:sz w:val="18"/>
                <w:szCs w:val="21"/>
                <w14:textFill>
                  <w14:solidFill>
                    <w14:schemeClr w14:val="tx1"/>
                  </w14:solidFill>
                </w14:textFill>
              </w:rPr>
              <w:t>/</w:t>
            </w:r>
            <w:r>
              <w:rPr>
                <w:rFonts w:cs="Times New Roman"/>
                <w:bCs/>
                <w:snapToGrid w:val="0"/>
                <w:color w:val="000000" w:themeColor="text1"/>
                <w:kern w:val="0"/>
                <w:sz w:val="18"/>
                <w:szCs w:val="21"/>
                <w14:textFill>
                  <w14:solidFill>
                    <w14:schemeClr w14:val="tx1"/>
                  </w14:solidFill>
                </w14:textFill>
              </w:rPr>
              <w:t>t</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9</w:t>
            </w:r>
            <w:bookmarkStart w:id="160" w:name="_Hlk23948486"/>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w:bookmarkEnd w:id="160"/>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11</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eastAsia="黑体"/>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13</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15</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83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p>
        </w:tc>
        <w:tc>
          <w:tcPr>
            <w:tcW w:w="1948"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腹板</w:t>
            </w:r>
            <w:r>
              <w:rPr>
                <w:rFonts w:cs="Times New Roman"/>
                <w:bCs/>
                <w:snapToGrid w:val="0"/>
                <w:color w:val="000000" w:themeColor="text1"/>
                <w:kern w:val="0"/>
                <w:position w:val="-12"/>
                <w:sz w:val="18"/>
                <w:szCs w:val="21"/>
                <w14:textFill>
                  <w14:solidFill>
                    <w14:schemeClr w14:val="tx1"/>
                  </w14:solidFill>
                </w14:textFill>
              </w:rPr>
              <w:object>
                <v:shape id="_x0000_i1025" o:spt="75" type="#_x0000_t75" style="height:15.6pt;width:26.1pt;" o:ole="t" filled="f" o:preferrelative="t" stroked="f" coordsize="21600,21600">
                  <v:path/>
                  <v:fill on="f" focussize="0,0"/>
                  <v:stroke on="f" joinstyle="miter"/>
                  <v:imagedata r:id="rId45" o:title=""/>
                  <o:lock v:ext="edit" aspectratio="t"/>
                  <w10:wrap type="none"/>
                  <w10:anchorlock/>
                </v:shape>
                <o:OLEObject Type="Embed" ProgID="Equation.3" ShapeID="_x0000_i1025" DrawAspect="Content" ObjectID="_1468075725" r:id="rId44">
                  <o:LockedField>false</o:LockedField>
                </o:OLEObject>
              </w:objec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cs="Times New Roman"/>
                <w:bCs/>
                <w:color w:val="000000" w:themeColor="text1"/>
                <w:position w:val="-12"/>
                <w:sz w:val="18"/>
                <w:szCs w:val="21"/>
                <w14:textFill>
                  <w14:solidFill>
                    <w14:schemeClr w14:val="tx1"/>
                  </w14:solidFill>
                </w14:textFill>
              </w:rPr>
              <w:object>
                <v:shape id="_x0000_i1026" o:spt="75" type="#_x0000_t75" style="height:15.6pt;width:51.6pt;" o:ole="t" filled="f" o:preferrelative="t" stroked="f" coordsize="21600,21600">
                  <v:path/>
                  <v:fill on="f" focussize="0,0"/>
                  <v:stroke on="f" joinstyle="miter"/>
                  <v:imagedata r:id="rId47" o:title=""/>
                  <o:lock v:ext="edit" aspectratio="t"/>
                  <w10:wrap type="none"/>
                  <w10:anchorlock/>
                </v:shape>
                <o:OLEObject Type="Embed" ProgID="Equation.KSEE3" ShapeID="_x0000_i1026" DrawAspect="Content" ObjectID="_1468075726" r:id="rId46">
                  <o:LockedField>false</o:LockedField>
                </o:OLEObject>
              </w:objec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cs="Times New Roman"/>
                <w:bCs/>
                <w:color w:val="000000" w:themeColor="text1"/>
                <w:position w:val="-12"/>
                <w:sz w:val="18"/>
                <w:szCs w:val="21"/>
                <w14:textFill>
                  <w14:solidFill>
                    <w14:schemeClr w14:val="tx1"/>
                  </w14:solidFill>
                </w14:textFill>
              </w:rPr>
              <w:object>
                <v:shape id="_x0000_i1027" o:spt="75" type="#_x0000_t75" style="height:15.6pt;width:47.1pt;" o:ole="t" filled="f" o:preferrelative="t" stroked="f" coordsize="21600,21600">
                  <v:path/>
                  <v:fill on="f" focussize="0,0"/>
                  <v:stroke on="f" joinstyle="miter"/>
                  <v:imagedata r:id="rId49" o:title=""/>
                  <o:lock v:ext="edit" aspectratio="t"/>
                  <w10:wrap type="none"/>
                  <w10:anchorlock/>
                </v:shape>
                <o:OLEObject Type="Embed" ProgID="Equation.KSEE3" ShapeID="_x0000_i1027" DrawAspect="Content" ObjectID="_1468075727" r:id="rId48">
                  <o:LockedField>false</o:LockedField>
                </o:OLEObject>
              </w:objec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cs="Times New Roman"/>
                <w:bCs/>
                <w:color w:val="000000" w:themeColor="text1"/>
                <w:position w:val="-12"/>
                <w:sz w:val="18"/>
                <w:szCs w:val="21"/>
                <w14:textFill>
                  <w14:solidFill>
                    <w14:schemeClr w14:val="tx1"/>
                  </w14:solidFill>
                </w14:textFill>
              </w:rPr>
              <w:object>
                <v:shape id="_x0000_i1028" o:spt="75" type="#_x0000_t75" style="height:11.1pt;width:47.1pt;" o:ole="t" filled="f" o:preferrelative="t" stroked="f" coordsize="21600,21600">
                  <v:path/>
                  <v:fill on="f" focussize="0,0"/>
                  <v:stroke on="f" joinstyle="miter"/>
                  <v:imagedata r:id="rId51" o:title=""/>
                  <o:lock v:ext="edit" aspectratio="t"/>
                  <w10:wrap type="none"/>
                  <w10:anchorlock/>
                </v:shape>
                <o:OLEObject Type="Embed" ProgID="Equation.KSEE3" ShapeID="_x0000_i1028" DrawAspect="Content" ObjectID="_1468075728" r:id="rId50">
                  <o:LockedField>false</o:LockedField>
                </o:OLEObject>
              </w:objec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cs="Times New Roman"/>
                <w:bCs/>
                <w:color w:val="000000" w:themeColor="text1"/>
                <w:position w:val="-12"/>
                <w:sz w:val="18"/>
                <w:szCs w:val="21"/>
                <w14:textFill>
                  <w14:solidFill>
                    <w14:schemeClr w14:val="tx1"/>
                  </w14:solidFill>
                </w14:textFill>
              </w:rPr>
              <w:object>
                <v:shape id="_x0000_i1029" o:spt="75" type="#_x0000_t75" style="height:11.1pt;width:47.1pt;" o:ole="t" filled="f" o:preferrelative="t" stroked="f" coordsize="21600,21600">
                  <v:path/>
                  <v:fill on="f" focussize="0,0"/>
                  <v:stroke on="f" joinstyle="miter"/>
                  <v:imagedata r:id="rId53" o:title=""/>
                  <o:lock v:ext="edit" aspectratio="t"/>
                  <w10:wrap type="none"/>
                  <w10:anchorlock/>
                </v:shape>
                <o:OLEObject Type="Embed" ProgID="Equation.KSEE3" ShapeID="_x0000_i1029" DrawAspect="Content" ObjectID="_1468075729" r:id="rId52">
                  <o:LockedField>false</o:LockedField>
                </o:OLEObject>
              </w:object>
            </w:r>
          </w:p>
        </w:tc>
        <w:tc>
          <w:tcPr>
            <w:tcW w:w="83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44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p>
        </w:tc>
        <w:tc>
          <w:tcPr>
            <w:tcW w:w="77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箱形</w:t>
            </w:r>
          </w:p>
        </w:tc>
        <w:tc>
          <w:tcPr>
            <w:tcW w:w="117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壁板、腹板间翼缘</w:t>
            </w:r>
            <w:r>
              <w:rPr>
                <w:rFonts w:cs="Times New Roman"/>
                <w:bCs/>
                <w:snapToGrid w:val="0"/>
                <w:color w:val="000000" w:themeColor="text1"/>
                <w:kern w:val="0"/>
                <w:sz w:val="18"/>
                <w:szCs w:val="21"/>
                <w14:textFill>
                  <w14:solidFill>
                    <w14:schemeClr w14:val="tx1"/>
                  </w14:solidFill>
                </w14:textFill>
              </w:rPr>
              <w:t>b</w:t>
            </w:r>
            <w:r>
              <w:rPr>
                <w:rFonts w:hint="eastAsia" w:cs="Times New Roman"/>
                <w:bCs/>
                <w:snapToGrid w:val="0"/>
                <w:color w:val="000000" w:themeColor="text1"/>
                <w:kern w:val="0"/>
                <w:sz w:val="18"/>
                <w:szCs w:val="21"/>
                <w14:textFill>
                  <w14:solidFill>
                    <w14:schemeClr w14:val="tx1"/>
                  </w14:solidFill>
                </w14:textFill>
              </w:rPr>
              <w:t>/</w:t>
            </w:r>
            <w:r>
              <w:rPr>
                <w:rFonts w:cs="Times New Roman"/>
                <w:bCs/>
                <w:snapToGrid w:val="0"/>
                <w:color w:val="000000" w:themeColor="text1"/>
                <w:kern w:val="0"/>
                <w:sz w:val="18"/>
                <w:szCs w:val="21"/>
                <w14:textFill>
                  <w14:solidFill>
                    <w14:schemeClr w14:val="tx1"/>
                  </w14:solidFill>
                </w14:textFill>
              </w:rPr>
              <w:t>t</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30</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35</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42</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45</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83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p>
        </w:tc>
        <w:tc>
          <w:tcPr>
            <w:tcW w:w="77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圆管</w:t>
            </w:r>
          </w:p>
        </w:tc>
        <w:tc>
          <w:tcPr>
            <w:tcW w:w="117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径厚比</w:t>
            </w:r>
            <w:r>
              <w:rPr>
                <w:rFonts w:cs="Times New Roman"/>
                <w:bCs/>
                <w:snapToGrid w:val="0"/>
                <w:color w:val="000000" w:themeColor="text1"/>
                <w:kern w:val="0"/>
                <w:sz w:val="18"/>
                <w:szCs w:val="21"/>
                <w14:textFill>
                  <w14:solidFill>
                    <w14:schemeClr w14:val="tx1"/>
                  </w14:solidFill>
                </w14:textFill>
              </w:rPr>
              <w:t>D/t</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50</w:t>
            </w:r>
            <m:oMath>
              <m:sSubSup>
                <m:sSubSupPr>
                  <m:ctrlPr>
                    <w:rPr>
                      <w:rFonts w:ascii="Cambria Math" w:hAnsi="Cambria Math" w:cs="Times New Roman"/>
                      <w:bCs/>
                      <w:i/>
                      <w:snapToGrid w:val="0"/>
                      <w:color w:val="000000" w:themeColor="text1"/>
                      <w:kern w:val="0"/>
                      <w:sz w:val="18"/>
                      <w:szCs w:val="21"/>
                      <w14:textFill>
                        <w14:solidFill>
                          <w14:schemeClr w14:val="tx1"/>
                        </w14:solidFill>
                      </w14:textFill>
                    </w:rPr>
                  </m:ctrlPr>
                </m:sSubSup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up>
                  <m:r>
                    <w:rPr>
                      <w:rFonts w:ascii="Cambria Math" w:hAnsi="Cambria Math" w:cs="Times New Roman"/>
                      <w:snapToGrid w:val="0"/>
                      <w:color w:val="000000" w:themeColor="text1"/>
                      <w:kern w:val="0"/>
                      <w:sz w:val="18"/>
                      <w:szCs w:val="21"/>
                      <w14:textFill>
                        <w14:solidFill>
                          <w14:schemeClr w14:val="tx1"/>
                        </w14:solidFill>
                      </w14:textFill>
                    </w:rPr>
                    <m:t>2</m:t>
                  </m:r>
                  <m:ctrlPr>
                    <w:rPr>
                      <w:rFonts w:ascii="Cambria Math" w:hAnsi="Cambria Math" w:cs="Times New Roman"/>
                      <w:bCs/>
                      <w:i/>
                      <w:snapToGrid w:val="0"/>
                      <w:color w:val="000000" w:themeColor="text1"/>
                      <w:kern w:val="0"/>
                      <w:sz w:val="18"/>
                      <w:szCs w:val="21"/>
                      <w14:textFill>
                        <w14:solidFill>
                          <w14:schemeClr w14:val="tx1"/>
                        </w14:solidFill>
                      </w14:textFill>
                    </w:rPr>
                  </m:ctrlPr>
                </m:sup>
              </m:sSubSup>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70</w:t>
            </w:r>
            <m:oMath>
              <m:sSubSup>
                <m:sSubSupPr>
                  <m:ctrlPr>
                    <w:rPr>
                      <w:rFonts w:ascii="Cambria Math" w:hAnsi="Cambria Math" w:cs="Times New Roman"/>
                      <w:bCs/>
                      <w:i/>
                      <w:snapToGrid w:val="0"/>
                      <w:color w:val="000000" w:themeColor="text1"/>
                      <w:kern w:val="0"/>
                      <w:sz w:val="18"/>
                      <w:szCs w:val="21"/>
                      <w14:textFill>
                        <w14:solidFill>
                          <w14:schemeClr w14:val="tx1"/>
                        </w14:solidFill>
                      </w14:textFill>
                    </w:rPr>
                  </m:ctrlPr>
                </m:sSubSup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up>
                  <m:r>
                    <w:rPr>
                      <w:rFonts w:ascii="Cambria Math" w:hAnsi="Cambria Math" w:cs="Times New Roman"/>
                      <w:snapToGrid w:val="0"/>
                      <w:color w:val="000000" w:themeColor="text1"/>
                      <w:kern w:val="0"/>
                      <w:sz w:val="18"/>
                      <w:szCs w:val="21"/>
                      <w14:textFill>
                        <w14:solidFill>
                          <w14:schemeClr w14:val="tx1"/>
                        </w14:solidFill>
                      </w14:textFill>
                    </w:rPr>
                    <m:t>2</m:t>
                  </m:r>
                  <m:ctrlPr>
                    <w:rPr>
                      <w:rFonts w:ascii="Cambria Math" w:hAnsi="Cambria Math" w:cs="Times New Roman"/>
                      <w:bCs/>
                      <w:i/>
                      <w:snapToGrid w:val="0"/>
                      <w:color w:val="000000" w:themeColor="text1"/>
                      <w:kern w:val="0"/>
                      <w:sz w:val="18"/>
                      <w:szCs w:val="21"/>
                      <w14:textFill>
                        <w14:solidFill>
                          <w14:schemeClr w14:val="tx1"/>
                        </w14:solidFill>
                      </w14:textFill>
                    </w:rPr>
                  </m:ctrlPr>
                </m:sup>
              </m:sSubSup>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90</w:t>
            </w:r>
            <m:oMath>
              <m:sSubSup>
                <m:sSubSupPr>
                  <m:ctrlPr>
                    <w:rPr>
                      <w:rFonts w:ascii="Cambria Math" w:hAnsi="Cambria Math" w:cs="Times New Roman"/>
                      <w:bCs/>
                      <w:i/>
                      <w:snapToGrid w:val="0"/>
                      <w:color w:val="000000" w:themeColor="text1"/>
                      <w:kern w:val="0"/>
                      <w:sz w:val="18"/>
                      <w:szCs w:val="21"/>
                      <w14:textFill>
                        <w14:solidFill>
                          <w14:schemeClr w14:val="tx1"/>
                        </w14:solidFill>
                      </w14:textFill>
                    </w:rPr>
                  </m:ctrlPr>
                </m:sSubSup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up>
                  <m:r>
                    <w:rPr>
                      <w:rFonts w:ascii="Cambria Math" w:hAnsi="Cambria Math" w:cs="Times New Roman"/>
                      <w:snapToGrid w:val="0"/>
                      <w:color w:val="000000" w:themeColor="text1"/>
                      <w:kern w:val="0"/>
                      <w:sz w:val="18"/>
                      <w:szCs w:val="21"/>
                      <w14:textFill>
                        <w14:solidFill>
                          <w14:schemeClr w14:val="tx1"/>
                        </w14:solidFill>
                      </w14:textFill>
                    </w:rPr>
                    <m:t>2</m:t>
                  </m:r>
                  <m:ctrlPr>
                    <w:rPr>
                      <w:rFonts w:ascii="Cambria Math" w:hAnsi="Cambria Math" w:cs="Times New Roman"/>
                      <w:bCs/>
                      <w:i/>
                      <w:snapToGrid w:val="0"/>
                      <w:color w:val="000000" w:themeColor="text1"/>
                      <w:kern w:val="0"/>
                      <w:sz w:val="18"/>
                      <w:szCs w:val="21"/>
                      <w14:textFill>
                        <w14:solidFill>
                          <w14:schemeClr w14:val="tx1"/>
                        </w14:solidFill>
                      </w14:textFill>
                    </w:rPr>
                  </m:ctrlPr>
                </m:sup>
              </m:sSubSup>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100</w:t>
            </w:r>
            <m:oMath>
              <m:sSubSup>
                <m:sSubSupPr>
                  <m:ctrlPr>
                    <w:rPr>
                      <w:rFonts w:ascii="Cambria Math" w:hAnsi="Cambria Math" w:cs="Times New Roman"/>
                      <w:bCs/>
                      <w:i/>
                      <w:snapToGrid w:val="0"/>
                      <w:color w:val="000000" w:themeColor="text1"/>
                      <w:kern w:val="0"/>
                      <w:sz w:val="18"/>
                      <w:szCs w:val="21"/>
                      <w14:textFill>
                        <w14:solidFill>
                          <w14:schemeClr w14:val="tx1"/>
                        </w14:solidFill>
                      </w14:textFill>
                    </w:rPr>
                  </m:ctrlPr>
                </m:sSubSup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up>
                  <m:r>
                    <w:rPr>
                      <w:rFonts w:ascii="Cambria Math" w:hAnsi="Cambria Math" w:cs="Times New Roman"/>
                      <w:snapToGrid w:val="0"/>
                      <w:color w:val="000000" w:themeColor="text1"/>
                      <w:kern w:val="0"/>
                      <w:sz w:val="18"/>
                      <w:szCs w:val="21"/>
                      <w14:textFill>
                        <w14:solidFill>
                          <w14:schemeClr w14:val="tx1"/>
                        </w14:solidFill>
                      </w14:textFill>
                    </w:rPr>
                    <m:t>2</m:t>
                  </m:r>
                  <m:ctrlPr>
                    <w:rPr>
                      <w:rFonts w:ascii="Cambria Math" w:hAnsi="Cambria Math" w:cs="Times New Roman"/>
                      <w:bCs/>
                      <w:i/>
                      <w:snapToGrid w:val="0"/>
                      <w:color w:val="000000" w:themeColor="text1"/>
                      <w:kern w:val="0"/>
                      <w:sz w:val="18"/>
                      <w:szCs w:val="21"/>
                      <w14:textFill>
                        <w14:solidFill>
                          <w14:schemeClr w14:val="tx1"/>
                        </w14:solidFill>
                      </w14:textFill>
                    </w:rPr>
                  </m:ctrlPr>
                </m:sup>
              </m:sSubSup>
            </m:oMath>
          </w:p>
        </w:tc>
        <w:tc>
          <w:tcPr>
            <w:tcW w:w="83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40"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梁</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工字形</w:t>
            </w:r>
          </w:p>
        </w:tc>
        <w:tc>
          <w:tcPr>
            <w:tcW w:w="117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翼缘</w:t>
            </w:r>
            <w:r>
              <w:rPr>
                <w:rFonts w:cs="Times New Roman"/>
                <w:bCs/>
                <w:snapToGrid w:val="0"/>
                <w:color w:val="000000" w:themeColor="text1"/>
                <w:kern w:val="0"/>
                <w:sz w:val="18"/>
                <w:szCs w:val="21"/>
                <w14:textFill>
                  <w14:solidFill>
                    <w14:schemeClr w14:val="tx1"/>
                  </w14:solidFill>
                </w14:textFill>
              </w:rPr>
              <w:t>b</w:t>
            </w:r>
            <w:r>
              <w:rPr>
                <w:rFonts w:hint="eastAsia" w:cs="Times New Roman"/>
                <w:bCs/>
                <w:snapToGrid w:val="0"/>
                <w:color w:val="000000" w:themeColor="text1"/>
                <w:kern w:val="0"/>
                <w:sz w:val="18"/>
                <w:szCs w:val="21"/>
                <w14:textFill>
                  <w14:solidFill>
                    <w14:schemeClr w14:val="tx1"/>
                  </w14:solidFill>
                </w14:textFill>
              </w:rPr>
              <w:t>/</w:t>
            </w:r>
            <w:r>
              <w:rPr>
                <w:rFonts w:cs="Times New Roman"/>
                <w:bCs/>
                <w:snapToGrid w:val="0"/>
                <w:color w:val="000000" w:themeColor="text1"/>
                <w:kern w:val="0"/>
                <w:sz w:val="18"/>
                <w:szCs w:val="21"/>
                <w14:textFill>
                  <w14:solidFill>
                    <w14:schemeClr w14:val="tx1"/>
                  </w14:solidFill>
                </w14:textFill>
              </w:rPr>
              <w:t>t</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9</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11</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eastAsia="黑体"/>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13</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15</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83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4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p>
        </w:tc>
        <w:tc>
          <w:tcPr>
            <w:tcW w:w="1948"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腹板</w:t>
            </w:r>
            <w:r>
              <w:rPr>
                <w:rFonts w:cs="Times New Roman"/>
                <w:bCs/>
                <w:snapToGrid w:val="0"/>
                <w:color w:val="000000" w:themeColor="text1"/>
                <w:kern w:val="0"/>
                <w:position w:val="-12"/>
                <w:sz w:val="18"/>
                <w:szCs w:val="21"/>
                <w14:textFill>
                  <w14:solidFill>
                    <w14:schemeClr w14:val="tx1"/>
                  </w14:solidFill>
                </w14:textFill>
              </w:rPr>
              <w:object>
                <v:shape id="_x0000_i1030" o:spt="75" type="#_x0000_t75" style="height:15.6pt;width:26.1pt;" o:ole="t" filled="f" o:preferrelative="t" stroked="f" coordsize="21600,21600">
                  <v:path/>
                  <v:fill on="f" focussize="0,0"/>
                  <v:stroke on="f" joinstyle="miter"/>
                  <v:imagedata r:id="rId55" o:title=""/>
                  <o:lock v:ext="edit" aspectratio="t"/>
                  <w10:wrap type="none"/>
                  <w10:anchorlock/>
                </v:shape>
                <o:OLEObject Type="Embed" ProgID="Equation.3" ShapeID="_x0000_i1030" DrawAspect="Content" ObjectID="_1468075730" r:id="rId54">
                  <o:LockedField>false</o:LockedField>
                </o:OLEObject>
              </w:object>
            </w:r>
            <w:r>
              <w:rPr>
                <w:rFonts w:cs="Times New Roman"/>
                <w:bCs/>
                <w:snapToGrid w:val="0"/>
                <w:color w:val="000000" w:themeColor="text1"/>
                <w:kern w:val="0"/>
                <w:sz w:val="18"/>
                <w:szCs w:val="21"/>
                <w14:textFill>
                  <w14:solidFill>
                    <w14:schemeClr w14:val="tx1"/>
                  </w14:solidFill>
                </w14:textFill>
              </w:rPr>
              <w:t xml:space="preserve"> b</w:t>
            </w:r>
            <w:r>
              <w:rPr>
                <w:rFonts w:cs="Times New Roman"/>
                <w:bCs/>
                <w:snapToGrid w:val="0"/>
                <w:color w:val="000000" w:themeColor="text1"/>
                <w:kern w:val="0"/>
                <w:sz w:val="18"/>
                <w:szCs w:val="21"/>
                <w:vertAlign w:val="subscript"/>
                <w14:textFill>
                  <w14:solidFill>
                    <w14:schemeClr w14:val="tx1"/>
                  </w14:solidFill>
                </w14:textFill>
              </w:rPr>
              <w:t>0</w:t>
            </w:r>
            <w:r>
              <w:rPr>
                <w:rFonts w:hint="eastAsia" w:cs="Times New Roman"/>
                <w:bCs/>
                <w:snapToGrid w:val="0"/>
                <w:color w:val="000000" w:themeColor="text1"/>
                <w:kern w:val="0"/>
                <w:sz w:val="18"/>
                <w:szCs w:val="21"/>
                <w14:textFill>
                  <w14:solidFill>
                    <w14:schemeClr w14:val="tx1"/>
                  </w14:solidFill>
                </w14:textFill>
              </w:rPr>
              <w:t>/</w:t>
            </w:r>
            <w:r>
              <w:rPr>
                <w:rFonts w:cs="Times New Roman"/>
                <w:bCs/>
                <w:snapToGrid w:val="0"/>
                <w:color w:val="000000" w:themeColor="text1"/>
                <w:kern w:val="0"/>
                <w:sz w:val="18"/>
                <w:szCs w:val="21"/>
                <w14:textFill>
                  <w14:solidFill>
                    <w14:schemeClr w14:val="tx1"/>
                  </w14:solidFill>
                </w14:textFill>
              </w:rPr>
              <w:t>t</w:t>
            </w:r>
            <w:r>
              <w:rPr>
                <w:rFonts w:cs="Times New Roman"/>
                <w:bCs/>
                <w:snapToGrid w:val="0"/>
                <w:color w:val="000000" w:themeColor="text1"/>
                <w:kern w:val="0"/>
                <w:sz w:val="18"/>
                <w:szCs w:val="21"/>
                <w:vertAlign w:val="subscript"/>
                <w14:textFill>
                  <w14:solidFill>
                    <w14:schemeClr w14:val="tx1"/>
                  </w14:solidFill>
                </w14:textFill>
              </w:rPr>
              <w:t>w</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65</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eastAsia="黑体"/>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72</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eastAsia="黑体"/>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93</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124</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83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8" w:hRule="atLeast"/>
        </w:trPr>
        <w:tc>
          <w:tcPr>
            <w:tcW w:w="44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p>
        </w:tc>
        <w:tc>
          <w:tcPr>
            <w:tcW w:w="77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箱形</w:t>
            </w:r>
          </w:p>
        </w:tc>
        <w:tc>
          <w:tcPr>
            <w:tcW w:w="1176"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壁板（腹板）间翼缘</w:t>
            </w:r>
            <w:r>
              <w:rPr>
                <w:rFonts w:cs="Times New Roman"/>
                <w:bCs/>
                <w:snapToGrid w:val="0"/>
                <w:color w:val="000000" w:themeColor="text1"/>
                <w:kern w:val="0"/>
                <w:sz w:val="18"/>
                <w:szCs w:val="21"/>
                <w14:textFill>
                  <w14:solidFill>
                    <w14:schemeClr w14:val="tx1"/>
                  </w14:solidFill>
                </w14:textFill>
              </w:rPr>
              <w:t>b</w:t>
            </w:r>
            <w:r>
              <w:rPr>
                <w:rFonts w:cs="Times New Roman"/>
                <w:bCs/>
                <w:snapToGrid w:val="0"/>
                <w:color w:val="000000" w:themeColor="text1"/>
                <w:kern w:val="0"/>
                <w:sz w:val="18"/>
                <w:szCs w:val="21"/>
                <w:vertAlign w:val="subscript"/>
                <w14:textFill>
                  <w14:solidFill>
                    <w14:schemeClr w14:val="tx1"/>
                  </w14:solidFill>
                </w14:textFill>
              </w:rPr>
              <w:t>0</w:t>
            </w:r>
            <w:r>
              <w:rPr>
                <w:rFonts w:hint="eastAsia" w:cs="Times New Roman"/>
                <w:bCs/>
                <w:snapToGrid w:val="0"/>
                <w:color w:val="000000" w:themeColor="text1"/>
                <w:kern w:val="0"/>
                <w:sz w:val="18"/>
                <w:szCs w:val="21"/>
                <w14:textFill>
                  <w14:solidFill>
                    <w14:schemeClr w14:val="tx1"/>
                  </w14:solidFill>
                </w14:textFill>
              </w:rPr>
              <w:t>/</w:t>
            </w:r>
            <w:r>
              <w:rPr>
                <w:rFonts w:cs="Times New Roman"/>
                <w:bCs/>
                <w:snapToGrid w:val="0"/>
                <w:color w:val="000000" w:themeColor="text1"/>
                <w:kern w:val="0"/>
                <w:sz w:val="18"/>
                <w:szCs w:val="21"/>
                <w14:textFill>
                  <w14:solidFill>
                    <w14:schemeClr w14:val="tx1"/>
                  </w14:solidFill>
                </w14:textFill>
              </w:rPr>
              <w:t>t</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25</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32</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37</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42</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832"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w:t>
            </w:r>
          </w:p>
        </w:tc>
      </w:tr>
    </w:tbl>
    <w:p>
      <w:pPr>
        <w:autoSpaceDE w:val="0"/>
        <w:autoSpaceDN w:val="0"/>
        <w:spacing w:before="156" w:beforeLines="50" w:line="300" w:lineRule="auto"/>
        <w:ind w:left="545" w:right="95" w:hanging="545" w:hangingChars="303"/>
        <w:rPr>
          <w:rFonts w:cs="Times New Roman"/>
          <w:bCs/>
          <w:snapToGrid w:val="0"/>
          <w:color w:val="000000" w:themeColor="text1"/>
          <w:kern w:val="0"/>
          <w:sz w:val="18"/>
          <w:szCs w:val="18"/>
          <w14:textFill>
            <w14:solidFill>
              <w14:schemeClr w14:val="tx1"/>
            </w14:solidFill>
          </w14:textFill>
        </w:rPr>
      </w:pPr>
      <w:r>
        <w:rPr>
          <w:rFonts w:hint="eastAsia" w:cs="Times New Roman"/>
          <w:bCs/>
          <w:snapToGrid w:val="0"/>
          <w:color w:val="000000" w:themeColor="text1"/>
          <w:kern w:val="0"/>
          <w:sz w:val="18"/>
          <w:szCs w:val="18"/>
          <w14:textFill>
            <w14:solidFill>
              <w14:schemeClr w14:val="tx1"/>
            </w14:solidFill>
          </w14:textFill>
        </w:rPr>
        <w:t>注：</w:t>
      </w:r>
      <w:r>
        <w:rPr>
          <w:rFonts w:cs="Times New Roman"/>
          <w:bCs/>
          <w:snapToGrid w:val="0"/>
          <w:color w:val="000000" w:themeColor="text1"/>
          <w:kern w:val="0"/>
          <w:sz w:val="18"/>
          <w:szCs w:val="18"/>
          <w14:textFill>
            <w14:solidFill>
              <w14:schemeClr w14:val="tx1"/>
            </w14:solidFill>
          </w14:textFill>
        </w:rPr>
        <w:t>1 ε</w:t>
      </w:r>
      <w:r>
        <w:rPr>
          <w:rFonts w:cs="Times New Roman"/>
          <w:bCs/>
          <w:snapToGrid w:val="0"/>
          <w:color w:val="000000" w:themeColor="text1"/>
          <w:kern w:val="0"/>
          <w:sz w:val="18"/>
          <w:szCs w:val="18"/>
          <w:vertAlign w:val="subscript"/>
          <w14:textFill>
            <w14:solidFill>
              <w14:schemeClr w14:val="tx1"/>
            </w14:solidFill>
          </w14:textFill>
        </w:rPr>
        <w:t>k</w:t>
      </w:r>
      <w:r>
        <w:rPr>
          <w:rFonts w:hint="eastAsia" w:cs="Times New Roman"/>
          <w:bCs/>
          <w:snapToGrid w:val="0"/>
          <w:color w:val="000000" w:themeColor="text1"/>
          <w:kern w:val="0"/>
          <w:sz w:val="18"/>
          <w:szCs w:val="18"/>
          <w14:textFill>
            <w14:solidFill>
              <w14:schemeClr w14:val="tx1"/>
            </w14:solidFill>
          </w14:textFill>
        </w:rPr>
        <w:t>为钢号修正系数，其值为</w:t>
      </w:r>
      <w:r>
        <w:rPr>
          <w:rFonts w:cs="Times New Roman"/>
          <w:bCs/>
          <w:snapToGrid w:val="0"/>
          <w:color w:val="000000" w:themeColor="text1"/>
          <w:kern w:val="0"/>
          <w:sz w:val="18"/>
          <w:szCs w:val="18"/>
          <w14:textFill>
            <w14:solidFill>
              <w14:schemeClr w14:val="tx1"/>
            </w14:solidFill>
          </w14:textFill>
        </w:rPr>
        <w:t>235</w:t>
      </w:r>
      <w:r>
        <w:rPr>
          <w:rFonts w:hint="eastAsia" w:cs="Times New Roman"/>
          <w:bCs/>
          <w:snapToGrid w:val="0"/>
          <w:color w:val="000000" w:themeColor="text1"/>
          <w:kern w:val="0"/>
          <w:sz w:val="18"/>
          <w:szCs w:val="18"/>
          <w14:textFill>
            <w14:solidFill>
              <w14:schemeClr w14:val="tx1"/>
            </w14:solidFill>
          </w14:textFill>
        </w:rPr>
        <w:t>与钢材牌号中屈服点数值的比值的平方根；</w:t>
      </w:r>
    </w:p>
    <w:p>
      <w:pPr>
        <w:spacing w:line="264" w:lineRule="auto"/>
        <w:ind w:firstLine="360"/>
        <w:rPr>
          <w:bCs/>
          <w:snapToGrid w:val="0"/>
          <w:color w:val="000000" w:themeColor="text1"/>
          <w:kern w:val="0"/>
          <w:sz w:val="18"/>
          <w:szCs w:val="18"/>
          <w14:textFill>
            <w14:solidFill>
              <w14:schemeClr w14:val="tx1"/>
            </w14:solidFill>
          </w14:textFill>
        </w:rPr>
      </w:pPr>
      <w:r>
        <w:rPr>
          <w:bCs/>
          <w:snapToGrid w:val="0"/>
          <w:color w:val="000000" w:themeColor="text1"/>
          <w:kern w:val="0"/>
          <w:sz w:val="18"/>
          <w:szCs w:val="18"/>
          <w14:textFill>
            <w14:solidFill>
              <w14:schemeClr w14:val="tx1"/>
            </w14:solidFill>
          </w14:textFill>
        </w:rPr>
        <w:t xml:space="preserve">2 </w:t>
      </w:r>
      <w:r>
        <w:rPr>
          <w:rFonts w:hint="eastAsia"/>
          <w:bCs/>
          <w:snapToGrid w:val="0"/>
          <w:color w:val="000000" w:themeColor="text1"/>
          <w:kern w:val="0"/>
          <w:sz w:val="18"/>
          <w:szCs w:val="18"/>
          <w14:textFill>
            <w14:solidFill>
              <w14:schemeClr w14:val="tx1"/>
            </w14:solidFill>
          </w14:textFill>
        </w:rPr>
        <w:t>箱形截面梁及单向受弯的箱形截面柱，其腹板限值可根据</w:t>
      </w:r>
      <w:r>
        <w:rPr>
          <w:bCs/>
          <w:snapToGrid w:val="0"/>
          <w:color w:val="000000" w:themeColor="text1"/>
          <w:kern w:val="0"/>
          <w:sz w:val="18"/>
          <w:szCs w:val="18"/>
          <w14:textFill>
            <w14:solidFill>
              <w14:schemeClr w14:val="tx1"/>
            </w14:solidFill>
          </w14:textFill>
        </w:rPr>
        <w:t>H</w:t>
      </w:r>
      <w:r>
        <w:rPr>
          <w:rFonts w:hint="eastAsia"/>
          <w:bCs/>
          <w:snapToGrid w:val="0"/>
          <w:color w:val="000000" w:themeColor="text1"/>
          <w:kern w:val="0"/>
          <w:sz w:val="18"/>
          <w:szCs w:val="18"/>
          <w14:textFill>
            <w14:solidFill>
              <w14:schemeClr w14:val="tx1"/>
            </w14:solidFill>
          </w14:textFill>
        </w:rPr>
        <w:t>形截面腹板采用；</w:t>
      </w:r>
    </w:p>
    <w:p>
      <w:pPr>
        <w:spacing w:line="264" w:lineRule="auto"/>
        <w:ind w:left="418" w:leftChars="171" w:hanging="59" w:hangingChars="33"/>
        <w:rPr>
          <w:bCs/>
          <w:snapToGrid w:val="0"/>
          <w:color w:val="000000" w:themeColor="text1"/>
          <w:sz w:val="18"/>
          <w:szCs w:val="18"/>
          <w14:textFill>
            <w14:solidFill>
              <w14:schemeClr w14:val="tx1"/>
            </w14:solidFill>
          </w14:textFill>
        </w:rPr>
      </w:pPr>
      <w:r>
        <w:rPr>
          <w:bCs/>
          <w:snapToGrid w:val="0"/>
          <w:color w:val="000000" w:themeColor="text1"/>
          <w:sz w:val="18"/>
          <w:szCs w:val="18"/>
          <w14:textFill>
            <w14:solidFill>
              <w14:schemeClr w14:val="tx1"/>
            </w14:solidFill>
          </w14:textFill>
        </w:rPr>
        <w:t>3</w:t>
      </w:r>
      <w:r>
        <w:rPr>
          <w:rFonts w:hint="eastAsia" w:ascii="Cambria Math" w:hAnsi="Cambria Math"/>
          <w:bCs/>
          <w:snapToGrid w:val="0"/>
          <w:color w:val="000000" w:themeColor="text1"/>
          <w:kern w:val="0"/>
          <w:sz w:val="18"/>
          <w:szCs w:val="18"/>
          <w14:textFill>
            <w14:solidFill>
              <w14:schemeClr w14:val="tx1"/>
            </w14:solidFill>
          </w14:textFill>
        </w:rPr>
        <w:t>α</w:t>
      </w:r>
      <w:r>
        <w:rPr>
          <w:rFonts w:hint="eastAsia" w:ascii="Cambria Math" w:hAnsi="Cambria Math"/>
          <w:bCs/>
          <w:snapToGrid w:val="0"/>
          <w:color w:val="000000" w:themeColor="text1"/>
          <w:kern w:val="0"/>
          <w:sz w:val="18"/>
          <w:szCs w:val="18"/>
          <w:vertAlign w:val="subscript"/>
          <w14:textFill>
            <w14:solidFill>
              <w14:schemeClr w14:val="tx1"/>
            </w14:solidFill>
          </w14:textFill>
        </w:rPr>
        <w:t>0</w:t>
      </w:r>
      <w:r>
        <w:rPr>
          <w:rFonts w:hint="eastAsia"/>
          <w:bCs/>
          <w:snapToGrid w:val="0"/>
          <w:color w:val="000000" w:themeColor="text1"/>
          <w:sz w:val="18"/>
          <w:szCs w:val="18"/>
          <w14:textFill>
            <w14:solidFill>
              <w14:schemeClr w14:val="tx1"/>
            </w14:solidFill>
          </w14:textFill>
        </w:rPr>
        <w:t>=（</w:t>
      </w:r>
      <w:r>
        <w:rPr>
          <w:rFonts w:hint="eastAsia" w:ascii="Cambria Math" w:hAnsi="Cambria Math"/>
          <w:bCs/>
          <w:snapToGrid w:val="0"/>
          <w:color w:val="000000" w:themeColor="text1"/>
          <w:kern w:val="0"/>
          <w:sz w:val="18"/>
          <w:szCs w:val="18"/>
          <w14:textFill>
            <w14:solidFill>
              <w14:schemeClr w14:val="tx1"/>
            </w14:solidFill>
          </w14:textFill>
        </w:rPr>
        <w:t>σ</w:t>
      </w:r>
      <w:r>
        <w:rPr>
          <w:rFonts w:hint="eastAsia" w:ascii="Cambria Math" w:hAnsi="Cambria Math"/>
          <w:bCs/>
          <w:snapToGrid w:val="0"/>
          <w:color w:val="000000" w:themeColor="text1"/>
          <w:kern w:val="0"/>
          <w:sz w:val="18"/>
          <w:szCs w:val="18"/>
          <w:vertAlign w:val="subscript"/>
          <w14:textFill>
            <w14:solidFill>
              <w14:schemeClr w14:val="tx1"/>
            </w14:solidFill>
          </w14:textFill>
        </w:rPr>
        <w:t>msx</w:t>
      </w:r>
      <w:r>
        <w:rPr>
          <w:rFonts w:ascii="Cambria Math" w:hAnsi="Cambria Math"/>
          <w:bCs/>
          <w:snapToGrid w:val="0"/>
          <w:color w:val="000000" w:themeColor="text1"/>
          <w:kern w:val="0"/>
          <w:sz w:val="18"/>
          <w:szCs w:val="18"/>
          <w14:textFill>
            <w14:solidFill>
              <w14:schemeClr w14:val="tx1"/>
            </w14:solidFill>
          </w14:textFill>
        </w:rPr>
        <w:t>-</w:t>
      </w:r>
      <w:r>
        <w:rPr>
          <w:rFonts w:hint="eastAsia" w:ascii="Cambria Math" w:hAnsi="Cambria Math"/>
          <w:bCs/>
          <w:snapToGrid w:val="0"/>
          <w:color w:val="000000" w:themeColor="text1"/>
          <w:kern w:val="0"/>
          <w:sz w:val="18"/>
          <w:szCs w:val="18"/>
          <w14:textFill>
            <w14:solidFill>
              <w14:schemeClr w14:val="tx1"/>
            </w14:solidFill>
          </w14:textFill>
        </w:rPr>
        <w:t>σ</w:t>
      </w:r>
      <w:r>
        <w:rPr>
          <w:rFonts w:hint="eastAsia" w:ascii="Cambria Math" w:hAnsi="Cambria Math"/>
          <w:bCs/>
          <w:snapToGrid w:val="0"/>
          <w:color w:val="000000" w:themeColor="text1"/>
          <w:kern w:val="0"/>
          <w:sz w:val="18"/>
          <w:szCs w:val="18"/>
          <w:vertAlign w:val="subscript"/>
          <w14:textFill>
            <w14:solidFill>
              <w14:schemeClr w14:val="tx1"/>
            </w14:solidFill>
          </w14:textFill>
        </w:rPr>
        <w:t>max</w:t>
      </w:r>
      <w:r>
        <w:rPr>
          <w:rFonts w:hint="eastAsia"/>
          <w:bCs/>
          <w:snapToGrid w:val="0"/>
          <w:color w:val="000000" w:themeColor="text1"/>
          <w:sz w:val="18"/>
          <w:szCs w:val="18"/>
          <w14:textFill>
            <w14:solidFill>
              <w14:schemeClr w14:val="tx1"/>
            </w14:solidFill>
          </w14:textFill>
        </w:rPr>
        <w:t>）/</w:t>
      </w:r>
      <w:r>
        <w:rPr>
          <w:rFonts w:hint="eastAsia" w:ascii="Cambria Math" w:hAnsi="Cambria Math"/>
          <w:bCs/>
          <w:snapToGrid w:val="0"/>
          <w:color w:val="000000" w:themeColor="text1"/>
          <w:kern w:val="0"/>
          <w:sz w:val="18"/>
          <w:szCs w:val="18"/>
          <w14:textFill>
            <w14:solidFill>
              <w14:schemeClr w14:val="tx1"/>
            </w14:solidFill>
          </w14:textFill>
        </w:rPr>
        <w:t>σ</w:t>
      </w:r>
      <w:r>
        <w:rPr>
          <w:rFonts w:hint="eastAsia" w:ascii="Cambria Math" w:hAnsi="Cambria Math"/>
          <w:bCs/>
          <w:snapToGrid w:val="0"/>
          <w:color w:val="000000" w:themeColor="text1"/>
          <w:kern w:val="0"/>
          <w:sz w:val="18"/>
          <w:szCs w:val="18"/>
          <w:vertAlign w:val="subscript"/>
          <w14:textFill>
            <w14:solidFill>
              <w14:schemeClr w14:val="tx1"/>
            </w14:solidFill>
          </w14:textFill>
        </w:rPr>
        <w:t>max</w:t>
      </w:r>
      <w:r>
        <w:rPr>
          <w:rFonts w:hint="eastAsia" w:ascii="Cambria Math" w:hAnsi="Cambria Math"/>
          <w:bCs/>
          <w:snapToGrid w:val="0"/>
          <w:color w:val="000000" w:themeColor="text1"/>
          <w:kern w:val="0"/>
          <w:sz w:val="18"/>
          <w:szCs w:val="18"/>
          <w14:textFill>
            <w14:solidFill>
              <w14:schemeClr w14:val="tx1"/>
            </w14:solidFill>
          </w14:textFill>
        </w:rPr>
        <w:t>，σ</w:t>
      </w:r>
      <w:r>
        <w:rPr>
          <w:rFonts w:hint="eastAsia" w:ascii="Cambria Math" w:hAnsi="Cambria Math"/>
          <w:bCs/>
          <w:snapToGrid w:val="0"/>
          <w:color w:val="000000" w:themeColor="text1"/>
          <w:kern w:val="0"/>
          <w:sz w:val="18"/>
          <w:szCs w:val="18"/>
          <w:vertAlign w:val="subscript"/>
          <w14:textFill>
            <w14:solidFill>
              <w14:schemeClr w14:val="tx1"/>
            </w14:solidFill>
          </w14:textFill>
        </w:rPr>
        <w:t>max</w:t>
      </w:r>
      <w:r>
        <w:rPr>
          <w:rFonts w:hint="eastAsia" w:ascii="Cambria Math" w:hAnsi="Cambria Math"/>
          <w:bCs/>
          <w:snapToGrid w:val="0"/>
          <w:color w:val="000000" w:themeColor="text1"/>
          <w:kern w:val="0"/>
          <w:sz w:val="18"/>
          <w:szCs w:val="18"/>
          <w14:textFill>
            <w14:solidFill>
              <w14:schemeClr w14:val="tx1"/>
            </w14:solidFill>
          </w14:textFill>
        </w:rPr>
        <w:t>、σ</w:t>
      </w:r>
      <w:r>
        <w:rPr>
          <w:rFonts w:hint="eastAsia" w:ascii="Cambria Math" w:hAnsi="Cambria Math"/>
          <w:bCs/>
          <w:snapToGrid w:val="0"/>
          <w:color w:val="000000" w:themeColor="text1"/>
          <w:kern w:val="0"/>
          <w:sz w:val="18"/>
          <w:szCs w:val="18"/>
          <w:vertAlign w:val="subscript"/>
          <w14:textFill>
            <w14:solidFill>
              <w14:schemeClr w14:val="tx1"/>
            </w14:solidFill>
          </w14:textFill>
        </w:rPr>
        <w:t>min</w:t>
      </w:r>
      <w:r>
        <w:rPr>
          <w:rFonts w:hint="eastAsia"/>
          <w:bCs/>
          <w:snapToGrid w:val="0"/>
          <w:color w:val="000000" w:themeColor="text1"/>
          <w:sz w:val="18"/>
          <w:szCs w:val="18"/>
          <w14:textFill>
            <w14:solidFill>
              <w14:schemeClr w14:val="tx1"/>
            </w14:solidFill>
          </w14:textFill>
        </w:rPr>
        <w:t>分别为腹板计算边缘的最大压应力和另一边缘相应</w:t>
      </w:r>
      <w:r>
        <w:rPr>
          <w:rFonts w:hint="eastAsia"/>
          <w:bCs/>
          <w:snapToGrid w:val="0"/>
          <w:color w:val="000000" w:themeColor="text1"/>
          <w:kern w:val="0"/>
          <w:sz w:val="18"/>
          <w:szCs w:val="18"/>
          <w14:textFill>
            <w14:solidFill>
              <w14:schemeClr w14:val="tx1"/>
            </w14:solidFill>
          </w14:textFill>
        </w:rPr>
        <w:t>的</w:t>
      </w:r>
      <w:r>
        <w:rPr>
          <w:rFonts w:hint="eastAsia"/>
          <w:bCs/>
          <w:snapToGrid w:val="0"/>
          <w:color w:val="000000" w:themeColor="text1"/>
          <w:sz w:val="18"/>
          <w:szCs w:val="18"/>
          <w14:textFill>
            <w14:solidFill>
              <w14:schemeClr w14:val="tx1"/>
            </w14:solidFill>
          </w14:textFill>
        </w:rPr>
        <w:t>应力，压应力为正；</w:t>
      </w:r>
    </w:p>
    <w:p>
      <w:pPr>
        <w:spacing w:line="264" w:lineRule="auto"/>
        <w:ind w:left="418" w:leftChars="171" w:hanging="59" w:hangingChars="33"/>
        <w:rPr>
          <w:bCs/>
          <w:snapToGrid w:val="0"/>
          <w:color w:val="000000" w:themeColor="text1"/>
          <w:sz w:val="18"/>
          <w:szCs w:val="18"/>
          <w14:textFill>
            <w14:solidFill>
              <w14:schemeClr w14:val="tx1"/>
            </w14:solidFill>
          </w14:textFill>
        </w:rPr>
      </w:pPr>
      <w:r>
        <w:rPr>
          <w:bCs/>
          <w:snapToGrid w:val="0"/>
          <w:color w:val="000000" w:themeColor="text1"/>
          <w:kern w:val="0"/>
          <w:sz w:val="18"/>
          <w:szCs w:val="18"/>
          <w14:textFill>
            <w14:solidFill>
              <w14:schemeClr w14:val="tx1"/>
            </w14:solidFill>
          </w14:textFill>
        </w:rPr>
        <w:t>4 S5</w:t>
      </w:r>
      <w:r>
        <w:rPr>
          <w:rFonts w:hint="eastAsia"/>
          <w:bCs/>
          <w:snapToGrid w:val="0"/>
          <w:color w:val="000000" w:themeColor="text1"/>
          <w:kern w:val="0"/>
          <w:sz w:val="18"/>
          <w:szCs w:val="18"/>
          <w14:textFill>
            <w14:solidFill>
              <w14:schemeClr w14:val="tx1"/>
            </w14:solidFill>
          </w14:textFill>
        </w:rPr>
        <w:t>级板件宽厚比</w:t>
      </w:r>
      <w:r>
        <w:rPr>
          <w:rFonts w:hint="eastAsia"/>
          <w:bCs/>
          <w:snapToGrid w:val="0"/>
          <w:color w:val="000000" w:themeColor="text1"/>
          <w:sz w:val="18"/>
          <w:szCs w:val="18"/>
          <w14:textFill>
            <w14:solidFill>
              <w14:schemeClr w14:val="tx1"/>
            </w14:solidFill>
          </w14:textFill>
        </w:rPr>
        <w:t>，当小于</w:t>
      </w:r>
      <w:r>
        <w:rPr>
          <w:bCs/>
          <w:snapToGrid w:val="0"/>
          <w:color w:val="000000" w:themeColor="text1"/>
          <w:sz w:val="18"/>
          <w:szCs w:val="18"/>
          <w14:textFill>
            <w14:solidFill>
              <w14:schemeClr w14:val="tx1"/>
            </w14:solidFill>
          </w14:textFill>
        </w:rPr>
        <w:t>S4</w:t>
      </w:r>
      <w:r>
        <w:rPr>
          <w:rFonts w:hint="eastAsia"/>
          <w:bCs/>
          <w:snapToGrid w:val="0"/>
          <w:color w:val="000000" w:themeColor="text1"/>
          <w:sz w:val="18"/>
          <w:szCs w:val="18"/>
          <w14:textFill>
            <w14:solidFill>
              <w14:schemeClr w14:val="tx1"/>
            </w14:solidFill>
          </w14:textFill>
        </w:rPr>
        <w:t>级限值经乘以</w:t>
      </w:r>
      <w:r>
        <w:rPr>
          <w:rFonts w:hint="eastAsia" w:asciiTheme="minorEastAsia" w:hAnsiTheme="minorEastAsia"/>
          <w:bCs/>
          <w:i/>
          <w:iCs/>
          <w:snapToGrid w:val="0"/>
          <w:color w:val="000000" w:themeColor="text1"/>
          <w:sz w:val="18"/>
          <w:szCs w:val="18"/>
          <w14:textFill>
            <w14:solidFill>
              <w14:schemeClr w14:val="tx1"/>
            </w14:solidFill>
          </w14:textFill>
        </w:rPr>
        <w:t>ε</w:t>
      </w:r>
      <w:bookmarkStart w:id="161" w:name="_Hlk23949885"/>
      <w:r>
        <w:rPr>
          <w:rFonts w:hint="eastAsia" w:ascii="Cambria Math" w:hAnsi="Cambria Math"/>
          <w:b/>
          <w:i/>
          <w:iCs/>
          <w:snapToGrid w:val="0"/>
          <w:color w:val="000000" w:themeColor="text1"/>
          <w:kern w:val="0"/>
          <w:sz w:val="18"/>
          <w:szCs w:val="18"/>
          <w:vertAlign w:val="subscript"/>
          <w14:textFill>
            <w14:solidFill>
              <w14:schemeClr w14:val="tx1"/>
            </w14:solidFill>
          </w14:textFill>
        </w:rPr>
        <w:t>σ</w:t>
      </w:r>
      <w:bookmarkEnd w:id="161"/>
      <w:r>
        <w:rPr>
          <w:rFonts w:hint="eastAsia"/>
          <w:bCs/>
          <w:snapToGrid w:val="0"/>
          <w:color w:val="000000" w:themeColor="text1"/>
          <w:sz w:val="18"/>
          <w:szCs w:val="18"/>
          <w14:textFill>
            <w14:solidFill>
              <w14:schemeClr w14:val="tx1"/>
            </w14:solidFill>
          </w14:textFill>
        </w:rPr>
        <w:t>（</w:t>
      </w:r>
      <w:r>
        <w:rPr>
          <w:rFonts w:hint="eastAsia" w:asciiTheme="minorEastAsia" w:hAnsiTheme="minorEastAsia"/>
          <w:bCs/>
          <w:i/>
          <w:iCs/>
          <w:snapToGrid w:val="0"/>
          <w:color w:val="000000" w:themeColor="text1"/>
          <w:sz w:val="18"/>
          <w:szCs w:val="18"/>
          <w14:textFill>
            <w14:solidFill>
              <w14:schemeClr w14:val="tx1"/>
            </w14:solidFill>
          </w14:textFill>
        </w:rPr>
        <w:t>ε</w:t>
      </w:r>
      <w:r>
        <w:rPr>
          <w:rFonts w:hint="eastAsia" w:ascii="Cambria Math" w:hAnsi="Cambria Math"/>
          <w:b/>
          <w:i/>
          <w:iCs/>
          <w:snapToGrid w:val="0"/>
          <w:color w:val="000000" w:themeColor="text1"/>
          <w:kern w:val="0"/>
          <w:sz w:val="18"/>
          <w:szCs w:val="18"/>
          <w:vertAlign w:val="subscript"/>
          <w14:textFill>
            <w14:solidFill>
              <w14:schemeClr w14:val="tx1"/>
            </w14:solidFill>
          </w14:textFill>
        </w:rPr>
        <w:t>σ</w:t>
      </w:r>
      <w:r>
        <w:rPr>
          <w:rFonts w:hint="eastAsia" w:ascii="Cambria Math" w:hAnsi="Cambria Math"/>
          <w:b/>
          <w:i/>
          <w:iCs/>
          <w:snapToGrid w:val="0"/>
          <w:color w:val="000000" w:themeColor="text1"/>
          <w:kern w:val="0"/>
          <w:sz w:val="18"/>
          <w:szCs w:val="18"/>
          <w14:textFill>
            <w14:solidFill>
              <w14:schemeClr w14:val="tx1"/>
            </w14:solidFill>
          </w14:textFill>
        </w:rPr>
        <w:t>=</w:t>
      </w:r>
      <m:oMath>
        <m:rad>
          <m:radPr>
            <m:degHide m:val="1"/>
            <m:ctrlPr>
              <w:rPr>
                <w:rFonts w:ascii="Cambria Math" w:hAnsi="Cambria Math"/>
                <w:b/>
                <w:i/>
                <w:iCs/>
                <w:snapToGrid w:val="0"/>
                <w:color w:val="000000" w:themeColor="text1"/>
                <w:kern w:val="0"/>
                <w:sz w:val="18"/>
                <w:szCs w:val="18"/>
                <w14:textFill>
                  <w14:solidFill>
                    <w14:schemeClr w14:val="tx1"/>
                  </w14:solidFill>
                </w14:textFill>
              </w:rPr>
            </m:ctrlPr>
          </m:radPr>
          <m:deg>
            <m:ctrlPr>
              <w:rPr>
                <w:rFonts w:ascii="Cambria Math" w:hAnsi="Cambria Math"/>
                <w:b/>
                <w:i/>
                <w:iCs/>
                <w:snapToGrid w:val="0"/>
                <w:color w:val="000000" w:themeColor="text1"/>
                <w:kern w:val="0"/>
                <w:sz w:val="18"/>
                <w:szCs w:val="18"/>
                <w14:textFill>
                  <w14:solidFill>
                    <w14:schemeClr w14:val="tx1"/>
                  </w14:solidFill>
                </w14:textFill>
              </w:rPr>
            </m:ctrlPr>
          </m:deg>
          <m:e>
            <m:r>
              <w:rPr>
                <w:rFonts w:hint="eastAsia" w:ascii="Cambria Math" w:hAnsi="Cambria Math"/>
                <w:color w:val="000000" w:themeColor="text1"/>
                <w:sz w:val="18"/>
                <w:szCs w:val="18"/>
                <w14:textFill>
                  <w14:solidFill>
                    <w14:schemeClr w14:val="tx1"/>
                  </w14:solidFill>
                </w14:textFill>
              </w:rPr>
              <m:t>ƒ</m:t>
            </m:r>
            <m:r>
              <m:rPr>
                <m:sty m:val="p"/>
              </m:rPr>
              <w:rPr>
                <w:rFonts w:ascii="Cambria Math" w:hAnsi="Calibri" w:eastAsia="楷体_GB2312" w:cs="Calibri"/>
                <w:color w:val="000000" w:themeColor="text1"/>
                <w:kern w:val="0"/>
                <w:sz w:val="18"/>
                <w:szCs w:val="18"/>
                <w14:textFill>
                  <w14:solidFill>
                    <w14:schemeClr w14:val="tx1"/>
                  </w14:solidFill>
                </w14:textFill>
              </w:rPr>
              <m:t>/</m:t>
            </m:r>
            <m:sSub>
              <m:sSubPr>
                <m:ctrlPr>
                  <w:rPr>
                    <w:rFonts w:ascii="Cambria Math" w:hAnsi="Cambria Math"/>
                    <w:bCs/>
                    <w:snapToGrid w:val="0"/>
                    <w:color w:val="000000" w:themeColor="text1"/>
                    <w:kern w:val="0"/>
                    <w:sz w:val="18"/>
                    <w:szCs w:val="18"/>
                    <w14:textFill>
                      <w14:solidFill>
                        <w14:schemeClr w14:val="tx1"/>
                      </w14:solidFill>
                    </w14:textFill>
                  </w:rPr>
                </m:ctrlPr>
              </m:sSubPr>
              <m:e>
                <m:r>
                  <m:rPr>
                    <m:sty m:val="p"/>
                  </m:rPr>
                  <w:rPr>
                    <w:rFonts w:hint="eastAsia" w:ascii="Cambria Math" w:hAnsi="Cambria Math"/>
                    <w:snapToGrid w:val="0"/>
                    <w:color w:val="000000" w:themeColor="text1"/>
                    <w:kern w:val="0"/>
                    <w:sz w:val="18"/>
                    <w:szCs w:val="18"/>
                    <w14:textFill>
                      <w14:solidFill>
                        <w14:schemeClr w14:val="tx1"/>
                      </w14:solidFill>
                    </w14:textFill>
                  </w:rPr>
                  <m:t>σ</m:t>
                </m:r>
                <m:ctrlPr>
                  <w:rPr>
                    <w:rFonts w:ascii="Cambria Math" w:hAnsi="Cambria Math"/>
                    <w:bCs/>
                    <w:snapToGrid w:val="0"/>
                    <w:color w:val="000000" w:themeColor="text1"/>
                    <w:kern w:val="0"/>
                    <w:sz w:val="18"/>
                    <w:szCs w:val="18"/>
                    <w14:textFill>
                      <w14:solidFill>
                        <w14:schemeClr w14:val="tx1"/>
                      </w14:solidFill>
                    </w14:textFill>
                  </w:rPr>
                </m:ctrlPr>
              </m:e>
              <m:sub>
                <m:r>
                  <w:rPr>
                    <w:rFonts w:ascii="Cambria Math" w:hAnsi="Cambria Math"/>
                    <w:snapToGrid w:val="0"/>
                    <w:color w:val="000000" w:themeColor="text1"/>
                    <w:kern w:val="0"/>
                    <w:sz w:val="18"/>
                    <w:szCs w:val="18"/>
                    <w14:textFill>
                      <w14:solidFill>
                        <w14:schemeClr w14:val="tx1"/>
                      </w14:solidFill>
                    </w14:textFill>
                  </w:rPr>
                  <m:t>max</m:t>
                </m:r>
                <m:ctrlPr>
                  <w:rPr>
                    <w:rFonts w:ascii="Cambria Math" w:hAnsi="Cambria Math"/>
                    <w:bCs/>
                    <w:snapToGrid w:val="0"/>
                    <w:color w:val="000000" w:themeColor="text1"/>
                    <w:kern w:val="0"/>
                    <w:sz w:val="18"/>
                    <w:szCs w:val="18"/>
                    <w14:textFill>
                      <w14:solidFill>
                        <w14:schemeClr w14:val="tx1"/>
                      </w14:solidFill>
                    </w14:textFill>
                  </w:rPr>
                </m:ctrlPr>
              </m:sub>
            </m:sSub>
            <m:ctrlPr>
              <w:rPr>
                <w:rFonts w:ascii="Cambria Math" w:hAnsi="Cambria Math"/>
                <w:b/>
                <w:i/>
                <w:iCs/>
                <w:snapToGrid w:val="0"/>
                <w:color w:val="000000" w:themeColor="text1"/>
                <w:kern w:val="0"/>
                <w:sz w:val="18"/>
                <w:szCs w:val="18"/>
                <w14:textFill>
                  <w14:solidFill>
                    <w14:schemeClr w14:val="tx1"/>
                  </w14:solidFill>
                </w14:textFill>
              </w:rPr>
            </m:ctrlPr>
          </m:e>
        </m:rad>
      </m:oMath>
      <w:r>
        <w:rPr>
          <w:rFonts w:hint="eastAsia"/>
          <w:bCs/>
          <w:snapToGrid w:val="0"/>
          <w:color w:val="000000" w:themeColor="text1"/>
          <w:sz w:val="18"/>
          <w:szCs w:val="18"/>
          <w14:textFill>
            <w14:solidFill>
              <w14:schemeClr w14:val="tx1"/>
            </w14:solidFill>
          </w14:textFill>
        </w:rPr>
        <w:t>，</w:t>
      </w:r>
      <w:r>
        <w:rPr>
          <w:bCs/>
          <w:snapToGrid w:val="0"/>
          <w:color w:val="000000" w:themeColor="text1"/>
          <w:sz w:val="18"/>
          <w:szCs w:val="18"/>
          <w14:textFill>
            <w14:solidFill>
              <w14:schemeClr w14:val="tx1"/>
            </w14:solidFill>
          </w14:textFill>
        </w:rPr>
        <w:t xml:space="preserve">f </w:t>
      </w:r>
      <w:r>
        <w:rPr>
          <w:rFonts w:hint="eastAsia"/>
          <w:bCs/>
          <w:snapToGrid w:val="0"/>
          <w:color w:val="000000" w:themeColor="text1"/>
          <w:sz w:val="18"/>
          <w:szCs w:val="18"/>
          <w14:textFill>
            <w14:solidFill>
              <w14:schemeClr w14:val="tx1"/>
            </w14:solidFill>
          </w14:textFill>
        </w:rPr>
        <w:t>为钢材强度设计值，</w:t>
      </w:r>
      <w:r>
        <w:rPr>
          <w:rFonts w:hint="eastAsia" w:ascii="Cambria Math" w:hAnsi="Cambria Math"/>
          <w:bCs/>
          <w:snapToGrid w:val="0"/>
          <w:color w:val="000000" w:themeColor="text1"/>
          <w:kern w:val="0"/>
          <w:sz w:val="18"/>
          <w:szCs w:val="18"/>
          <w14:textFill>
            <w14:solidFill>
              <w14:schemeClr w14:val="tx1"/>
            </w14:solidFill>
          </w14:textFill>
        </w:rPr>
        <w:t>σ</w:t>
      </w:r>
      <w:r>
        <w:rPr>
          <w:rFonts w:hint="eastAsia" w:ascii="Cambria Math" w:hAnsi="Cambria Math"/>
          <w:bCs/>
          <w:snapToGrid w:val="0"/>
          <w:color w:val="000000" w:themeColor="text1"/>
          <w:kern w:val="0"/>
          <w:sz w:val="18"/>
          <w:szCs w:val="18"/>
          <w:vertAlign w:val="subscript"/>
          <w14:textFill>
            <w14:solidFill>
              <w14:schemeClr w14:val="tx1"/>
            </w14:solidFill>
          </w14:textFill>
        </w:rPr>
        <w:t>max</w:t>
      </w:r>
      <w:r>
        <w:rPr>
          <w:rFonts w:hint="eastAsia"/>
          <w:bCs/>
          <w:snapToGrid w:val="0"/>
          <w:color w:val="000000" w:themeColor="text1"/>
          <w:sz w:val="18"/>
          <w:szCs w:val="18"/>
          <w14:textFill>
            <w14:solidFill>
              <w14:schemeClr w14:val="tx1"/>
            </w14:solidFill>
          </w14:textFill>
        </w:rPr>
        <w:t>为板件最大的设计压应力）修正的板件宽厚比时，可划归为</w:t>
      </w:r>
      <w:r>
        <w:rPr>
          <w:bCs/>
          <w:snapToGrid w:val="0"/>
          <w:color w:val="000000" w:themeColor="text1"/>
          <w:sz w:val="18"/>
          <w:szCs w:val="18"/>
          <w14:textFill>
            <w14:solidFill>
              <w14:schemeClr w14:val="tx1"/>
            </w14:solidFill>
          </w14:textFill>
        </w:rPr>
        <w:t>S4</w:t>
      </w:r>
      <w:r>
        <w:rPr>
          <w:rFonts w:hint="eastAsia"/>
          <w:bCs/>
          <w:snapToGrid w:val="0"/>
          <w:color w:val="000000" w:themeColor="text1"/>
          <w:sz w:val="18"/>
          <w:szCs w:val="18"/>
          <w14:textFill>
            <w14:solidFill>
              <w14:schemeClr w14:val="tx1"/>
            </w14:solidFill>
          </w14:textFill>
        </w:rPr>
        <w:t>级；</w:t>
      </w:r>
    </w:p>
    <w:p>
      <w:pPr>
        <w:spacing w:line="264" w:lineRule="auto"/>
        <w:ind w:left="418" w:leftChars="171" w:hanging="59" w:hangingChars="33"/>
        <w:rPr>
          <w:bCs/>
          <w:snapToGrid w:val="0"/>
          <w:color w:val="000000" w:themeColor="text1"/>
          <w:kern w:val="0"/>
          <w:sz w:val="18"/>
          <w:szCs w:val="18"/>
          <w14:textFill>
            <w14:solidFill>
              <w14:schemeClr w14:val="tx1"/>
            </w14:solidFill>
          </w14:textFill>
        </w:rPr>
      </w:pPr>
      <w:r>
        <w:rPr>
          <w:bCs/>
          <w:snapToGrid w:val="0"/>
          <w:color w:val="000000" w:themeColor="text1"/>
          <w:kern w:val="0"/>
          <w:sz w:val="18"/>
          <w:szCs w:val="18"/>
          <w14:textFill>
            <w14:solidFill>
              <w14:schemeClr w14:val="tx1"/>
            </w14:solidFill>
          </w14:textFill>
        </w:rPr>
        <w:t xml:space="preserve"> </w:t>
      </w:r>
    </w:p>
    <w:p>
      <w:pPr>
        <w:spacing w:line="264" w:lineRule="auto"/>
        <w:ind w:left="1050" w:leftChars="400" w:hanging="210" w:hangingChars="100"/>
        <w:rPr>
          <w:rFonts w:cs="Times New Roman"/>
          <w:bCs/>
          <w:snapToGrid w:val="0"/>
          <w:color w:val="000000" w:themeColor="text1"/>
          <w:kern w:val="0"/>
          <w14:textFill>
            <w14:solidFill>
              <w14:schemeClr w14:val="tx1"/>
            </w14:solidFill>
          </w14:textFill>
        </w:rPr>
      </w:pPr>
      <w:r>
        <w:rPr>
          <w:rFonts w:hint="eastAsia" w:cs="Times New Roman"/>
          <w:bCs/>
          <w:snapToGrid w:val="0"/>
          <w:color w:val="000000" w:themeColor="text1"/>
          <w:kern w:val="0"/>
          <w14:textFill>
            <w14:solidFill>
              <w14:schemeClr w14:val="tx1"/>
            </w14:solidFill>
          </w14:textFill>
        </w:rPr>
        <w:t>2）</w:t>
      </w:r>
      <w:r>
        <w:rPr>
          <w:rFonts w:hint="eastAsia" w:cs="Times New Roman"/>
          <w:bCs/>
          <w:snapToGrid w:val="0"/>
          <w:color w:val="000000" w:themeColor="text1"/>
          <w:szCs w:val="21"/>
          <w14:textFill>
            <w14:solidFill>
              <w14:schemeClr w14:val="tx1"/>
            </w14:solidFill>
          </w14:textFill>
        </w:rPr>
        <w:t>钢管混凝土柱</w:t>
      </w:r>
      <w:r>
        <w:rPr>
          <w:rFonts w:cs="Times New Roman"/>
          <w:bCs/>
          <w:snapToGrid w:val="0"/>
          <w:color w:val="000000" w:themeColor="text1"/>
          <w:kern w:val="0"/>
          <w:position w:val="-12"/>
          <w:szCs w:val="21"/>
          <w14:textFill>
            <w14:solidFill>
              <w14:schemeClr w14:val="tx1"/>
            </w14:solidFill>
          </w14:textFill>
        </w:rPr>
        <w:object>
          <v:shape id="_x0000_i1031" o:spt="75" type="#_x0000_t75" style="height:14.1pt;width:23.4pt;" o:ole="t" filled="f" o:preferrelative="t" stroked="f" coordsize="21600,21600">
            <v:path/>
            <v:fill on="f" focussize="0,0"/>
            <v:stroke on="f" joinstyle="miter"/>
            <v:imagedata r:id="rId57" o:title=""/>
            <o:lock v:ext="edit" aspectratio="t"/>
            <w10:wrap type="none"/>
            <w10:anchorlock/>
          </v:shape>
          <o:OLEObject Type="Embed" ProgID="Equation.3" ShapeID="_x0000_i1031" DrawAspect="Content" ObjectID="_1468075731" r:id="rId56">
            <o:LockedField>false</o:LockedField>
          </o:OLEObject>
        </w:object>
      </w:r>
      <w:r>
        <w:rPr>
          <w:rFonts w:hint="eastAsia" w:cs="Times New Roman"/>
          <w:bCs/>
          <w:snapToGrid w:val="0"/>
          <w:color w:val="000000" w:themeColor="text1"/>
          <w:kern w:val="0"/>
          <w:szCs w:val="21"/>
          <w14:textFill>
            <w14:solidFill>
              <w14:schemeClr w14:val="tx1"/>
            </w14:solidFill>
          </w14:textFill>
        </w:rPr>
        <w:t>不宜大于20（长细比不宜大于80）。钢管</w:t>
      </w:r>
      <w:r>
        <w:rPr>
          <w:rFonts w:hint="eastAsia" w:cs="Times New Roman"/>
          <w:bCs/>
          <w:snapToGrid w:val="0"/>
          <w:color w:val="000000" w:themeColor="text1"/>
          <w:szCs w:val="21"/>
          <w14:textFill>
            <w14:solidFill>
              <w14:schemeClr w14:val="tx1"/>
            </w14:solidFill>
          </w14:textFill>
        </w:rPr>
        <w:t>径厚比</w:t>
      </w:r>
      <w:r>
        <w:rPr>
          <w:rFonts w:cs="Times New Roman"/>
          <w:bCs/>
          <w:snapToGrid w:val="0"/>
          <w:color w:val="000000" w:themeColor="text1"/>
          <w:kern w:val="0"/>
          <w:position w:val="-10"/>
          <w:szCs w:val="21"/>
          <w14:textFill>
            <w14:solidFill>
              <w14:schemeClr w14:val="tx1"/>
            </w14:solidFill>
          </w14:textFill>
        </w:rPr>
        <w:object>
          <v:shape id="_x0000_i1032" o:spt="75" type="#_x0000_t75" style="height:14.4pt;width:18pt;" o:ole="t" filled="f" o:preferrelative="t" stroked="f" coordsize="21600,21600">
            <v:path/>
            <v:fill on="f" focussize="0,0"/>
            <v:stroke on="f" joinstyle="miter"/>
            <v:imagedata r:id="rId59" o:title=""/>
            <o:lock v:ext="edit" aspectratio="t"/>
            <w10:wrap type="none"/>
            <w10:anchorlock/>
          </v:shape>
          <o:OLEObject Type="Embed" ProgID="Equation.3" ShapeID="_x0000_i1032" DrawAspect="Content" ObjectID="_1468075732" r:id="rId58">
            <o:LockedField>false</o:LockedField>
          </o:OLEObject>
        </w:object>
      </w:r>
      <w:r>
        <w:rPr>
          <w:rFonts w:hint="eastAsia" w:cs="Times New Roman"/>
          <w:bCs/>
          <w:snapToGrid w:val="0"/>
          <w:color w:val="000000" w:themeColor="text1"/>
          <w:kern w:val="0"/>
          <w:szCs w:val="21"/>
          <w14:textFill>
            <w14:solidFill>
              <w14:schemeClr w14:val="tx1"/>
            </w14:solidFill>
          </w14:textFill>
        </w:rPr>
        <w:t>不应大于</w:t>
      </w:r>
      <w:r>
        <w:rPr>
          <w:rFonts w:cs="Times New Roman"/>
          <w:bCs/>
          <w:color w:val="000000" w:themeColor="text1"/>
          <w:szCs w:val="21"/>
          <w14:textFill>
            <w14:solidFill>
              <w14:schemeClr w14:val="tx1"/>
            </w14:solidFill>
          </w14:textFill>
        </w:rPr>
        <w:t>1</w:t>
      </w:r>
      <w:r>
        <w:rPr>
          <w:rFonts w:hint="eastAsia" w:cs="Times New Roman"/>
          <w:bCs/>
          <w:color w:val="000000" w:themeColor="text1"/>
          <w:szCs w:val="21"/>
          <w14:textFill>
            <w14:solidFill>
              <w14:schemeClr w14:val="tx1"/>
            </w14:solidFill>
          </w14:textFill>
        </w:rPr>
        <w:t>35</w:t>
      </w:r>
      <w:r>
        <w:rPr>
          <w:rFonts w:cs="Times New Roman"/>
          <w:bCs/>
          <w:snapToGrid w:val="0"/>
          <w:color w:val="000000" w:themeColor="text1"/>
          <w:kern w:val="0"/>
          <w:position w:val="-10"/>
          <w:szCs w:val="21"/>
          <w14:textFill>
            <w14:solidFill>
              <w14:schemeClr w14:val="tx1"/>
            </w14:solidFill>
          </w14:textFill>
        </w:rPr>
        <w:object>
          <v:shape id="_x0000_i1033" o:spt="75" type="#_x0000_t75" style="height:17.4pt;width:14.1pt;" o:ole="t" filled="f" o:preferrelative="t" stroked="f" coordsize="21600,21600">
            <v:path/>
            <v:fill on="f" focussize="0,0"/>
            <v:stroke on="f" joinstyle="miter"/>
            <v:imagedata r:id="rId61" o:title=""/>
            <o:lock v:ext="edit" aspectratio="t"/>
            <w10:wrap type="none"/>
            <w10:anchorlock/>
          </v:shape>
          <o:OLEObject Type="Embed" ProgID="Equation.3" ShapeID="_x0000_i1033" DrawAspect="Content" ObjectID="_1468075733" r:id="rId60">
            <o:LockedField>false</o:LockedField>
          </o:OLEObject>
        </w:object>
      </w:r>
      <w:r>
        <w:rPr>
          <w:rFonts w:hint="eastAsia" w:cs="Times New Roman"/>
          <w:bCs/>
          <w:snapToGrid w:val="0"/>
          <w:color w:val="000000" w:themeColor="text1"/>
          <w:kern w:val="0"/>
          <w:szCs w:val="21"/>
          <w14:textFill>
            <w14:solidFill>
              <w14:schemeClr w14:val="tx1"/>
            </w14:solidFill>
          </w14:textFill>
        </w:rPr>
        <w:t>，套箍系数</w:t>
      </w:r>
      <w:r>
        <w:rPr>
          <w:rFonts w:hint="eastAsia" w:ascii="Arial" w:hAnsi="Arial" w:cs="Arial"/>
          <w:bCs/>
          <w:snapToGrid w:val="0"/>
          <w:color w:val="000000" w:themeColor="text1"/>
          <w:kern w:val="0"/>
          <w:szCs w:val="21"/>
          <w14:textFill>
            <w14:solidFill>
              <w14:schemeClr w14:val="tx1"/>
            </w14:solidFill>
          </w14:textFill>
        </w:rPr>
        <w:t>一般不大于</w:t>
      </w:r>
      <w:r>
        <w:rPr>
          <w:rFonts w:hint="eastAsia" w:cs="Times New Roman"/>
          <w:bCs/>
          <w:snapToGrid w:val="0"/>
          <w:color w:val="000000" w:themeColor="text1"/>
          <w:kern w:val="0"/>
          <w:szCs w:val="21"/>
          <w14:textFill>
            <w14:solidFill>
              <w14:schemeClr w14:val="tx1"/>
            </w14:solidFill>
          </w14:textFill>
        </w:rPr>
        <w:t>2.5。钢管混凝土柱各截面等级的</w:t>
      </w:r>
      <w:r>
        <w:rPr>
          <w:rFonts w:hint="eastAsia" w:cs="Times New Roman"/>
          <w:bCs/>
          <w:snapToGrid w:val="0"/>
          <w:color w:val="000000" w:themeColor="text1"/>
          <w:kern w:val="0"/>
          <w14:textFill>
            <w14:solidFill>
              <w14:schemeClr w14:val="tx1"/>
            </w14:solidFill>
          </w14:textFill>
        </w:rPr>
        <w:t>套箍系数应符合表</w:t>
      </w:r>
      <w:r>
        <w:rPr>
          <w:rFonts w:cs="Times New Roman"/>
          <w:bCs/>
          <w:snapToGrid w:val="0"/>
          <w:color w:val="000000" w:themeColor="text1"/>
          <w:kern w:val="0"/>
          <w14:textFill>
            <w14:solidFill>
              <w14:schemeClr w14:val="tx1"/>
            </w14:solidFill>
          </w14:textFill>
        </w:rPr>
        <w:t>表</w:t>
      </w:r>
      <w:r>
        <w:rPr>
          <w:rFonts w:hint="eastAsia" w:cs="Times New Roman"/>
          <w:bCs/>
          <w:snapToGrid w:val="0"/>
          <w:color w:val="000000" w:themeColor="text1"/>
          <w:kern w:val="0"/>
          <w14:textFill>
            <w14:solidFill>
              <w14:schemeClr w14:val="tx1"/>
            </w14:solidFill>
          </w14:textFill>
        </w:rPr>
        <w:t>9</w:t>
      </w:r>
      <w:r>
        <w:rPr>
          <w:rFonts w:cs="Times New Roman"/>
          <w:bCs/>
          <w:snapToGrid w:val="0"/>
          <w:color w:val="000000" w:themeColor="text1"/>
          <w:kern w:val="0"/>
          <w14:textFill>
            <w14:solidFill>
              <w14:schemeClr w14:val="tx1"/>
            </w14:solidFill>
          </w14:textFill>
        </w:rPr>
        <w:t>.2.2-</w:t>
      </w:r>
      <w:r>
        <w:rPr>
          <w:rFonts w:hint="eastAsia" w:cs="Times New Roman"/>
          <w:bCs/>
          <w:snapToGrid w:val="0"/>
          <w:color w:val="000000" w:themeColor="text1"/>
          <w:kern w:val="0"/>
          <w14:textFill>
            <w14:solidFill>
              <w14:schemeClr w14:val="tx1"/>
            </w14:solidFill>
          </w14:textFill>
        </w:rPr>
        <w:t>3的要求。</w:t>
      </w:r>
    </w:p>
    <w:p>
      <w:pPr>
        <w:spacing w:line="360" w:lineRule="exact"/>
        <w:ind w:left="1262" w:hanging="1262" w:hangingChars="601"/>
        <w:jc w:val="center"/>
        <w:rPr>
          <w:rFonts w:cs="Times New Roman"/>
          <w:bCs/>
          <w:snapToGrid w:val="0"/>
          <w:color w:val="000000" w:themeColor="text1"/>
          <w:kern w:val="0"/>
          <w14:textFill>
            <w14:solidFill>
              <w14:schemeClr w14:val="tx1"/>
            </w14:solidFill>
          </w14:textFill>
        </w:rPr>
      </w:pPr>
      <w:r>
        <w:rPr>
          <w:rFonts w:cs="Times New Roman"/>
          <w:bCs/>
          <w:snapToGrid w:val="0"/>
          <w:color w:val="000000" w:themeColor="text1"/>
          <w:kern w:val="0"/>
          <w14:textFill>
            <w14:solidFill>
              <w14:schemeClr w14:val="tx1"/>
            </w14:solidFill>
          </w14:textFill>
        </w:rPr>
        <w:t>表</w:t>
      </w:r>
      <w:r>
        <w:rPr>
          <w:rFonts w:hint="eastAsia" w:cs="Times New Roman"/>
          <w:bCs/>
          <w:snapToGrid w:val="0"/>
          <w:color w:val="000000" w:themeColor="text1"/>
          <w:kern w:val="0"/>
          <w14:textFill>
            <w14:solidFill>
              <w14:schemeClr w14:val="tx1"/>
            </w14:solidFill>
          </w14:textFill>
        </w:rPr>
        <w:t>9</w:t>
      </w:r>
      <w:r>
        <w:rPr>
          <w:rFonts w:cs="Times New Roman"/>
          <w:bCs/>
          <w:snapToGrid w:val="0"/>
          <w:color w:val="000000" w:themeColor="text1"/>
          <w:kern w:val="0"/>
          <w14:textFill>
            <w14:solidFill>
              <w14:schemeClr w14:val="tx1"/>
            </w14:solidFill>
          </w14:textFill>
        </w:rPr>
        <w:t>.2.2-</w:t>
      </w:r>
      <w:r>
        <w:rPr>
          <w:rFonts w:hint="eastAsia" w:cs="Times New Roman"/>
          <w:bCs/>
          <w:snapToGrid w:val="0"/>
          <w:color w:val="000000" w:themeColor="text1"/>
          <w:kern w:val="0"/>
          <w14:textFill>
            <w14:solidFill>
              <w14:schemeClr w14:val="tx1"/>
            </w14:solidFill>
          </w14:textFill>
        </w:rPr>
        <w:t>3</w:t>
      </w:r>
      <w:r>
        <w:rPr>
          <w:rFonts w:cs="Times New Roman"/>
          <w:bCs/>
          <w:snapToGrid w:val="0"/>
          <w:color w:val="000000" w:themeColor="text1"/>
          <w:kern w:val="0"/>
          <w14:textFill>
            <w14:solidFill>
              <w14:schemeClr w14:val="tx1"/>
            </w14:solidFill>
          </w14:textFill>
        </w:rPr>
        <w:t xml:space="preserve">  </w:t>
      </w:r>
      <w:r>
        <w:rPr>
          <w:rFonts w:hint="eastAsia" w:cs="Times New Roman"/>
          <w:bCs/>
          <w:snapToGrid w:val="0"/>
          <w:color w:val="000000" w:themeColor="text1"/>
          <w:kern w:val="0"/>
          <w14:textFill>
            <w14:solidFill>
              <w14:schemeClr w14:val="tx1"/>
            </w14:solidFill>
          </w14:textFill>
        </w:rPr>
        <w:t>钢管混凝土</w:t>
      </w:r>
      <w:r>
        <w:rPr>
          <w:rFonts w:cs="Times New Roman"/>
          <w:bCs/>
          <w:snapToGrid w:val="0"/>
          <w:color w:val="000000" w:themeColor="text1"/>
          <w:kern w:val="0"/>
          <w14:textFill>
            <w14:solidFill>
              <w14:schemeClr w14:val="tx1"/>
            </w14:solidFill>
          </w14:textFill>
        </w:rPr>
        <w:t>柱截面等级及其</w:t>
      </w:r>
      <w:r>
        <w:rPr>
          <w:rFonts w:hint="eastAsia" w:cs="Times New Roman"/>
          <w:bCs/>
          <w:snapToGrid w:val="0"/>
          <w:color w:val="000000" w:themeColor="text1"/>
          <w:kern w:val="0"/>
          <w14:textFill>
            <w14:solidFill>
              <w14:schemeClr w14:val="tx1"/>
            </w14:solidFill>
          </w14:textFill>
        </w:rPr>
        <w:t>套箍系数</w:t>
      </w:r>
      <w:r>
        <w:rPr>
          <w:rFonts w:cs="Times New Roman"/>
          <w:bCs/>
          <w:snapToGrid w:val="0"/>
          <w:color w:val="000000" w:themeColor="text1"/>
          <w:kern w:val="0"/>
          <w14:textFill>
            <w14:solidFill>
              <w14:schemeClr w14:val="tx1"/>
            </w14:solidFill>
          </w14:textFill>
        </w:rPr>
        <w:t>限值</w:t>
      </w:r>
    </w:p>
    <w:tbl>
      <w:tblPr>
        <w:tblStyle w:val="32"/>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674"/>
        <w:gridCol w:w="1176"/>
        <w:gridCol w:w="1260"/>
        <w:gridCol w:w="1260"/>
        <w:gridCol w:w="1260"/>
        <w:gridCol w:w="1260"/>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blHeader/>
        </w:trPr>
        <w:tc>
          <w:tcPr>
            <w:tcW w:w="538" w:type="dxa"/>
            <w:vAlign w:val="center"/>
          </w:tcPr>
          <w:p>
            <w:pPr>
              <w:spacing w:before="46" w:beforeLines="15" w:after="46" w:afterLines="15"/>
              <w:ind w:firstLine="0" w:firstLineChars="0"/>
              <w:jc w:val="left"/>
              <w:rPr>
                <w:rFonts w:cs="Times New Roman"/>
                <w:bCs/>
                <w:color w:val="000000" w:themeColor="text1"/>
                <w:sz w:val="18"/>
                <w:szCs w:val="21"/>
                <w14:textFill>
                  <w14:solidFill>
                    <w14:schemeClr w14:val="tx1"/>
                  </w14:solidFill>
                </w14:textFill>
              </w:rPr>
            </w:pPr>
            <w:r>
              <w:rPr>
                <w:rFonts w:hint="eastAsia" w:cs="Times New Roman"/>
                <w:bCs/>
                <w:color w:val="000000" w:themeColor="text1"/>
                <w:sz w:val="18"/>
                <w:szCs w:val="21"/>
                <w14:textFill>
                  <w14:solidFill>
                    <w14:schemeClr w14:val="tx1"/>
                  </w14:solidFill>
                </w14:textFill>
              </w:rPr>
              <w:t>构</w:t>
            </w:r>
            <w:r>
              <w:rPr>
                <w:rFonts w:cs="Times New Roman"/>
                <w:bCs/>
                <w:color w:val="000000" w:themeColor="text1"/>
                <w:sz w:val="18"/>
                <w:szCs w:val="21"/>
                <w14:textFill>
                  <w14:solidFill>
                    <w14:schemeClr w14:val="tx1"/>
                  </w14:solidFill>
                </w14:textFill>
              </w:rPr>
              <w:t>件</w:t>
            </w:r>
          </w:p>
        </w:tc>
        <w:tc>
          <w:tcPr>
            <w:tcW w:w="1850" w:type="dxa"/>
            <w:gridSpan w:val="2"/>
            <w:vAlign w:val="center"/>
          </w:tcPr>
          <w:p>
            <w:pPr>
              <w:spacing w:before="46" w:beforeLines="15" w:after="46" w:afterLines="15"/>
              <w:ind w:firstLine="36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截面等级</w:t>
            </w:r>
          </w:p>
        </w:tc>
        <w:tc>
          <w:tcPr>
            <w:tcW w:w="1260" w:type="dxa"/>
            <w:vAlign w:val="center"/>
          </w:tcPr>
          <w:p>
            <w:pPr>
              <w:spacing w:before="46" w:beforeLines="15" w:after="46" w:afterLines="15"/>
              <w:ind w:firstLine="36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S1</w:t>
            </w:r>
          </w:p>
        </w:tc>
        <w:tc>
          <w:tcPr>
            <w:tcW w:w="1260" w:type="dxa"/>
            <w:vAlign w:val="center"/>
          </w:tcPr>
          <w:p>
            <w:pPr>
              <w:spacing w:before="46" w:beforeLines="15" w:after="46" w:afterLines="15"/>
              <w:ind w:firstLine="36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S2</w:t>
            </w:r>
          </w:p>
        </w:tc>
        <w:tc>
          <w:tcPr>
            <w:tcW w:w="1260" w:type="dxa"/>
            <w:vAlign w:val="center"/>
          </w:tcPr>
          <w:p>
            <w:pPr>
              <w:spacing w:before="46" w:beforeLines="15" w:after="46" w:afterLines="15"/>
              <w:ind w:firstLine="36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S3</w:t>
            </w:r>
          </w:p>
        </w:tc>
        <w:tc>
          <w:tcPr>
            <w:tcW w:w="1260" w:type="dxa"/>
            <w:vAlign w:val="center"/>
          </w:tcPr>
          <w:p>
            <w:pPr>
              <w:spacing w:before="46" w:beforeLines="15" w:after="46" w:afterLines="15"/>
              <w:ind w:firstLine="36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S4</w:t>
            </w:r>
          </w:p>
        </w:tc>
        <w:tc>
          <w:tcPr>
            <w:tcW w:w="832" w:type="dxa"/>
            <w:vAlign w:val="center"/>
          </w:tcPr>
          <w:p>
            <w:pPr>
              <w:spacing w:before="46" w:beforeLines="15" w:after="46" w:afterLines="15"/>
              <w:ind w:firstLine="36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S5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8" w:type="dxa"/>
            <w:vAlign w:val="center"/>
          </w:tcPr>
          <w:p>
            <w:pPr>
              <w:spacing w:before="46" w:beforeLines="15" w:after="46" w:afterLines="15"/>
              <w:ind w:firstLine="0" w:firstLineChars="0"/>
              <w:jc w:val="left"/>
              <w:rPr>
                <w:rFonts w:cs="Times New Roman"/>
                <w:bCs/>
                <w:color w:val="000000" w:themeColor="text1"/>
                <w:sz w:val="18"/>
                <w:szCs w:val="21"/>
                <w14:textFill>
                  <w14:solidFill>
                    <w14:schemeClr w14:val="tx1"/>
                  </w14:solidFill>
                </w14:textFill>
              </w:rPr>
            </w:pPr>
            <w:r>
              <w:rPr>
                <w:rFonts w:hint="eastAsia" w:cs="Times New Roman"/>
                <w:bCs/>
                <w:color w:val="000000" w:themeColor="text1"/>
                <w:sz w:val="18"/>
                <w:szCs w:val="21"/>
                <w14:textFill>
                  <w14:solidFill>
                    <w14:schemeClr w14:val="tx1"/>
                  </w14:solidFill>
                </w14:textFill>
              </w:rPr>
              <w:t>柱</w:t>
            </w:r>
          </w:p>
        </w:tc>
        <w:tc>
          <w:tcPr>
            <w:tcW w:w="674" w:type="dxa"/>
            <w:vAlign w:val="center"/>
          </w:tcPr>
          <w:p>
            <w:pPr>
              <w:spacing w:before="46" w:beforeLines="15" w:after="46" w:afterLines="15"/>
              <w:ind w:firstLine="0" w:firstLineChars="0"/>
              <w:jc w:val="left"/>
              <w:rPr>
                <w:rFonts w:cs="Times New Roman"/>
                <w:bCs/>
                <w:color w:val="000000" w:themeColor="text1"/>
                <w:sz w:val="18"/>
                <w:szCs w:val="21"/>
                <w14:textFill>
                  <w14:solidFill>
                    <w14:schemeClr w14:val="tx1"/>
                  </w14:solidFill>
                </w14:textFill>
              </w:rPr>
            </w:pPr>
            <w:r>
              <w:rPr>
                <w:rFonts w:hint="eastAsia" w:cs="Times New Roman"/>
                <w:bCs/>
                <w:color w:val="000000" w:themeColor="text1"/>
                <w:sz w:val="18"/>
                <w:szCs w:val="21"/>
                <w14:textFill>
                  <w14:solidFill>
                    <w14:schemeClr w14:val="tx1"/>
                  </w14:solidFill>
                </w14:textFill>
              </w:rPr>
              <w:t>钢管混凝土</w:t>
            </w:r>
          </w:p>
        </w:tc>
        <w:tc>
          <w:tcPr>
            <w:tcW w:w="1176" w:type="dxa"/>
            <w:vAlign w:val="center"/>
          </w:tcPr>
          <w:p>
            <w:pPr>
              <w:ind w:firstLine="0" w:firstLineChars="0"/>
              <w:jc w:val="center"/>
              <w:rPr>
                <w:rFonts w:cs="Times New Roman"/>
                <w:bCs/>
                <w:color w:val="000000" w:themeColor="text1"/>
                <w:sz w:val="18"/>
                <w:szCs w:val="21"/>
                <w14:textFill>
                  <w14:solidFill>
                    <w14:schemeClr w14:val="tx1"/>
                  </w14:solidFill>
                </w14:textFill>
              </w:rPr>
            </w:pPr>
            <w:r>
              <w:rPr>
                <w:rFonts w:hint="eastAsia" w:cs="Times New Roman"/>
                <w:bCs/>
                <w:color w:val="000000" w:themeColor="text1"/>
                <w:sz w:val="18"/>
                <w:szCs w:val="21"/>
                <w14:textFill>
                  <w14:solidFill>
                    <w14:schemeClr w14:val="tx1"/>
                  </w14:solidFill>
                </w14:textFill>
              </w:rPr>
              <w:t>套箍系数</w:t>
            </w:r>
            <w:r>
              <w:rPr>
                <w:rFonts w:hint="eastAsia" w:cs="Times New Roman"/>
                <w:bCs/>
                <w:color w:val="000000" w:themeColor="text1"/>
                <w:position w:val="-6"/>
                <w:sz w:val="18"/>
                <w:szCs w:val="21"/>
                <w14:textFill>
                  <w14:solidFill>
                    <w14:schemeClr w14:val="tx1"/>
                  </w14:solidFill>
                </w14:textFill>
              </w:rPr>
              <w:object>
                <v:shape id="_x0000_i1034" o:spt="75" type="#_x0000_t75" style="height:14.1pt;width:9.9pt;" o:ole="t" filled="f" o:preferrelative="t" stroked="f" coordsize="21600,21600">
                  <v:path/>
                  <v:fill on="f" focussize="0,0"/>
                  <v:stroke on="f" joinstyle="miter"/>
                  <v:imagedata r:id="rId63" o:title=""/>
                  <o:lock v:ext="edit" aspectratio="t"/>
                  <w10:wrap type="none"/>
                  <w10:anchorlock/>
                </v:shape>
                <o:OLEObject Type="Embed" ProgID="Equation.KSEE3" ShapeID="_x0000_i1034" DrawAspect="Content" ObjectID="_1468075734" r:id="rId62">
                  <o:LockedField>false</o:LockedField>
                </o:OLEObject>
              </w:object>
            </w:r>
          </w:p>
        </w:tc>
        <w:tc>
          <w:tcPr>
            <w:tcW w:w="1260" w:type="dxa"/>
            <w:vAlign w:val="center"/>
          </w:tcPr>
          <w:p>
            <w:pPr>
              <w:ind w:firstLine="0" w:firstLineChars="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&gt;1.</w:t>
            </w:r>
            <w:r>
              <w:rPr>
                <w:rFonts w:hint="eastAsia" w:cs="Times New Roman"/>
                <w:bCs/>
                <w:color w:val="000000" w:themeColor="text1"/>
                <w:sz w:val="18"/>
                <w:szCs w:val="21"/>
                <w14:textFill>
                  <w14:solidFill>
                    <w14:schemeClr w14:val="tx1"/>
                  </w14:solidFill>
                </w14:textFill>
              </w:rPr>
              <w:t>2</w:t>
            </w:r>
          </w:p>
        </w:tc>
        <w:tc>
          <w:tcPr>
            <w:tcW w:w="1260" w:type="dxa"/>
            <w:vAlign w:val="center"/>
          </w:tcPr>
          <w:p>
            <w:pPr>
              <w:ind w:firstLine="0" w:firstLineChars="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&gt;1.0</w:t>
            </w:r>
          </w:p>
        </w:tc>
        <w:tc>
          <w:tcPr>
            <w:tcW w:w="1260" w:type="dxa"/>
            <w:vAlign w:val="center"/>
          </w:tcPr>
          <w:p>
            <w:pPr>
              <w:ind w:firstLine="0" w:firstLineChars="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≥1.0</w:t>
            </w:r>
          </w:p>
        </w:tc>
        <w:tc>
          <w:tcPr>
            <w:tcW w:w="1260" w:type="dxa"/>
            <w:vAlign w:val="center"/>
          </w:tcPr>
          <w:p>
            <w:pPr>
              <w:ind w:firstLine="0" w:firstLineChars="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≥0.5</w:t>
            </w:r>
          </w:p>
        </w:tc>
        <w:tc>
          <w:tcPr>
            <w:tcW w:w="832" w:type="dxa"/>
            <w:vAlign w:val="center"/>
          </w:tcPr>
          <w:p>
            <w:pPr>
              <w:ind w:firstLine="0" w:firstLineChars="0"/>
              <w:jc w:val="center"/>
              <w:rPr>
                <w:rFonts w:cs="Times New Roman"/>
                <w:bCs/>
                <w:color w:val="000000" w:themeColor="text1"/>
                <w:sz w:val="18"/>
                <w:szCs w:val="21"/>
                <w14:textFill>
                  <w14:solidFill>
                    <w14:schemeClr w14:val="tx1"/>
                  </w14:solidFill>
                </w14:textFill>
              </w:rPr>
            </w:pPr>
            <w:r>
              <w:rPr>
                <w:rFonts w:cs="Times New Roman"/>
                <w:bCs/>
                <w:color w:val="000000" w:themeColor="text1"/>
                <w:sz w:val="18"/>
                <w:szCs w:val="21"/>
                <w14:textFill>
                  <w14:solidFill>
                    <w14:schemeClr w14:val="tx1"/>
                  </w14:solidFill>
                </w14:textFill>
              </w:rPr>
              <w:t>—</w:t>
            </w:r>
          </w:p>
        </w:tc>
      </w:tr>
    </w:tbl>
    <w:p>
      <w:pPr>
        <w:spacing w:line="264" w:lineRule="auto"/>
        <w:ind w:firstLine="0" w:firstLineChars="0"/>
        <w:rPr>
          <w:bCs/>
          <w:snapToGrid w:val="0"/>
          <w:color w:val="000000" w:themeColor="text1"/>
          <w:sz w:val="18"/>
          <w:szCs w:val="18"/>
          <w14:textFill>
            <w14:solidFill>
              <w14:schemeClr w14:val="tx1"/>
            </w14:solidFill>
          </w14:textFill>
        </w:rPr>
      </w:pPr>
    </w:p>
    <w:p>
      <w:pPr>
        <w:spacing w:line="360" w:lineRule="auto"/>
        <w:ind w:firstLine="420"/>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 xml:space="preserve">3 </w:t>
      </w:r>
      <w:r>
        <w:rPr>
          <w:rFonts w:hint="eastAsia" w:cs="Times New Roman"/>
          <w:bCs/>
          <w:color w:val="000000" w:themeColor="text1"/>
          <w:kern w:val="0"/>
          <w:szCs w:val="21"/>
          <w14:textFill>
            <w14:solidFill>
              <w14:schemeClr w14:val="tx1"/>
            </w14:solidFill>
          </w14:textFill>
        </w:rPr>
        <w:t>型钢中心支撑应按表9</w:t>
      </w:r>
      <w:r>
        <w:rPr>
          <w:rFonts w:cs="Times New Roman"/>
          <w:bCs/>
          <w:color w:val="000000" w:themeColor="text1"/>
          <w:kern w:val="0"/>
          <w:szCs w:val="21"/>
          <w14:textFill>
            <w14:solidFill>
              <w14:schemeClr w14:val="tx1"/>
            </w14:solidFill>
          </w14:textFill>
        </w:rPr>
        <w:t>.2.2-</w:t>
      </w:r>
      <w:r>
        <w:rPr>
          <w:rFonts w:hint="eastAsia" w:cs="Times New Roman"/>
          <w:bCs/>
          <w:color w:val="000000" w:themeColor="text1"/>
          <w:kern w:val="0"/>
          <w:szCs w:val="21"/>
          <w14:textFill>
            <w14:solidFill>
              <w14:schemeClr w14:val="tx1"/>
            </w14:solidFill>
          </w14:textFill>
        </w:rPr>
        <w:t>4的长细比和板件宽厚比要求确定其等级。</w:t>
      </w:r>
    </w:p>
    <w:p>
      <w:pPr>
        <w:spacing w:line="360" w:lineRule="exact"/>
        <w:ind w:left="1262" w:hanging="1262" w:hangingChars="601"/>
        <w:jc w:val="center"/>
        <w:rPr>
          <w:bCs/>
          <w:snapToGrid w:val="0"/>
          <w:color w:val="000000" w:themeColor="text1"/>
          <w:kern w:val="0"/>
          <w:szCs w:val="21"/>
          <w14:textFill>
            <w14:solidFill>
              <w14:schemeClr w14:val="tx1"/>
            </w14:solidFill>
          </w14:textFill>
        </w:rPr>
      </w:pPr>
      <w:r>
        <w:rPr>
          <w:rFonts w:hint="eastAsia"/>
          <w:bCs/>
          <w:snapToGrid w:val="0"/>
          <w:color w:val="000000" w:themeColor="text1"/>
          <w:kern w:val="0"/>
          <w14:textFill>
            <w14:solidFill>
              <w14:schemeClr w14:val="tx1"/>
            </w14:solidFill>
          </w14:textFill>
        </w:rPr>
        <w:t>表9</w:t>
      </w:r>
      <w:r>
        <w:rPr>
          <w:bCs/>
          <w:snapToGrid w:val="0"/>
          <w:color w:val="000000" w:themeColor="text1"/>
          <w:kern w:val="0"/>
          <w14:textFill>
            <w14:solidFill>
              <w14:schemeClr w14:val="tx1"/>
            </w14:solidFill>
          </w14:textFill>
        </w:rPr>
        <w:t>.2.2-</w:t>
      </w:r>
      <w:r>
        <w:rPr>
          <w:rFonts w:hint="eastAsia"/>
          <w:bCs/>
          <w:snapToGrid w:val="0"/>
          <w:color w:val="000000" w:themeColor="text1"/>
          <w:kern w:val="0"/>
          <w14:textFill>
            <w14:solidFill>
              <w14:schemeClr w14:val="tx1"/>
            </w14:solidFill>
          </w14:textFill>
        </w:rPr>
        <w:t>4</w:t>
      </w:r>
      <w:r>
        <w:rPr>
          <w:bCs/>
          <w:snapToGrid w:val="0"/>
          <w:color w:val="000000" w:themeColor="text1"/>
          <w:kern w:val="0"/>
          <w14:textFill>
            <w14:solidFill>
              <w14:schemeClr w14:val="tx1"/>
            </w14:solidFill>
          </w14:textFill>
        </w:rPr>
        <w:t xml:space="preserve">  </w:t>
      </w:r>
      <w:r>
        <w:rPr>
          <w:rFonts w:hint="eastAsia"/>
          <w:bCs/>
          <w:snapToGrid w:val="0"/>
          <w:color w:val="000000" w:themeColor="text1"/>
          <w:kern w:val="0"/>
          <w14:textFill>
            <w14:solidFill>
              <w14:schemeClr w14:val="tx1"/>
            </w14:solidFill>
          </w14:textFill>
        </w:rPr>
        <w:t>型钢中心支撑的等级</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428"/>
        <w:gridCol w:w="1056"/>
        <w:gridCol w:w="833"/>
        <w:gridCol w:w="1981"/>
        <w:gridCol w:w="1030"/>
        <w:gridCol w:w="1132"/>
        <w:gridCol w:w="901"/>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036" w:type="pct"/>
            <w:gridSpan w:val="3"/>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支撑等级</w:t>
            </w:r>
          </w:p>
        </w:tc>
        <w:tc>
          <w:tcPr>
            <w:tcW w:w="451" w:type="pct"/>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B1</w:t>
            </w:r>
          </w:p>
        </w:tc>
        <w:tc>
          <w:tcPr>
            <w:tcW w:w="1073" w:type="pct"/>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170" w:type="pct"/>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B2</w:t>
            </w:r>
          </w:p>
        </w:tc>
        <w:tc>
          <w:tcPr>
            <w:tcW w:w="488" w:type="pct"/>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B3</w:t>
            </w:r>
          </w:p>
        </w:tc>
        <w:tc>
          <w:tcPr>
            <w:tcW w:w="782" w:type="pct"/>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036" w:type="pct"/>
            <w:gridSpan w:val="3"/>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451"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1073" w:type="pct"/>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558"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B2-1</w:t>
            </w:r>
          </w:p>
        </w:tc>
        <w:tc>
          <w:tcPr>
            <w:tcW w:w="613"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snapToGrid w:val="0"/>
                <w:color w:val="000000" w:themeColor="text1"/>
                <w:kern w:val="0"/>
                <w:sz w:val="18"/>
                <w:szCs w:val="21"/>
                <w14:textFill>
                  <w14:solidFill>
                    <w14:schemeClr w14:val="tx1"/>
                  </w14:solidFill>
                </w14:textFill>
              </w:rPr>
              <w:t>B2-2</w:t>
            </w:r>
          </w:p>
        </w:tc>
        <w:tc>
          <w:tcPr>
            <w:tcW w:w="488"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782"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036" w:type="pct"/>
            <w:gridSpan w:val="3"/>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长细比</w:t>
            </w:r>
          </w:p>
        </w:tc>
        <w:tc>
          <w:tcPr>
            <w:tcW w:w="45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m:oMathPara>
              <m:oMath>
                <m:r>
                  <m:rPr>
                    <m:sty m:val="p"/>
                  </m:rPr>
                  <w:rPr>
                    <w:rFonts w:ascii="Cambria Math" w:hAnsi="Cambria Math"/>
                    <w:color w:val="000000" w:themeColor="text1"/>
                    <w:sz w:val="18"/>
                    <w:szCs w:val="21"/>
                    <w14:textFill>
                      <w14:solidFill>
                        <w14:schemeClr w14:val="tx1"/>
                      </w14:solidFill>
                    </w14:textFill>
                  </w:rPr>
                  <m:t>λ≤33</m:t>
                </m:r>
                <m:sSub>
                  <m:sSubPr>
                    <m:ctrlPr>
                      <w:rPr>
                        <w:rFonts w:ascii="Cambria Math" w:hAnsi="Cambria Math"/>
                        <w:bCs/>
                        <w:color w:val="000000" w:themeColor="text1"/>
                        <w:sz w:val="18"/>
                        <w:szCs w:val="21"/>
                        <w14:textFill>
                          <w14:solidFill>
                            <w14:schemeClr w14:val="tx1"/>
                          </w14:solidFill>
                        </w14:textFill>
                      </w:rPr>
                    </m:ctrlPr>
                  </m:sSubPr>
                  <m:e>
                    <m:r>
                      <w:rPr>
                        <w:rFonts w:ascii="Cambria Math" w:hAnsi="Cambria Math"/>
                        <w:color w:val="000000" w:themeColor="text1"/>
                        <w:sz w:val="18"/>
                        <w:szCs w:val="21"/>
                        <w14:textFill>
                          <w14:solidFill>
                            <w14:schemeClr w14:val="tx1"/>
                          </w14:solidFill>
                        </w14:textFill>
                      </w:rPr>
                      <m:t>ε</m:t>
                    </m:r>
                    <m:ctrlPr>
                      <w:rPr>
                        <w:rFonts w:ascii="Cambria Math" w:hAnsi="Cambria Math"/>
                        <w:bCs/>
                        <w:color w:val="000000" w:themeColor="text1"/>
                        <w:sz w:val="18"/>
                        <w:szCs w:val="21"/>
                        <w14:textFill>
                          <w14:solidFill>
                            <w14:schemeClr w14:val="tx1"/>
                          </w14:solidFill>
                        </w14:textFill>
                      </w:rPr>
                    </m:ctrlPr>
                  </m:e>
                  <m:sub>
                    <m:r>
                      <w:rPr>
                        <w:rFonts w:ascii="Cambria Math" w:hAnsi="Cambria Math"/>
                        <w:color w:val="000000" w:themeColor="text1"/>
                        <w:sz w:val="18"/>
                        <w:szCs w:val="21"/>
                        <w14:textFill>
                          <w14:solidFill>
                            <w14:schemeClr w14:val="tx1"/>
                          </w14:solidFill>
                        </w14:textFill>
                      </w:rPr>
                      <m:t>k</m:t>
                    </m:r>
                    <m:ctrlPr>
                      <w:rPr>
                        <w:rFonts w:ascii="Cambria Math" w:hAnsi="Cambria Math"/>
                        <w:bCs/>
                        <w:color w:val="000000" w:themeColor="text1"/>
                        <w:sz w:val="18"/>
                        <w:szCs w:val="21"/>
                        <w14:textFill>
                          <w14:solidFill>
                            <w14:schemeClr w14:val="tx1"/>
                          </w14:solidFill>
                        </w14:textFill>
                      </w:rPr>
                    </m:ctrlPr>
                  </m:sub>
                </m:sSub>
              </m:oMath>
            </m:oMathPara>
          </w:p>
        </w:tc>
        <w:tc>
          <w:tcPr>
            <w:tcW w:w="1073" w:type="pct"/>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rFonts w:cs="Times New Roman"/>
                <w:color w:val="000000" w:themeColor="text1"/>
                <w:sz w:val="18"/>
                <w:szCs w:val="21"/>
                <w14:textFill>
                  <w14:solidFill>
                    <w14:schemeClr w14:val="tx1"/>
                  </w14:solidFill>
                </w14:textFill>
              </w:rPr>
            </w:pPr>
          </w:p>
        </w:tc>
        <w:tc>
          <w:tcPr>
            <w:tcW w:w="558"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i/>
                <w:snapToGrid w:val="0"/>
                <w:color w:val="000000" w:themeColor="text1"/>
                <w:kern w:val="0"/>
                <w:position w:val="-12"/>
                <w:sz w:val="13"/>
                <w:szCs w:val="13"/>
                <w14:textFill>
                  <w14:solidFill>
                    <w14:schemeClr w14:val="tx1"/>
                  </w14:solidFill>
                </w14:textFill>
              </w:rPr>
            </w:pPr>
            <m:oMathPara>
              <m:oMath>
                <m:r>
                  <m:rPr>
                    <m:sty m:val="p"/>
                  </m:rPr>
                  <w:rPr>
                    <w:rFonts w:ascii="Cambria Math" w:hAnsi="Cambria Math"/>
                    <w:color w:val="000000" w:themeColor="text1"/>
                    <w:sz w:val="18"/>
                    <w:szCs w:val="21"/>
                    <w14:textFill>
                      <w14:solidFill>
                        <w14:schemeClr w14:val="tx1"/>
                      </w14:solidFill>
                    </w14:textFill>
                  </w:rPr>
                  <m:t>33</m:t>
                </m:r>
                <m:sSub>
                  <m:sSubPr>
                    <m:ctrlPr>
                      <w:rPr>
                        <w:rFonts w:ascii="Cambria Math" w:hAnsi="Cambria Math"/>
                        <w:bCs/>
                        <w:color w:val="000000" w:themeColor="text1"/>
                        <w:sz w:val="18"/>
                        <w:szCs w:val="21"/>
                        <w14:textFill>
                          <w14:solidFill>
                            <w14:schemeClr w14:val="tx1"/>
                          </w14:solidFill>
                        </w14:textFill>
                      </w:rPr>
                    </m:ctrlPr>
                  </m:sSubPr>
                  <m:e>
                    <m:r>
                      <w:rPr>
                        <w:rFonts w:ascii="Cambria Math" w:hAnsi="Cambria Math"/>
                        <w:color w:val="000000" w:themeColor="text1"/>
                        <w:sz w:val="18"/>
                        <w:szCs w:val="21"/>
                        <w14:textFill>
                          <w14:solidFill>
                            <w14:schemeClr w14:val="tx1"/>
                          </w14:solidFill>
                        </w14:textFill>
                      </w:rPr>
                      <m:t>ε</m:t>
                    </m:r>
                    <m:ctrlPr>
                      <w:rPr>
                        <w:rFonts w:ascii="Cambria Math" w:hAnsi="Cambria Math"/>
                        <w:bCs/>
                        <w:color w:val="000000" w:themeColor="text1"/>
                        <w:sz w:val="18"/>
                        <w:szCs w:val="21"/>
                        <w14:textFill>
                          <w14:solidFill>
                            <w14:schemeClr w14:val="tx1"/>
                          </w14:solidFill>
                        </w14:textFill>
                      </w:rPr>
                    </m:ctrlPr>
                  </m:e>
                  <m:sub>
                    <m:r>
                      <w:rPr>
                        <w:rFonts w:ascii="Cambria Math" w:hAnsi="Cambria Math"/>
                        <w:color w:val="000000" w:themeColor="text1"/>
                        <w:sz w:val="18"/>
                        <w:szCs w:val="21"/>
                        <w14:textFill>
                          <w14:solidFill>
                            <w14:schemeClr w14:val="tx1"/>
                          </w14:solidFill>
                        </w14:textFill>
                      </w:rPr>
                      <m:t>k</m:t>
                    </m:r>
                    <m:ctrlPr>
                      <w:rPr>
                        <w:rFonts w:ascii="Cambria Math" w:hAnsi="Cambria Math"/>
                        <w:bCs/>
                        <w:color w:val="000000" w:themeColor="text1"/>
                        <w:sz w:val="18"/>
                        <w:szCs w:val="21"/>
                        <w14:textFill>
                          <w14:solidFill>
                            <w14:schemeClr w14:val="tx1"/>
                          </w14:solidFill>
                        </w14:textFill>
                      </w:rPr>
                    </m:ctrlPr>
                  </m:sub>
                </m:sSub>
                <m:r>
                  <m:rPr>
                    <m:sty m:val="p"/>
                  </m:rPr>
                  <w:rPr>
                    <w:rFonts w:hint="eastAsia" w:ascii="Cambria Math" w:hAnsi="Cambria Math"/>
                    <w:color w:val="000000" w:themeColor="text1"/>
                    <w:sz w:val="18"/>
                    <w:szCs w:val="21"/>
                    <w14:textFill>
                      <w14:solidFill>
                        <w14:schemeClr w14:val="tx1"/>
                      </w14:solidFill>
                    </w14:textFill>
                  </w:rPr>
                  <m:t>＜</m:t>
                </m:r>
                <m:r>
                  <m:rPr>
                    <m:sty m:val="p"/>
                  </m:rPr>
                  <w:rPr>
                    <w:rFonts w:ascii="Cambria Math" w:hAnsi="Cambria Math"/>
                    <w:color w:val="000000" w:themeColor="text1"/>
                    <w:sz w:val="18"/>
                    <w:szCs w:val="21"/>
                    <w14:textFill>
                      <w14:solidFill>
                        <w14:schemeClr w14:val="tx1"/>
                      </w14:solidFill>
                    </w14:textFill>
                  </w:rPr>
                  <m:t>λ≤65</m:t>
                </m:r>
                <m:sSub>
                  <m:sSubPr>
                    <m:ctrlPr>
                      <w:rPr>
                        <w:rFonts w:ascii="Cambria Math" w:hAnsi="Cambria Math"/>
                        <w:bCs/>
                        <w:color w:val="000000" w:themeColor="text1"/>
                        <w:sz w:val="18"/>
                        <w:szCs w:val="21"/>
                        <w14:textFill>
                          <w14:solidFill>
                            <w14:schemeClr w14:val="tx1"/>
                          </w14:solidFill>
                        </w14:textFill>
                      </w:rPr>
                    </m:ctrlPr>
                  </m:sSubPr>
                  <m:e>
                    <m:r>
                      <w:rPr>
                        <w:rFonts w:ascii="Cambria Math" w:hAnsi="Cambria Math"/>
                        <w:color w:val="000000" w:themeColor="text1"/>
                        <w:sz w:val="18"/>
                        <w:szCs w:val="21"/>
                        <w14:textFill>
                          <w14:solidFill>
                            <w14:schemeClr w14:val="tx1"/>
                          </w14:solidFill>
                        </w14:textFill>
                      </w:rPr>
                      <m:t>ε</m:t>
                    </m:r>
                    <m:ctrlPr>
                      <w:rPr>
                        <w:rFonts w:ascii="Cambria Math" w:hAnsi="Cambria Math"/>
                        <w:bCs/>
                        <w:color w:val="000000" w:themeColor="text1"/>
                        <w:sz w:val="18"/>
                        <w:szCs w:val="21"/>
                        <w14:textFill>
                          <w14:solidFill>
                            <w14:schemeClr w14:val="tx1"/>
                          </w14:solidFill>
                        </w14:textFill>
                      </w:rPr>
                    </m:ctrlPr>
                  </m:e>
                  <m:sub>
                    <m:r>
                      <w:rPr>
                        <w:rFonts w:ascii="Cambria Math" w:hAnsi="Cambria Math"/>
                        <w:color w:val="000000" w:themeColor="text1"/>
                        <w:sz w:val="18"/>
                        <w:szCs w:val="21"/>
                        <w14:textFill>
                          <w14:solidFill>
                            <w14:schemeClr w14:val="tx1"/>
                          </w14:solidFill>
                        </w14:textFill>
                      </w:rPr>
                      <m:t>k</m:t>
                    </m:r>
                    <m:ctrlPr>
                      <w:rPr>
                        <w:rFonts w:ascii="Cambria Math" w:hAnsi="Cambria Math"/>
                        <w:bCs/>
                        <w:color w:val="000000" w:themeColor="text1"/>
                        <w:sz w:val="18"/>
                        <w:szCs w:val="21"/>
                        <w14:textFill>
                          <w14:solidFill>
                            <w14:schemeClr w14:val="tx1"/>
                          </w14:solidFill>
                        </w14:textFill>
                      </w:rPr>
                    </m:ctrlPr>
                  </m:sub>
                </m:sSub>
              </m:oMath>
            </m:oMathPara>
          </w:p>
        </w:tc>
        <w:tc>
          <w:tcPr>
            <w:tcW w:w="613"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w:r>
              <w:rPr>
                <w:bCs/>
                <w:color w:val="000000" w:themeColor="text1"/>
                <w:sz w:val="18"/>
                <w:szCs w:val="21"/>
                <w14:textFill>
                  <w14:solidFill>
                    <w14:schemeClr w14:val="tx1"/>
                  </w14:solidFill>
                </w14:textFill>
              </w:rPr>
              <w:t>130</w:t>
            </w:r>
            <w:r>
              <w:rPr>
                <w:rFonts w:hint="eastAsia"/>
                <w:bCs/>
                <w:color w:val="000000" w:themeColor="text1"/>
                <w:sz w:val="18"/>
                <w:szCs w:val="21"/>
                <w14:textFill>
                  <w14:solidFill>
                    <w14:schemeClr w14:val="tx1"/>
                  </w14:solidFill>
                </w14:textFill>
              </w:rPr>
              <w:t>&lt;</w:t>
            </w:r>
            <w:r>
              <w:rPr>
                <w:bCs/>
                <w:color w:val="000000" w:themeColor="text1"/>
                <w:sz w:val="18"/>
                <w:szCs w:val="21"/>
                <w14:textFill>
                  <w14:solidFill>
                    <w14:schemeClr w14:val="tx1"/>
                  </w14:solidFill>
                </w14:textFill>
              </w:rPr>
              <w:t>λ≤180</w:t>
            </w:r>
          </w:p>
        </w:tc>
        <w:tc>
          <w:tcPr>
            <w:tcW w:w="488"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21"/>
                <w14:textFill>
                  <w14:solidFill>
                    <w14:schemeClr w14:val="tx1"/>
                  </w14:solidFill>
                </w14:textFill>
              </w:rPr>
            </w:pPr>
            <m:oMathPara>
              <m:oMath>
                <m:r>
                  <m:rPr>
                    <m:sty m:val="p"/>
                  </m:rPr>
                  <w:rPr>
                    <w:rFonts w:ascii="Cambria Math" w:hAnsi="Cambria Math"/>
                    <w:color w:val="000000" w:themeColor="text1"/>
                    <w:sz w:val="18"/>
                    <w:szCs w:val="21"/>
                    <w14:textFill>
                      <w14:solidFill>
                        <w14:schemeClr w14:val="tx1"/>
                      </w14:solidFill>
                    </w14:textFill>
                  </w:rPr>
                  <m:t>λ≤</m:t>
                </m:r>
                <m:r>
                  <m:rPr>
                    <m:sty m:val="p"/>
                  </m:rPr>
                  <w:rPr>
                    <w:rFonts w:hint="eastAsia" w:ascii="Cambria Math" w:hAnsi="Cambria Math"/>
                    <w:color w:val="000000" w:themeColor="text1"/>
                    <w:sz w:val="18"/>
                    <w:szCs w:val="21"/>
                    <w14:textFill>
                      <w14:solidFill>
                        <w14:schemeClr w14:val="tx1"/>
                      </w14:solidFill>
                    </w14:textFill>
                  </w:rPr>
                  <m:t>180</m:t>
                </m:r>
              </m:oMath>
            </m:oMathPara>
          </w:p>
        </w:tc>
        <w:tc>
          <w:tcPr>
            <w:tcW w:w="782"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left"/>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型钢</w:t>
            </w:r>
            <m:oMath>
              <m:r>
                <m:rPr>
                  <m:sty m:val="p"/>
                </m:rPr>
                <w:rPr>
                  <w:rFonts w:ascii="Cambria Math" w:hAnsi="Cambria Math"/>
                  <w:color w:val="000000" w:themeColor="text1"/>
                  <w:sz w:val="18"/>
                  <w:szCs w:val="21"/>
                  <w14:textFill>
                    <w14:solidFill>
                      <w14:schemeClr w14:val="tx1"/>
                    </w14:solidFill>
                  </w14:textFill>
                </w:rPr>
                <m:t>180</m:t>
              </m:r>
              <m:r>
                <m:rPr>
                  <m:sty m:val="p"/>
                </m:rPr>
                <w:rPr>
                  <w:rFonts w:hint="eastAsia" w:ascii="Cambria Math" w:hAnsi="Cambria Math"/>
                  <w:color w:val="000000" w:themeColor="text1"/>
                  <w:sz w:val="18"/>
                  <w:szCs w:val="21"/>
                  <w14:textFill>
                    <w14:solidFill>
                      <w14:schemeClr w14:val="tx1"/>
                    </w14:solidFill>
                  </w14:textFill>
                </w:rPr>
                <m:t>＜</m:t>
              </m:r>
            </m:oMath>
            <w:r>
              <w:rPr>
                <w:bCs/>
                <w:color w:val="000000" w:themeColor="text1"/>
                <w:sz w:val="18"/>
                <w:szCs w:val="21"/>
                <w14:textFill>
                  <w14:solidFill>
                    <w14:schemeClr w14:val="tx1"/>
                  </w14:solidFill>
                </w14:textFill>
              </w:rPr>
              <w:t>λ≤400</w:t>
            </w:r>
            <w:r>
              <w:rPr>
                <w:rFonts w:hint="eastAsia"/>
                <w:bCs/>
                <w:color w:val="000000" w:themeColor="text1"/>
                <w:sz w:val="18"/>
                <w:szCs w:val="21"/>
                <w14:textFill>
                  <w14:solidFill>
                    <w14:schemeClr w14:val="tx1"/>
                  </w14:solidFill>
                </w14:textFill>
              </w:rPr>
              <w:t>；</w:t>
            </w:r>
          </w:p>
          <w:p>
            <w:pPr>
              <w:spacing w:line="300" w:lineRule="auto"/>
              <w:ind w:firstLine="0" w:firstLineChars="0"/>
              <w:jc w:val="left"/>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张紧圆钢、钢索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232" w:type="pct"/>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板件宽厚比</w:t>
            </w:r>
          </w:p>
        </w:tc>
        <w:tc>
          <w:tcPr>
            <w:tcW w:w="232" w:type="pct"/>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bCs/>
                <w:color w:val="000000" w:themeColor="text1"/>
                <w:sz w:val="18"/>
                <w:szCs w:val="21"/>
                <w14:textFill>
                  <w14:solidFill>
                    <w14:schemeClr w14:val="tx1"/>
                  </w14:solidFill>
                </w14:textFill>
              </w:rPr>
              <w:t>H</w:t>
            </w:r>
            <w:r>
              <w:rPr>
                <w:rFonts w:hint="eastAsia"/>
                <w:bCs/>
                <w:color w:val="000000" w:themeColor="text1"/>
                <w:sz w:val="18"/>
                <w:szCs w:val="21"/>
                <w14:textFill>
                  <w14:solidFill>
                    <w14:schemeClr w14:val="tx1"/>
                  </w14:solidFill>
                </w14:textFill>
              </w:rPr>
              <w:t>形</w:t>
            </w:r>
          </w:p>
        </w:tc>
        <w:tc>
          <w:tcPr>
            <w:tcW w:w="57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翼缘</w:t>
            </w:r>
            <w:r>
              <w:rPr>
                <w:rFonts w:cs="Times New Roman"/>
                <w:bCs/>
                <w:snapToGrid w:val="0"/>
                <w:color w:val="000000" w:themeColor="text1"/>
                <w:kern w:val="0"/>
                <w:sz w:val="18"/>
                <w:szCs w:val="21"/>
                <w14:textFill>
                  <w14:solidFill>
                    <w14:schemeClr w14:val="tx1"/>
                  </w14:solidFill>
                </w14:textFill>
              </w:rPr>
              <w:t>b</w:t>
            </w:r>
            <w:r>
              <w:rPr>
                <w:rFonts w:hint="eastAsia" w:cs="Times New Roman"/>
                <w:bCs/>
                <w:snapToGrid w:val="0"/>
                <w:color w:val="000000" w:themeColor="text1"/>
                <w:kern w:val="0"/>
                <w:sz w:val="18"/>
                <w:szCs w:val="21"/>
                <w14:textFill>
                  <w14:solidFill>
                    <w14:schemeClr w14:val="tx1"/>
                  </w14:solidFill>
                </w14:textFill>
              </w:rPr>
              <w:t>/</w:t>
            </w:r>
            <w:r>
              <w:rPr>
                <w:rFonts w:cs="Times New Roman"/>
                <w:bCs/>
                <w:snapToGrid w:val="0"/>
                <w:color w:val="000000" w:themeColor="text1"/>
                <w:kern w:val="0"/>
                <w:sz w:val="18"/>
                <w:szCs w:val="21"/>
                <w14:textFill>
                  <w14:solidFill>
                    <w14:schemeClr w14:val="tx1"/>
                  </w14:solidFill>
                </w14:textFill>
              </w:rPr>
              <w:t>t</w:t>
            </w:r>
          </w:p>
        </w:tc>
        <w:tc>
          <w:tcPr>
            <w:tcW w:w="45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8</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073" w:type="pct"/>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21"/>
                <w14:textFill>
                  <w14:solidFill>
                    <w14:schemeClr w14:val="tx1"/>
                  </w14:solidFill>
                </w14:textFill>
              </w:rPr>
            </w:pPr>
          </w:p>
        </w:tc>
        <w:tc>
          <w:tcPr>
            <w:tcW w:w="1170" w:type="pct"/>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9</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488"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r>
              <w:rPr>
                <w:bCs/>
                <w:color w:val="000000" w:themeColor="text1"/>
                <w:sz w:val="18"/>
                <w:szCs w:val="21"/>
                <w14:textFill>
                  <w14:solidFill>
                    <w14:schemeClr w14:val="tx1"/>
                  </w14:solidFill>
                </w14:textFill>
              </w:rPr>
              <w:t>10</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782" w:type="pct"/>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r>
              <w:rPr>
                <w:bCs/>
                <w:snapToGrid w:val="0"/>
                <w:color w:val="000000" w:themeColor="text1"/>
                <w:kern w:val="0"/>
                <w:position w:val="-6"/>
                <w:sz w:val="18"/>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232"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232"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57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腹板</w:t>
            </w:r>
            <w:r>
              <w:rPr>
                <w:rFonts w:cs="Times New Roman"/>
                <w:bCs/>
                <w:snapToGrid w:val="0"/>
                <w:color w:val="000000" w:themeColor="text1"/>
                <w:kern w:val="0"/>
                <w:sz w:val="18"/>
                <w:szCs w:val="21"/>
                <w14:textFill>
                  <w14:solidFill>
                    <w14:schemeClr w14:val="tx1"/>
                  </w14:solidFill>
                </w14:textFill>
              </w:rPr>
              <w:t>h</w:t>
            </w:r>
            <w:r>
              <w:rPr>
                <w:rFonts w:cs="Times New Roman"/>
                <w:bCs/>
                <w:snapToGrid w:val="0"/>
                <w:color w:val="000000" w:themeColor="text1"/>
                <w:kern w:val="0"/>
                <w:sz w:val="18"/>
                <w:szCs w:val="21"/>
                <w:vertAlign w:val="subscript"/>
                <w14:textFill>
                  <w14:solidFill>
                    <w14:schemeClr w14:val="tx1"/>
                  </w14:solidFill>
                </w14:textFill>
              </w:rPr>
              <w:t>w</w:t>
            </w:r>
            <w:r>
              <w:rPr>
                <w:rFonts w:hint="eastAsia" w:cs="Times New Roman"/>
                <w:bCs/>
                <w:snapToGrid w:val="0"/>
                <w:color w:val="000000" w:themeColor="text1"/>
                <w:kern w:val="0"/>
                <w:sz w:val="18"/>
                <w:szCs w:val="21"/>
                <w14:textFill>
                  <w14:solidFill>
                    <w14:schemeClr w14:val="tx1"/>
                  </w14:solidFill>
                </w14:textFill>
              </w:rPr>
              <w:t>/</w:t>
            </w:r>
            <w:r>
              <w:rPr>
                <w:rFonts w:cs="Times New Roman"/>
                <w:bCs/>
                <w:snapToGrid w:val="0"/>
                <w:color w:val="000000" w:themeColor="text1"/>
                <w:kern w:val="0"/>
                <w:sz w:val="18"/>
                <w:szCs w:val="21"/>
                <w14:textFill>
                  <w14:solidFill>
                    <w14:schemeClr w14:val="tx1"/>
                  </w14:solidFill>
                </w14:textFill>
              </w:rPr>
              <w:t>t</w:t>
            </w:r>
            <w:r>
              <w:rPr>
                <w:rFonts w:cs="Times New Roman"/>
                <w:bCs/>
                <w:snapToGrid w:val="0"/>
                <w:color w:val="000000" w:themeColor="text1"/>
                <w:kern w:val="0"/>
                <w:sz w:val="18"/>
                <w:szCs w:val="21"/>
                <w:vertAlign w:val="subscript"/>
                <w14:textFill>
                  <w14:solidFill>
                    <w14:schemeClr w14:val="tx1"/>
                  </w14:solidFill>
                </w14:textFill>
              </w:rPr>
              <w:t>w</w:t>
            </w:r>
            <w:r>
              <w:rPr>
                <w:rFonts w:cs="Times New Roman"/>
                <w:bCs/>
                <w:snapToGrid w:val="0"/>
                <w:color w:val="000000" w:themeColor="text1"/>
                <w:kern w:val="0"/>
                <w:sz w:val="18"/>
                <w:szCs w:val="21"/>
                <w14:textFill>
                  <w14:solidFill>
                    <w14:schemeClr w14:val="tx1"/>
                  </w14:solidFill>
                </w14:textFill>
              </w:rPr>
              <w:t xml:space="preserve"> </w:t>
            </w:r>
          </w:p>
        </w:tc>
        <w:tc>
          <w:tcPr>
            <w:tcW w:w="45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30</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073" w:type="pct"/>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21"/>
                <w14:textFill>
                  <w14:solidFill>
                    <w14:schemeClr w14:val="tx1"/>
                  </w14:solidFill>
                </w14:textFill>
              </w:rPr>
            </w:pPr>
          </w:p>
        </w:tc>
        <w:tc>
          <w:tcPr>
            <w:tcW w:w="1170" w:type="pct"/>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35</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488"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r>
              <w:rPr>
                <w:bCs/>
                <w:color w:val="000000" w:themeColor="text1"/>
                <w:sz w:val="18"/>
                <w:szCs w:val="21"/>
                <w14:textFill>
                  <w14:solidFill>
                    <w14:schemeClr w14:val="tx1"/>
                  </w14:solidFill>
                </w14:textFill>
              </w:rPr>
              <w:t>42</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782"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32"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232"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箱形</w:t>
            </w:r>
          </w:p>
        </w:tc>
        <w:tc>
          <w:tcPr>
            <w:tcW w:w="57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壁板间翼缘</w:t>
            </w:r>
            <w:r>
              <w:rPr>
                <w:bCs/>
                <w:color w:val="000000" w:themeColor="text1"/>
                <w:sz w:val="18"/>
                <w:szCs w:val="21"/>
                <w14:textFill>
                  <w14:solidFill>
                    <w14:schemeClr w14:val="tx1"/>
                  </w14:solidFill>
                </w14:textFill>
              </w:rPr>
              <w:t>B/t</w:t>
            </w:r>
            <w:r>
              <w:rPr>
                <w:bCs/>
                <w:color w:val="000000" w:themeColor="text1"/>
                <w:sz w:val="18"/>
                <w:szCs w:val="21"/>
                <w:vertAlign w:val="subscript"/>
                <w14:textFill>
                  <w14:solidFill>
                    <w14:schemeClr w14:val="tx1"/>
                  </w14:solidFill>
                </w14:textFill>
              </w:rPr>
              <w:t>w</w:t>
            </w:r>
          </w:p>
        </w:tc>
        <w:tc>
          <w:tcPr>
            <w:tcW w:w="45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25</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073" w:type="pct"/>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21"/>
                <w14:textFill>
                  <w14:solidFill>
                    <w14:schemeClr w14:val="tx1"/>
                  </w14:solidFill>
                </w14:textFill>
              </w:rPr>
            </w:pPr>
          </w:p>
        </w:tc>
        <w:tc>
          <w:tcPr>
            <w:tcW w:w="1170" w:type="pct"/>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28</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488"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r>
              <w:rPr>
                <w:bCs/>
                <w:color w:val="000000" w:themeColor="text1"/>
                <w:sz w:val="18"/>
                <w:szCs w:val="21"/>
                <w14:textFill>
                  <w14:solidFill>
                    <w14:schemeClr w14:val="tx1"/>
                  </w14:solidFill>
                </w14:textFill>
              </w:rPr>
              <w:t>32</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782"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32"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232"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角钢</w:t>
            </w:r>
          </w:p>
        </w:tc>
        <w:tc>
          <w:tcPr>
            <w:tcW w:w="57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角钢肢宽厚比</w:t>
            </w:r>
          </w:p>
        </w:tc>
        <w:tc>
          <w:tcPr>
            <w:tcW w:w="45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8</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1073" w:type="pct"/>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21"/>
                <w14:textFill>
                  <w14:solidFill>
                    <w14:schemeClr w14:val="tx1"/>
                  </w14:solidFill>
                </w14:textFill>
              </w:rPr>
            </w:pPr>
          </w:p>
        </w:tc>
        <w:tc>
          <w:tcPr>
            <w:tcW w:w="1170" w:type="pct"/>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9</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488"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r>
              <w:rPr>
                <w:bCs/>
                <w:color w:val="000000" w:themeColor="text1"/>
                <w:sz w:val="18"/>
                <w:szCs w:val="21"/>
                <w14:textFill>
                  <w14:solidFill>
                    <w14:schemeClr w14:val="tx1"/>
                  </w14:solidFill>
                </w14:textFill>
              </w:rPr>
              <w:t>10</w:t>
            </w:r>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p>
        </w:tc>
        <w:tc>
          <w:tcPr>
            <w:tcW w:w="782"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r>
              <w:rPr>
                <w:rFonts w:hint="eastAsia"/>
                <w:bCs/>
                <w:snapToGrid w:val="0"/>
                <w:color w:val="000000" w:themeColor="text1"/>
                <w:kern w:val="0"/>
                <w:position w:val="-6"/>
                <w:sz w:val="18"/>
                <w:szCs w:val="21"/>
                <w14:textFill>
                  <w14:solidFill>
                    <w14:schemeClr w14:val="tx1"/>
                  </w14:solidFill>
                </w14:textFill>
              </w:rPr>
              <w:t>同</w:t>
            </w:r>
            <w:r>
              <w:rPr>
                <w:bCs/>
                <w:snapToGrid w:val="0"/>
                <w:color w:val="000000" w:themeColor="text1"/>
                <w:kern w:val="0"/>
                <w:position w:val="-6"/>
                <w:sz w:val="18"/>
                <w:szCs w:val="21"/>
                <w14:textFill>
                  <w14:solidFill>
                    <w14:schemeClr w14:val="tx1"/>
                  </w14:solidFill>
                </w14:textFill>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32" w:type="pct"/>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p>
        </w:tc>
        <w:tc>
          <w:tcPr>
            <w:tcW w:w="232"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圆管</w:t>
            </w:r>
          </w:p>
        </w:tc>
        <w:tc>
          <w:tcPr>
            <w:tcW w:w="57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径厚比</w:t>
            </w:r>
            <w:r>
              <w:rPr>
                <w:bCs/>
                <w:color w:val="000000" w:themeColor="text1"/>
                <w:sz w:val="18"/>
                <w:szCs w:val="21"/>
                <w14:textFill>
                  <w14:solidFill>
                    <w14:schemeClr w14:val="tx1"/>
                  </w14:solidFill>
                </w14:textFill>
              </w:rPr>
              <w:t>D/t</w:t>
            </w:r>
          </w:p>
        </w:tc>
        <w:tc>
          <w:tcPr>
            <w:tcW w:w="451"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40</w:t>
            </w:r>
            <m:oMath>
              <m:sSubSup>
                <m:sSubSupPr>
                  <m:ctrlPr>
                    <w:rPr>
                      <w:rFonts w:ascii="Cambria Math" w:hAnsi="Cambria Math" w:cs="Times New Roman"/>
                      <w:bCs/>
                      <w:i/>
                      <w:snapToGrid w:val="0"/>
                      <w:color w:val="000000" w:themeColor="text1"/>
                      <w:kern w:val="0"/>
                      <w:sz w:val="18"/>
                      <w:szCs w:val="21"/>
                      <w14:textFill>
                        <w14:solidFill>
                          <w14:schemeClr w14:val="tx1"/>
                        </w14:solidFill>
                      </w14:textFill>
                    </w:rPr>
                  </m:ctrlPr>
                </m:sSubSup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up>
                  <m:r>
                    <w:rPr>
                      <w:rFonts w:ascii="Cambria Math" w:hAnsi="Cambria Math" w:cs="Times New Roman"/>
                      <w:snapToGrid w:val="0"/>
                      <w:color w:val="000000" w:themeColor="text1"/>
                      <w:kern w:val="0"/>
                      <w:sz w:val="18"/>
                      <w:szCs w:val="21"/>
                      <w14:textFill>
                        <w14:solidFill>
                          <w14:schemeClr w14:val="tx1"/>
                        </w14:solidFill>
                      </w14:textFill>
                    </w:rPr>
                    <m:t>2</m:t>
                  </m:r>
                  <m:ctrlPr>
                    <w:rPr>
                      <w:rFonts w:ascii="Cambria Math" w:hAnsi="Cambria Math" w:cs="Times New Roman"/>
                      <w:bCs/>
                      <w:i/>
                      <w:snapToGrid w:val="0"/>
                      <w:color w:val="000000" w:themeColor="text1"/>
                      <w:kern w:val="0"/>
                      <w:sz w:val="18"/>
                      <w:szCs w:val="21"/>
                      <w14:textFill>
                        <w14:solidFill>
                          <w14:schemeClr w14:val="tx1"/>
                        </w14:solidFill>
                      </w14:textFill>
                    </w:rPr>
                  </m:ctrlPr>
                </m:sup>
              </m:sSubSup>
            </m:oMath>
          </w:p>
        </w:tc>
        <w:tc>
          <w:tcPr>
            <w:tcW w:w="1073" w:type="pct"/>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21"/>
                <w14:textFill>
                  <w14:solidFill>
                    <w14:schemeClr w14:val="tx1"/>
                  </w14:solidFill>
                </w14:textFill>
              </w:rPr>
            </w:pPr>
          </w:p>
        </w:tc>
        <w:tc>
          <w:tcPr>
            <w:tcW w:w="1170" w:type="pct"/>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12"/>
                <w:sz w:val="18"/>
                <w:szCs w:val="21"/>
                <w14:textFill>
                  <w14:solidFill>
                    <w14:schemeClr w14:val="tx1"/>
                  </w14:solidFill>
                </w14:textFill>
              </w:rPr>
            </w:pPr>
            <w:r>
              <w:rPr>
                <w:bCs/>
                <w:color w:val="000000" w:themeColor="text1"/>
                <w:sz w:val="18"/>
                <w:szCs w:val="21"/>
                <w14:textFill>
                  <w14:solidFill>
                    <w14:schemeClr w14:val="tx1"/>
                  </w14:solidFill>
                </w14:textFill>
              </w:rPr>
              <w:t>56</w:t>
            </w:r>
            <m:oMath>
              <m:sSubSup>
                <m:sSubSupPr>
                  <m:ctrlPr>
                    <w:rPr>
                      <w:rFonts w:ascii="Cambria Math" w:hAnsi="Cambria Math" w:cs="Times New Roman"/>
                      <w:bCs/>
                      <w:i/>
                      <w:snapToGrid w:val="0"/>
                      <w:color w:val="000000" w:themeColor="text1"/>
                      <w:kern w:val="0"/>
                      <w:sz w:val="18"/>
                      <w:szCs w:val="21"/>
                      <w14:textFill>
                        <w14:solidFill>
                          <w14:schemeClr w14:val="tx1"/>
                        </w14:solidFill>
                      </w14:textFill>
                    </w:rPr>
                  </m:ctrlPr>
                </m:sSubSup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up>
                  <m:r>
                    <w:rPr>
                      <w:rFonts w:ascii="Cambria Math" w:hAnsi="Cambria Math" w:cs="Times New Roman"/>
                      <w:snapToGrid w:val="0"/>
                      <w:color w:val="000000" w:themeColor="text1"/>
                      <w:kern w:val="0"/>
                      <w:sz w:val="18"/>
                      <w:szCs w:val="21"/>
                      <w14:textFill>
                        <w14:solidFill>
                          <w14:schemeClr w14:val="tx1"/>
                        </w14:solidFill>
                      </w14:textFill>
                    </w:rPr>
                    <m:t>2</m:t>
                  </m:r>
                  <m:ctrlPr>
                    <w:rPr>
                      <w:rFonts w:ascii="Cambria Math" w:hAnsi="Cambria Math" w:cs="Times New Roman"/>
                      <w:bCs/>
                      <w:i/>
                      <w:snapToGrid w:val="0"/>
                      <w:color w:val="000000" w:themeColor="text1"/>
                      <w:kern w:val="0"/>
                      <w:sz w:val="18"/>
                      <w:szCs w:val="21"/>
                      <w14:textFill>
                        <w14:solidFill>
                          <w14:schemeClr w14:val="tx1"/>
                        </w14:solidFill>
                      </w14:textFill>
                    </w:rPr>
                  </m:ctrlPr>
                </m:sup>
              </m:sSubSup>
            </m:oMath>
          </w:p>
        </w:tc>
        <w:tc>
          <w:tcPr>
            <w:tcW w:w="488"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r>
              <w:rPr>
                <w:bCs/>
                <w:color w:val="000000" w:themeColor="text1"/>
                <w:sz w:val="18"/>
                <w:szCs w:val="21"/>
                <w14:textFill>
                  <w14:solidFill>
                    <w14:schemeClr w14:val="tx1"/>
                  </w14:solidFill>
                </w14:textFill>
              </w:rPr>
              <w:t>72</w:t>
            </w:r>
            <m:oMath>
              <m:sSubSup>
                <m:sSubSupPr>
                  <m:ctrlPr>
                    <w:rPr>
                      <w:rFonts w:ascii="Cambria Math" w:hAnsi="Cambria Math" w:cs="Times New Roman"/>
                      <w:bCs/>
                      <w:i/>
                      <w:snapToGrid w:val="0"/>
                      <w:color w:val="000000" w:themeColor="text1"/>
                      <w:kern w:val="0"/>
                      <w:sz w:val="18"/>
                      <w:szCs w:val="21"/>
                      <w14:textFill>
                        <w14:solidFill>
                          <w14:schemeClr w14:val="tx1"/>
                        </w14:solidFill>
                      </w14:textFill>
                    </w:rPr>
                  </m:ctrlPr>
                </m:sSubSup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up>
                  <m:r>
                    <w:rPr>
                      <w:rFonts w:ascii="Cambria Math" w:hAnsi="Cambria Math" w:cs="Times New Roman"/>
                      <w:snapToGrid w:val="0"/>
                      <w:color w:val="000000" w:themeColor="text1"/>
                      <w:kern w:val="0"/>
                      <w:sz w:val="18"/>
                      <w:szCs w:val="21"/>
                      <w14:textFill>
                        <w14:solidFill>
                          <w14:schemeClr w14:val="tx1"/>
                        </w14:solidFill>
                      </w14:textFill>
                    </w:rPr>
                    <m:t>2</m:t>
                  </m:r>
                  <m:ctrlPr>
                    <w:rPr>
                      <w:rFonts w:ascii="Cambria Math" w:hAnsi="Cambria Math" w:cs="Times New Roman"/>
                      <w:bCs/>
                      <w:i/>
                      <w:snapToGrid w:val="0"/>
                      <w:color w:val="000000" w:themeColor="text1"/>
                      <w:kern w:val="0"/>
                      <w:sz w:val="18"/>
                      <w:szCs w:val="21"/>
                      <w14:textFill>
                        <w14:solidFill>
                          <w14:schemeClr w14:val="tx1"/>
                        </w14:solidFill>
                      </w14:textFill>
                    </w:rPr>
                  </m:ctrlPr>
                </m:sup>
              </m:sSubSup>
            </m:oMath>
          </w:p>
        </w:tc>
        <w:tc>
          <w:tcPr>
            <w:tcW w:w="782" w:type="pc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position w:val="-6"/>
                <w:sz w:val="18"/>
                <w:szCs w:val="21"/>
                <w14:textFill>
                  <w14:solidFill>
                    <w14:schemeClr w14:val="tx1"/>
                  </w14:solidFill>
                </w14:textFill>
              </w:rPr>
            </w:pPr>
            <w:r>
              <w:rPr>
                <w:rFonts w:hint="eastAsia"/>
                <w:bCs/>
                <w:snapToGrid w:val="0"/>
                <w:color w:val="000000" w:themeColor="text1"/>
                <w:kern w:val="0"/>
                <w:position w:val="-6"/>
                <w:sz w:val="18"/>
                <w:szCs w:val="21"/>
                <w14:textFill>
                  <w14:solidFill>
                    <w14:schemeClr w14:val="tx1"/>
                  </w14:solidFill>
                </w14:textFill>
              </w:rPr>
              <w:t>——</w:t>
            </w:r>
          </w:p>
        </w:tc>
      </w:tr>
    </w:tbl>
    <w:p>
      <w:pPr>
        <w:spacing w:before="156" w:beforeLines="50" w:line="360" w:lineRule="exact"/>
        <w:ind w:firstLine="360"/>
        <w:rPr>
          <w:rFonts w:cs="Times New Roman"/>
          <w:bCs/>
          <w:color w:val="000000" w:themeColor="text1"/>
          <w:kern w:val="0"/>
          <w:sz w:val="18"/>
          <w:szCs w:val="21"/>
          <w14:textFill>
            <w14:solidFill>
              <w14:schemeClr w14:val="tx1"/>
            </w14:solidFill>
          </w14:textFill>
        </w:rPr>
      </w:pPr>
      <w:r>
        <w:rPr>
          <w:rFonts w:hint="eastAsia"/>
          <w:bCs/>
          <w:color w:val="000000" w:themeColor="text1"/>
          <w:kern w:val="0"/>
          <w:sz w:val="18"/>
          <w:szCs w:val="21"/>
          <w14:textFill>
            <w14:solidFill>
              <w14:schemeClr w14:val="tx1"/>
            </w14:solidFill>
          </w14:textFill>
        </w:rPr>
        <w:t>注：</w:t>
      </w:r>
      <w:r>
        <w:rPr>
          <w:bCs/>
          <w:color w:val="000000" w:themeColor="text1"/>
          <w:kern w:val="0"/>
          <w:sz w:val="18"/>
          <w:szCs w:val="21"/>
          <w14:textFill>
            <w14:solidFill>
              <w14:schemeClr w14:val="tx1"/>
            </w14:solidFill>
          </w14:textFill>
        </w:rPr>
        <w:t>1  B1</w:t>
      </w:r>
      <w:r>
        <w:rPr>
          <w:rFonts w:hint="eastAsia"/>
          <w:bCs/>
          <w:color w:val="000000" w:themeColor="text1"/>
          <w:kern w:val="0"/>
          <w:sz w:val="18"/>
          <w:szCs w:val="21"/>
          <w14:textFill>
            <w14:solidFill>
              <w14:schemeClr w14:val="tx1"/>
            </w14:solidFill>
          </w14:textFill>
        </w:rPr>
        <w:t>、</w:t>
      </w:r>
      <w:r>
        <w:rPr>
          <w:bCs/>
          <w:color w:val="000000" w:themeColor="text1"/>
          <w:kern w:val="0"/>
          <w:sz w:val="18"/>
          <w:szCs w:val="21"/>
          <w14:textFill>
            <w14:solidFill>
              <w14:schemeClr w14:val="tx1"/>
            </w14:solidFill>
          </w14:textFill>
        </w:rPr>
        <w:t>B2</w:t>
      </w:r>
      <w:r>
        <w:rPr>
          <w:rFonts w:hint="eastAsia"/>
          <w:bCs/>
          <w:color w:val="000000" w:themeColor="text1"/>
          <w:kern w:val="0"/>
          <w:sz w:val="18"/>
          <w:szCs w:val="21"/>
          <w14:textFill>
            <w14:solidFill>
              <w14:schemeClr w14:val="tx1"/>
            </w14:solidFill>
          </w14:textFill>
        </w:rPr>
        <w:t>级支撑的杆件钢材宜符合</w:t>
      </w:r>
      <w:r>
        <w:rPr>
          <w:rFonts w:hint="eastAsia"/>
          <w:bCs/>
          <w:color w:val="000000" w:themeColor="text1"/>
          <w:sz w:val="18"/>
          <w14:textFill>
            <w14:solidFill>
              <w14:schemeClr w14:val="tx1"/>
            </w14:solidFill>
          </w14:textFill>
        </w:rPr>
        <w:t>《建筑结构用钢板》</w:t>
      </w:r>
      <w:r>
        <w:rPr>
          <w:bCs/>
          <w:color w:val="000000" w:themeColor="text1"/>
          <w:sz w:val="18"/>
          <w14:textFill>
            <w14:solidFill>
              <w14:schemeClr w14:val="tx1"/>
            </w14:solidFill>
          </w14:textFill>
        </w:rPr>
        <w:t>GB/T 19879</w:t>
      </w:r>
      <w:r>
        <w:rPr>
          <w:rFonts w:hint="eastAsia"/>
          <w:bCs/>
          <w:color w:val="000000" w:themeColor="text1"/>
          <w:kern w:val="0"/>
          <w:sz w:val="18"/>
          <w:szCs w:val="21"/>
          <w14:textFill>
            <w14:solidFill>
              <w14:schemeClr w14:val="tx1"/>
            </w14:solidFill>
          </w14:textFill>
        </w:rPr>
        <w:t>的要求；</w:t>
      </w:r>
    </w:p>
    <w:p>
      <w:pPr>
        <w:spacing w:line="360" w:lineRule="exact"/>
        <w:ind w:firstLine="739" w:firstLineChars="411"/>
        <w:rPr>
          <w:bCs/>
          <w:color w:val="000000" w:themeColor="text1"/>
          <w:kern w:val="0"/>
          <w:sz w:val="18"/>
          <w:szCs w:val="21"/>
          <w14:textFill>
            <w14:solidFill>
              <w14:schemeClr w14:val="tx1"/>
            </w14:solidFill>
          </w14:textFill>
        </w:rPr>
      </w:pPr>
      <w:r>
        <w:rPr>
          <w:bCs/>
          <w:color w:val="000000" w:themeColor="text1"/>
          <w:kern w:val="0"/>
          <w:sz w:val="18"/>
          <w:szCs w:val="21"/>
          <w14:textFill>
            <w14:solidFill>
              <w14:schemeClr w14:val="tx1"/>
            </w14:solidFill>
          </w14:textFill>
        </w:rPr>
        <w:t>2  B2-1</w:t>
      </w:r>
      <w:r>
        <w:rPr>
          <w:rFonts w:hint="eastAsia"/>
          <w:bCs/>
          <w:color w:val="000000" w:themeColor="text1"/>
          <w:kern w:val="0"/>
          <w:sz w:val="18"/>
          <w:szCs w:val="21"/>
          <w14:textFill>
            <w14:solidFill>
              <w14:schemeClr w14:val="tx1"/>
            </w14:solidFill>
          </w14:textFill>
        </w:rPr>
        <w:t>是拉压型支撑，</w:t>
      </w:r>
      <w:r>
        <w:rPr>
          <w:bCs/>
          <w:color w:val="000000" w:themeColor="text1"/>
          <w:kern w:val="0"/>
          <w:sz w:val="18"/>
          <w:szCs w:val="21"/>
          <w14:textFill>
            <w14:solidFill>
              <w14:schemeClr w14:val="tx1"/>
            </w14:solidFill>
          </w14:textFill>
        </w:rPr>
        <w:t>B2-2</w:t>
      </w:r>
      <w:r>
        <w:rPr>
          <w:rFonts w:hint="eastAsia"/>
          <w:bCs/>
          <w:color w:val="000000" w:themeColor="text1"/>
          <w:kern w:val="0"/>
          <w:sz w:val="18"/>
          <w:szCs w:val="21"/>
          <w14:textFill>
            <w14:solidFill>
              <w14:schemeClr w14:val="tx1"/>
            </w14:solidFill>
          </w14:textFill>
        </w:rPr>
        <w:t>是拉伸型支撑；</w:t>
      </w:r>
    </w:p>
    <w:p>
      <w:pPr>
        <w:spacing w:line="360" w:lineRule="exact"/>
        <w:ind w:firstLine="739" w:firstLineChars="411"/>
        <w:rPr>
          <w:bCs/>
          <w:color w:val="000000" w:themeColor="text1"/>
          <w:sz w:val="18"/>
          <w:szCs w:val="21"/>
          <w14:textFill>
            <w14:solidFill>
              <w14:schemeClr w14:val="tx1"/>
            </w14:solidFill>
          </w14:textFill>
        </w:rPr>
      </w:pPr>
      <w:r>
        <w:rPr>
          <w:bCs/>
          <w:color w:val="000000" w:themeColor="text1"/>
          <w:kern w:val="0"/>
          <w:sz w:val="18"/>
          <w:szCs w:val="21"/>
          <w14:textFill>
            <w14:solidFill>
              <w14:schemeClr w14:val="tx1"/>
            </w14:solidFill>
          </w14:textFill>
        </w:rPr>
        <w:t xml:space="preserve">3  </w:t>
      </w:r>
      <w:r>
        <w:rPr>
          <w:bCs/>
          <w:color w:val="000000" w:themeColor="text1"/>
          <w:sz w:val="18"/>
          <w:szCs w:val="21"/>
          <w14:textFill>
            <w14:solidFill>
              <w14:schemeClr w14:val="tx1"/>
            </w14:solidFill>
          </w14:textFill>
        </w:rPr>
        <w:t>X</w:t>
      </w:r>
      <w:r>
        <w:rPr>
          <w:rFonts w:hint="eastAsia"/>
          <w:bCs/>
          <w:color w:val="000000" w:themeColor="text1"/>
          <w:sz w:val="18"/>
          <w:szCs w:val="21"/>
          <w14:textFill>
            <w14:solidFill>
              <w14:schemeClr w14:val="tx1"/>
            </w14:solidFill>
          </w14:textFill>
        </w:rPr>
        <w:t>形布置的支撑，</w:t>
      </w:r>
      <w:r>
        <w:rPr>
          <w:bCs/>
          <w:color w:val="000000" w:themeColor="text1"/>
          <w:sz w:val="18"/>
          <w:szCs w:val="21"/>
          <w14:textFill>
            <w14:solidFill>
              <w14:schemeClr w14:val="tx1"/>
            </w14:solidFill>
          </w14:textFill>
        </w:rPr>
        <w:t>ES1</w:t>
      </w:r>
      <w:r>
        <w:rPr>
          <w:rFonts w:hint="eastAsia"/>
          <w:bCs/>
          <w:color w:val="000000" w:themeColor="text1"/>
          <w:sz w:val="18"/>
          <w:szCs w:val="21"/>
          <w14:textFill>
            <w14:solidFill>
              <w14:schemeClr w14:val="tx1"/>
            </w14:solidFill>
          </w14:textFill>
        </w:rPr>
        <w:t>优先采用</w:t>
      </w:r>
      <w:r>
        <w:rPr>
          <w:bCs/>
          <w:color w:val="000000" w:themeColor="text1"/>
          <w:sz w:val="18"/>
          <w:szCs w:val="21"/>
          <w14:textFill>
            <w14:solidFill>
              <w14:schemeClr w14:val="tx1"/>
            </w14:solidFill>
          </w14:textFill>
        </w:rPr>
        <w:t>B2-2</w:t>
      </w:r>
      <w:r>
        <w:rPr>
          <w:rFonts w:hint="eastAsia"/>
          <w:bCs/>
          <w:color w:val="000000" w:themeColor="text1"/>
          <w:sz w:val="18"/>
          <w:szCs w:val="21"/>
          <w14:textFill>
            <w14:solidFill>
              <w14:schemeClr w14:val="tx1"/>
            </w14:solidFill>
          </w14:textFill>
        </w:rPr>
        <w:t>级支撑；</w:t>
      </w:r>
    </w:p>
    <w:p>
      <w:pPr>
        <w:spacing w:line="360" w:lineRule="exact"/>
        <w:ind w:left="871" w:leftChars="329" w:hanging="180" w:hangingChars="100"/>
        <w:rPr>
          <w:bCs/>
          <w:color w:val="000000" w:themeColor="text1"/>
          <w:sz w:val="18"/>
          <w14:textFill>
            <w14:solidFill>
              <w14:schemeClr w14:val="tx1"/>
            </w14:solidFill>
          </w14:textFill>
        </w:rPr>
      </w:pPr>
      <w:r>
        <w:rPr>
          <w:bCs/>
          <w:color w:val="000000" w:themeColor="text1"/>
          <w:sz w:val="18"/>
          <w:szCs w:val="21"/>
          <w14:textFill>
            <w14:solidFill>
              <w14:schemeClr w14:val="tx1"/>
            </w14:solidFill>
          </w14:textFill>
        </w:rPr>
        <w:t>4  ES1</w:t>
      </w:r>
      <w:r>
        <w:rPr>
          <w:rFonts w:hint="eastAsia"/>
          <w:bCs/>
          <w:color w:val="000000" w:themeColor="text1"/>
          <w:sz w:val="18"/>
          <w:szCs w:val="21"/>
          <w14:textFill>
            <w14:solidFill>
              <w14:schemeClr w14:val="tx1"/>
            </w14:solidFill>
          </w14:textFill>
        </w:rPr>
        <w:t>的</w:t>
      </w:r>
      <w:r>
        <w:rPr>
          <w:rFonts w:hint="eastAsia"/>
          <w:bCs/>
          <w:color w:val="000000" w:themeColor="text1"/>
          <w:sz w:val="18"/>
          <w14:textFill>
            <w14:solidFill>
              <w14:schemeClr w14:val="tx1"/>
            </w14:solidFill>
          </w14:textFill>
        </w:rPr>
        <w:t>支撑采用</w:t>
      </w:r>
      <w:r>
        <w:rPr>
          <w:bCs/>
          <w:color w:val="000000" w:themeColor="text1"/>
          <w:sz w:val="18"/>
          <w14:textFill>
            <w14:solidFill>
              <w14:schemeClr w14:val="tx1"/>
            </w14:solidFill>
          </w14:textFill>
        </w:rPr>
        <w:t>V</w:t>
      </w:r>
      <w:r>
        <w:rPr>
          <w:rFonts w:hint="eastAsia"/>
          <w:bCs/>
          <w:color w:val="000000" w:themeColor="text1"/>
          <w:sz w:val="18"/>
          <w14:textFill>
            <w14:solidFill>
              <w14:schemeClr w14:val="tx1"/>
            </w14:solidFill>
          </w14:textFill>
        </w:rPr>
        <w:t>或</w:t>
      </w:r>
      <w:r>
        <w:rPr>
          <w:bCs/>
          <w:color w:val="000000" w:themeColor="text1"/>
          <w:sz w:val="18"/>
          <w14:textFill>
            <w14:solidFill>
              <w14:schemeClr w14:val="tx1"/>
            </w14:solidFill>
          </w14:textFill>
        </w:rPr>
        <w:t>Λ</w:t>
      </w:r>
      <w:r>
        <w:rPr>
          <w:rFonts w:hint="eastAsia"/>
          <w:bCs/>
          <w:color w:val="000000" w:themeColor="text1"/>
          <w:sz w:val="18"/>
          <w14:textFill>
            <w14:solidFill>
              <w14:schemeClr w14:val="tx1"/>
            </w14:solidFill>
          </w14:textFill>
        </w:rPr>
        <w:t>形布置时，也可采用</w:t>
      </w:r>
      <w:r>
        <w:rPr>
          <w:bCs/>
          <w:color w:val="000000" w:themeColor="text1"/>
          <w:sz w:val="18"/>
          <w14:textFill>
            <w14:solidFill>
              <w14:schemeClr w14:val="tx1"/>
            </w14:solidFill>
          </w14:textFill>
        </w:rPr>
        <w:t>B2-1</w:t>
      </w:r>
      <w:r>
        <w:rPr>
          <w:rFonts w:hint="eastAsia"/>
          <w:bCs/>
          <w:color w:val="000000" w:themeColor="text1"/>
          <w:sz w:val="18"/>
          <w14:textFill>
            <w14:solidFill>
              <w14:schemeClr w14:val="tx1"/>
            </w14:solidFill>
          </w14:textFill>
        </w:rPr>
        <w:t>级支撑；采用</w:t>
      </w:r>
      <w:r>
        <w:rPr>
          <w:bCs/>
          <w:color w:val="000000" w:themeColor="text1"/>
          <w:sz w:val="18"/>
          <w:szCs w:val="21"/>
          <w14:textFill>
            <w14:solidFill>
              <w14:schemeClr w14:val="tx1"/>
            </w14:solidFill>
          </w14:textFill>
        </w:rPr>
        <w:t>B3</w:t>
      </w:r>
      <w:r>
        <w:rPr>
          <w:rFonts w:hint="eastAsia"/>
          <w:bCs/>
          <w:color w:val="000000" w:themeColor="text1"/>
          <w:sz w:val="18"/>
          <w:szCs w:val="21"/>
          <w14:textFill>
            <w14:solidFill>
              <w14:schemeClr w14:val="tx1"/>
            </w14:solidFill>
          </w14:textFill>
        </w:rPr>
        <w:t>级支撑时，其</w:t>
      </w:r>
      <w:r>
        <w:rPr>
          <w:rFonts w:hint="eastAsia"/>
          <w:bCs/>
          <w:color w:val="000000" w:themeColor="text1"/>
          <w:sz w:val="18"/>
          <w14:textFill>
            <w14:solidFill>
              <w14:schemeClr w14:val="tx1"/>
            </w14:solidFill>
          </w14:textFill>
        </w:rPr>
        <w:t>长细比不应大于</w:t>
      </w:r>
      <w:r>
        <w:rPr>
          <w:bCs/>
          <w:color w:val="000000" w:themeColor="text1"/>
          <w:sz w:val="18"/>
          <w14:textFill>
            <w14:solidFill>
              <w14:schemeClr w14:val="tx1"/>
            </w14:solidFill>
          </w14:textFill>
        </w:rPr>
        <w:t>150</w:t>
      </w:r>
      <w:r>
        <w:rPr>
          <w:rFonts w:hint="eastAsia"/>
          <w:bCs/>
          <w:color w:val="000000" w:themeColor="text1"/>
          <w:sz w:val="18"/>
          <w14:textFill>
            <w14:solidFill>
              <w14:schemeClr w14:val="tx1"/>
            </w14:solidFill>
          </w14:textFill>
        </w:rPr>
        <w:t>。</w:t>
      </w:r>
    </w:p>
    <w:p>
      <w:pPr>
        <w:ind w:firstLine="420"/>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 xml:space="preserve">4 </w:t>
      </w:r>
      <w:r>
        <w:rPr>
          <w:rFonts w:hint="eastAsia" w:cs="Times New Roman"/>
          <w:bCs/>
          <w:color w:val="000000" w:themeColor="text1"/>
          <w:kern w:val="0"/>
          <w:szCs w:val="21"/>
          <w14:textFill>
            <w14:solidFill>
              <w14:schemeClr w14:val="tx1"/>
            </w14:solidFill>
          </w14:textFill>
        </w:rPr>
        <w:t>钢管混凝土柱结构，当符合表9</w:t>
      </w:r>
      <w:r>
        <w:rPr>
          <w:rFonts w:cs="Times New Roman"/>
          <w:bCs/>
          <w:color w:val="000000" w:themeColor="text1"/>
          <w:kern w:val="0"/>
          <w:szCs w:val="21"/>
          <w14:textFill>
            <w14:solidFill>
              <w14:schemeClr w14:val="tx1"/>
            </w14:solidFill>
          </w14:textFill>
        </w:rPr>
        <w:t>.2.2-</w:t>
      </w:r>
      <w:r>
        <w:rPr>
          <w:rFonts w:hint="eastAsia" w:cs="Times New Roman"/>
          <w:bCs/>
          <w:color w:val="000000" w:themeColor="text1"/>
          <w:kern w:val="0"/>
          <w:szCs w:val="21"/>
          <w14:textFill>
            <w14:solidFill>
              <w14:schemeClr w14:val="tx1"/>
            </w14:solidFill>
          </w14:textFill>
        </w:rPr>
        <w:t>3的要求时，可采用与钢结构相同的性能系数。</w:t>
      </w:r>
    </w:p>
    <w:p>
      <w:pPr>
        <w:spacing w:line="360" w:lineRule="exact"/>
        <w:ind w:firstLine="360"/>
        <w:rPr>
          <w:bCs/>
          <w:color w:val="000000" w:themeColor="text1"/>
          <w:sz w:val="18"/>
          <w:szCs w:val="21"/>
          <w14:textFill>
            <w14:solidFill>
              <w14:schemeClr w14:val="tx1"/>
            </w14:solidFill>
          </w14:textFill>
        </w:rPr>
      </w:pPr>
    </w:p>
    <w:p>
      <w:pPr>
        <w:widowControl/>
        <w:spacing w:line="400" w:lineRule="exact"/>
        <w:ind w:firstLine="0" w:firstLineChars="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.2.3</w:t>
      </w:r>
      <w:r>
        <w:rPr>
          <w:rFonts w:hint="eastAsia"/>
          <w:bCs/>
          <w:color w:val="000000" w:themeColor="text1"/>
          <w:szCs w:val="21"/>
          <w14:textFill>
            <w14:solidFill>
              <w14:schemeClr w14:val="tx1"/>
            </w14:solidFill>
          </w14:textFill>
        </w:rPr>
        <w:t>钢结构抗震分析的阻尼比，宜符合下列要求：</w:t>
      </w:r>
    </w:p>
    <w:p>
      <w:pPr>
        <w:widowControl/>
        <w:spacing w:line="400" w:lineRule="exact"/>
        <w:ind w:firstLine="420"/>
        <w:jc w:val="left"/>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 xml:space="preserve">1 </w:t>
      </w:r>
      <w:r>
        <w:rPr>
          <w:rFonts w:hint="eastAsia" w:cs="Times New Roman"/>
          <w:bCs/>
          <w:color w:val="000000" w:themeColor="text1"/>
          <w:szCs w:val="21"/>
          <w14:textFill>
            <w14:solidFill>
              <w14:schemeClr w14:val="tx1"/>
            </w14:solidFill>
          </w14:textFill>
        </w:rPr>
        <w:t>按本章的性能系数</w:t>
      </w:r>
      <w:r>
        <w:rPr>
          <w:rFonts w:cs="Times New Roman"/>
          <w:bCs/>
          <w:color w:val="000000" w:themeColor="text1"/>
          <w:szCs w:val="21"/>
          <w14:textFill>
            <w14:solidFill>
              <w14:schemeClr w14:val="tx1"/>
            </w14:solidFill>
          </w14:textFill>
        </w:rPr>
        <w:t>q</w:t>
      </w:r>
      <w:r>
        <w:rPr>
          <w:rFonts w:hint="eastAsia" w:cs="Times New Roman"/>
          <w:bCs/>
          <w:color w:val="000000" w:themeColor="text1"/>
          <w:szCs w:val="21"/>
          <w14:textFill>
            <w14:solidFill>
              <w14:schemeClr w14:val="tx1"/>
            </w14:solidFill>
          </w14:textFill>
        </w:rPr>
        <w:t>进行弹性</w:t>
      </w:r>
      <w:r>
        <w:rPr>
          <w:rFonts w:hint="eastAsia" w:cs="Times New Roman"/>
          <w:bCs/>
          <w:color w:val="000000" w:themeColor="text1"/>
          <w:kern w:val="0"/>
          <w:szCs w:val="21"/>
          <w14:textFill>
            <w14:solidFill>
              <w14:schemeClr w14:val="tx1"/>
            </w14:solidFill>
          </w14:textFill>
        </w:rPr>
        <w:t>分析</w:t>
      </w:r>
      <w:r>
        <w:rPr>
          <w:rFonts w:hint="eastAsia" w:cs="Times New Roman"/>
          <w:bCs/>
          <w:color w:val="000000" w:themeColor="text1"/>
          <w:szCs w:val="21"/>
          <w14:textFill>
            <w14:solidFill>
              <w14:schemeClr w14:val="tx1"/>
            </w14:solidFill>
          </w14:textFill>
        </w:rPr>
        <w:t>时，单层钢结构可取</w:t>
      </w:r>
      <w:r>
        <w:rPr>
          <w:rFonts w:cs="Times New Roman"/>
          <w:bCs/>
          <w:color w:val="000000" w:themeColor="text1"/>
          <w:szCs w:val="21"/>
          <w14:textFill>
            <w14:solidFill>
              <w14:schemeClr w14:val="tx1"/>
            </w14:solidFill>
          </w14:textFill>
        </w:rPr>
        <w:t>0.05</w:t>
      </w:r>
      <w:r>
        <w:rPr>
          <w:rFonts w:hint="eastAsia" w:cs="Times New Roman"/>
          <w:bCs/>
          <w:color w:val="000000" w:themeColor="text1"/>
          <w:szCs w:val="21"/>
          <w14:textFill>
            <w14:solidFill>
              <w14:schemeClr w14:val="tx1"/>
            </w14:solidFill>
          </w14:textFill>
        </w:rPr>
        <w:t>；多层钢结构、单—多层钢结构高度不大于</w:t>
      </w:r>
      <w:r>
        <w:rPr>
          <w:rFonts w:cs="Times New Roman"/>
          <w:bCs/>
          <w:color w:val="000000" w:themeColor="text1"/>
          <w:szCs w:val="21"/>
          <w14:textFill>
            <w14:solidFill>
              <w14:schemeClr w14:val="tx1"/>
            </w14:solidFill>
          </w14:textFill>
        </w:rPr>
        <w:t>36m</w:t>
      </w:r>
      <w:r>
        <w:rPr>
          <w:rFonts w:hint="eastAsia" w:cs="Times New Roman"/>
          <w:bCs/>
          <w:color w:val="000000" w:themeColor="text1"/>
          <w:szCs w:val="21"/>
          <w14:textFill>
            <w14:solidFill>
              <w14:schemeClr w14:val="tx1"/>
            </w14:solidFill>
          </w14:textFill>
        </w:rPr>
        <w:t>时可取</w:t>
      </w:r>
      <w:r>
        <w:rPr>
          <w:rFonts w:cs="Times New Roman"/>
          <w:bCs/>
          <w:color w:val="000000" w:themeColor="text1"/>
          <w:szCs w:val="21"/>
          <w14:textFill>
            <w14:solidFill>
              <w14:schemeClr w14:val="tx1"/>
            </w14:solidFill>
          </w14:textFill>
        </w:rPr>
        <w:t>0.05</w:t>
      </w:r>
      <w:r>
        <w:rPr>
          <w:rFonts w:hint="eastAsia" w:cs="Times New Roman"/>
          <w:bCs/>
          <w:color w:val="000000" w:themeColor="text1"/>
          <w:szCs w:val="21"/>
          <w14:textFill>
            <w14:solidFill>
              <w14:schemeClr w14:val="tx1"/>
            </w14:solidFill>
          </w14:textFill>
        </w:rPr>
        <w:t>，大于</w:t>
      </w:r>
      <w:r>
        <w:rPr>
          <w:rFonts w:cs="Times New Roman"/>
          <w:bCs/>
          <w:color w:val="000000" w:themeColor="text1"/>
          <w:szCs w:val="21"/>
          <w14:textFill>
            <w14:solidFill>
              <w14:schemeClr w14:val="tx1"/>
            </w14:solidFill>
          </w14:textFill>
        </w:rPr>
        <w:t>36m</w:t>
      </w:r>
      <w:r>
        <w:rPr>
          <w:rFonts w:hint="eastAsia" w:cs="Times New Roman"/>
          <w:bCs/>
          <w:color w:val="000000" w:themeColor="text1"/>
          <w:szCs w:val="21"/>
          <w14:textFill>
            <w14:solidFill>
              <w14:schemeClr w14:val="tx1"/>
            </w14:solidFill>
          </w14:textFill>
        </w:rPr>
        <w:t>时可取</w:t>
      </w:r>
      <w:r>
        <w:rPr>
          <w:rFonts w:cs="Times New Roman"/>
          <w:bCs/>
          <w:color w:val="000000" w:themeColor="text1"/>
          <w:szCs w:val="21"/>
          <w14:textFill>
            <w14:solidFill>
              <w14:schemeClr w14:val="tx1"/>
            </w14:solidFill>
          </w14:textFill>
        </w:rPr>
        <w:t>0.04</w:t>
      </w:r>
      <w:r>
        <w:rPr>
          <w:rFonts w:hint="eastAsia" w:cs="Times New Roman"/>
          <w:bCs/>
          <w:color w:val="000000" w:themeColor="text1"/>
          <w:szCs w:val="21"/>
          <w14:textFill>
            <w14:solidFill>
              <w14:schemeClr w14:val="tx1"/>
            </w14:solidFill>
          </w14:textFill>
        </w:rPr>
        <w:t>，大于</w:t>
      </w:r>
      <w:r>
        <w:rPr>
          <w:rFonts w:cs="Times New Roman"/>
          <w:bCs/>
          <w:color w:val="000000" w:themeColor="text1"/>
          <w:szCs w:val="21"/>
          <w14:textFill>
            <w14:solidFill>
              <w14:schemeClr w14:val="tx1"/>
            </w14:solidFill>
          </w14:textFill>
        </w:rPr>
        <w:t>72m</w:t>
      </w:r>
      <w:r>
        <w:rPr>
          <w:rFonts w:hint="eastAsia" w:cs="Times New Roman"/>
          <w:bCs/>
          <w:color w:val="000000" w:themeColor="text1"/>
          <w:szCs w:val="21"/>
          <w14:textFill>
            <w14:solidFill>
              <w14:schemeClr w14:val="tx1"/>
            </w14:solidFill>
          </w14:textFill>
        </w:rPr>
        <w:t>时可取</w:t>
      </w:r>
      <w:r>
        <w:rPr>
          <w:rFonts w:cs="Times New Roman"/>
          <w:bCs/>
          <w:color w:val="000000" w:themeColor="text1"/>
          <w:szCs w:val="21"/>
          <w14:textFill>
            <w14:solidFill>
              <w14:schemeClr w14:val="tx1"/>
            </w14:solidFill>
          </w14:textFill>
        </w:rPr>
        <w:t>0.03</w:t>
      </w:r>
      <w:r>
        <w:rPr>
          <w:rFonts w:hint="eastAsia" w:cs="Times New Roman"/>
          <w:bCs/>
          <w:color w:val="000000" w:themeColor="text1"/>
          <w:szCs w:val="21"/>
          <w14:textFill>
            <w14:solidFill>
              <w14:schemeClr w14:val="tx1"/>
            </w14:solidFill>
          </w14:textFill>
        </w:rPr>
        <w:t>。</w:t>
      </w:r>
    </w:p>
    <w:p>
      <w:pPr>
        <w:widowControl/>
        <w:spacing w:line="400" w:lineRule="exact"/>
        <w:ind w:firstLine="420"/>
        <w:jc w:val="left"/>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 xml:space="preserve">2 </w:t>
      </w:r>
      <w:r>
        <w:rPr>
          <w:rFonts w:hint="eastAsia" w:cs="Times New Roman"/>
          <w:bCs/>
          <w:color w:val="000000" w:themeColor="text1"/>
          <w:szCs w:val="21"/>
          <w14:textFill>
            <w14:solidFill>
              <w14:schemeClr w14:val="tx1"/>
            </w14:solidFill>
          </w14:textFill>
        </w:rPr>
        <w:t>罕遇地震下进行弹塑性</w:t>
      </w:r>
      <w:r>
        <w:rPr>
          <w:rFonts w:hint="eastAsia" w:cs="Times New Roman"/>
          <w:bCs/>
          <w:color w:val="000000" w:themeColor="text1"/>
          <w:kern w:val="0"/>
          <w:szCs w:val="21"/>
          <w14:textFill>
            <w14:solidFill>
              <w14:schemeClr w14:val="tx1"/>
            </w14:solidFill>
          </w14:textFill>
        </w:rPr>
        <w:t>分析</w:t>
      </w:r>
      <w:r>
        <w:rPr>
          <w:rFonts w:hint="eastAsia" w:cs="Times New Roman"/>
          <w:bCs/>
          <w:color w:val="000000" w:themeColor="text1"/>
          <w:szCs w:val="21"/>
          <w14:textFill>
            <w14:solidFill>
              <w14:schemeClr w14:val="tx1"/>
            </w14:solidFill>
          </w14:textFill>
        </w:rPr>
        <w:t>时，可取</w:t>
      </w:r>
      <w:r>
        <w:rPr>
          <w:rFonts w:cs="Times New Roman"/>
          <w:bCs/>
          <w:color w:val="000000" w:themeColor="text1"/>
          <w:szCs w:val="21"/>
          <w14:textFill>
            <w14:solidFill>
              <w14:schemeClr w14:val="tx1"/>
            </w14:solidFill>
          </w14:textFill>
        </w:rPr>
        <w:t>0.05</w:t>
      </w:r>
      <w:r>
        <w:rPr>
          <w:rFonts w:hint="eastAsia" w:cs="Times New Roman"/>
          <w:bCs/>
          <w:color w:val="000000" w:themeColor="text1"/>
          <w:szCs w:val="21"/>
          <w14:textFill>
            <w14:solidFill>
              <w14:schemeClr w14:val="tx1"/>
            </w14:solidFill>
          </w14:textFill>
        </w:rPr>
        <w:t>。</w:t>
      </w:r>
    </w:p>
    <w:p>
      <w:pPr>
        <w:widowControl/>
        <w:spacing w:line="400" w:lineRule="exact"/>
        <w:ind w:firstLine="0" w:firstLineChars="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 xml:space="preserve">.2.4 </w:t>
      </w:r>
      <w:r>
        <w:rPr>
          <w:rFonts w:hint="eastAsia"/>
          <w:bCs/>
          <w:color w:val="000000" w:themeColor="text1"/>
          <w:szCs w:val="21"/>
          <w14:textFill>
            <w14:solidFill>
              <w14:schemeClr w14:val="tx1"/>
            </w14:solidFill>
          </w14:textFill>
        </w:rPr>
        <w:t>钢结构的地震作用效应分析，应符合下列规定：</w:t>
      </w:r>
    </w:p>
    <w:p>
      <w:pPr>
        <w:widowControl/>
        <w:spacing w:line="400" w:lineRule="exact"/>
        <w:ind w:firstLine="420"/>
        <w:jc w:val="left"/>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 xml:space="preserve">1 </w:t>
      </w:r>
      <w:r>
        <w:rPr>
          <w:rFonts w:hint="eastAsia" w:cs="Times New Roman"/>
          <w:bCs/>
          <w:color w:val="000000" w:themeColor="text1"/>
          <w:szCs w:val="21"/>
          <w14:textFill>
            <w14:solidFill>
              <w14:schemeClr w14:val="tx1"/>
            </w14:solidFill>
          </w14:textFill>
        </w:rPr>
        <w:t>当钢结构在地震作用下的重力附加弯矩大于初始弯矩的</w:t>
      </w:r>
      <w:r>
        <w:rPr>
          <w:rFonts w:cs="Times New Roman"/>
          <w:bCs/>
          <w:color w:val="000000" w:themeColor="text1"/>
          <w:szCs w:val="21"/>
          <w14:textFill>
            <w14:solidFill>
              <w14:schemeClr w14:val="tx1"/>
            </w14:solidFill>
          </w14:textFill>
        </w:rPr>
        <w:t>10%</w:t>
      </w:r>
      <w:r>
        <w:rPr>
          <w:rFonts w:hint="eastAsia" w:cs="Times New Roman"/>
          <w:bCs/>
          <w:color w:val="000000" w:themeColor="text1"/>
          <w:szCs w:val="21"/>
          <w14:textFill>
            <w14:solidFill>
              <w14:schemeClr w14:val="tx1"/>
            </w14:solidFill>
          </w14:textFill>
        </w:rPr>
        <w:t>时，应计入重力二阶效应，并应按现行国家标准《钢结构设计标准》</w:t>
      </w:r>
      <w:r>
        <w:rPr>
          <w:rFonts w:cs="Times New Roman"/>
          <w:bCs/>
          <w:color w:val="000000" w:themeColor="text1"/>
          <w:szCs w:val="21"/>
          <w14:textFill>
            <w14:solidFill>
              <w14:schemeClr w14:val="tx1"/>
            </w14:solidFill>
          </w14:textFill>
        </w:rPr>
        <w:t>GB50017</w:t>
      </w:r>
      <w:r>
        <w:rPr>
          <w:rFonts w:hint="eastAsia" w:cs="Times New Roman"/>
          <w:bCs/>
          <w:color w:val="000000" w:themeColor="text1"/>
          <w:szCs w:val="21"/>
          <w14:textFill>
            <w14:solidFill>
              <w14:schemeClr w14:val="tx1"/>
            </w14:solidFill>
          </w14:textFill>
        </w:rPr>
        <w:t>的规定进行重力二阶效应的弹性分析。</w:t>
      </w:r>
    </w:p>
    <w:p>
      <w:pPr>
        <w:widowControl/>
        <w:spacing w:line="360" w:lineRule="auto"/>
        <w:ind w:firstLine="420"/>
        <w:jc w:val="left"/>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 xml:space="preserve">2 </w:t>
      </w:r>
      <w:r>
        <w:rPr>
          <w:rFonts w:hint="eastAsia" w:cs="Times New Roman"/>
          <w:bCs/>
          <w:color w:val="000000" w:themeColor="text1"/>
          <w:szCs w:val="24"/>
          <w14:textFill>
            <w14:solidFill>
              <w14:schemeClr w14:val="tx1"/>
            </w14:solidFill>
          </w14:textFill>
        </w:rPr>
        <w:t>中心支撑框架的支撑斜杆轴线应汇交于框架梁柱轴线上，支撑斜杆可按杆端铰接进行内力分析。</w:t>
      </w:r>
      <w:r>
        <w:rPr>
          <w:rFonts w:hint="eastAsia" w:cs="Times New Roman"/>
          <w:bCs/>
          <w:color w:val="000000" w:themeColor="text1"/>
          <w:szCs w:val="21"/>
          <w14:textFill>
            <w14:solidFill>
              <w14:schemeClr w14:val="tx1"/>
            </w14:solidFill>
          </w14:textFill>
        </w:rPr>
        <w:t>当支撑斜杆轴线与梁柱轴线汇交点的偏心距不超过支撑斜杆截面最小尺寸时，也可按中心支撑框架分析，但应计入此偏心距产生的附加弯矩。</w:t>
      </w:r>
    </w:p>
    <w:p>
      <w:pPr>
        <w:widowControl/>
        <w:spacing w:line="360" w:lineRule="auto"/>
        <w:ind w:firstLine="420"/>
        <w:jc w:val="left"/>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 xml:space="preserve">3 </w:t>
      </w:r>
      <w:r>
        <w:rPr>
          <w:rFonts w:hint="eastAsia" w:cs="Times New Roman"/>
          <w:bCs/>
          <w:color w:val="000000" w:themeColor="text1"/>
          <w:szCs w:val="21"/>
          <w14:textFill>
            <w14:solidFill>
              <w14:schemeClr w14:val="tx1"/>
            </w14:solidFill>
          </w14:textFill>
        </w:rPr>
        <w:t>多层中心支撑框架进行内力分析时，框架部分按刚度分配算得的楼层地震剪力应乘以调整系数，达到任一层地震剪力不小于结构底部总地震剪力的</w:t>
      </w:r>
      <w:r>
        <w:rPr>
          <w:rFonts w:cs="Times New Roman"/>
          <w:bCs/>
          <w:color w:val="000000" w:themeColor="text1"/>
          <w:szCs w:val="21"/>
          <w14:textFill>
            <w14:solidFill>
              <w14:schemeClr w14:val="tx1"/>
            </w14:solidFill>
          </w14:textFill>
        </w:rPr>
        <w:t>25%</w:t>
      </w:r>
      <w:r>
        <w:rPr>
          <w:rFonts w:hint="eastAsia" w:cs="Times New Roman"/>
          <w:bCs/>
          <w:color w:val="000000" w:themeColor="text1"/>
          <w:szCs w:val="21"/>
          <w14:textFill>
            <w14:solidFill>
              <w14:schemeClr w14:val="tx1"/>
            </w14:solidFill>
          </w14:textFill>
        </w:rPr>
        <w:t>和框架部分计算的层地震剪力最大值的</w:t>
      </w:r>
      <w:r>
        <w:rPr>
          <w:rFonts w:cs="Times New Roman"/>
          <w:bCs/>
          <w:color w:val="000000" w:themeColor="text1"/>
          <w:szCs w:val="21"/>
          <w14:textFill>
            <w14:solidFill>
              <w14:schemeClr w14:val="tx1"/>
            </w14:solidFill>
          </w14:textFill>
        </w:rPr>
        <w:t>1.8</w:t>
      </w:r>
      <w:r>
        <w:rPr>
          <w:rFonts w:hint="eastAsia" w:cs="Times New Roman"/>
          <w:bCs/>
          <w:color w:val="000000" w:themeColor="text1"/>
          <w:szCs w:val="21"/>
          <w14:textFill>
            <w14:solidFill>
              <w14:schemeClr w14:val="tx1"/>
            </w14:solidFill>
          </w14:textFill>
        </w:rPr>
        <w:t>倍中的较小值。</w:t>
      </w:r>
    </w:p>
    <w:p>
      <w:pPr>
        <w:spacing w:line="360" w:lineRule="auto"/>
        <w:ind w:firstLine="0" w:firstLineChars="0"/>
        <w:rPr>
          <w:rFonts w:cs="Times New Roman"/>
          <w:bCs/>
          <w:snapToGrid w:val="0"/>
          <w:color w:val="000000" w:themeColor="text1"/>
          <w:kern w:val="0"/>
          <w:szCs w:val="24"/>
          <w14:textFill>
            <w14:solidFill>
              <w14:schemeClr w14:val="tx1"/>
            </w14:solidFill>
          </w14:textFill>
        </w:rPr>
      </w:pPr>
      <w:r>
        <w:rPr>
          <w:rFonts w:hint="eastAsia" w:cs="Times New Roman"/>
          <w:bCs/>
          <w:color w:val="000000" w:themeColor="text1"/>
          <w:kern w:val="0"/>
          <w:szCs w:val="21"/>
          <w14:textFill>
            <w14:solidFill>
              <w14:schemeClr w14:val="tx1"/>
            </w14:solidFill>
          </w14:textFill>
        </w:rPr>
        <w:t>9</w:t>
      </w:r>
      <w:r>
        <w:rPr>
          <w:rFonts w:cs="Times New Roman"/>
          <w:bCs/>
          <w:color w:val="000000" w:themeColor="text1"/>
          <w:kern w:val="0"/>
          <w:szCs w:val="21"/>
          <w14:textFill>
            <w14:solidFill>
              <w14:schemeClr w14:val="tx1"/>
            </w14:solidFill>
          </w14:textFill>
        </w:rPr>
        <w:t>.2.5</w:t>
      </w:r>
      <w:r>
        <w:rPr>
          <w:rFonts w:cs="Times New Roman"/>
          <w:bCs/>
          <w:color w:val="000000" w:themeColor="text1"/>
          <w:szCs w:val="24"/>
          <w14:textFill>
            <w14:solidFill>
              <w14:schemeClr w14:val="tx1"/>
            </w14:solidFill>
          </w14:textFill>
        </w:rPr>
        <w:t xml:space="preserve"> </w:t>
      </w:r>
      <w:r>
        <w:rPr>
          <w:rFonts w:hint="eastAsia" w:cs="Times New Roman"/>
          <w:bCs/>
          <w:snapToGrid w:val="0"/>
          <w:color w:val="000000" w:themeColor="text1"/>
          <w:kern w:val="0"/>
          <w:szCs w:val="24"/>
          <w14:textFill>
            <w14:solidFill>
              <w14:schemeClr w14:val="tx1"/>
            </w14:solidFill>
          </w14:textFill>
        </w:rPr>
        <w:t>框架</w:t>
      </w:r>
      <w:r>
        <w:rPr>
          <w:rFonts w:hint="eastAsia" w:cs="Times New Roman"/>
          <w:bCs/>
          <w:color w:val="000000" w:themeColor="text1"/>
          <w:kern w:val="0"/>
          <w:szCs w:val="21"/>
          <w14:textFill>
            <w14:solidFill>
              <w14:schemeClr w14:val="tx1"/>
            </w14:solidFill>
          </w14:textFill>
        </w:rPr>
        <w:t>的</w:t>
      </w:r>
      <w:r>
        <w:rPr>
          <w:rFonts w:hint="eastAsia" w:cs="Times New Roman"/>
          <w:bCs/>
          <w:snapToGrid w:val="0"/>
          <w:color w:val="000000" w:themeColor="text1"/>
          <w:kern w:val="0"/>
          <w:szCs w:val="24"/>
          <w14:textFill>
            <w14:solidFill>
              <w14:schemeClr w14:val="tx1"/>
            </w14:solidFill>
          </w14:textFill>
        </w:rPr>
        <w:t>梁柱弯矩比应符合下列规定：</w:t>
      </w:r>
    </w:p>
    <w:p>
      <w:pPr>
        <w:spacing w:line="360" w:lineRule="auto"/>
        <w:ind w:firstLine="42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1  PS1</w:t>
      </w:r>
      <w:r>
        <w:rPr>
          <w:rFonts w:hint="eastAsia" w:cs="Times New Roman"/>
          <w:bCs/>
          <w:snapToGrid w:val="0"/>
          <w:color w:val="000000" w:themeColor="text1"/>
          <w:szCs w:val="24"/>
          <w14:textFill>
            <w14:solidFill>
              <w14:schemeClr w14:val="tx1"/>
            </w14:solidFill>
          </w14:textFill>
        </w:rPr>
        <w:t>、</w:t>
      </w:r>
      <w:r>
        <w:rPr>
          <w:rFonts w:cs="Times New Roman"/>
          <w:bCs/>
          <w:snapToGrid w:val="0"/>
          <w:color w:val="000000" w:themeColor="text1"/>
          <w:szCs w:val="24"/>
          <w14:textFill>
            <w14:solidFill>
              <w14:schemeClr w14:val="tx1"/>
            </w14:solidFill>
          </w14:textFill>
        </w:rPr>
        <w:t>PS2</w:t>
      </w:r>
      <w:r>
        <w:rPr>
          <w:rFonts w:hint="eastAsia" w:cs="Times New Roman"/>
          <w:bCs/>
          <w:snapToGrid w:val="0"/>
          <w:color w:val="000000" w:themeColor="text1"/>
          <w:szCs w:val="24"/>
          <w14:textFill>
            <w14:solidFill>
              <w14:schemeClr w14:val="tx1"/>
            </w14:solidFill>
          </w14:textFill>
        </w:rPr>
        <w:t>框架，其节点左右</w:t>
      </w:r>
      <w:r>
        <w:rPr>
          <w:rFonts w:hint="eastAsia" w:cs="Times New Roman"/>
          <w:bCs/>
          <w:snapToGrid w:val="0"/>
          <w:color w:val="000000" w:themeColor="text1"/>
          <w:kern w:val="0"/>
          <w:szCs w:val="24"/>
          <w14:textFill>
            <w14:solidFill>
              <w14:schemeClr w14:val="tx1"/>
            </w14:solidFill>
          </w14:textFill>
        </w:rPr>
        <w:t>梁</w:t>
      </w:r>
      <w:r>
        <w:rPr>
          <w:rFonts w:hint="eastAsia" w:cs="Times New Roman"/>
          <w:bCs/>
          <w:snapToGrid w:val="0"/>
          <w:color w:val="000000" w:themeColor="text1"/>
          <w:szCs w:val="24"/>
          <w14:textFill>
            <w14:solidFill>
              <w14:schemeClr w14:val="tx1"/>
            </w14:solidFill>
          </w14:textFill>
        </w:rPr>
        <w:t>端和上下柱端的</w:t>
      </w:r>
      <w:r>
        <w:rPr>
          <w:rFonts w:hint="eastAsia" w:cs="Times New Roman"/>
          <w:bCs/>
          <w:snapToGrid w:val="0"/>
          <w:color w:val="000000" w:themeColor="text1"/>
          <w:kern w:val="0"/>
          <w:szCs w:val="24"/>
          <w14:textFill>
            <w14:solidFill>
              <w14:schemeClr w14:val="tx1"/>
            </w14:solidFill>
          </w14:textFill>
        </w:rPr>
        <w:t>塑性</w:t>
      </w:r>
      <w:r>
        <w:rPr>
          <w:rFonts w:hint="eastAsia" w:cs="Times New Roman"/>
          <w:bCs/>
          <w:snapToGrid w:val="0"/>
          <w:color w:val="000000" w:themeColor="text1"/>
          <w:szCs w:val="24"/>
          <w14:textFill>
            <w14:solidFill>
              <w14:schemeClr w14:val="tx1"/>
            </w14:solidFill>
          </w14:textFill>
        </w:rPr>
        <w:t>承载力，应符合下式的要求：</w:t>
      </w:r>
    </w:p>
    <w:p>
      <w:pPr>
        <w:spacing w:line="360" w:lineRule="auto"/>
        <w:ind w:firstLine="420"/>
        <w:rPr>
          <w:rFonts w:cs="Times New Roman"/>
          <w:bCs/>
          <w:i/>
          <w:snapToGrid w:val="0"/>
          <w:color w:val="000000" w:themeColor="text1"/>
          <w:szCs w:val="24"/>
          <w14:textFill>
            <w14:solidFill>
              <w14:schemeClr w14:val="tx1"/>
            </w14:solidFill>
          </w14:textFill>
        </w:rPr>
      </w:pPr>
      <m:oMathPara>
        <m:oMath>
          <m:r>
            <m:rPr>
              <m:sty m:val="p"/>
            </m:rPr>
            <w:rPr>
              <w:rFonts w:ascii="Cambria Math" w:hAnsi="Cambria Math" w:cs="宋体"/>
              <w:snapToGrid w:val="0"/>
              <w:color w:val="000000" w:themeColor="text1"/>
              <w:szCs w:val="24"/>
              <w14:textFill>
                <w14:solidFill>
                  <w14:schemeClr w14:val="tx1"/>
                </w14:solidFill>
              </w14:textFill>
            </w:rPr>
            <m:t>Σ</m:t>
          </m:r>
          <m:sSub>
            <m:sSubPr>
              <m:ctrlPr>
                <w:rPr>
                  <w:rFonts w:ascii="Cambria Math" w:hAnsi="Cambria Math" w:cs="宋体"/>
                  <w:bCs/>
                  <w:iCs/>
                  <w:snapToGrid w:val="0"/>
                  <w:color w:val="000000" w:themeColor="text1"/>
                  <w:szCs w:val="24"/>
                  <w14:textFill>
                    <w14:solidFill>
                      <w14:schemeClr w14:val="tx1"/>
                    </w14:solidFill>
                  </w14:textFill>
                </w:rPr>
              </m:ctrlPr>
            </m:sSubPr>
            <m:e>
              <m:r>
                <m:rPr>
                  <m:sty m:val="p"/>
                </m:rPr>
                <w:rPr>
                  <w:rFonts w:ascii="Cambria Math" w:hAnsi="Cambria Math" w:cs="宋体"/>
                  <w:snapToGrid w:val="0"/>
                  <w:color w:val="000000" w:themeColor="text1"/>
                  <w:szCs w:val="24"/>
                  <w14:textFill>
                    <w14:solidFill>
                      <w14:schemeClr w14:val="tx1"/>
                    </w14:solidFill>
                  </w14:textFill>
                </w:rPr>
                <m:t>W</m:t>
              </m:r>
              <m:ctrlPr>
                <w:rPr>
                  <w:rFonts w:ascii="Cambria Math" w:hAnsi="Cambria Math" w:cs="宋体"/>
                  <w:bCs/>
                  <w:iCs/>
                  <w:snapToGrid w:val="0"/>
                  <w:color w:val="000000" w:themeColor="text1"/>
                  <w:szCs w:val="24"/>
                  <w14:textFill>
                    <w14:solidFill>
                      <w14:schemeClr w14:val="tx1"/>
                    </w14:solidFill>
                  </w14:textFill>
                </w:rPr>
              </m:ctrlPr>
            </m:e>
            <m:sub>
              <m:r>
                <m:rPr>
                  <m:sty m:val="p"/>
                </m:rPr>
                <w:rPr>
                  <w:rFonts w:ascii="Cambria Math" w:hAnsi="Cambria Math" w:cs="宋体"/>
                  <w:snapToGrid w:val="0"/>
                  <w:color w:val="000000" w:themeColor="text1"/>
                  <w:szCs w:val="24"/>
                  <w14:textFill>
                    <w14:solidFill>
                      <w14:schemeClr w14:val="tx1"/>
                    </w14:solidFill>
                  </w14:textFill>
                </w:rPr>
                <m:t>pc</m:t>
              </m:r>
              <m:ctrlPr>
                <w:rPr>
                  <w:rFonts w:ascii="Cambria Math" w:hAnsi="Cambria Math" w:cs="宋体"/>
                  <w:bCs/>
                  <w:iCs/>
                  <w:snapToGrid w:val="0"/>
                  <w:color w:val="000000" w:themeColor="text1"/>
                  <w:szCs w:val="24"/>
                  <w14:textFill>
                    <w14:solidFill>
                      <w14:schemeClr w14:val="tx1"/>
                    </w14:solidFill>
                  </w14:textFill>
                </w:rPr>
              </m:ctrlPr>
            </m:sub>
          </m:sSub>
          <m:d>
            <m:dPr>
              <m:begChr m:val="（"/>
              <m:endChr m:val="）"/>
              <m:ctrlPr>
                <w:rPr>
                  <w:rFonts w:ascii="Cambria Math" w:hAnsi="Cambria Math" w:cs="宋体"/>
                  <w:bCs/>
                  <w:snapToGrid w:val="0"/>
                  <w:color w:val="000000" w:themeColor="text1"/>
                  <w:szCs w:val="24"/>
                  <w14:textFill>
                    <w14:solidFill>
                      <w14:schemeClr w14:val="tx1"/>
                    </w14:solidFill>
                  </w14:textFill>
                </w:rPr>
              </m:ctrlPr>
            </m:dPr>
            <m:e>
              <m:sSub>
                <m:sSubPr>
                  <m:ctrlPr>
                    <w:rPr>
                      <w:rFonts w:ascii="Cambria Math" w:hAnsi="Cambria Math" w:eastAsia="楷体_GB2312" w:cs="Calibri"/>
                      <w:color w:val="000000" w:themeColor="text1"/>
                      <w:kern w:val="0"/>
                      <w:szCs w:val="21"/>
                      <w14:textFill>
                        <w14:solidFill>
                          <w14:schemeClr w14:val="tx1"/>
                        </w14:solidFill>
                      </w14:textFill>
                    </w:rPr>
                  </m:ctrlPr>
                </m:sSubPr>
                <m:e>
                  <m: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yc</m:t>
                  </m:r>
                  <m:ctrlPr>
                    <w:rPr>
                      <w:rFonts w:ascii="Cambria Math" w:hAnsi="Cambria Math" w:eastAsia="楷体_GB2312" w:cs="Calibri"/>
                      <w:color w:val="000000" w:themeColor="text1"/>
                      <w:kern w:val="0"/>
                      <w:szCs w:val="21"/>
                      <w14:textFill>
                        <w14:solidFill>
                          <w14:schemeClr w14:val="tx1"/>
                        </w14:solidFill>
                      </w14:textFill>
                    </w:rPr>
                  </m:ctrlPr>
                </m:sub>
              </m:sSub>
              <m:r>
                <m:rPr>
                  <m:sty m:val="p"/>
                </m:rPr>
                <w:rPr>
                  <w:rFonts w:hint="eastAsia" w:ascii="微软雅黑" w:hAnsi="微软雅黑" w:eastAsia="微软雅黑" w:cs="微软雅黑"/>
                  <w:snapToGrid w:val="0"/>
                  <w:color w:val="000000" w:themeColor="text1"/>
                  <w:szCs w:val="24"/>
                  <w14:textFill>
                    <w14:solidFill>
                      <w14:schemeClr w14:val="tx1"/>
                    </w14:solidFill>
                  </w14:textFill>
                </w:rPr>
                <m:t>-</m:t>
              </m:r>
              <m:f>
                <m:fPr>
                  <m:ctrlPr>
                    <w:rPr>
                      <w:rFonts w:ascii="Cambria Math" w:hAnsi="宋体" w:cs="宋体"/>
                      <w:bCs/>
                      <w:snapToGrid w:val="0"/>
                      <w:color w:val="000000" w:themeColor="text1"/>
                      <w:szCs w:val="24"/>
                      <w14:textFill>
                        <w14:solidFill>
                          <w14:schemeClr w14:val="tx1"/>
                        </w14:solidFill>
                      </w14:textFill>
                    </w:rPr>
                  </m:ctrlPr>
                </m:fPr>
                <m:num>
                  <m:sSub>
                    <m:sSubPr>
                      <m:ctrlPr>
                        <w:rPr>
                          <w:rFonts w:ascii="Cambria Math" w:hAnsi="宋体" w:cs="宋体"/>
                          <w:bCs/>
                          <w:snapToGrid w:val="0"/>
                          <w:color w:val="000000" w:themeColor="text1"/>
                          <w:szCs w:val="24"/>
                          <w14:textFill>
                            <w14:solidFill>
                              <w14:schemeClr w14:val="tx1"/>
                            </w14:solidFill>
                          </w14:textFill>
                        </w:rPr>
                      </m:ctrlPr>
                    </m:sSubPr>
                    <m:e>
                      <m:r>
                        <m:rPr>
                          <m:sty m:val="p"/>
                        </m:rPr>
                        <w:rPr>
                          <w:rFonts w:ascii="Cambria Math" w:hAnsi="宋体" w:cs="宋体"/>
                          <w:snapToGrid w:val="0"/>
                          <w:color w:val="000000" w:themeColor="text1"/>
                          <w:szCs w:val="24"/>
                          <w14:textFill>
                            <w14:solidFill>
                              <w14:schemeClr w14:val="tx1"/>
                            </w14:solidFill>
                          </w14:textFill>
                        </w:rPr>
                        <m:t>N</m:t>
                      </m:r>
                      <m:ctrlPr>
                        <w:rPr>
                          <w:rFonts w:ascii="Cambria Math" w:hAnsi="宋体" w:cs="宋体"/>
                          <w:bCs/>
                          <w:snapToGrid w:val="0"/>
                          <w:color w:val="000000" w:themeColor="text1"/>
                          <w:szCs w:val="24"/>
                          <w14:textFill>
                            <w14:solidFill>
                              <w14:schemeClr w14:val="tx1"/>
                            </w14:solidFill>
                          </w14:textFill>
                        </w:rPr>
                      </m:ctrlPr>
                    </m:e>
                    <m:sub>
                      <m:r>
                        <w:rPr>
                          <w:rFonts w:ascii="Cambria Math" w:hAnsi="宋体" w:cs="宋体"/>
                          <w:snapToGrid w:val="0"/>
                          <w:color w:val="000000" w:themeColor="text1"/>
                          <w:szCs w:val="24"/>
                          <w14:textFill>
                            <w14:solidFill>
                              <w14:schemeClr w14:val="tx1"/>
                            </w14:solidFill>
                          </w14:textFill>
                        </w:rPr>
                        <m:t>Ec</m:t>
                      </m:r>
                      <m:ctrlPr>
                        <w:rPr>
                          <w:rFonts w:ascii="Cambria Math" w:hAnsi="宋体" w:cs="宋体"/>
                          <w:bCs/>
                          <w:snapToGrid w:val="0"/>
                          <w:color w:val="000000" w:themeColor="text1"/>
                          <w:szCs w:val="24"/>
                          <w14:textFill>
                            <w14:solidFill>
                              <w14:schemeClr w14:val="tx1"/>
                            </w14:solidFill>
                          </w14:textFill>
                        </w:rPr>
                      </m:ctrlPr>
                    </m:sub>
                  </m:sSub>
                  <m:ctrlPr>
                    <w:rPr>
                      <w:rFonts w:ascii="Cambria Math" w:hAnsi="宋体" w:cs="宋体"/>
                      <w:bCs/>
                      <w:snapToGrid w:val="0"/>
                      <w:color w:val="000000" w:themeColor="text1"/>
                      <w:szCs w:val="24"/>
                      <w14:textFill>
                        <w14:solidFill>
                          <w14:schemeClr w14:val="tx1"/>
                        </w14:solidFill>
                      </w14:textFill>
                    </w:rPr>
                  </m:ctrlPr>
                </m:num>
                <m:den>
                  <m:sSub>
                    <m:sSubPr>
                      <m:ctrlPr>
                        <w:rPr>
                          <w:rFonts w:ascii="Cambria Math" w:hAnsi="宋体" w:cs="宋体"/>
                          <w:bCs/>
                          <w:snapToGrid w:val="0"/>
                          <w:color w:val="000000" w:themeColor="text1"/>
                          <w:szCs w:val="24"/>
                          <w14:textFill>
                            <w14:solidFill>
                              <w14:schemeClr w14:val="tx1"/>
                            </w14:solidFill>
                          </w14:textFill>
                        </w:rPr>
                      </m:ctrlPr>
                    </m:sSubPr>
                    <m:e>
                      <m:r>
                        <m:rPr>
                          <m:sty m:val="p"/>
                        </m:rPr>
                        <w:rPr>
                          <w:rFonts w:ascii="Cambria Math" w:hAnsi="宋体" w:cs="宋体"/>
                          <w:snapToGrid w:val="0"/>
                          <w:color w:val="000000" w:themeColor="text1"/>
                          <w:szCs w:val="24"/>
                          <w14:textFill>
                            <w14:solidFill>
                              <w14:schemeClr w14:val="tx1"/>
                            </w14:solidFill>
                          </w14:textFill>
                        </w:rPr>
                        <m:t>A</m:t>
                      </m:r>
                      <m:ctrlPr>
                        <w:rPr>
                          <w:rFonts w:ascii="Cambria Math" w:hAnsi="宋体" w:cs="宋体"/>
                          <w:bCs/>
                          <w:snapToGrid w:val="0"/>
                          <w:color w:val="000000" w:themeColor="text1"/>
                          <w:szCs w:val="24"/>
                          <w14:textFill>
                            <w14:solidFill>
                              <w14:schemeClr w14:val="tx1"/>
                            </w14:solidFill>
                          </w14:textFill>
                        </w:rPr>
                      </m:ctrlPr>
                    </m:e>
                    <m:sub>
                      <m:r>
                        <w:rPr>
                          <w:rFonts w:ascii="Cambria Math" w:hAnsi="宋体" w:cs="宋体"/>
                          <w:snapToGrid w:val="0"/>
                          <w:color w:val="000000" w:themeColor="text1"/>
                          <w:szCs w:val="24"/>
                          <w14:textFill>
                            <w14:solidFill>
                              <w14:schemeClr w14:val="tx1"/>
                            </w14:solidFill>
                          </w14:textFill>
                        </w:rPr>
                        <m:t>c</m:t>
                      </m:r>
                      <m:ctrlPr>
                        <w:rPr>
                          <w:rFonts w:ascii="Cambria Math" w:hAnsi="宋体" w:cs="宋体"/>
                          <w:bCs/>
                          <w:snapToGrid w:val="0"/>
                          <w:color w:val="000000" w:themeColor="text1"/>
                          <w:szCs w:val="24"/>
                          <w14:textFill>
                            <w14:solidFill>
                              <w14:schemeClr w14:val="tx1"/>
                            </w14:solidFill>
                          </w14:textFill>
                        </w:rPr>
                      </m:ctrlPr>
                    </m:sub>
                  </m:sSub>
                  <m:ctrlPr>
                    <w:rPr>
                      <w:rFonts w:ascii="Cambria Math" w:hAnsi="宋体" w:cs="宋体"/>
                      <w:bCs/>
                      <w:snapToGrid w:val="0"/>
                      <w:color w:val="000000" w:themeColor="text1"/>
                      <w:szCs w:val="24"/>
                      <w14:textFill>
                        <w14:solidFill>
                          <w14:schemeClr w14:val="tx1"/>
                        </w14:solidFill>
                      </w14:textFill>
                    </w:rPr>
                  </m:ctrlPr>
                </m:den>
              </m:f>
              <m:ctrlPr>
                <w:rPr>
                  <w:rFonts w:ascii="Cambria Math" w:hAnsi="Cambria Math" w:cs="宋体"/>
                  <w:bCs/>
                  <w:snapToGrid w:val="0"/>
                  <w:color w:val="000000" w:themeColor="text1"/>
                  <w:szCs w:val="24"/>
                  <w14:textFill>
                    <w14:solidFill>
                      <w14:schemeClr w14:val="tx1"/>
                    </w14:solidFill>
                  </w14:textFill>
                </w:rPr>
              </m:ctrlPr>
            </m:e>
          </m:d>
          <m:r>
            <m:rPr>
              <m:sty m:val="p"/>
            </m:rPr>
            <w:rPr>
              <w:rFonts w:ascii="Cambria Math" w:hAnsi="宋体" w:cs="宋体"/>
              <w:snapToGrid w:val="0"/>
              <w:color w:val="000000" w:themeColor="text1"/>
              <w:szCs w:val="24"/>
              <w14:textFill>
                <w14:solidFill>
                  <w14:schemeClr w14:val="tx1"/>
                </w14:solidFill>
              </w14:textFill>
            </w:rPr>
            <m:t>≥</m:t>
          </m:r>
          <m:r>
            <m:rPr>
              <m:sty m:val="p"/>
            </m:rPr>
            <w:rPr>
              <w:rFonts w:ascii="Cambria Math" w:hAnsi="Cambria Math" w:cs="宋体"/>
              <w:snapToGrid w:val="0"/>
              <w:color w:val="000000" w:themeColor="text1"/>
              <w:szCs w:val="24"/>
              <w14:textFill>
                <w14:solidFill>
                  <w14:schemeClr w14:val="tx1"/>
                </w14:solidFill>
              </w14:textFill>
            </w:rPr>
            <m:t>Σ</m:t>
          </m:r>
          <w:bookmarkStart w:id="162" w:name="_Hlk24010370"/>
          <m:d>
            <m:dPr>
              <m:begChr m:val="（"/>
              <m:endChr m:val="）"/>
              <m:ctrlPr>
                <w:rPr>
                  <w:rFonts w:ascii="Cambria Math" w:hAnsi="Cambria Math" w:cs="宋体"/>
                  <w:snapToGrid w:val="0"/>
                  <w:color w:val="000000" w:themeColor="text1"/>
                  <w:szCs w:val="24"/>
                  <w14:textFill>
                    <w14:solidFill>
                      <w14:schemeClr w14:val="tx1"/>
                    </w14:solidFill>
                  </w14:textFill>
                </w:rPr>
              </m:ctrlPr>
            </m:dPr>
            <m:e>
              <m:r>
                <m:rPr>
                  <m:sty m:val="p"/>
                </m:rPr>
                <w:rPr>
                  <w:rFonts w:ascii="Cambria Math" w:hAnsi="Cambria Math" w:cs="宋体"/>
                  <w:snapToGrid w:val="0"/>
                  <w:color w:val="000000" w:themeColor="text1"/>
                  <w:szCs w:val="24"/>
                  <w14:textFill>
                    <w14:solidFill>
                      <w14:schemeClr w14:val="tx1"/>
                    </w14:solidFill>
                  </w14:textFill>
                </w:rPr>
                <m:t>η</m:t>
              </m:r>
              <w:bookmarkEnd w:id="162"/>
              <m:sSub>
                <m:sSubPr>
                  <m:ctrlPr>
                    <w:rPr>
                      <w:rFonts w:ascii="Cambria Math" w:hAnsi="Cambria Math" w:cs="宋体"/>
                      <w:bCs/>
                      <w:iCs/>
                      <w:snapToGrid w:val="0"/>
                      <w:color w:val="000000" w:themeColor="text1"/>
                      <w:szCs w:val="24"/>
                      <w14:textFill>
                        <w14:solidFill>
                          <w14:schemeClr w14:val="tx1"/>
                        </w14:solidFill>
                      </w14:textFill>
                    </w:rPr>
                  </m:ctrlPr>
                </m:sSubPr>
                <m:e>
                  <m:r>
                    <m:rPr>
                      <m:sty m:val="p"/>
                    </m:rPr>
                    <w:rPr>
                      <w:rFonts w:ascii="Cambria Math" w:hAnsi="Cambria Math" w:cs="宋体"/>
                      <w:snapToGrid w:val="0"/>
                      <w:color w:val="000000" w:themeColor="text1"/>
                      <w:szCs w:val="24"/>
                      <w14:textFill>
                        <w14:solidFill>
                          <w14:schemeClr w14:val="tx1"/>
                        </w14:solidFill>
                      </w14:textFill>
                    </w:rPr>
                    <m:t>W</m:t>
                  </m:r>
                  <m:ctrlPr>
                    <w:rPr>
                      <w:rFonts w:ascii="Cambria Math" w:hAnsi="Cambria Math" w:cs="宋体"/>
                      <w:bCs/>
                      <w:iCs/>
                      <w:snapToGrid w:val="0"/>
                      <w:color w:val="000000" w:themeColor="text1"/>
                      <w:szCs w:val="24"/>
                      <w14:textFill>
                        <w14:solidFill>
                          <w14:schemeClr w14:val="tx1"/>
                        </w14:solidFill>
                      </w14:textFill>
                    </w:rPr>
                  </m:ctrlPr>
                </m:e>
                <m:sub>
                  <m:r>
                    <m:rPr>
                      <m:sty m:val="p"/>
                    </m:rPr>
                    <w:rPr>
                      <w:rFonts w:ascii="Cambria Math" w:hAnsi="Cambria Math" w:cs="宋体"/>
                      <w:snapToGrid w:val="0"/>
                      <w:color w:val="000000" w:themeColor="text1"/>
                      <w:szCs w:val="24"/>
                      <w14:textFill>
                        <w14:solidFill>
                          <w14:schemeClr w14:val="tx1"/>
                        </w14:solidFill>
                      </w14:textFill>
                    </w:rPr>
                    <m:t>pb</m:t>
                  </m:r>
                  <m:ctrlPr>
                    <w:rPr>
                      <w:rFonts w:ascii="Cambria Math" w:hAnsi="Cambria Math" w:cs="宋体"/>
                      <w:bCs/>
                      <w:iCs/>
                      <w:snapToGrid w:val="0"/>
                      <w:color w:val="000000" w:themeColor="text1"/>
                      <w:szCs w:val="24"/>
                      <w14:textFill>
                        <w14:solidFill>
                          <w14:schemeClr w14:val="tx1"/>
                        </w14:solidFill>
                      </w14:textFill>
                    </w:rPr>
                  </m:ctrlPr>
                </m:sub>
              </m:sSub>
              <m:r>
                <m:rPr>
                  <m:sty m:val="p"/>
                </m:rPr>
                <w:rPr>
                  <w:rFonts w:ascii="Cambria Math" w:hAnsi="Cambria Math" w:cs="宋体"/>
                  <w:snapToGrid w:val="0"/>
                  <w:color w:val="000000" w:themeColor="text1"/>
                  <w:szCs w:val="24"/>
                  <w14:textFill>
                    <w14:solidFill>
                      <w14:schemeClr w14:val="tx1"/>
                    </w14:solidFill>
                  </w14:textFill>
                </w:rPr>
                <m:t>+</m:t>
              </m:r>
              <m:sSub>
                <m:sSubPr>
                  <m:ctrlPr>
                    <w:rPr>
                      <w:rFonts w:ascii="Cambria Math" w:hAnsi="Cambria Math" w:cs="宋体"/>
                      <w:bCs/>
                      <w:iCs/>
                      <w:snapToGrid w:val="0"/>
                      <w:color w:val="000000" w:themeColor="text1"/>
                      <w:szCs w:val="24"/>
                      <w14:textFill>
                        <w14:solidFill>
                          <w14:schemeClr w14:val="tx1"/>
                        </w14:solidFill>
                      </w14:textFill>
                    </w:rPr>
                  </m:ctrlPr>
                </m:sSubPr>
                <m:e>
                  <m:r>
                    <m:rPr>
                      <m:sty m:val="p"/>
                    </m:rPr>
                    <w:rPr>
                      <w:rFonts w:ascii="Cambria Math" w:hAnsi="Cambria Math" w:cs="宋体"/>
                      <w:snapToGrid w:val="0"/>
                      <w:color w:val="000000" w:themeColor="text1"/>
                      <w:szCs w:val="24"/>
                      <w14:textFill>
                        <w14:solidFill>
                          <w14:schemeClr w14:val="tx1"/>
                        </w14:solidFill>
                      </w14:textFill>
                    </w:rPr>
                    <m:t>V</m:t>
                  </m:r>
                  <m:ctrlPr>
                    <w:rPr>
                      <w:rFonts w:ascii="Cambria Math" w:hAnsi="Cambria Math" w:cs="宋体"/>
                      <w:bCs/>
                      <w:iCs/>
                      <w:snapToGrid w:val="0"/>
                      <w:color w:val="000000" w:themeColor="text1"/>
                      <w:szCs w:val="24"/>
                      <w14:textFill>
                        <w14:solidFill>
                          <w14:schemeClr w14:val="tx1"/>
                        </w14:solidFill>
                      </w14:textFill>
                    </w:rPr>
                  </m:ctrlPr>
                </m:e>
                <m:sub>
                  <m:r>
                    <m:rPr>
                      <m:sty m:val="p"/>
                    </m:rPr>
                    <w:rPr>
                      <w:rFonts w:ascii="Cambria Math" w:hAnsi="Cambria Math" w:cs="宋体"/>
                      <w:snapToGrid w:val="0"/>
                      <w:color w:val="000000" w:themeColor="text1"/>
                      <w:szCs w:val="24"/>
                      <w14:textFill>
                        <w14:solidFill>
                          <w14:schemeClr w14:val="tx1"/>
                        </w14:solidFill>
                      </w14:textFill>
                    </w:rPr>
                    <m:t>ph</m:t>
                  </m:r>
                  <m:ctrlPr>
                    <w:rPr>
                      <w:rFonts w:ascii="Cambria Math" w:hAnsi="Cambria Math" w:cs="宋体"/>
                      <w:bCs/>
                      <w:iCs/>
                      <w:snapToGrid w:val="0"/>
                      <w:color w:val="000000" w:themeColor="text1"/>
                      <w:szCs w:val="24"/>
                      <w14:textFill>
                        <w14:solidFill>
                          <w14:schemeClr w14:val="tx1"/>
                        </w14:solidFill>
                      </w14:textFill>
                    </w:rPr>
                  </m:ctrlPr>
                </m:sub>
              </m:sSub>
              <m:sSub>
                <m:sSubPr>
                  <m:ctrlPr>
                    <w:rPr>
                      <w:rFonts w:ascii="Cambria Math" w:hAnsi="Cambria Math" w:cs="宋体"/>
                      <w:bCs/>
                      <w:i/>
                      <w:snapToGrid w:val="0"/>
                      <w:color w:val="000000" w:themeColor="text1"/>
                      <w:szCs w:val="24"/>
                      <w14:textFill>
                        <w14:solidFill>
                          <w14:schemeClr w14:val="tx1"/>
                        </w14:solidFill>
                      </w14:textFill>
                    </w:rPr>
                  </m:ctrlPr>
                </m:sSubPr>
                <m:e>
                  <m:r>
                    <w:rPr>
                      <w:rFonts w:hint="eastAsia" w:ascii="Cambria Math" w:hAnsi="Cambria Math" w:cs="宋体"/>
                      <w:snapToGrid w:val="0"/>
                      <w:color w:val="000000" w:themeColor="text1"/>
                      <w:szCs w:val="24"/>
                      <w14:textFill>
                        <w14:solidFill>
                          <w14:schemeClr w14:val="tx1"/>
                        </w14:solidFill>
                      </w14:textFill>
                    </w:rPr>
                    <m:t>l</m:t>
                  </m:r>
                  <m:ctrlPr>
                    <w:rPr>
                      <w:rFonts w:ascii="Cambria Math" w:hAnsi="Cambria Math" w:cs="宋体"/>
                      <w:bCs/>
                      <w:i/>
                      <w:snapToGrid w:val="0"/>
                      <w:color w:val="000000" w:themeColor="text1"/>
                      <w:szCs w:val="24"/>
                      <w14:textFill>
                        <w14:solidFill>
                          <w14:schemeClr w14:val="tx1"/>
                        </w14:solidFill>
                      </w14:textFill>
                    </w:rPr>
                  </m:ctrlPr>
                </m:e>
                <m:sub>
                  <m:r>
                    <w:rPr>
                      <w:rFonts w:ascii="Cambria Math" w:hAnsi="Cambria Math" w:cs="宋体"/>
                      <w:snapToGrid w:val="0"/>
                      <w:color w:val="000000" w:themeColor="text1"/>
                      <w:szCs w:val="24"/>
                      <w14:textFill>
                        <w14:solidFill>
                          <w14:schemeClr w14:val="tx1"/>
                        </w14:solidFill>
                      </w14:textFill>
                    </w:rPr>
                    <m:t>ph</m:t>
                  </m:r>
                  <m:ctrlPr>
                    <w:rPr>
                      <w:rFonts w:ascii="Cambria Math" w:hAnsi="Cambria Math" w:cs="宋体"/>
                      <w:bCs/>
                      <w:i/>
                      <w:snapToGrid w:val="0"/>
                      <w:color w:val="000000" w:themeColor="text1"/>
                      <w:szCs w:val="24"/>
                      <w14:textFill>
                        <w14:solidFill>
                          <w14:schemeClr w14:val="tx1"/>
                        </w14:solidFill>
                      </w14:textFill>
                    </w:rPr>
                  </m:ctrlPr>
                </m:sub>
              </m:sSub>
              <m:ctrlPr>
                <w:rPr>
                  <w:rFonts w:ascii="Cambria Math" w:hAnsi="Cambria Math" w:cs="宋体"/>
                  <w:snapToGrid w:val="0"/>
                  <w:color w:val="000000" w:themeColor="text1"/>
                  <w:szCs w:val="24"/>
                  <w14:textFill>
                    <w14:solidFill>
                      <w14:schemeClr w14:val="tx1"/>
                    </w14:solidFill>
                  </w14:textFill>
                </w:rPr>
              </m:ctrlPr>
            </m:e>
          </m:d>
          <m:r>
            <m:rPr>
              <m:sty m:val="p"/>
            </m:rPr>
            <w:rPr>
              <w:rFonts w:ascii="Cambria Math" w:hAnsi="Cambria Math" w:cs="宋体"/>
              <w:snapToGrid w:val="0"/>
              <w:color w:val="000000" w:themeColor="text1"/>
              <w:szCs w:val="24"/>
              <w14:textFill>
                <w14:solidFill>
                  <w14:schemeClr w14:val="tx1"/>
                </w14:solidFill>
              </w14:textFill>
            </w:rPr>
            <m:t xml:space="preserve">               </m:t>
          </m:r>
          <m:r>
            <m:rPr>
              <m:sty m:val="p"/>
            </m:rPr>
            <w:rPr>
              <w:rFonts w:hint="eastAsia" w:ascii="Cambria Math" w:hAnsi="Cambria Math" w:cs="宋体"/>
              <w:snapToGrid w:val="0"/>
              <w:color w:val="000000" w:themeColor="text1"/>
              <w:szCs w:val="24"/>
              <w14:textFill>
                <w14:solidFill>
                  <w14:schemeClr w14:val="tx1"/>
                </w14:solidFill>
              </w14:textFill>
            </w:rPr>
            <m:t>（9</m:t>
          </m:r>
          <m:r>
            <m:rPr>
              <m:sty m:val="p"/>
            </m:rPr>
            <w:rPr>
              <w:rFonts w:ascii="Cambria Math" w:hAnsi="Cambria Math" w:cs="宋体"/>
              <w:snapToGrid w:val="0"/>
              <w:color w:val="000000" w:themeColor="text1"/>
              <w:szCs w:val="24"/>
              <w14:textFill>
                <w14:solidFill>
                  <w14:schemeClr w14:val="tx1"/>
                </w14:solidFill>
              </w14:textFill>
            </w:rPr>
            <m:t>.2.5-1</m:t>
          </m:r>
          <m:r>
            <m:rPr>
              <m:sty m:val="p"/>
            </m:rPr>
            <w:rPr>
              <w:rFonts w:hint="eastAsia" w:ascii="Cambria Math" w:hAnsi="Cambria Math" w:cs="宋体"/>
              <w:snapToGrid w:val="0"/>
              <w:color w:val="000000" w:themeColor="text1"/>
              <w:szCs w:val="24"/>
              <w14:textFill>
                <w14:solidFill>
                  <w14:schemeClr w14:val="tx1"/>
                </w14:solidFill>
              </w14:textFill>
            </w:rPr>
            <m:t>）</m:t>
          </m:r>
        </m:oMath>
      </m:oMathPara>
    </w:p>
    <w:p>
      <w:pPr>
        <w:spacing w:line="360" w:lineRule="auto"/>
        <w:ind w:firstLine="420"/>
        <w:rPr>
          <w:rFonts w:ascii="宋体" w:hAnsi="宋体" w:cs="宋体"/>
          <w:bCs/>
          <w:i/>
          <w:snapToGrid w:val="0"/>
          <w:color w:val="000000" w:themeColor="text1"/>
          <w:szCs w:val="24"/>
          <w14:textFill>
            <w14:solidFill>
              <w14:schemeClr w14:val="tx1"/>
            </w14:solidFill>
          </w14:textFill>
        </w:rPr>
      </w:pPr>
      <m:oMathPara>
        <m:oMath>
          <m:sSub>
            <m:sSubPr>
              <m:ctrlPr>
                <w:rPr>
                  <w:rFonts w:ascii="Cambria Math" w:hAnsi="Cambria Math" w:eastAsia="Cambria Math" w:cs="Cambria Math"/>
                  <w:bCs/>
                  <w:i/>
                  <w:snapToGrid w:val="0"/>
                  <w:color w:val="000000" w:themeColor="text1"/>
                  <w:szCs w:val="24"/>
                  <w14:textFill>
                    <w14:solidFill>
                      <w14:schemeClr w14:val="tx1"/>
                    </w14:solidFill>
                  </w14:textFill>
                </w:rPr>
              </m:ctrlPr>
            </m:sSubPr>
            <m:e>
              <m:r>
                <w:rPr>
                  <w:rFonts w:ascii="Cambria Math" w:hAnsi="Cambria Math" w:eastAsia="Cambria Math" w:cs="Cambria Math"/>
                  <w:snapToGrid w:val="0"/>
                  <w:color w:val="000000" w:themeColor="text1"/>
                  <w:szCs w:val="24"/>
                  <w14:textFill>
                    <w14:solidFill>
                      <w14:schemeClr w14:val="tx1"/>
                    </w14:solidFill>
                  </w14:textFill>
                </w:rPr>
                <m:t>V</m:t>
              </m:r>
              <m:ctrlPr>
                <w:rPr>
                  <w:rFonts w:ascii="Cambria Math" w:hAnsi="Cambria Math" w:eastAsia="Cambria Math" w:cs="Cambria Math"/>
                  <w:bCs/>
                  <w:i/>
                  <w:snapToGrid w:val="0"/>
                  <w:color w:val="000000" w:themeColor="text1"/>
                  <w:szCs w:val="24"/>
                  <w14:textFill>
                    <w14:solidFill>
                      <w14:schemeClr w14:val="tx1"/>
                    </w14:solidFill>
                  </w14:textFill>
                </w:rPr>
              </m:ctrlPr>
            </m:e>
            <m:sub>
              <m:r>
                <w:rPr>
                  <w:rFonts w:ascii="Cambria Math" w:hAnsi="Cambria Math" w:eastAsia="Cambria Math" w:cs="Cambria Math"/>
                  <w:snapToGrid w:val="0"/>
                  <w:color w:val="000000" w:themeColor="text1"/>
                  <w:szCs w:val="24"/>
                  <w14:textFill>
                    <w14:solidFill>
                      <w14:schemeClr w14:val="tx1"/>
                    </w14:solidFill>
                  </w14:textFill>
                </w:rPr>
                <m:t>ph</m:t>
              </m:r>
              <m:ctrlPr>
                <w:rPr>
                  <w:rFonts w:ascii="Cambria Math" w:hAnsi="Cambria Math" w:eastAsia="Cambria Math" w:cs="Cambria Math"/>
                  <w:bCs/>
                  <w:i/>
                  <w:snapToGrid w:val="0"/>
                  <w:color w:val="000000" w:themeColor="text1"/>
                  <w:szCs w:val="24"/>
                  <w14:textFill>
                    <w14:solidFill>
                      <w14:schemeClr w14:val="tx1"/>
                    </w14:solidFill>
                  </w14:textFill>
                </w:rPr>
              </m:ctrlPr>
            </m:sub>
          </m:sSub>
          <m:r>
            <m:rPr>
              <m:sty m:val="p"/>
            </m:rPr>
            <w:rPr>
              <w:rFonts w:ascii="Cambria Math" w:hAnsi="Cambria Math" w:eastAsia="Cambria Math" w:cs="Cambria Math"/>
              <w:snapToGrid w:val="0"/>
              <w:color w:val="000000" w:themeColor="text1"/>
              <w:szCs w:val="24"/>
              <w14:textFill>
                <w14:solidFill>
                  <w14:schemeClr w14:val="tx1"/>
                </w14:solidFill>
              </w14:textFill>
            </w:rPr>
            <m:t>=</m:t>
          </m:r>
          <m:r>
            <m:rPr>
              <m:sty m:val="p"/>
            </m:rPr>
            <w:rPr>
              <w:rFonts w:hint="eastAsia" w:ascii="Cambria Math" w:hAnsi="Cambria Math" w:cs="宋体"/>
              <w:snapToGrid w:val="0"/>
              <w:color w:val="000000" w:themeColor="text1"/>
              <w:szCs w:val="24"/>
              <w14:textFill>
                <w14:solidFill>
                  <w14:schemeClr w14:val="tx1"/>
                </w14:solidFill>
              </w14:textFill>
            </w:rPr>
            <m:t>（</m:t>
          </m:r>
          <m:sSub>
            <m:sSubPr>
              <m:ctrlPr>
                <w:rPr>
                  <w:rFonts w:ascii="Cambria Math" w:hAnsi="宋体" w:cs="宋体"/>
                  <w:bCs/>
                  <w:snapToGrid w:val="0"/>
                  <w:color w:val="000000" w:themeColor="text1"/>
                  <w:szCs w:val="24"/>
                  <w14:textFill>
                    <w14:solidFill>
                      <w14:schemeClr w14:val="tx1"/>
                    </w14:solidFill>
                  </w14:textFill>
                </w:rPr>
              </m:ctrlPr>
            </m:sSubPr>
            <m:e>
              <m:r>
                <m:rPr>
                  <m:sty m:val="p"/>
                </m:rPr>
                <w:rPr>
                  <w:rFonts w:ascii="Cambria Math" w:hAnsi="宋体" w:cs="宋体"/>
                  <w:snapToGrid w:val="0"/>
                  <w:color w:val="000000" w:themeColor="text1"/>
                  <w:szCs w:val="24"/>
                  <w14:textFill>
                    <w14:solidFill>
                      <w14:schemeClr w14:val="tx1"/>
                    </w14:solidFill>
                  </w14:textFill>
                </w:rPr>
                <m:t>M</m:t>
              </m:r>
              <m:ctrlPr>
                <w:rPr>
                  <w:rFonts w:ascii="Cambria Math" w:hAnsi="宋体" w:cs="宋体"/>
                  <w:bCs/>
                  <w:snapToGrid w:val="0"/>
                  <w:color w:val="000000" w:themeColor="text1"/>
                  <w:szCs w:val="24"/>
                  <w14:textFill>
                    <w14:solidFill>
                      <w14:schemeClr w14:val="tx1"/>
                    </w14:solidFill>
                  </w14:textFill>
                </w:rPr>
              </m:ctrlPr>
            </m:e>
            <m:sub>
              <m:r>
                <m:rPr>
                  <m:sty m:val="p"/>
                </m:rPr>
                <w:rPr>
                  <w:rFonts w:ascii="Cambria Math" w:hAnsi="宋体" w:cs="宋体"/>
                  <w:snapToGrid w:val="0"/>
                  <w:color w:val="000000" w:themeColor="text1"/>
                  <w:szCs w:val="24"/>
                  <w14:textFill>
                    <w14:solidFill>
                      <w14:schemeClr w14:val="tx1"/>
                    </w14:solidFill>
                  </w14:textFill>
                </w:rPr>
                <m:t>p</m:t>
              </m:r>
              <m:r>
                <m:rPr>
                  <m:sty m:val="p"/>
                </m:rPr>
                <w:rPr>
                  <w:rFonts w:hint="eastAsia" w:ascii="Cambria Math" w:hAnsi="Cambria Math" w:eastAsia="MS Mincho" w:cs="MS Mincho"/>
                  <w:snapToGrid w:val="0"/>
                  <w:color w:val="000000" w:themeColor="text1"/>
                  <w:szCs w:val="24"/>
                  <w14:textFill>
                    <w14:solidFill>
                      <w14:schemeClr w14:val="tx1"/>
                    </w14:solidFill>
                  </w14:textFill>
                </w:rPr>
                <m:t>h</m:t>
              </m:r>
              <m:r>
                <m:rPr>
                  <m:sty m:val="p"/>
                </m:rPr>
                <w:rPr>
                  <w:rFonts w:ascii="Cambria Math" w:hAnsi="宋体" w:cs="宋体"/>
                  <w:snapToGrid w:val="0"/>
                  <w:color w:val="000000" w:themeColor="text1"/>
                  <w:szCs w:val="24"/>
                  <w14:textFill>
                    <w14:solidFill>
                      <w14:schemeClr w14:val="tx1"/>
                    </w14:solidFill>
                  </w14:textFill>
                </w:rPr>
                <m:t>L</m:t>
              </m:r>
              <m:ctrlPr>
                <w:rPr>
                  <w:rFonts w:ascii="Cambria Math" w:hAnsi="宋体" w:cs="宋体"/>
                  <w:bCs/>
                  <w:snapToGrid w:val="0"/>
                  <w:color w:val="000000" w:themeColor="text1"/>
                  <w:szCs w:val="24"/>
                  <w14:textFill>
                    <w14:solidFill>
                      <w14:schemeClr w14:val="tx1"/>
                    </w14:solidFill>
                  </w14:textFill>
                </w:rPr>
              </m:ctrlPr>
            </m:sub>
          </m:sSub>
          <m:r>
            <m:rPr>
              <m:sty m:val="p"/>
            </m:rPr>
            <w:rPr>
              <w:rFonts w:ascii="Cambria Math" w:hAnsi="宋体" w:cs="宋体"/>
              <w:snapToGrid w:val="0"/>
              <w:color w:val="000000" w:themeColor="text1"/>
              <w:szCs w:val="24"/>
              <w14:textFill>
                <w14:solidFill>
                  <w14:schemeClr w14:val="tx1"/>
                </w14:solidFill>
              </w14:textFill>
            </w:rPr>
            <m:t>+</m:t>
          </m:r>
          <m:sSub>
            <m:sSubPr>
              <m:ctrlPr>
                <w:rPr>
                  <w:rFonts w:ascii="Cambria Math" w:hAnsi="宋体" w:cs="宋体"/>
                  <w:bCs/>
                  <w:snapToGrid w:val="0"/>
                  <w:color w:val="000000" w:themeColor="text1"/>
                  <w:szCs w:val="24"/>
                  <w14:textFill>
                    <w14:solidFill>
                      <w14:schemeClr w14:val="tx1"/>
                    </w14:solidFill>
                  </w14:textFill>
                </w:rPr>
              </m:ctrlPr>
            </m:sSubPr>
            <m:e>
              <m:r>
                <m:rPr>
                  <m:sty m:val="p"/>
                </m:rPr>
                <w:rPr>
                  <w:rFonts w:ascii="Cambria Math" w:hAnsi="宋体" w:cs="宋体"/>
                  <w:snapToGrid w:val="0"/>
                  <w:color w:val="000000" w:themeColor="text1"/>
                  <w:szCs w:val="24"/>
                  <w14:textFill>
                    <w14:solidFill>
                      <w14:schemeClr w14:val="tx1"/>
                    </w14:solidFill>
                  </w14:textFill>
                </w:rPr>
                <m:t>M</m:t>
              </m:r>
              <m:ctrlPr>
                <w:rPr>
                  <w:rFonts w:ascii="Cambria Math" w:hAnsi="宋体" w:cs="宋体"/>
                  <w:bCs/>
                  <w:snapToGrid w:val="0"/>
                  <w:color w:val="000000" w:themeColor="text1"/>
                  <w:szCs w:val="24"/>
                  <w14:textFill>
                    <w14:solidFill>
                      <w14:schemeClr w14:val="tx1"/>
                    </w14:solidFill>
                  </w14:textFill>
                </w:rPr>
              </m:ctrlPr>
            </m:e>
            <m:sub>
              <m:r>
                <m:rPr>
                  <m:sty m:val="p"/>
                </m:rPr>
                <w:rPr>
                  <w:rFonts w:ascii="Cambria Math" w:hAnsi="宋体" w:cs="宋体"/>
                  <w:snapToGrid w:val="0"/>
                  <w:color w:val="000000" w:themeColor="text1"/>
                  <w:szCs w:val="24"/>
                  <w14:textFill>
                    <w14:solidFill>
                      <w14:schemeClr w14:val="tx1"/>
                    </w14:solidFill>
                  </w14:textFill>
                </w:rPr>
                <m:t>pbR</m:t>
              </m:r>
              <m:ctrlPr>
                <w:rPr>
                  <w:rFonts w:ascii="Cambria Math" w:hAnsi="宋体" w:cs="宋体"/>
                  <w:bCs/>
                  <w:snapToGrid w:val="0"/>
                  <w:color w:val="000000" w:themeColor="text1"/>
                  <w:szCs w:val="24"/>
                  <w14:textFill>
                    <w14:solidFill>
                      <w14:schemeClr w14:val="tx1"/>
                    </w14:solidFill>
                  </w14:textFill>
                </w:rPr>
              </m:ctrlPr>
            </m:sub>
          </m:sSub>
          <m:r>
            <m:rPr>
              <m:sty m:val="p"/>
            </m:rPr>
            <w:rPr>
              <w:rFonts w:hint="eastAsia" w:ascii="Cambria Math" w:hAnsi="Cambria Math" w:cs="宋体"/>
              <w:snapToGrid w:val="0"/>
              <w:color w:val="000000" w:themeColor="text1"/>
              <w:szCs w:val="24"/>
              <w14:textFill>
                <w14:solidFill>
                  <w14:schemeClr w14:val="tx1"/>
                </w14:solidFill>
              </w14:textFill>
            </w:rPr>
            <m:t>）</m:t>
          </m:r>
          <m:r>
            <m:rPr>
              <m:sty m:val="p"/>
            </m:rPr>
            <w:rPr>
              <w:rFonts w:ascii="Cambria Math" w:hAnsi="宋体" w:cs="宋体"/>
              <w:snapToGrid w:val="0"/>
              <w:color w:val="000000" w:themeColor="text1"/>
              <w:szCs w:val="24"/>
              <w14:textFill>
                <w14:solidFill>
                  <w14:schemeClr w14:val="tx1"/>
                </w14:solidFill>
              </w14:textFill>
            </w:rPr>
            <m:t>/</m:t>
          </m:r>
          <m:sSub>
            <m:sSubPr>
              <m:ctrlPr>
                <w:rPr>
                  <w:rFonts w:ascii="Cambria Math" w:hAnsi="宋体" w:cs="宋体"/>
                  <w:bCs/>
                  <w:snapToGrid w:val="0"/>
                  <w:color w:val="000000" w:themeColor="text1"/>
                  <w:szCs w:val="24"/>
                  <w14:textFill>
                    <w14:solidFill>
                      <w14:schemeClr w14:val="tx1"/>
                    </w14:solidFill>
                  </w14:textFill>
                </w:rPr>
              </m:ctrlPr>
            </m:sSubPr>
            <m:e>
              <m:r>
                <m:rPr>
                  <m:sty m:val="p"/>
                </m:rPr>
                <w:rPr>
                  <w:rFonts w:ascii="Cambria Math" w:hAnsi="宋体" w:cs="宋体"/>
                  <w:snapToGrid w:val="0"/>
                  <w:color w:val="000000" w:themeColor="text1"/>
                  <w:szCs w:val="24"/>
                  <w14:textFill>
                    <w14:solidFill>
                      <w14:schemeClr w14:val="tx1"/>
                    </w14:solidFill>
                  </w14:textFill>
                </w:rPr>
                <m:t>L</m:t>
              </m:r>
              <m:ctrlPr>
                <w:rPr>
                  <w:rFonts w:ascii="Cambria Math" w:hAnsi="宋体" w:cs="宋体"/>
                  <w:bCs/>
                  <w:snapToGrid w:val="0"/>
                  <w:color w:val="000000" w:themeColor="text1"/>
                  <w:szCs w:val="24"/>
                  <w14:textFill>
                    <w14:solidFill>
                      <w14:schemeClr w14:val="tx1"/>
                    </w14:solidFill>
                  </w14:textFill>
                </w:rPr>
              </m:ctrlPr>
            </m:e>
            <m:sub>
              <m:r>
                <w:rPr>
                  <w:rFonts w:hint="eastAsia" w:ascii="MS Mincho" w:hAnsi="MS Mincho" w:eastAsia="MS Mincho" w:cs="MS Mincho"/>
                  <w:snapToGrid w:val="0"/>
                  <w:color w:val="000000" w:themeColor="text1"/>
                  <w:szCs w:val="24"/>
                  <w14:textFill>
                    <w14:solidFill>
                      <w14:schemeClr w14:val="tx1"/>
                    </w14:solidFill>
                  </w14:textFill>
                </w:rPr>
                <m:t>h</m:t>
              </m:r>
              <m:ctrlPr>
                <w:rPr>
                  <w:rFonts w:ascii="Cambria Math" w:hAnsi="宋体" w:cs="宋体"/>
                  <w:bCs/>
                  <w:snapToGrid w:val="0"/>
                  <w:color w:val="000000" w:themeColor="text1"/>
                  <w:szCs w:val="24"/>
                  <w14:textFill>
                    <w14:solidFill>
                      <w14:schemeClr w14:val="tx1"/>
                    </w14:solidFill>
                  </w14:textFill>
                </w:rPr>
              </m:ctrlPr>
            </m:sub>
          </m:sSub>
          <m:r>
            <m:rPr>
              <m:sty m:val="p"/>
            </m:rPr>
            <w:rPr>
              <w:rFonts w:ascii="Cambria Math" w:hAnsi="宋体" w:cs="宋体"/>
              <w:snapToGrid w:val="0"/>
              <w:color w:val="000000" w:themeColor="text1"/>
              <w:szCs w:val="24"/>
              <w14:textFill>
                <w14:solidFill>
                  <w14:schemeClr w14:val="tx1"/>
                </w14:solidFill>
              </w14:textFill>
            </w:rPr>
            <m:t>+</m:t>
          </m:r>
          <m:sSub>
            <m:sSubPr>
              <m:ctrlPr>
                <w:rPr>
                  <w:rFonts w:ascii="Cambria Math" w:hAnsi="宋体" w:cs="宋体"/>
                  <w:bCs/>
                  <w:snapToGrid w:val="0"/>
                  <w:color w:val="000000" w:themeColor="text1"/>
                  <w:szCs w:val="24"/>
                  <w14:textFill>
                    <w14:solidFill>
                      <w14:schemeClr w14:val="tx1"/>
                    </w14:solidFill>
                  </w14:textFill>
                </w:rPr>
              </m:ctrlPr>
            </m:sSubPr>
            <m:e>
              <m:r>
                <m:rPr>
                  <m:sty m:val="p"/>
                </m:rPr>
                <w:rPr>
                  <w:rFonts w:ascii="Cambria Math" w:hAnsi="宋体" w:cs="宋体"/>
                  <w:snapToGrid w:val="0"/>
                  <w:color w:val="000000" w:themeColor="text1"/>
                  <w:szCs w:val="24"/>
                  <w14:textFill>
                    <w14:solidFill>
                      <w14:schemeClr w14:val="tx1"/>
                    </w14:solidFill>
                  </w14:textFill>
                </w:rPr>
                <m:t>V</m:t>
              </m:r>
              <m:ctrlPr>
                <w:rPr>
                  <w:rFonts w:ascii="Cambria Math" w:hAnsi="宋体" w:cs="宋体"/>
                  <w:bCs/>
                  <w:snapToGrid w:val="0"/>
                  <w:color w:val="000000" w:themeColor="text1"/>
                  <w:szCs w:val="24"/>
                  <w14:textFill>
                    <w14:solidFill>
                      <w14:schemeClr w14:val="tx1"/>
                    </w14:solidFill>
                  </w14:textFill>
                </w:rPr>
              </m:ctrlPr>
            </m:e>
            <m:sub>
              <m:r>
                <w:rPr>
                  <w:rFonts w:ascii="Cambria Math" w:hAnsi="宋体" w:cs="宋体"/>
                  <w:snapToGrid w:val="0"/>
                  <w:color w:val="000000" w:themeColor="text1"/>
                  <w:szCs w:val="24"/>
                  <w14:textFill>
                    <w14:solidFill>
                      <w14:schemeClr w14:val="tx1"/>
                    </w14:solidFill>
                  </w14:textFill>
                </w:rPr>
                <m:t>Gb</m:t>
              </m:r>
              <m:ctrlPr>
                <w:rPr>
                  <w:rFonts w:ascii="Cambria Math" w:hAnsi="宋体" w:cs="宋体"/>
                  <w:bCs/>
                  <w:snapToGrid w:val="0"/>
                  <w:color w:val="000000" w:themeColor="text1"/>
                  <w:szCs w:val="24"/>
                  <w14:textFill>
                    <w14:solidFill>
                      <w14:schemeClr w14:val="tx1"/>
                    </w14:solidFill>
                  </w14:textFill>
                </w:rPr>
              </m:ctrlPr>
            </m:sub>
          </m:sSub>
          <m:r>
            <m:rPr>
              <m:sty m:val="p"/>
            </m:rPr>
            <w:rPr>
              <w:rFonts w:ascii="Cambria Math" w:hAnsi="宋体" w:cs="宋体"/>
              <w:snapToGrid w:val="0"/>
              <w:color w:val="000000" w:themeColor="text1"/>
              <w:szCs w:val="24"/>
              <w14:textFill>
                <w14:solidFill>
                  <w14:schemeClr w14:val="tx1"/>
                </w14:solidFill>
              </w14:textFill>
            </w:rPr>
            <m:t xml:space="preserve">                         </m:t>
          </m:r>
          <m:r>
            <m:rPr>
              <m:sty m:val="p"/>
            </m:rPr>
            <w:rPr>
              <w:rFonts w:hint="eastAsia" w:ascii="Cambria Math" w:hAnsi="宋体" w:cs="宋体"/>
              <w:snapToGrid w:val="0"/>
              <w:color w:val="000000" w:themeColor="text1"/>
              <w:szCs w:val="24"/>
              <w14:textFill>
                <w14:solidFill>
                  <w14:schemeClr w14:val="tx1"/>
                </w14:solidFill>
              </w14:textFill>
            </w:rPr>
            <m:t>（9</m:t>
          </m:r>
          <m:r>
            <m:rPr>
              <m:sty m:val="p"/>
            </m:rPr>
            <w:rPr>
              <w:rFonts w:ascii="Cambria Math" w:hAnsi="宋体" w:cs="宋体"/>
              <w:snapToGrid w:val="0"/>
              <w:color w:val="000000" w:themeColor="text1"/>
              <w:szCs w:val="24"/>
              <w14:textFill>
                <w14:solidFill>
                  <w14:schemeClr w14:val="tx1"/>
                </w14:solidFill>
              </w14:textFill>
            </w:rPr>
            <m:t>.2.5</m:t>
          </m:r>
          <m:r>
            <m:rPr>
              <m:sty m:val="p"/>
            </m:rPr>
            <w:rPr>
              <w:rFonts w:hint="eastAsia" w:ascii="Cambria Math" w:hAnsi="Cambria Math" w:eastAsia="微软雅黑" w:cs="微软雅黑"/>
              <w:snapToGrid w:val="0"/>
              <w:color w:val="000000" w:themeColor="text1"/>
              <w:szCs w:val="24"/>
              <w14:textFill>
                <w14:solidFill>
                  <w14:schemeClr w14:val="tx1"/>
                </w14:solidFill>
              </w14:textFill>
            </w:rPr>
            <m:t>-</m:t>
          </m:r>
          <m:r>
            <m:rPr>
              <m:sty m:val="p"/>
            </m:rPr>
            <w:rPr>
              <w:rFonts w:ascii="Cambria Math" w:hAnsi="宋体" w:cs="宋体"/>
              <w:snapToGrid w:val="0"/>
              <w:color w:val="000000" w:themeColor="text1"/>
              <w:szCs w:val="24"/>
              <w14:textFill>
                <w14:solidFill>
                  <w14:schemeClr w14:val="tx1"/>
                </w14:solidFill>
              </w14:textFill>
            </w:rPr>
            <m:t>2</m:t>
          </m:r>
          <m:r>
            <m:rPr>
              <m:sty m:val="p"/>
            </m:rPr>
            <w:rPr>
              <w:rFonts w:hint="eastAsia" w:ascii="Cambria Math" w:hAnsi="宋体" w:cs="宋体"/>
              <w:snapToGrid w:val="0"/>
              <w:color w:val="000000" w:themeColor="text1"/>
              <w:szCs w:val="24"/>
              <w14:textFill>
                <w14:solidFill>
                  <w14:schemeClr w14:val="tx1"/>
                </w14:solidFill>
              </w14:textFill>
            </w:rPr>
            <m:t>）</m:t>
          </m:r>
        </m:oMath>
      </m:oMathPara>
    </w:p>
    <w:p>
      <w:pPr>
        <w:autoSpaceDE w:val="0"/>
        <w:autoSpaceDN w:val="0"/>
        <w:spacing w:line="400" w:lineRule="exact"/>
        <w:ind w:right="95" w:firstLine="0" w:firstLineChars="0"/>
        <w:rPr>
          <w:rFonts w:cs="Times New Roman"/>
          <w:bCs/>
          <w:snapToGrid w:val="0"/>
          <w:color w:val="000000" w:themeColor="text1"/>
          <w:kern w:val="0"/>
          <w:szCs w:val="20"/>
          <w14:textFill>
            <w14:solidFill>
              <w14:schemeClr w14:val="tx1"/>
            </w14:solidFill>
          </w14:textFill>
        </w:rPr>
      </w:pPr>
      <w:r>
        <w:rPr>
          <w:rFonts w:hint="eastAsia" w:cs="Times New Roman"/>
          <w:bCs/>
          <w:snapToGrid w:val="0"/>
          <w:color w:val="000000" w:themeColor="text1"/>
          <w:kern w:val="0"/>
          <w:szCs w:val="20"/>
          <w14:textFill>
            <w14:solidFill>
              <w14:schemeClr w14:val="tx1"/>
            </w14:solidFill>
          </w14:textFill>
        </w:rPr>
        <w:t>式中：</w:t>
      </w:r>
      <w:bookmarkStart w:id="163" w:name="_Hlk45012737"/>
      <w:r>
        <w:rPr>
          <w:rFonts w:cs="Times New Roman"/>
          <w:bCs/>
          <w:snapToGrid w:val="0"/>
          <w:color w:val="000000" w:themeColor="text1"/>
          <w:kern w:val="0"/>
          <w:szCs w:val="20"/>
          <w14:textFill>
            <w14:solidFill>
              <w14:schemeClr w14:val="tx1"/>
            </w14:solidFill>
          </w14:textFill>
        </w:rPr>
        <w:t>W</w:t>
      </w:r>
      <w:r>
        <w:rPr>
          <w:rFonts w:cs="Times New Roman"/>
          <w:bCs/>
          <w:snapToGrid w:val="0"/>
          <w:color w:val="000000" w:themeColor="text1"/>
          <w:kern w:val="0"/>
          <w:szCs w:val="20"/>
          <w:vertAlign w:val="subscript"/>
          <w14:textFill>
            <w14:solidFill>
              <w14:schemeClr w14:val="tx1"/>
            </w14:solidFill>
          </w14:textFill>
        </w:rPr>
        <w:t>pc</w:t>
      </w:r>
      <w:bookmarkEnd w:id="163"/>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柱的塑性截面模量；</w:t>
      </w:r>
    </w:p>
    <w:p>
      <w:pPr>
        <w:autoSpaceDE w:val="0"/>
        <w:autoSpaceDN w:val="0"/>
        <w:spacing w:line="400" w:lineRule="exact"/>
        <w:ind w:right="95" w:firstLine="630" w:firstLineChars="300"/>
        <w:rPr>
          <w:rFonts w:cs="Times New Roman"/>
          <w:bCs/>
          <w:snapToGrid w:val="0"/>
          <w:color w:val="000000" w:themeColor="text1"/>
          <w:kern w:val="0"/>
          <w:szCs w:val="20"/>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A</w:t>
      </w:r>
      <w:r>
        <w:rPr>
          <w:rFonts w:cs="Times New Roman"/>
          <w:bCs/>
          <w:snapToGrid w:val="0"/>
          <w:color w:val="000000" w:themeColor="text1"/>
          <w:kern w:val="0"/>
          <w:szCs w:val="20"/>
          <w:vertAlign w:val="subscript"/>
          <w14:textFill>
            <w14:solidFill>
              <w14:schemeClr w14:val="tx1"/>
            </w14:solidFill>
          </w14:textFill>
        </w:rPr>
        <w:t>c</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柱的截面面积；</w:t>
      </w:r>
    </w:p>
    <w:p>
      <w:pPr>
        <w:tabs>
          <w:tab w:val="left" w:pos="6432"/>
        </w:tabs>
        <w:autoSpaceDE w:val="0"/>
        <w:autoSpaceDN w:val="0"/>
        <w:spacing w:line="400" w:lineRule="exact"/>
        <w:ind w:right="95" w:firstLine="630" w:firstLineChars="300"/>
        <w:rPr>
          <w:rFonts w:cs="Times New Roman"/>
          <w:bCs/>
          <w:snapToGrid w:val="0"/>
          <w:color w:val="000000" w:themeColor="text1"/>
          <w:kern w:val="0"/>
          <w:szCs w:val="20"/>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W</w:t>
      </w:r>
      <w:r>
        <w:rPr>
          <w:rFonts w:cs="Times New Roman"/>
          <w:bCs/>
          <w:snapToGrid w:val="0"/>
          <w:color w:val="000000" w:themeColor="text1"/>
          <w:kern w:val="0"/>
          <w:szCs w:val="20"/>
          <w:vertAlign w:val="subscript"/>
          <w14:textFill>
            <w14:solidFill>
              <w14:schemeClr w14:val="tx1"/>
            </w14:solidFill>
          </w14:textFill>
        </w:rPr>
        <w:t>pb</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梁塑性铰位置的最小塑性截面模量；</w:t>
      </w:r>
    </w:p>
    <w:p>
      <w:pPr>
        <w:autoSpaceDE w:val="0"/>
        <w:autoSpaceDN w:val="0"/>
        <w:spacing w:line="400" w:lineRule="exact"/>
        <w:ind w:right="95" w:firstLine="630" w:firstLineChars="300"/>
        <w:rPr>
          <w:rFonts w:cs="Times New Roman"/>
          <w:bCs/>
          <w:snapToGrid w:val="0"/>
          <w:color w:val="000000" w:themeColor="text1"/>
          <w:kern w:val="0"/>
          <w:szCs w:val="20"/>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f</w:t>
      </w:r>
      <w:r>
        <w:rPr>
          <w:rFonts w:cs="Times New Roman"/>
          <w:bCs/>
          <w:snapToGrid w:val="0"/>
          <w:color w:val="000000" w:themeColor="text1"/>
          <w:kern w:val="0"/>
          <w:szCs w:val="20"/>
          <w:vertAlign w:val="subscript"/>
          <w14:textFill>
            <w14:solidFill>
              <w14:schemeClr w14:val="tx1"/>
            </w14:solidFill>
          </w14:textFill>
        </w:rPr>
        <w:t>yc</w:t>
      </w:r>
      <w:r>
        <w:rPr>
          <w:rFonts w:hint="eastAsia" w:cs="Times New Roman"/>
          <w:bCs/>
          <w:snapToGrid w:val="0"/>
          <w:color w:val="000000" w:themeColor="text1"/>
          <w:kern w:val="0"/>
          <w:szCs w:val="20"/>
          <w14:textFill>
            <w14:solidFill>
              <w14:schemeClr w14:val="tx1"/>
            </w14:solidFill>
          </w14:textFill>
        </w:rPr>
        <w:t>、</w:t>
      </w:r>
      <w:r>
        <w:rPr>
          <w:rFonts w:cs="Times New Roman"/>
          <w:bCs/>
          <w:snapToGrid w:val="0"/>
          <w:color w:val="000000" w:themeColor="text1"/>
          <w:kern w:val="0"/>
          <w:szCs w:val="20"/>
          <w14:textFill>
            <w14:solidFill>
              <w14:schemeClr w14:val="tx1"/>
            </w14:solidFill>
          </w14:textFill>
        </w:rPr>
        <w:t>f</w:t>
      </w:r>
      <w:r>
        <w:rPr>
          <w:rFonts w:cs="Times New Roman"/>
          <w:bCs/>
          <w:snapToGrid w:val="0"/>
          <w:color w:val="000000" w:themeColor="text1"/>
          <w:kern w:val="0"/>
          <w:szCs w:val="20"/>
          <w:vertAlign w:val="subscript"/>
          <w14:textFill>
            <w14:solidFill>
              <w14:schemeClr w14:val="tx1"/>
            </w14:solidFill>
          </w14:textFill>
        </w:rPr>
        <w:t>yb</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分别为柱、梁的名义屈服强度；</w:t>
      </w:r>
    </w:p>
    <w:p>
      <w:pPr>
        <w:autoSpaceDE w:val="0"/>
        <w:autoSpaceDN w:val="0"/>
        <w:spacing w:line="400" w:lineRule="exact"/>
        <w:ind w:right="95" w:firstLine="630" w:firstLineChars="300"/>
        <w:rPr>
          <w:rFonts w:cs="Times New Roman"/>
          <w:bCs/>
          <w:snapToGrid w:val="0"/>
          <w:color w:val="000000" w:themeColor="text1"/>
          <w:kern w:val="0"/>
          <w:szCs w:val="20"/>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N</w:t>
      </w:r>
      <w:r>
        <w:rPr>
          <w:rFonts w:cs="Times New Roman"/>
          <w:bCs/>
          <w:snapToGrid w:val="0"/>
          <w:color w:val="000000" w:themeColor="text1"/>
          <w:kern w:val="0"/>
          <w:szCs w:val="20"/>
          <w:vertAlign w:val="subscript"/>
          <w14:textFill>
            <w14:solidFill>
              <w14:schemeClr w14:val="tx1"/>
            </w14:solidFill>
          </w14:textFill>
        </w:rPr>
        <w:t>Ec</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地震组合下柱的轴向力设计值；</w:t>
      </w:r>
    </w:p>
    <w:p>
      <w:pPr>
        <w:autoSpaceDE w:val="0"/>
        <w:autoSpaceDN w:val="0"/>
        <w:spacing w:line="400" w:lineRule="exact"/>
        <w:ind w:right="95" w:firstLine="630" w:firstLineChars="300"/>
        <w:rPr>
          <w:rFonts w:cs="Times New Roman"/>
          <w:bCs/>
          <w:snapToGrid w:val="0"/>
          <w:color w:val="000000" w:themeColor="text1"/>
          <w:kern w:val="0"/>
          <w:szCs w:val="20"/>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V</w:t>
      </w:r>
      <w:r>
        <w:rPr>
          <w:rFonts w:cs="Times New Roman"/>
          <w:bCs/>
          <w:snapToGrid w:val="0"/>
          <w:color w:val="000000" w:themeColor="text1"/>
          <w:kern w:val="0"/>
          <w:szCs w:val="20"/>
          <w:vertAlign w:val="subscript"/>
          <w14:textFill>
            <w14:solidFill>
              <w14:schemeClr w14:val="tx1"/>
            </w14:solidFill>
          </w14:textFill>
        </w:rPr>
        <w:t>ph</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塑性铰位置的最大剪力；</w:t>
      </w:r>
    </w:p>
    <w:p>
      <w:pPr>
        <w:autoSpaceDE w:val="0"/>
        <w:autoSpaceDN w:val="0"/>
        <w:spacing w:line="400" w:lineRule="exact"/>
        <w:ind w:right="95" w:firstLine="630" w:firstLineChars="300"/>
        <w:rPr>
          <w:rFonts w:cs="Times New Roman"/>
          <w:bCs/>
          <w:snapToGrid w:val="0"/>
          <w:color w:val="000000" w:themeColor="text1"/>
          <w:kern w:val="0"/>
          <w:szCs w:val="20"/>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M</w:t>
      </w:r>
      <w:r>
        <w:rPr>
          <w:rFonts w:cs="Times New Roman"/>
          <w:bCs/>
          <w:snapToGrid w:val="0"/>
          <w:color w:val="000000" w:themeColor="text1"/>
          <w:kern w:val="0"/>
          <w:szCs w:val="20"/>
          <w:vertAlign w:val="subscript"/>
          <w14:textFill>
            <w14:solidFill>
              <w14:schemeClr w14:val="tx1"/>
            </w14:solidFill>
          </w14:textFill>
        </w:rPr>
        <w:t>pbL</w:t>
      </w:r>
      <w:r>
        <w:rPr>
          <w:rFonts w:hint="eastAsia" w:cs="Times New Roman"/>
          <w:bCs/>
          <w:snapToGrid w:val="0"/>
          <w:color w:val="000000" w:themeColor="text1"/>
          <w:kern w:val="0"/>
          <w:szCs w:val="20"/>
          <w14:textFill>
            <w14:solidFill>
              <w14:schemeClr w14:val="tx1"/>
            </w14:solidFill>
          </w14:textFill>
        </w:rPr>
        <w:t>、</w:t>
      </w:r>
      <w:r>
        <w:rPr>
          <w:rFonts w:cs="Times New Roman"/>
          <w:bCs/>
          <w:snapToGrid w:val="0"/>
          <w:color w:val="000000" w:themeColor="text1"/>
          <w:kern w:val="0"/>
          <w:szCs w:val="20"/>
          <w14:textFill>
            <w14:solidFill>
              <w14:schemeClr w14:val="tx1"/>
            </w14:solidFill>
          </w14:textFill>
        </w:rPr>
        <w:t>M</w:t>
      </w:r>
      <w:r>
        <w:rPr>
          <w:rFonts w:cs="Times New Roman"/>
          <w:bCs/>
          <w:snapToGrid w:val="0"/>
          <w:color w:val="000000" w:themeColor="text1"/>
          <w:kern w:val="0"/>
          <w:szCs w:val="20"/>
          <w:vertAlign w:val="subscript"/>
          <w14:textFill>
            <w14:solidFill>
              <w14:schemeClr w14:val="tx1"/>
            </w14:solidFill>
          </w14:textFill>
        </w:rPr>
        <w:t>pbR</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同跨梁的左端和右端塑性铰位置的塑性弯矩；</w:t>
      </w:r>
    </w:p>
    <w:p>
      <w:pPr>
        <w:autoSpaceDE w:val="0"/>
        <w:autoSpaceDN w:val="0"/>
        <w:spacing w:line="400" w:lineRule="exact"/>
        <w:ind w:left="1260" w:leftChars="300" w:right="95" w:hanging="630" w:hangingChars="300"/>
        <w:rPr>
          <w:rFonts w:cs="Times New Roman"/>
          <w:bCs/>
          <w:snapToGrid w:val="0"/>
          <w:color w:val="000000" w:themeColor="text1"/>
          <w:kern w:val="0"/>
          <w:szCs w:val="20"/>
          <w14:textFill>
            <w14:solidFill>
              <w14:schemeClr w14:val="tx1"/>
            </w14:solidFill>
          </w14:textFill>
        </w:rPr>
      </w:pPr>
      <w:r>
        <w:rPr>
          <w:rFonts w:cs="Times New Roman"/>
          <w:bCs/>
          <w:i/>
          <w:iCs/>
          <w:snapToGrid w:val="0"/>
          <w:color w:val="000000" w:themeColor="text1"/>
          <w:kern w:val="0"/>
          <w:szCs w:val="20"/>
          <w14:textFill>
            <w14:solidFill>
              <w14:schemeClr w14:val="tx1"/>
            </w14:solidFill>
          </w14:textFill>
        </w:rPr>
        <w:t>l</w:t>
      </w:r>
      <w:r>
        <w:rPr>
          <w:rFonts w:cs="Times New Roman"/>
          <w:bCs/>
          <w:i/>
          <w:iCs/>
          <w:snapToGrid w:val="0"/>
          <w:color w:val="000000" w:themeColor="text1"/>
          <w:kern w:val="0"/>
          <w:szCs w:val="20"/>
          <w:vertAlign w:val="subscript"/>
          <w14:textFill>
            <w14:solidFill>
              <w14:schemeClr w14:val="tx1"/>
            </w14:solidFill>
          </w14:textFill>
        </w:rPr>
        <w:t>ph</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塑性铰至柱面的距离，等截面梁取</w:t>
      </w:r>
      <w:r>
        <w:rPr>
          <w:rFonts w:cs="Times New Roman"/>
          <w:bCs/>
          <w:snapToGrid w:val="0"/>
          <w:color w:val="000000" w:themeColor="text1"/>
          <w:kern w:val="0"/>
          <w:szCs w:val="20"/>
          <w14:textFill>
            <w14:solidFill>
              <w14:schemeClr w14:val="tx1"/>
            </w14:solidFill>
          </w14:textFill>
        </w:rPr>
        <w:t>0</w:t>
      </w:r>
      <w:r>
        <w:rPr>
          <w:rFonts w:hint="eastAsia" w:cs="Times New Roman"/>
          <w:bCs/>
          <w:snapToGrid w:val="0"/>
          <w:color w:val="000000" w:themeColor="text1"/>
          <w:kern w:val="0"/>
          <w:szCs w:val="20"/>
          <w14:textFill>
            <w14:solidFill>
              <w14:schemeClr w14:val="tx1"/>
            </w14:solidFill>
          </w14:textFill>
        </w:rPr>
        <w:t>；端部翼缘削弱截面梁取塑性铰最小截面处到柱面的长度；</w:t>
      </w:r>
      <w:r>
        <w:rPr>
          <w:rFonts w:hint="eastAsia" w:cs="Times New Roman"/>
          <w:bCs/>
          <w:color w:val="000000" w:themeColor="text1"/>
          <w:kern w:val="0"/>
          <w:szCs w:val="21"/>
          <w14:textFill>
            <w14:solidFill>
              <w14:schemeClr w14:val="tx1"/>
            </w14:solidFill>
          </w14:textFill>
        </w:rPr>
        <w:t>端部加腋或扩大翼缘梁</w:t>
      </w:r>
      <w:r>
        <w:rPr>
          <w:rFonts w:hint="eastAsia" w:cs="Times New Roman"/>
          <w:bCs/>
          <w:snapToGrid w:val="0"/>
          <w:color w:val="000000" w:themeColor="text1"/>
          <w:kern w:val="0"/>
          <w:szCs w:val="20"/>
          <w14:textFill>
            <w14:solidFill>
              <w14:schemeClr w14:val="tx1"/>
            </w14:solidFill>
          </w14:textFill>
        </w:rPr>
        <w:t>使塑性铰区外移至变截面处时，可取变截面到柱面的长度（图9</w:t>
      </w:r>
      <w:r>
        <w:rPr>
          <w:rFonts w:cs="Times New Roman"/>
          <w:bCs/>
          <w:snapToGrid w:val="0"/>
          <w:color w:val="000000" w:themeColor="text1"/>
          <w:kern w:val="0"/>
          <w:szCs w:val="20"/>
          <w14:textFill>
            <w14:solidFill>
              <w14:schemeClr w14:val="tx1"/>
            </w14:solidFill>
          </w14:textFill>
        </w:rPr>
        <w:t>.2.5</w:t>
      </w:r>
      <w:r>
        <w:rPr>
          <w:rFonts w:hint="eastAsia" w:cs="Times New Roman"/>
          <w:bCs/>
          <w:snapToGrid w:val="0"/>
          <w:color w:val="000000" w:themeColor="text1"/>
          <w:kern w:val="0"/>
          <w:szCs w:val="20"/>
          <w14:textFill>
            <w14:solidFill>
              <w14:schemeClr w14:val="tx1"/>
            </w14:solidFill>
          </w14:textFill>
        </w:rPr>
        <w:t>-1）；</w:t>
      </w:r>
    </w:p>
    <w:p>
      <w:pPr>
        <w:autoSpaceDE w:val="0"/>
        <w:autoSpaceDN w:val="0"/>
        <w:spacing w:line="400" w:lineRule="exact"/>
        <w:ind w:right="95" w:firstLine="619" w:firstLineChars="295"/>
        <w:rPr>
          <w:rFonts w:cs="Times New Roman"/>
          <w:bCs/>
          <w:snapToGrid w:val="0"/>
          <w:color w:val="000000" w:themeColor="text1"/>
          <w:kern w:val="0"/>
          <w:szCs w:val="20"/>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L</w:t>
      </w:r>
      <w:r>
        <w:rPr>
          <w:rFonts w:cs="Times New Roman"/>
          <w:bCs/>
          <w:snapToGrid w:val="0"/>
          <w:color w:val="000000" w:themeColor="text1"/>
          <w:kern w:val="0"/>
          <w:szCs w:val="20"/>
          <w:vertAlign w:val="subscript"/>
          <w14:textFill>
            <w14:solidFill>
              <w14:schemeClr w14:val="tx1"/>
            </w14:solidFill>
          </w14:textFill>
        </w:rPr>
        <w:t>h</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同跨梁两端塑性铰之间的距离；</w:t>
      </w:r>
    </w:p>
    <w:p>
      <w:pPr>
        <w:autoSpaceDE w:val="0"/>
        <w:autoSpaceDN w:val="0"/>
        <w:spacing w:line="400" w:lineRule="exact"/>
        <w:ind w:right="95" w:firstLine="619" w:firstLineChars="295"/>
        <w:rPr>
          <w:rFonts w:cs="Times New Roman"/>
          <w:bCs/>
          <w:color w:val="000000" w:themeColor="text1"/>
          <w:kern w:val="0"/>
          <w:sz w:val="24"/>
          <w:szCs w:val="20"/>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V</w:t>
      </w:r>
      <w:r>
        <w:rPr>
          <w:rFonts w:cs="Times New Roman"/>
          <w:bCs/>
          <w:snapToGrid w:val="0"/>
          <w:color w:val="000000" w:themeColor="text1"/>
          <w:kern w:val="0"/>
          <w:szCs w:val="20"/>
          <w:vertAlign w:val="subscript"/>
          <w14:textFill>
            <w14:solidFill>
              <w14:schemeClr w14:val="tx1"/>
            </w14:solidFill>
          </w14:textFill>
        </w:rPr>
        <w:t>Gb</w:t>
      </w:r>
      <w:r>
        <w:rPr>
          <w:rFonts w:cs="Times New Roman"/>
          <w:bCs/>
          <w:snapToGrid w:val="0"/>
          <w:color w:val="000000" w:themeColor="text1"/>
          <w:kern w:val="0"/>
          <w:szCs w:val="20"/>
          <w14:textFill>
            <w14:solidFill>
              <w14:schemeClr w14:val="tx1"/>
            </w14:solidFill>
          </w14:textFill>
        </w:rPr>
        <w:t>——</w:t>
      </w:r>
      <w:r>
        <w:rPr>
          <w:rFonts w:hint="eastAsia" w:cs="Times New Roman"/>
          <w:bCs/>
          <w:snapToGrid w:val="0"/>
          <w:color w:val="000000" w:themeColor="text1"/>
          <w:kern w:val="0"/>
          <w:szCs w:val="20"/>
          <w14:textFill>
            <w14:solidFill>
              <w14:schemeClr w14:val="tx1"/>
            </w14:solidFill>
          </w14:textFill>
        </w:rPr>
        <w:t>梁在重力荷载代表值作用下塑性铰位置处的剪力值；</w:t>
      </w:r>
    </w:p>
    <w:p>
      <w:pPr>
        <w:autoSpaceDE w:val="0"/>
        <w:autoSpaceDN w:val="0"/>
        <w:spacing w:line="400" w:lineRule="exact"/>
        <w:ind w:left="1264" w:leftChars="302" w:right="95" w:hanging="630" w:hangingChars="30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kern w:val="0"/>
          <w:szCs w:val="20"/>
          <w14:textFill>
            <w14:solidFill>
              <w14:schemeClr w14:val="tx1"/>
            </w14:solidFill>
          </w14:textFill>
        </w:rPr>
        <w:t>η——</w:t>
      </w:r>
      <w:r>
        <w:rPr>
          <w:rFonts w:hint="eastAsia" w:cs="Times New Roman"/>
          <w:bCs/>
          <w:snapToGrid w:val="0"/>
          <w:color w:val="000000" w:themeColor="text1"/>
          <w:kern w:val="0"/>
          <w:szCs w:val="20"/>
          <w14:textFill>
            <w14:solidFill>
              <w14:schemeClr w14:val="tx1"/>
            </w14:solidFill>
          </w14:textFill>
        </w:rPr>
        <w:t>超强系数，按现行国家标准《建筑结构用钢板》</w:t>
      </w:r>
      <w:r>
        <w:rPr>
          <w:rFonts w:cs="Times New Roman"/>
          <w:bCs/>
          <w:snapToGrid w:val="0"/>
          <w:color w:val="000000" w:themeColor="text1"/>
          <w:kern w:val="0"/>
          <w:szCs w:val="20"/>
          <w14:textFill>
            <w14:solidFill>
              <w14:schemeClr w14:val="tx1"/>
            </w14:solidFill>
          </w14:textFill>
        </w:rPr>
        <w:t>GB/T 19879</w:t>
      </w:r>
      <w:r>
        <w:rPr>
          <w:rFonts w:hint="eastAsia" w:cs="Times New Roman"/>
          <w:bCs/>
          <w:snapToGrid w:val="0"/>
          <w:color w:val="000000" w:themeColor="text1"/>
          <w:kern w:val="0"/>
          <w:szCs w:val="20"/>
          <w14:textFill>
            <w14:solidFill>
              <w14:schemeClr w14:val="tx1"/>
            </w14:solidFill>
          </w14:textFill>
        </w:rPr>
        <w:t>选用钢材时，宜取</w:t>
      </w:r>
      <w:r>
        <w:rPr>
          <w:rFonts w:cs="Times New Roman"/>
          <w:bCs/>
          <w:snapToGrid w:val="0"/>
          <w:color w:val="000000" w:themeColor="text1"/>
          <w:kern w:val="0"/>
          <w:szCs w:val="20"/>
          <w14:textFill>
            <w14:solidFill>
              <w14:schemeClr w14:val="tx1"/>
            </w14:solidFill>
          </w14:textFill>
        </w:rPr>
        <w:t>1.</w:t>
      </w:r>
      <w:r>
        <w:rPr>
          <w:rFonts w:hint="eastAsia" w:cs="Times New Roman"/>
          <w:bCs/>
          <w:snapToGrid w:val="0"/>
          <w:color w:val="000000" w:themeColor="text1"/>
          <w:kern w:val="0"/>
          <w:szCs w:val="20"/>
          <w14:textFill>
            <w14:solidFill>
              <w14:schemeClr w14:val="tx1"/>
            </w14:solidFill>
          </w14:textFill>
        </w:rPr>
        <w:t>4；按现行国家标准《碳素结构钢》</w:t>
      </w:r>
      <w:r>
        <w:rPr>
          <w:rFonts w:cs="Times New Roman"/>
          <w:bCs/>
          <w:snapToGrid w:val="0"/>
          <w:color w:val="000000" w:themeColor="text1"/>
          <w:kern w:val="0"/>
          <w:szCs w:val="20"/>
          <w14:textFill>
            <w14:solidFill>
              <w14:schemeClr w14:val="tx1"/>
            </w14:solidFill>
          </w14:textFill>
        </w:rPr>
        <w:t>GB/T 700</w:t>
      </w:r>
      <w:r>
        <w:rPr>
          <w:rFonts w:hint="eastAsia" w:cs="Times New Roman"/>
          <w:bCs/>
          <w:snapToGrid w:val="0"/>
          <w:color w:val="000000" w:themeColor="text1"/>
          <w:kern w:val="0"/>
          <w:szCs w:val="20"/>
          <w14:textFill>
            <w14:solidFill>
              <w14:schemeClr w14:val="tx1"/>
            </w14:solidFill>
          </w14:textFill>
        </w:rPr>
        <w:t>和《低合金高强度结构钢》</w:t>
      </w:r>
      <w:r>
        <w:rPr>
          <w:rFonts w:cs="Times New Roman"/>
          <w:bCs/>
          <w:snapToGrid w:val="0"/>
          <w:color w:val="000000" w:themeColor="text1"/>
          <w:kern w:val="0"/>
          <w:szCs w:val="20"/>
          <w14:textFill>
            <w14:solidFill>
              <w14:schemeClr w14:val="tx1"/>
            </w14:solidFill>
          </w14:textFill>
        </w:rPr>
        <w:t>GB/T 1591</w:t>
      </w:r>
      <w:r>
        <w:rPr>
          <w:rFonts w:hint="eastAsia" w:cs="Times New Roman"/>
          <w:bCs/>
          <w:snapToGrid w:val="0"/>
          <w:color w:val="000000" w:themeColor="text1"/>
          <w:kern w:val="0"/>
          <w:szCs w:val="20"/>
          <w14:textFill>
            <w14:solidFill>
              <w14:schemeClr w14:val="tx1"/>
            </w14:solidFill>
          </w14:textFill>
        </w:rPr>
        <w:t>选用钢材时，宜取</w:t>
      </w:r>
      <w:r>
        <w:rPr>
          <w:rFonts w:cs="Times New Roman"/>
          <w:bCs/>
          <w:snapToGrid w:val="0"/>
          <w:color w:val="000000" w:themeColor="text1"/>
          <w:kern w:val="0"/>
          <w:szCs w:val="20"/>
          <w14:textFill>
            <w14:solidFill>
              <w14:schemeClr w14:val="tx1"/>
            </w14:solidFill>
          </w14:textFill>
        </w:rPr>
        <w:t>1.5</w:t>
      </w:r>
      <w:r>
        <w:rPr>
          <w:rFonts w:hint="eastAsia" w:cs="Times New Roman"/>
          <w:bCs/>
          <w:snapToGrid w:val="0"/>
          <w:color w:val="000000" w:themeColor="text1"/>
          <w:kern w:val="0"/>
          <w:szCs w:val="20"/>
          <w14:textFill>
            <w14:solidFill>
              <w14:schemeClr w14:val="tx1"/>
            </w14:solidFill>
          </w14:textFill>
        </w:rPr>
        <w:t>。当钢材屈服强度有实测资料时，以实测数据计算，</w:t>
      </w:r>
      <w:r>
        <w:rPr>
          <w:rFonts w:cs="Times New Roman"/>
          <w:bCs/>
          <w:snapToGrid w:val="0"/>
          <w:color w:val="000000" w:themeColor="text1"/>
          <w:szCs w:val="24"/>
          <w14:textFill>
            <w14:solidFill>
              <w14:schemeClr w14:val="tx1"/>
            </w14:solidFill>
          </w14:textFill>
        </w:rPr>
        <w:t>η</w:t>
      </w:r>
      <w:r>
        <w:rPr>
          <w:rFonts w:hint="eastAsia" w:cs="Times New Roman"/>
          <w:bCs/>
          <w:snapToGrid w:val="0"/>
          <w:color w:val="000000" w:themeColor="text1"/>
          <w:szCs w:val="24"/>
          <w14:textFill>
            <w14:solidFill>
              <w14:schemeClr w14:val="tx1"/>
            </w14:solidFill>
          </w14:textFill>
        </w:rPr>
        <w:t>取</w:t>
      </w:r>
      <w:r>
        <w:rPr>
          <w:rFonts w:cs="Times New Roman"/>
          <w:bCs/>
          <w:snapToGrid w:val="0"/>
          <w:color w:val="000000" w:themeColor="text1"/>
          <w:szCs w:val="24"/>
          <w14:textFill>
            <w14:solidFill>
              <w14:schemeClr w14:val="tx1"/>
            </w14:solidFill>
          </w14:textFill>
        </w:rPr>
        <w:t>1.1</w:t>
      </w:r>
      <w:r>
        <w:rPr>
          <w:rFonts w:hint="eastAsia" w:cs="Times New Roman"/>
          <w:bCs/>
          <w:snapToGrid w:val="0"/>
          <w:color w:val="000000" w:themeColor="text1"/>
          <w:szCs w:val="24"/>
          <w14:textFill>
            <w14:solidFill>
              <w14:schemeClr w14:val="tx1"/>
            </w14:solidFill>
          </w14:textFill>
        </w:rPr>
        <w:t>。</w:t>
      </w:r>
    </w:p>
    <w:p>
      <w:pPr>
        <w:spacing w:line="360" w:lineRule="auto"/>
        <w:ind w:firstLine="42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2  PS1</w:t>
      </w:r>
      <w:r>
        <w:rPr>
          <w:rFonts w:hint="eastAsia" w:cs="Times New Roman"/>
          <w:bCs/>
          <w:snapToGrid w:val="0"/>
          <w:color w:val="000000" w:themeColor="text1"/>
          <w:szCs w:val="24"/>
          <w14:textFill>
            <w14:solidFill>
              <w14:schemeClr w14:val="tx1"/>
            </w14:solidFill>
          </w14:textFill>
        </w:rPr>
        <w:t>、</w:t>
      </w:r>
      <w:r>
        <w:rPr>
          <w:rFonts w:cs="Times New Roman"/>
          <w:bCs/>
          <w:snapToGrid w:val="0"/>
          <w:color w:val="000000" w:themeColor="text1"/>
          <w:szCs w:val="24"/>
          <w14:textFill>
            <w14:solidFill>
              <w14:schemeClr w14:val="tx1"/>
            </w14:solidFill>
          </w14:textFill>
        </w:rPr>
        <w:t>PS2</w:t>
      </w:r>
      <w:r>
        <w:rPr>
          <w:rFonts w:hint="eastAsia" w:cs="Times New Roman"/>
          <w:bCs/>
          <w:snapToGrid w:val="0"/>
          <w:color w:val="000000" w:themeColor="text1"/>
          <w:szCs w:val="24"/>
          <w14:textFill>
            <w14:solidFill>
              <w14:schemeClr w14:val="tx1"/>
            </w14:solidFill>
          </w14:textFill>
        </w:rPr>
        <w:t>框架，其节点左右梁端和上下柱端的塑性承载力，当采用钢管混凝土柱时，应符合下式的要求：</w:t>
      </w:r>
    </w:p>
    <w:p>
      <w:pPr>
        <w:spacing w:line="360" w:lineRule="auto"/>
        <w:ind w:firstLine="420"/>
        <w:jc w:val="right"/>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object>
          <v:shape id="_x0000_i1035" o:spt="75" type="#_x0000_t75" style="height:38pt;width:171.5pt;" o:ole="t" filled="f" o:preferrelative="t" stroked="f" coordsize="21600,21600">
            <v:path/>
            <v:fill on="f" focussize="0,0"/>
            <v:stroke on="f" joinstyle="miter"/>
            <v:imagedata r:id="rId65" o:title=""/>
            <o:lock v:ext="edit" aspectratio="t"/>
            <w10:wrap type="none"/>
            <w10:anchorlock/>
          </v:shape>
          <o:OLEObject Type="Embed" ProgID="Equation.3" ShapeID="_x0000_i1035" DrawAspect="Content" ObjectID="_1468075735" r:id="rId64">
            <o:LockedField>false</o:LockedField>
          </o:OLEObject>
        </w:object>
      </w:r>
      <w:r>
        <w:rPr>
          <w:rFonts w:cs="Times New Roman"/>
          <w:bCs/>
          <w:snapToGrid w:val="0"/>
          <w:color w:val="000000" w:themeColor="text1"/>
          <w:szCs w:val="24"/>
          <w14:textFill>
            <w14:solidFill>
              <w14:schemeClr w14:val="tx1"/>
            </w14:solidFill>
          </w14:textFill>
        </w:rPr>
        <w:t xml:space="preserve">          </w:t>
      </w:r>
      <w:r>
        <w:rPr>
          <w:rFonts w:hint="eastAsia" w:cs="Times New Roman"/>
          <w:bCs/>
          <w:snapToGrid w:val="0"/>
          <w:color w:val="000000" w:themeColor="text1"/>
          <w:szCs w:val="24"/>
          <w14:textFill>
            <w14:solidFill>
              <w14:schemeClr w14:val="tx1"/>
            </w14:solidFill>
          </w14:textFill>
        </w:rPr>
        <w:t>（9</w:t>
      </w:r>
      <w:r>
        <w:rPr>
          <w:rFonts w:cs="Times New Roman"/>
          <w:bCs/>
          <w:snapToGrid w:val="0"/>
          <w:color w:val="000000" w:themeColor="text1"/>
          <w:szCs w:val="24"/>
          <w14:textFill>
            <w14:solidFill>
              <w14:schemeClr w14:val="tx1"/>
            </w14:solidFill>
          </w14:textFill>
        </w:rPr>
        <w:t>.2.5-3</w:t>
      </w:r>
      <w:r>
        <w:rPr>
          <w:rFonts w:hint="eastAsia" w:cs="Times New Roman"/>
          <w:bCs/>
          <w:snapToGrid w:val="0"/>
          <w:color w:val="000000" w:themeColor="text1"/>
          <w:szCs w:val="24"/>
          <w14:textFill>
            <w14:solidFill>
              <w14:schemeClr w14:val="tx1"/>
            </w14:solidFill>
          </w14:textFill>
        </w:rPr>
        <w:t>）</w:t>
      </w:r>
    </w:p>
    <w:p>
      <w:pPr>
        <w:spacing w:line="360" w:lineRule="auto"/>
        <w:ind w:firstLine="420"/>
        <w:jc w:val="right"/>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object>
          <v:shape id="_x0000_i1036" o:spt="75" type="#_x0000_t75" style="height:19pt;width:128.5pt;" o:ole="t" filled="f" o:preferrelative="t" stroked="f" coordsize="21600,21600">
            <v:path/>
            <v:fill on="f" focussize="0,0"/>
            <v:stroke on="f" joinstyle="miter"/>
            <v:imagedata r:id="rId67" o:title=""/>
            <o:lock v:ext="edit" aspectratio="t"/>
            <w10:wrap type="none"/>
            <w10:anchorlock/>
          </v:shape>
          <o:OLEObject Type="Embed" ProgID="Equation.3" ShapeID="_x0000_i1036" DrawAspect="Content" ObjectID="_1468075736" r:id="rId66">
            <o:LockedField>false</o:LockedField>
          </o:OLEObject>
        </w:object>
      </w:r>
      <w:r>
        <w:rPr>
          <w:rFonts w:cs="Times New Roman"/>
          <w:bCs/>
          <w:snapToGrid w:val="0"/>
          <w:color w:val="000000" w:themeColor="text1"/>
          <w:szCs w:val="24"/>
          <w14:textFill>
            <w14:solidFill>
              <w14:schemeClr w14:val="tx1"/>
            </w14:solidFill>
          </w14:textFill>
        </w:rPr>
        <w:t xml:space="preserve">               </w:t>
      </w:r>
      <w:r>
        <w:rPr>
          <w:rFonts w:hint="eastAsia" w:cs="Times New Roman"/>
          <w:bCs/>
          <w:snapToGrid w:val="0"/>
          <w:color w:val="000000" w:themeColor="text1"/>
          <w:szCs w:val="24"/>
          <w14:textFill>
            <w14:solidFill>
              <w14:schemeClr w14:val="tx1"/>
            </w14:solidFill>
          </w14:textFill>
        </w:rPr>
        <w:t>（9</w:t>
      </w:r>
      <w:r>
        <w:rPr>
          <w:rFonts w:cs="Times New Roman"/>
          <w:bCs/>
          <w:snapToGrid w:val="0"/>
          <w:color w:val="000000" w:themeColor="text1"/>
          <w:szCs w:val="24"/>
          <w14:textFill>
            <w14:solidFill>
              <w14:schemeClr w14:val="tx1"/>
            </w14:solidFill>
          </w14:textFill>
        </w:rPr>
        <w:t>.2.5-4</w:t>
      </w:r>
      <w:r>
        <w:rPr>
          <w:rFonts w:hint="eastAsia" w:cs="Times New Roman"/>
          <w:bCs/>
          <w:snapToGrid w:val="0"/>
          <w:color w:val="000000" w:themeColor="text1"/>
          <w:szCs w:val="24"/>
          <w14:textFill>
            <w14:solidFill>
              <w14:schemeClr w14:val="tx1"/>
            </w14:solidFill>
          </w14:textFill>
        </w:rPr>
        <w:t>）</w:t>
      </w:r>
    </w:p>
    <w:p>
      <w:pPr>
        <w:spacing w:line="360" w:lineRule="auto"/>
        <w:ind w:firstLine="420"/>
        <w:jc w:val="right"/>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object>
          <v:shape id="_x0000_i1037" o:spt="75" type="#_x0000_t75" style="height:20pt;width:124pt;" o:ole="t" filled="f" o:preferrelative="t" stroked="f" coordsize="21600,21600">
            <v:path/>
            <v:fill on="f" focussize="0,0"/>
            <v:stroke on="f" joinstyle="miter"/>
            <v:imagedata r:id="rId69" o:title=""/>
            <o:lock v:ext="edit" aspectratio="t"/>
            <w10:wrap type="none"/>
            <w10:anchorlock/>
          </v:shape>
          <o:OLEObject Type="Embed" ProgID="Equation.3" ShapeID="_x0000_i1037" DrawAspect="Content" ObjectID="_1468075737" r:id="rId68">
            <o:LockedField>false</o:LockedField>
          </o:OLEObject>
        </w:object>
      </w:r>
      <w:r>
        <w:rPr>
          <w:rFonts w:cs="Times New Roman"/>
          <w:bCs/>
          <w:snapToGrid w:val="0"/>
          <w:color w:val="000000" w:themeColor="text1"/>
          <w:szCs w:val="24"/>
          <w14:textFill>
            <w14:solidFill>
              <w14:schemeClr w14:val="tx1"/>
            </w14:solidFill>
          </w14:textFill>
        </w:rPr>
        <w:t xml:space="preserve">                </w:t>
      </w:r>
      <w:r>
        <w:rPr>
          <w:rFonts w:hint="eastAsia" w:cs="Times New Roman"/>
          <w:bCs/>
          <w:snapToGrid w:val="0"/>
          <w:color w:val="000000" w:themeColor="text1"/>
          <w:szCs w:val="24"/>
          <w14:textFill>
            <w14:solidFill>
              <w14:schemeClr w14:val="tx1"/>
            </w14:solidFill>
          </w14:textFill>
        </w:rPr>
        <w:t>（9</w:t>
      </w:r>
      <w:r>
        <w:rPr>
          <w:rFonts w:cs="Times New Roman"/>
          <w:bCs/>
          <w:snapToGrid w:val="0"/>
          <w:color w:val="000000" w:themeColor="text1"/>
          <w:szCs w:val="24"/>
          <w14:textFill>
            <w14:solidFill>
              <w14:schemeClr w14:val="tx1"/>
            </w14:solidFill>
          </w14:textFill>
        </w:rPr>
        <w:t>.2.5-5</w:t>
      </w:r>
      <w:r>
        <w:rPr>
          <w:rFonts w:hint="eastAsia" w:cs="Times New Roman"/>
          <w:bCs/>
          <w:snapToGrid w:val="0"/>
          <w:color w:val="000000" w:themeColor="text1"/>
          <w:szCs w:val="24"/>
          <w14:textFill>
            <w14:solidFill>
              <w14:schemeClr w14:val="tx1"/>
            </w14:solidFill>
          </w14:textFill>
        </w:rPr>
        <w:t>）</w:t>
      </w:r>
    </w:p>
    <w:p>
      <w:pPr>
        <w:spacing w:line="360" w:lineRule="auto"/>
        <w:ind w:firstLine="420"/>
        <w:jc w:val="right"/>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object>
          <v:shape id="_x0000_i1038" o:spt="75" type="#_x0000_t75" style="height:36pt;width:44.5pt;" o:ole="t" filled="f" o:preferrelative="t" stroked="f" coordsize="21600,21600">
            <v:path/>
            <v:fill on="f" focussize="0,0"/>
            <v:stroke on="f" joinstyle="miter"/>
            <v:imagedata r:id="rId71" o:title=""/>
            <o:lock v:ext="edit" aspectratio="t"/>
            <w10:wrap type="none"/>
            <w10:anchorlock/>
          </v:shape>
          <o:OLEObject Type="Embed" ProgID="Equation.3" ShapeID="_x0000_i1038" DrawAspect="Content" ObjectID="_1468075738" r:id="rId70">
            <o:LockedField>false</o:LockedField>
          </o:OLEObject>
        </w:object>
      </w:r>
      <w:r>
        <w:rPr>
          <w:rFonts w:cs="Times New Roman"/>
          <w:bCs/>
          <w:snapToGrid w:val="0"/>
          <w:color w:val="000000" w:themeColor="text1"/>
          <w:szCs w:val="24"/>
          <w14:textFill>
            <w14:solidFill>
              <w14:schemeClr w14:val="tx1"/>
            </w14:solidFill>
          </w14:textFill>
        </w:rPr>
        <w:t xml:space="preserve">                       </w:t>
      </w:r>
      <w:r>
        <w:rPr>
          <w:rFonts w:hint="eastAsia" w:cs="Times New Roman"/>
          <w:bCs/>
          <w:snapToGrid w:val="0"/>
          <w:color w:val="000000" w:themeColor="text1"/>
          <w:szCs w:val="24"/>
          <w14:textFill>
            <w14:solidFill>
              <w14:schemeClr w14:val="tx1"/>
            </w14:solidFill>
          </w14:textFill>
        </w:rPr>
        <w:t>（9</w:t>
      </w:r>
      <w:r>
        <w:rPr>
          <w:rFonts w:cs="Times New Roman"/>
          <w:bCs/>
          <w:snapToGrid w:val="0"/>
          <w:color w:val="000000" w:themeColor="text1"/>
          <w:szCs w:val="24"/>
          <w14:textFill>
            <w14:solidFill>
              <w14:schemeClr w14:val="tx1"/>
            </w14:solidFill>
          </w14:textFill>
        </w:rPr>
        <w:t>.2.5-6</w:t>
      </w:r>
      <w:r>
        <w:rPr>
          <w:rFonts w:hint="eastAsia" w:cs="Times New Roman"/>
          <w:bCs/>
          <w:snapToGrid w:val="0"/>
          <w:color w:val="000000" w:themeColor="text1"/>
          <w:szCs w:val="24"/>
          <w14:textFill>
            <w14:solidFill>
              <w14:schemeClr w14:val="tx1"/>
            </w14:solidFill>
          </w14:textFill>
        </w:rPr>
        <w:t>）</w:t>
      </w:r>
    </w:p>
    <w:p>
      <w:pPr>
        <w:autoSpaceDE w:val="0"/>
        <w:autoSpaceDN w:val="0"/>
        <w:spacing w:line="360" w:lineRule="auto"/>
        <w:ind w:left="1260" w:right="95" w:hanging="1260" w:hangingChars="600"/>
        <w:rPr>
          <w:rFonts w:cs="Times New Roman"/>
          <w:bCs/>
          <w:snapToGrid w:val="0"/>
          <w:color w:val="000000" w:themeColor="text1"/>
          <w:szCs w:val="24"/>
          <w14:textFill>
            <w14:solidFill>
              <w14:schemeClr w14:val="tx1"/>
            </w14:solidFill>
          </w14:textFill>
        </w:rPr>
      </w:pPr>
      <w:r>
        <w:rPr>
          <w:rFonts w:hint="eastAsia" w:cs="Times New Roman"/>
          <w:bCs/>
          <w:snapToGrid w:val="0"/>
          <w:color w:val="000000" w:themeColor="text1"/>
          <w:szCs w:val="24"/>
          <w14:textFill>
            <w14:solidFill>
              <w14:schemeClr w14:val="tx1"/>
            </w14:solidFill>
          </w14:textFill>
        </w:rPr>
        <w:t>式中：</w:t>
      </w:r>
      <w:r>
        <w:rPr>
          <w:rFonts w:cs="Times New Roman"/>
          <w:bCs/>
          <w:snapToGrid w:val="0"/>
          <w:color w:val="000000" w:themeColor="text1"/>
          <w:szCs w:val="24"/>
          <w14:textFill>
            <w14:solidFill>
              <w14:schemeClr w14:val="tx1"/>
            </w14:solidFill>
          </w14:textFill>
        </w:rPr>
        <w:t>Wsc——</w:t>
      </w:r>
      <w:r>
        <w:rPr>
          <w:rFonts w:hint="eastAsia" w:cs="Times New Roman"/>
          <w:bCs/>
          <w:snapToGrid w:val="0"/>
          <w:color w:val="000000" w:themeColor="text1"/>
          <w:szCs w:val="24"/>
          <w14:textFill>
            <w14:solidFill>
              <w14:schemeClr w14:val="tx1"/>
            </w14:solidFill>
          </w14:textFill>
        </w:rPr>
        <w:t>钢管混凝土柱的受弯截面模量，对于格构式钢管混凝土柱，为柱截面到最大受压肢外边缘的截面模量；</w:t>
      </w:r>
    </w:p>
    <w:p>
      <w:pPr>
        <w:autoSpaceDE w:val="0"/>
        <w:autoSpaceDN w:val="0"/>
        <w:spacing w:line="360" w:lineRule="auto"/>
        <w:ind w:left="1260" w:leftChars="300" w:right="95" w:hanging="630" w:hangingChars="300"/>
        <w:rPr>
          <w:rFonts w:cs="Times New Roman"/>
          <w:bCs/>
          <w:snapToGrid w:val="0"/>
          <w:color w:val="000000" w:themeColor="text1"/>
          <w:szCs w:val="24"/>
          <w14:textFill>
            <w14:solidFill>
              <w14:schemeClr w14:val="tx1"/>
            </w14:solidFill>
          </w14:textFill>
        </w:rPr>
      </w:pPr>
      <w:r>
        <w:rPr>
          <w:rFonts w:hint="eastAsia" w:cs="Times New Roman"/>
          <w:bCs/>
          <w:snapToGrid w:val="0"/>
          <w:color w:val="000000" w:themeColor="text1"/>
          <w:szCs w:val="24"/>
          <w14:textFill>
            <w14:solidFill>
              <w14:schemeClr w14:val="tx1"/>
            </w14:solidFill>
          </w14:textFill>
        </w:rPr>
        <w:t>γ</w:t>
      </w:r>
      <w:r>
        <w:rPr>
          <w:rFonts w:cs="Times New Roman"/>
          <w:bCs/>
          <w:snapToGrid w:val="0"/>
          <w:color w:val="000000" w:themeColor="text1"/>
          <w:szCs w:val="24"/>
          <w14:textFill>
            <w14:solidFill>
              <w14:schemeClr w14:val="tx1"/>
            </w14:solidFill>
          </w14:textFill>
        </w:rPr>
        <w:t>m——</w:t>
      </w:r>
      <w:r>
        <w:rPr>
          <w:rFonts w:hint="eastAsia" w:cs="Times New Roman"/>
          <w:bCs/>
          <w:snapToGrid w:val="0"/>
          <w:color w:val="000000" w:themeColor="text1"/>
          <w:szCs w:val="24"/>
          <w14:textFill>
            <w14:solidFill>
              <w14:schemeClr w14:val="tx1"/>
            </w14:solidFill>
          </w14:textFill>
        </w:rPr>
        <w:t>塑性发展系数，对实心圆形截面取</w:t>
      </w:r>
      <w:r>
        <w:rPr>
          <w:rFonts w:cs="Times New Roman"/>
          <w:bCs/>
          <w:snapToGrid w:val="0"/>
          <w:color w:val="000000" w:themeColor="text1"/>
          <w:szCs w:val="24"/>
          <w14:textFill>
            <w14:solidFill>
              <w14:schemeClr w14:val="tx1"/>
            </w14:solidFill>
          </w14:textFill>
        </w:rPr>
        <w:t>1.2</w:t>
      </w:r>
      <w:r>
        <w:rPr>
          <w:rFonts w:hint="eastAsia" w:cs="Times New Roman"/>
          <w:bCs/>
          <w:snapToGrid w:val="0"/>
          <w:color w:val="000000" w:themeColor="text1"/>
          <w:szCs w:val="24"/>
          <w14:textFill>
            <w14:solidFill>
              <w14:schemeClr w14:val="tx1"/>
            </w14:solidFill>
          </w14:textFill>
        </w:rPr>
        <w:t>；格构式柱取</w:t>
      </w:r>
      <w:r>
        <w:rPr>
          <w:rFonts w:cs="Times New Roman"/>
          <w:bCs/>
          <w:snapToGrid w:val="0"/>
          <w:color w:val="000000" w:themeColor="text1"/>
          <w:szCs w:val="24"/>
          <w14:textFill>
            <w14:solidFill>
              <w14:schemeClr w14:val="tx1"/>
            </w14:solidFill>
          </w14:textFill>
        </w:rPr>
        <w:t>1.0</w:t>
      </w:r>
      <w:r>
        <w:rPr>
          <w:rFonts w:hint="eastAsia" w:cs="Times New Roman"/>
          <w:bCs/>
          <w:snapToGrid w:val="0"/>
          <w:color w:val="000000" w:themeColor="text1"/>
          <w:szCs w:val="24"/>
          <w14:textFill>
            <w14:solidFill>
              <w14:schemeClr w14:val="tx1"/>
            </w14:solidFill>
          </w14:textFill>
        </w:rPr>
        <w:t>；</w:t>
      </w:r>
    </w:p>
    <w:p>
      <w:pPr>
        <w:autoSpaceDE w:val="0"/>
        <w:autoSpaceDN w:val="0"/>
        <w:spacing w:line="360" w:lineRule="auto"/>
        <w:ind w:right="95" w:firstLine="630" w:firstLineChars="300"/>
        <w:jc w:val="left"/>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fsc——</w:t>
      </w:r>
      <w:r>
        <w:rPr>
          <w:rFonts w:hint="eastAsia" w:cs="Times New Roman"/>
          <w:bCs/>
          <w:snapToGrid w:val="0"/>
          <w:color w:val="000000" w:themeColor="text1"/>
          <w:szCs w:val="24"/>
          <w14:textFill>
            <w14:solidFill>
              <w14:schemeClr w14:val="tx1"/>
            </w14:solidFill>
          </w14:textFill>
        </w:rPr>
        <w:t>钢管混凝土抗压强度设计值；</w:t>
      </w:r>
    </w:p>
    <w:p>
      <w:pPr>
        <w:spacing w:line="360" w:lineRule="auto"/>
        <w:ind w:firstLine="42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 xml:space="preserve">  f</w:t>
      </w:r>
      <w:r>
        <w:rPr>
          <w:rFonts w:hint="eastAsia" w:cs="Times New Roman"/>
          <w:bCs/>
          <w:snapToGrid w:val="0"/>
          <w:color w:val="000000" w:themeColor="text1"/>
          <w:szCs w:val="24"/>
          <w14:textFill>
            <w14:solidFill>
              <w14:schemeClr w14:val="tx1"/>
            </w14:solidFill>
          </w14:textFill>
        </w:rPr>
        <w:t>、</w:t>
      </w:r>
      <w:r>
        <w:rPr>
          <w:rFonts w:cs="Times New Roman"/>
          <w:bCs/>
          <w:snapToGrid w:val="0"/>
          <w:color w:val="000000" w:themeColor="text1"/>
          <w:szCs w:val="24"/>
          <w14:textFill>
            <w14:solidFill>
              <w14:schemeClr w14:val="tx1"/>
            </w14:solidFill>
          </w14:textFill>
        </w:rPr>
        <w:t>fc——</w:t>
      </w:r>
      <w:r>
        <w:rPr>
          <w:rFonts w:hint="eastAsia" w:cs="Times New Roman"/>
          <w:bCs/>
          <w:snapToGrid w:val="0"/>
          <w:color w:val="000000" w:themeColor="text1"/>
          <w:szCs w:val="24"/>
          <w14:textFill>
            <w14:solidFill>
              <w14:schemeClr w14:val="tx1"/>
            </w14:solidFill>
          </w14:textFill>
        </w:rPr>
        <w:t>钢管混凝土柱中钢材和混凝土的抗压强度设计值；</w:t>
      </w:r>
    </w:p>
    <w:p>
      <w:pPr>
        <w:spacing w:line="360" w:lineRule="auto"/>
        <w:ind w:firstLine="42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 xml:space="preserve">  As</w:t>
      </w:r>
      <w:r>
        <w:rPr>
          <w:rFonts w:hint="eastAsia" w:cs="Times New Roman"/>
          <w:bCs/>
          <w:snapToGrid w:val="0"/>
          <w:color w:val="000000" w:themeColor="text1"/>
          <w:szCs w:val="24"/>
          <w14:textFill>
            <w14:solidFill>
              <w14:schemeClr w14:val="tx1"/>
            </w14:solidFill>
          </w14:textFill>
        </w:rPr>
        <w:t>、</w:t>
      </w:r>
      <w:r>
        <w:rPr>
          <w:rFonts w:cs="Times New Roman"/>
          <w:bCs/>
          <w:snapToGrid w:val="0"/>
          <w:color w:val="000000" w:themeColor="text1"/>
          <w:szCs w:val="24"/>
          <w14:textFill>
            <w14:solidFill>
              <w14:schemeClr w14:val="tx1"/>
            </w14:solidFill>
          </w14:textFill>
        </w:rPr>
        <w:t>Ac——</w:t>
      </w:r>
      <w:r>
        <w:rPr>
          <w:rFonts w:hint="eastAsia" w:cs="Times New Roman"/>
          <w:bCs/>
          <w:snapToGrid w:val="0"/>
          <w:color w:val="000000" w:themeColor="text1"/>
          <w:szCs w:val="24"/>
          <w14:textFill>
            <w14:solidFill>
              <w14:schemeClr w14:val="tx1"/>
            </w14:solidFill>
          </w14:textFill>
        </w:rPr>
        <w:t>为钢管混凝土柱中钢管截面面积、管内混凝土面积；</w:t>
      </w:r>
    </w:p>
    <w:p>
      <w:pPr>
        <w:spacing w:line="360" w:lineRule="auto"/>
        <w:ind w:firstLine="42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 xml:space="preserve">  θ——</w:t>
      </w:r>
      <w:r>
        <w:rPr>
          <w:rFonts w:hint="eastAsia" w:cs="Times New Roman"/>
          <w:bCs/>
          <w:snapToGrid w:val="0"/>
          <w:color w:val="000000" w:themeColor="text1"/>
          <w:szCs w:val="24"/>
          <w14:textFill>
            <w14:solidFill>
              <w14:schemeClr w14:val="tx1"/>
            </w14:solidFill>
          </w14:textFill>
        </w:rPr>
        <w:t>钢管混凝土构件的套箍系数；</w:t>
      </w:r>
    </w:p>
    <w:p>
      <w:pPr>
        <w:spacing w:line="360" w:lineRule="auto"/>
        <w:ind w:firstLine="42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 xml:space="preserve">  B</w:t>
      </w:r>
      <w:r>
        <w:rPr>
          <w:rFonts w:hint="eastAsia" w:cs="Times New Roman"/>
          <w:bCs/>
          <w:snapToGrid w:val="0"/>
          <w:color w:val="000000" w:themeColor="text1"/>
          <w:szCs w:val="24"/>
          <w14:textFill>
            <w14:solidFill>
              <w14:schemeClr w14:val="tx1"/>
            </w14:solidFill>
          </w14:textFill>
        </w:rPr>
        <w:t>、</w:t>
      </w:r>
      <w:r>
        <w:rPr>
          <w:rFonts w:cs="Times New Roman"/>
          <w:bCs/>
          <w:snapToGrid w:val="0"/>
          <w:color w:val="000000" w:themeColor="text1"/>
          <w:szCs w:val="24"/>
          <w14:textFill>
            <w14:solidFill>
              <w14:schemeClr w14:val="tx1"/>
            </w14:solidFill>
          </w14:textFill>
        </w:rPr>
        <w:t>C——</w:t>
      </w:r>
      <w:r>
        <w:rPr>
          <w:rFonts w:hint="eastAsia" w:cs="Times New Roman"/>
          <w:bCs/>
          <w:snapToGrid w:val="0"/>
          <w:color w:val="000000" w:themeColor="text1"/>
          <w:szCs w:val="24"/>
          <w14:textFill>
            <w14:solidFill>
              <w14:schemeClr w14:val="tx1"/>
            </w14:solidFill>
          </w14:textFill>
        </w:rPr>
        <w:t>截面形状对套箍效应的影响系数，见《钢管混凝土结构技术规范》</w:t>
      </w:r>
      <w:r>
        <w:rPr>
          <w:rFonts w:cs="Times New Roman"/>
          <w:bCs/>
          <w:snapToGrid w:val="0"/>
          <w:color w:val="000000" w:themeColor="text1"/>
          <w:szCs w:val="24"/>
          <w14:textFill>
            <w14:solidFill>
              <w14:schemeClr w14:val="tx1"/>
            </w14:solidFill>
          </w14:textFill>
        </w:rPr>
        <w:t>GB50936</w:t>
      </w:r>
      <w:r>
        <w:rPr>
          <w:rFonts w:hint="eastAsia" w:cs="Times New Roman"/>
          <w:bCs/>
          <w:snapToGrid w:val="0"/>
          <w:color w:val="000000" w:themeColor="text1"/>
          <w:szCs w:val="24"/>
          <w14:textFill>
            <w14:solidFill>
              <w14:schemeClr w14:val="tx1"/>
            </w14:solidFill>
          </w14:textFill>
        </w:rPr>
        <w:t>。</w:t>
      </w:r>
    </w:p>
    <w:p>
      <w:pPr>
        <w:ind w:firstLine="420"/>
        <w:rPr>
          <w:color w:val="000000" w:themeColor="text1"/>
          <w14:textFill>
            <w14:solidFill>
              <w14:schemeClr w14:val="tx1"/>
            </w14:solidFill>
          </w14:textFill>
        </w:rPr>
      </w:pPr>
    </w:p>
    <w:p>
      <w:pPr>
        <w:spacing w:line="360" w:lineRule="auto"/>
        <w:ind w:firstLine="420"/>
        <w:jc w:val="center"/>
        <w:rPr>
          <w:bCs/>
          <w:color w:val="000000" w:themeColor="text1"/>
          <w14:textFill>
            <w14:solidFill>
              <w14:schemeClr w14:val="tx1"/>
            </w14:solidFill>
          </w14:textFill>
        </w:rPr>
      </w:pPr>
      <w:r>
        <w:rPr>
          <w:bCs/>
          <w:color w:val="000000" w:themeColor="text1"/>
          <w14:textFill>
            <w14:solidFill>
              <w14:schemeClr w14:val="tx1"/>
            </w14:solidFill>
          </w14:textFill>
        </w:rPr>
        <w:drawing>
          <wp:inline distT="0" distB="0" distL="0" distR="0">
            <wp:extent cx="4489450" cy="2139950"/>
            <wp:effectExtent l="0" t="0" r="635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4489450" cy="2139950"/>
                    </a:xfrm>
                    <a:prstGeom prst="rect">
                      <a:avLst/>
                    </a:prstGeom>
                    <a:noFill/>
                    <a:ln>
                      <a:noFill/>
                    </a:ln>
                  </pic:spPr>
                </pic:pic>
              </a:graphicData>
            </a:graphic>
          </wp:inline>
        </w:drawing>
      </w:r>
    </w:p>
    <w:p>
      <w:pPr>
        <w:spacing w:line="360" w:lineRule="auto"/>
        <w:ind w:left="1019" w:hanging="1018" w:hangingChars="566"/>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w:t>
      </w:r>
      <w:r>
        <w:rPr>
          <w:bCs/>
          <w:snapToGrid w:val="0"/>
          <w:color w:val="000000" w:themeColor="text1"/>
          <w:kern w:val="0"/>
          <w:sz w:val="18"/>
          <w:szCs w:val="21"/>
          <w14:textFill>
            <w14:solidFill>
              <w14:schemeClr w14:val="tx1"/>
            </w14:solidFill>
          </w14:textFill>
        </w:rPr>
        <w:t>a</w:t>
      </w:r>
      <w:r>
        <w:rPr>
          <w:rFonts w:hint="eastAsia"/>
          <w:bCs/>
          <w:snapToGrid w:val="0"/>
          <w:color w:val="000000" w:themeColor="text1"/>
          <w:kern w:val="0"/>
          <w:sz w:val="18"/>
          <w:szCs w:val="21"/>
          <w14:textFill>
            <w14:solidFill>
              <w14:schemeClr w14:val="tx1"/>
            </w14:solidFill>
          </w14:textFill>
        </w:rPr>
        <w:t>）</w:t>
      </w:r>
      <w:r>
        <w:rPr>
          <w:rFonts w:hint="eastAsia"/>
          <w:bCs/>
          <w:color w:val="000000" w:themeColor="text1"/>
          <w:sz w:val="18"/>
          <w:szCs w:val="21"/>
          <w14:textFill>
            <w14:solidFill>
              <w14:schemeClr w14:val="tx1"/>
            </w14:solidFill>
          </w14:textFill>
        </w:rPr>
        <w:t>加腋</w:t>
      </w:r>
      <w:r>
        <w:rPr>
          <w:bCs/>
          <w:color w:val="000000" w:themeColor="text1"/>
          <w:sz w:val="18"/>
          <w:szCs w:val="21"/>
          <w14:textFill>
            <w14:solidFill>
              <w14:schemeClr w14:val="tx1"/>
            </w14:solidFill>
          </w14:textFill>
        </w:rPr>
        <w:t xml:space="preserve">                                        </w:t>
      </w: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b</w:t>
      </w:r>
      <w:r>
        <w:rPr>
          <w:rFonts w:hint="eastAsia"/>
          <w:bCs/>
          <w:color w:val="000000" w:themeColor="text1"/>
          <w:sz w:val="18"/>
          <w:szCs w:val="21"/>
          <w14:textFill>
            <w14:solidFill>
              <w14:schemeClr w14:val="tx1"/>
            </w14:solidFill>
          </w14:textFill>
        </w:rPr>
        <w:t>）翼缘扩大</w:t>
      </w:r>
    </w:p>
    <w:p>
      <w:pPr>
        <w:spacing w:line="360" w:lineRule="auto"/>
        <w:ind w:left="1019" w:hanging="1018" w:hangingChars="566"/>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图9</w:t>
      </w:r>
      <w:r>
        <w:rPr>
          <w:bCs/>
          <w:snapToGrid w:val="0"/>
          <w:color w:val="000000" w:themeColor="text1"/>
          <w:kern w:val="0"/>
          <w:sz w:val="18"/>
          <w:szCs w:val="21"/>
          <w14:textFill>
            <w14:solidFill>
              <w14:schemeClr w14:val="tx1"/>
            </w14:solidFill>
          </w14:textFill>
        </w:rPr>
        <w:t>.2.5</w:t>
      </w:r>
      <w:r>
        <w:rPr>
          <w:rFonts w:hint="eastAsia"/>
          <w:bCs/>
          <w:snapToGrid w:val="0"/>
          <w:color w:val="000000" w:themeColor="text1"/>
          <w:kern w:val="0"/>
          <w:sz w:val="18"/>
          <w:szCs w:val="21"/>
          <w14:textFill>
            <w14:solidFill>
              <w14:schemeClr w14:val="tx1"/>
            </w14:solidFill>
          </w14:textFill>
        </w:rPr>
        <w:t>-1</w:t>
      </w:r>
      <w:r>
        <w:rPr>
          <w:bCs/>
          <w:snapToGrid w:val="0"/>
          <w:color w:val="000000" w:themeColor="text1"/>
          <w:kern w:val="0"/>
          <w:sz w:val="18"/>
          <w:szCs w:val="21"/>
          <w14:textFill>
            <w14:solidFill>
              <w14:schemeClr w14:val="tx1"/>
            </w14:solidFill>
          </w14:textFill>
        </w:rPr>
        <w:t xml:space="preserve">  </w:t>
      </w:r>
      <w:r>
        <w:rPr>
          <w:rFonts w:hint="eastAsia"/>
          <w:bCs/>
          <w:snapToGrid w:val="0"/>
          <w:color w:val="000000" w:themeColor="text1"/>
          <w:kern w:val="0"/>
          <w:sz w:val="18"/>
          <w:szCs w:val="21"/>
          <w14:textFill>
            <w14:solidFill>
              <w14:schemeClr w14:val="tx1"/>
            </w14:solidFill>
          </w14:textFill>
        </w:rPr>
        <w:t>端部加</w:t>
      </w:r>
      <w:r>
        <w:rPr>
          <w:rFonts w:hint="eastAsia"/>
          <w:bCs/>
          <w:color w:val="000000" w:themeColor="text1"/>
          <w:sz w:val="18"/>
          <w:szCs w:val="21"/>
          <w14:textFill>
            <w14:solidFill>
              <w14:schemeClr w14:val="tx1"/>
            </w14:solidFill>
          </w14:textFill>
        </w:rPr>
        <w:t>腋梁和翼缘</w:t>
      </w:r>
      <w:r>
        <w:rPr>
          <w:rFonts w:hint="eastAsia"/>
          <w:bCs/>
          <w:snapToGrid w:val="0"/>
          <w:color w:val="000000" w:themeColor="text1"/>
          <w:kern w:val="0"/>
          <w:sz w:val="18"/>
          <w:szCs w:val="21"/>
          <w14:textFill>
            <w14:solidFill>
              <w14:schemeClr w14:val="tx1"/>
            </w14:solidFill>
          </w14:textFill>
        </w:rPr>
        <w:t>扩大梁的塑性铰位置</w:t>
      </w:r>
    </w:p>
    <w:p>
      <w:pPr>
        <w:spacing w:line="380" w:lineRule="exact"/>
        <w:ind w:firstLine="420"/>
        <w:rPr>
          <w:rFonts w:cs="Times New Roman"/>
          <w:bCs/>
          <w:snapToGrid w:val="0"/>
          <w:color w:val="000000" w:themeColor="text1"/>
          <w:szCs w:val="24"/>
          <w14:textFill>
            <w14:solidFill>
              <w14:schemeClr w14:val="tx1"/>
            </w14:solidFill>
          </w14:textFill>
        </w:rPr>
      </w:pPr>
      <w:r>
        <w:rPr>
          <w:rFonts w:hint="eastAsia" w:cs="Times New Roman"/>
          <w:bCs/>
          <w:snapToGrid w:val="0"/>
          <w:color w:val="000000" w:themeColor="text1"/>
          <w:szCs w:val="24"/>
          <w14:textFill>
            <w14:solidFill>
              <w14:schemeClr w14:val="tx1"/>
            </w14:solidFill>
          </w14:textFill>
        </w:rPr>
        <w:t>3</w:t>
      </w:r>
      <w:r>
        <w:rPr>
          <w:rFonts w:cs="Times New Roman"/>
          <w:bCs/>
          <w:snapToGrid w:val="0"/>
          <w:color w:val="000000" w:themeColor="text1"/>
          <w:szCs w:val="24"/>
          <w14:textFill>
            <w14:solidFill>
              <w14:schemeClr w14:val="tx1"/>
            </w14:solidFill>
          </w14:textFill>
        </w:rPr>
        <w:t xml:space="preserve">  PES</w:t>
      </w:r>
      <w:r>
        <w:rPr>
          <w:rFonts w:hint="eastAsia" w:cs="Times New Roman"/>
          <w:bCs/>
          <w:snapToGrid w:val="0"/>
          <w:color w:val="000000" w:themeColor="text1"/>
          <w:szCs w:val="24"/>
          <w14:textFill>
            <w14:solidFill>
              <w14:schemeClr w14:val="tx1"/>
            </w14:solidFill>
          </w14:textFill>
        </w:rPr>
        <w:t>框架，其梁柱弯矩比仍可采用本条第</w:t>
      </w:r>
      <w:r>
        <w:rPr>
          <w:rFonts w:cs="Times New Roman"/>
          <w:bCs/>
          <w:snapToGrid w:val="0"/>
          <w:color w:val="000000" w:themeColor="text1"/>
          <w:szCs w:val="24"/>
          <w14:textFill>
            <w14:solidFill>
              <w14:schemeClr w14:val="tx1"/>
            </w14:solidFill>
          </w14:textFill>
        </w:rPr>
        <w:t>1</w:t>
      </w:r>
      <w:r>
        <w:rPr>
          <w:rFonts w:hint="eastAsia" w:cs="Times New Roman"/>
          <w:bCs/>
          <w:snapToGrid w:val="0"/>
          <w:color w:val="000000" w:themeColor="text1"/>
          <w:szCs w:val="24"/>
          <w14:textFill>
            <w14:solidFill>
              <w14:schemeClr w14:val="tx1"/>
            </w14:solidFill>
          </w14:textFill>
        </w:rPr>
        <w:t>、2款的要求进行验算，但可取超强系数</w:t>
      </w:r>
      <w:r>
        <w:rPr>
          <w:rFonts w:cs="Times New Roman"/>
          <w:bCs/>
          <w:snapToGrid w:val="0"/>
          <w:color w:val="000000" w:themeColor="text1"/>
          <w:szCs w:val="24"/>
          <w14:textFill>
            <w14:solidFill>
              <w14:schemeClr w14:val="tx1"/>
            </w14:solidFill>
          </w14:textFill>
        </w:rPr>
        <w:t>η</w:t>
      </w:r>
      <w:r>
        <w:rPr>
          <w:rFonts w:hint="eastAsia" w:cs="Times New Roman"/>
          <w:bCs/>
          <w:snapToGrid w:val="0"/>
          <w:color w:val="000000" w:themeColor="text1"/>
          <w:szCs w:val="24"/>
          <w14:textFill>
            <w14:solidFill>
              <w14:schemeClr w14:val="tx1"/>
            </w14:solidFill>
          </w14:textFill>
        </w:rPr>
        <w:t>不小于</w:t>
      </w:r>
      <w:r>
        <w:rPr>
          <w:rFonts w:cs="Times New Roman"/>
          <w:bCs/>
          <w:snapToGrid w:val="0"/>
          <w:color w:val="000000" w:themeColor="text1"/>
          <w:szCs w:val="24"/>
          <w14:textFill>
            <w14:solidFill>
              <w14:schemeClr w14:val="tx1"/>
            </w14:solidFill>
          </w14:textFill>
        </w:rPr>
        <w:t>1.05</w:t>
      </w:r>
      <w:r>
        <w:rPr>
          <w:rFonts w:hint="eastAsia" w:cs="Times New Roman"/>
          <w:bCs/>
          <w:snapToGrid w:val="0"/>
          <w:color w:val="000000" w:themeColor="text1"/>
          <w:szCs w:val="24"/>
          <w14:textFill>
            <w14:solidFill>
              <w14:schemeClr w14:val="tx1"/>
            </w14:solidFill>
          </w14:textFill>
        </w:rPr>
        <w:t>。</w:t>
      </w:r>
    </w:p>
    <w:p>
      <w:pPr>
        <w:spacing w:line="380" w:lineRule="exact"/>
        <w:ind w:firstLine="420"/>
        <w:rPr>
          <w:rFonts w:cs="Times New Roman"/>
          <w:bCs/>
          <w:snapToGrid w:val="0"/>
          <w:color w:val="000000" w:themeColor="text1"/>
          <w:szCs w:val="24"/>
          <w14:textFill>
            <w14:solidFill>
              <w14:schemeClr w14:val="tx1"/>
            </w14:solidFill>
          </w14:textFill>
        </w:rPr>
      </w:pPr>
      <w:r>
        <w:rPr>
          <w:rFonts w:hint="eastAsia" w:cs="Times New Roman"/>
          <w:bCs/>
          <w:snapToGrid w:val="0"/>
          <w:color w:val="000000" w:themeColor="text1"/>
          <w:szCs w:val="24"/>
          <w14:textFill>
            <w14:solidFill>
              <w14:schemeClr w14:val="tx1"/>
            </w14:solidFill>
          </w14:textFill>
        </w:rPr>
        <w:t>4</w:t>
      </w:r>
      <w:r>
        <w:rPr>
          <w:rFonts w:cs="Times New Roman"/>
          <w:bCs/>
          <w:snapToGrid w:val="0"/>
          <w:color w:val="000000" w:themeColor="text1"/>
          <w:szCs w:val="24"/>
          <w14:textFill>
            <w14:solidFill>
              <w14:schemeClr w14:val="tx1"/>
            </w14:solidFill>
          </w14:textFill>
        </w:rPr>
        <w:t xml:space="preserve"> </w:t>
      </w:r>
      <w:r>
        <w:rPr>
          <w:rFonts w:hint="eastAsia" w:cs="Times New Roman"/>
          <w:bCs/>
          <w:snapToGrid w:val="0"/>
          <w:color w:val="000000" w:themeColor="text1"/>
          <w:szCs w:val="24"/>
          <w14:textFill>
            <w14:solidFill>
              <w14:schemeClr w14:val="tx1"/>
            </w14:solidFill>
          </w14:textFill>
        </w:rPr>
        <w:t>当符合下列情况之一时，可免除本条第</w:t>
      </w:r>
      <w:r>
        <w:rPr>
          <w:rFonts w:cs="Times New Roman"/>
          <w:bCs/>
          <w:snapToGrid w:val="0"/>
          <w:color w:val="000000" w:themeColor="text1"/>
          <w:szCs w:val="24"/>
          <w14:textFill>
            <w14:solidFill>
              <w14:schemeClr w14:val="tx1"/>
            </w14:solidFill>
          </w14:textFill>
        </w:rPr>
        <w:t>1</w:t>
      </w:r>
      <w:r>
        <w:rPr>
          <w:rFonts w:hint="eastAsia" w:cs="Times New Roman"/>
          <w:bCs/>
          <w:snapToGrid w:val="0"/>
          <w:color w:val="000000" w:themeColor="text1"/>
          <w:szCs w:val="24"/>
          <w14:textFill>
            <w14:solidFill>
              <w14:schemeClr w14:val="tx1"/>
            </w14:solidFill>
          </w14:textFill>
        </w:rPr>
        <w:t>款的要求：</w:t>
      </w:r>
    </w:p>
    <w:p>
      <w:pPr>
        <w:spacing w:line="380" w:lineRule="exact"/>
        <w:ind w:firstLine="840" w:firstLineChars="40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1</w:t>
      </w:r>
      <w:r>
        <w:rPr>
          <w:rFonts w:hint="eastAsia" w:cs="Times New Roman"/>
          <w:bCs/>
          <w:snapToGrid w:val="0"/>
          <w:color w:val="000000" w:themeColor="text1"/>
          <w:szCs w:val="24"/>
          <w14:textFill>
            <w14:solidFill>
              <w14:schemeClr w14:val="tx1"/>
            </w14:solidFill>
          </w14:textFill>
        </w:rPr>
        <w:t>）单层结构、多层结构的顶层；</w:t>
      </w:r>
    </w:p>
    <w:p>
      <w:pPr>
        <w:spacing w:line="380" w:lineRule="exact"/>
        <w:ind w:firstLine="840" w:firstLineChars="40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2</w:t>
      </w:r>
      <w:r>
        <w:rPr>
          <w:rFonts w:hint="eastAsia" w:cs="Times New Roman"/>
          <w:bCs/>
          <w:snapToGrid w:val="0"/>
          <w:color w:val="000000" w:themeColor="text1"/>
          <w:szCs w:val="24"/>
          <w14:textFill>
            <w14:solidFill>
              <w14:schemeClr w14:val="tx1"/>
            </w14:solidFill>
          </w14:textFill>
        </w:rPr>
        <w:t>）</w:t>
      </w:r>
      <w:r>
        <w:rPr>
          <w:rFonts w:cs="Times New Roman"/>
          <w:bCs/>
          <w:snapToGrid w:val="0"/>
          <w:color w:val="000000" w:themeColor="text1"/>
          <w:szCs w:val="24"/>
          <w14:textFill>
            <w14:solidFill>
              <w14:schemeClr w14:val="tx1"/>
            </w14:solidFill>
          </w14:textFill>
        </w:rPr>
        <w:t>PS1</w:t>
      </w:r>
      <w:r>
        <w:rPr>
          <w:rFonts w:hint="eastAsia" w:cs="Times New Roman"/>
          <w:bCs/>
          <w:snapToGrid w:val="0"/>
          <w:color w:val="000000" w:themeColor="text1"/>
          <w:szCs w:val="24"/>
          <w14:textFill>
            <w14:solidFill>
              <w14:schemeClr w14:val="tx1"/>
            </w14:solidFill>
          </w14:textFill>
        </w:rPr>
        <w:t>、</w:t>
      </w:r>
      <w:r>
        <w:rPr>
          <w:rFonts w:cs="Times New Roman"/>
          <w:bCs/>
          <w:snapToGrid w:val="0"/>
          <w:color w:val="000000" w:themeColor="text1"/>
          <w:szCs w:val="24"/>
          <w14:textFill>
            <w14:solidFill>
              <w14:schemeClr w14:val="tx1"/>
            </w14:solidFill>
          </w14:textFill>
        </w:rPr>
        <w:t>PS2</w:t>
      </w:r>
      <w:r>
        <w:rPr>
          <w:rFonts w:hint="eastAsia" w:cs="Times New Roman"/>
          <w:bCs/>
          <w:snapToGrid w:val="0"/>
          <w:color w:val="000000" w:themeColor="text1"/>
          <w:szCs w:val="24"/>
          <w14:textFill>
            <w14:solidFill>
              <w14:schemeClr w14:val="tx1"/>
            </w14:solidFill>
          </w14:textFill>
        </w:rPr>
        <w:t>框架，柱的轴压比均不超过</w:t>
      </w:r>
      <w:r>
        <w:rPr>
          <w:rFonts w:cs="Times New Roman"/>
          <w:bCs/>
          <w:snapToGrid w:val="0"/>
          <w:color w:val="000000" w:themeColor="text1"/>
          <w:szCs w:val="24"/>
          <w14:textFill>
            <w14:solidFill>
              <w14:schemeClr w14:val="tx1"/>
            </w14:solidFill>
          </w14:textFill>
        </w:rPr>
        <w:t>0.</w:t>
      </w:r>
      <w:r>
        <w:rPr>
          <w:rFonts w:hint="eastAsia" w:cs="Times New Roman"/>
          <w:bCs/>
          <w:snapToGrid w:val="0"/>
          <w:color w:val="000000" w:themeColor="text1"/>
          <w:szCs w:val="24"/>
          <w14:textFill>
            <w14:solidFill>
              <w14:schemeClr w14:val="tx1"/>
            </w14:solidFill>
          </w14:textFill>
        </w:rPr>
        <w:t>4；</w:t>
      </w:r>
      <w:r>
        <w:rPr>
          <w:rFonts w:cs="Times New Roman"/>
          <w:bCs/>
          <w:snapToGrid w:val="0"/>
          <w:color w:val="000000" w:themeColor="text1"/>
          <w:szCs w:val="24"/>
          <w14:textFill>
            <w14:solidFill>
              <w14:schemeClr w14:val="tx1"/>
            </w14:solidFill>
          </w14:textFill>
        </w:rPr>
        <w:t>PES</w:t>
      </w:r>
      <w:r>
        <w:rPr>
          <w:rFonts w:hint="eastAsia" w:cs="Times New Roman"/>
          <w:bCs/>
          <w:snapToGrid w:val="0"/>
          <w:color w:val="000000" w:themeColor="text1"/>
          <w:szCs w:val="24"/>
          <w14:textFill>
            <w14:solidFill>
              <w14:schemeClr w14:val="tx1"/>
            </w14:solidFill>
          </w14:textFill>
        </w:rPr>
        <w:t>框架柱的轴压比不超过</w:t>
      </w:r>
      <w:r>
        <w:rPr>
          <w:rFonts w:cs="Times New Roman"/>
          <w:bCs/>
          <w:snapToGrid w:val="0"/>
          <w:color w:val="000000" w:themeColor="text1"/>
          <w:szCs w:val="24"/>
          <w14:textFill>
            <w14:solidFill>
              <w14:schemeClr w14:val="tx1"/>
            </w14:solidFill>
          </w14:textFill>
        </w:rPr>
        <w:t>0.4</w:t>
      </w:r>
      <w:r>
        <w:rPr>
          <w:rFonts w:hint="eastAsia" w:cs="Times New Roman"/>
          <w:bCs/>
          <w:snapToGrid w:val="0"/>
          <w:color w:val="000000" w:themeColor="text1"/>
          <w:szCs w:val="24"/>
          <w14:textFill>
            <w14:solidFill>
              <w14:schemeClr w14:val="tx1"/>
            </w14:solidFill>
          </w14:textFill>
        </w:rPr>
        <w:t>5；</w:t>
      </w:r>
    </w:p>
    <w:p>
      <w:pPr>
        <w:spacing w:line="380" w:lineRule="exact"/>
        <w:ind w:left="1050" w:leftChars="400" w:hanging="210" w:hangingChars="10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3</w:t>
      </w:r>
      <w:r>
        <w:rPr>
          <w:rFonts w:hint="eastAsia" w:cs="Times New Roman"/>
          <w:bCs/>
          <w:snapToGrid w:val="0"/>
          <w:color w:val="000000" w:themeColor="text1"/>
          <w:szCs w:val="24"/>
          <w14:textFill>
            <w14:solidFill>
              <w14:schemeClr w14:val="tx1"/>
            </w14:solidFill>
          </w14:textFill>
        </w:rPr>
        <w:t>）柱所在楼层沿验算方向的总抗剪承载力，大于其相邻上层柱总抗剪承载力的</w:t>
      </w:r>
      <w:r>
        <w:rPr>
          <w:rFonts w:cs="Times New Roman"/>
          <w:bCs/>
          <w:snapToGrid w:val="0"/>
          <w:color w:val="000000" w:themeColor="text1"/>
          <w:szCs w:val="24"/>
          <w14:textFill>
            <w14:solidFill>
              <w14:schemeClr w14:val="tx1"/>
            </w14:solidFill>
          </w14:textFill>
        </w:rPr>
        <w:t>1.</w:t>
      </w:r>
      <w:r>
        <w:rPr>
          <w:rFonts w:hint="eastAsia" w:cs="Times New Roman"/>
          <w:bCs/>
          <w:snapToGrid w:val="0"/>
          <w:color w:val="000000" w:themeColor="text1"/>
          <w:szCs w:val="24"/>
          <w14:textFill>
            <w14:solidFill>
              <w14:schemeClr w14:val="tx1"/>
            </w14:solidFill>
          </w14:textFill>
        </w:rPr>
        <w:t>2</w:t>
      </w:r>
      <w:r>
        <w:rPr>
          <w:rFonts w:cs="Times New Roman"/>
          <w:bCs/>
          <w:snapToGrid w:val="0"/>
          <w:color w:val="000000" w:themeColor="text1"/>
          <w:szCs w:val="24"/>
          <w14:textFill>
            <w14:solidFill>
              <w14:schemeClr w14:val="tx1"/>
            </w14:solidFill>
          </w14:textFill>
        </w:rPr>
        <w:t>5</w:t>
      </w:r>
      <w:r>
        <w:rPr>
          <w:rFonts w:hint="eastAsia" w:cs="Times New Roman"/>
          <w:bCs/>
          <w:snapToGrid w:val="0"/>
          <w:color w:val="000000" w:themeColor="text1"/>
          <w:szCs w:val="24"/>
          <w14:textFill>
            <w14:solidFill>
              <w14:schemeClr w14:val="tx1"/>
            </w14:solidFill>
          </w14:textFill>
        </w:rPr>
        <w:t>倍；</w:t>
      </w:r>
    </w:p>
    <w:p>
      <w:pPr>
        <w:spacing w:line="380" w:lineRule="exact"/>
        <w:ind w:left="1050" w:leftChars="400" w:hanging="210" w:hangingChars="100"/>
        <w:rPr>
          <w:rFonts w:cs="Times New Roman"/>
          <w:bCs/>
          <w:snapToGrid w:val="0"/>
          <w:color w:val="000000" w:themeColor="text1"/>
          <w:szCs w:val="24"/>
          <w14:textFill>
            <w14:solidFill>
              <w14:schemeClr w14:val="tx1"/>
            </w14:solidFill>
          </w14:textFill>
        </w:rPr>
      </w:pPr>
      <w:r>
        <w:rPr>
          <w:rFonts w:cs="Times New Roman"/>
          <w:bCs/>
          <w:snapToGrid w:val="0"/>
          <w:color w:val="000000" w:themeColor="text1"/>
          <w:szCs w:val="24"/>
          <w14:textFill>
            <w14:solidFill>
              <w14:schemeClr w14:val="tx1"/>
            </w14:solidFill>
          </w14:textFill>
        </w:rPr>
        <w:t>4</w:t>
      </w:r>
      <w:r>
        <w:rPr>
          <w:rFonts w:hint="eastAsia" w:cs="Times New Roman"/>
          <w:bCs/>
          <w:snapToGrid w:val="0"/>
          <w:color w:val="000000" w:themeColor="text1"/>
          <w:szCs w:val="24"/>
          <w14:textFill>
            <w14:solidFill>
              <w14:schemeClr w14:val="tx1"/>
            </w14:solidFill>
          </w14:textFill>
        </w:rPr>
        <w:t>）不符合本条第</w:t>
      </w:r>
      <w:r>
        <w:rPr>
          <w:rFonts w:cs="Times New Roman"/>
          <w:bCs/>
          <w:snapToGrid w:val="0"/>
          <w:color w:val="000000" w:themeColor="text1"/>
          <w:szCs w:val="24"/>
          <w14:textFill>
            <w14:solidFill>
              <w14:schemeClr w14:val="tx1"/>
            </w14:solidFill>
          </w14:textFill>
        </w:rPr>
        <w:t>1</w:t>
      </w:r>
      <w:r>
        <w:rPr>
          <w:rFonts w:hint="eastAsia" w:cs="Times New Roman"/>
          <w:bCs/>
          <w:snapToGrid w:val="0"/>
          <w:color w:val="000000" w:themeColor="text1"/>
          <w:szCs w:val="24"/>
          <w14:textFill>
            <w14:solidFill>
              <w14:schemeClr w14:val="tx1"/>
            </w14:solidFill>
          </w14:textFill>
        </w:rPr>
        <w:t>款的柱，在验算方向的抗剪承载力总和小于该楼层柱抗剪承载力的</w:t>
      </w:r>
      <w:r>
        <w:rPr>
          <w:rFonts w:cs="Times New Roman"/>
          <w:bCs/>
          <w:snapToGrid w:val="0"/>
          <w:color w:val="000000" w:themeColor="text1"/>
          <w:szCs w:val="24"/>
          <w14:textFill>
            <w14:solidFill>
              <w14:schemeClr w14:val="tx1"/>
            </w14:solidFill>
          </w14:textFill>
        </w:rPr>
        <w:t>20</w:t>
      </w:r>
      <w:r>
        <w:rPr>
          <w:rFonts w:hint="eastAsia" w:cs="Times New Roman"/>
          <w:bCs/>
          <w:snapToGrid w:val="0"/>
          <w:color w:val="000000" w:themeColor="text1"/>
          <w:szCs w:val="24"/>
          <w14:textFill>
            <w14:solidFill>
              <w14:schemeClr w14:val="tx1"/>
            </w14:solidFill>
          </w14:textFill>
        </w:rPr>
        <w:t>％，且该楼层每一柱列不满足上式的框架柱在验算方向的抗剪承载力总和小于该柱列抗剪承载力总和的</w:t>
      </w:r>
      <w:r>
        <w:rPr>
          <w:rFonts w:cs="Times New Roman"/>
          <w:bCs/>
          <w:snapToGrid w:val="0"/>
          <w:color w:val="000000" w:themeColor="text1"/>
          <w:szCs w:val="24"/>
          <w14:textFill>
            <w14:solidFill>
              <w14:schemeClr w14:val="tx1"/>
            </w14:solidFill>
          </w14:textFill>
        </w:rPr>
        <w:t>1/3</w:t>
      </w:r>
      <w:r>
        <w:rPr>
          <w:rFonts w:hint="eastAsia" w:cs="Times New Roman"/>
          <w:bCs/>
          <w:snapToGrid w:val="0"/>
          <w:color w:val="000000" w:themeColor="text1"/>
          <w:szCs w:val="24"/>
          <w14:textFill>
            <w14:solidFill>
              <w14:schemeClr w14:val="tx1"/>
            </w14:solidFill>
          </w14:textFill>
        </w:rPr>
        <w:t>。</w:t>
      </w:r>
    </w:p>
    <w:p>
      <w:pPr>
        <w:spacing w:line="380" w:lineRule="exac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 xml:space="preserve">.2.6  </w:t>
      </w:r>
      <w:r>
        <w:rPr>
          <w:bCs/>
          <w:snapToGrid w:val="0"/>
          <w:color w:val="000000" w:themeColor="text1"/>
          <w:kern w:val="0"/>
          <w:szCs w:val="21"/>
          <w14:textFill>
            <w14:solidFill>
              <w14:schemeClr w14:val="tx1"/>
            </w14:solidFill>
          </w14:textFill>
        </w:rPr>
        <w:t>PS1</w:t>
      </w:r>
      <w:r>
        <w:rPr>
          <w:rFonts w:hint="eastAsia"/>
          <w:bCs/>
          <w:snapToGrid w:val="0"/>
          <w:color w:val="000000" w:themeColor="text1"/>
          <w:kern w:val="0"/>
          <w:szCs w:val="21"/>
          <w14:textFill>
            <w14:solidFill>
              <w14:schemeClr w14:val="tx1"/>
            </w14:solidFill>
          </w14:textFill>
        </w:rPr>
        <w:t>、</w:t>
      </w:r>
      <w:r>
        <w:rPr>
          <w:bCs/>
          <w:snapToGrid w:val="0"/>
          <w:color w:val="000000" w:themeColor="text1"/>
          <w:kern w:val="0"/>
          <w:szCs w:val="21"/>
          <w14:textFill>
            <w14:solidFill>
              <w14:schemeClr w14:val="tx1"/>
            </w14:solidFill>
          </w14:textFill>
        </w:rPr>
        <w:t>PS2</w:t>
      </w:r>
      <w:r>
        <w:rPr>
          <w:rFonts w:hint="eastAsia"/>
          <w:bCs/>
          <w:snapToGrid w:val="0"/>
          <w:color w:val="000000" w:themeColor="text1"/>
          <w:kern w:val="0"/>
          <w:szCs w:val="21"/>
          <w14:textFill>
            <w14:solidFill>
              <w14:schemeClr w14:val="tx1"/>
            </w14:solidFill>
          </w14:textFill>
        </w:rPr>
        <w:t>和</w:t>
      </w:r>
      <w:r>
        <w:rPr>
          <w:bCs/>
          <w:snapToGrid w:val="0"/>
          <w:color w:val="000000" w:themeColor="text1"/>
          <w:kern w:val="0"/>
          <w:szCs w:val="21"/>
          <w14:textFill>
            <w14:solidFill>
              <w14:schemeClr w14:val="tx1"/>
            </w14:solidFill>
          </w14:textFill>
        </w:rPr>
        <w:t>PES</w:t>
      </w:r>
      <w:r>
        <w:rPr>
          <w:rFonts w:hint="eastAsia"/>
          <w:bCs/>
          <w:snapToGrid w:val="0"/>
          <w:color w:val="000000" w:themeColor="text1"/>
          <w:kern w:val="0"/>
          <w:szCs w:val="21"/>
          <w14:textFill>
            <w14:solidFill>
              <w14:schemeClr w14:val="tx1"/>
            </w14:solidFill>
          </w14:textFill>
        </w:rPr>
        <w:t>的框架</w:t>
      </w:r>
      <w:r>
        <w:rPr>
          <w:rFonts w:hint="eastAsia"/>
          <w:bCs/>
          <w:color w:val="000000" w:themeColor="text1"/>
          <w:szCs w:val="21"/>
          <w14:textFill>
            <w14:solidFill>
              <w14:schemeClr w14:val="tx1"/>
            </w14:solidFill>
          </w14:textFill>
        </w:rPr>
        <w:t>梁，应在其</w:t>
      </w:r>
      <w:r>
        <w:rPr>
          <w:rFonts w:hint="eastAsia"/>
          <w:bCs/>
          <w:snapToGrid w:val="0"/>
          <w:color w:val="000000" w:themeColor="text1"/>
          <w:kern w:val="0"/>
          <w:szCs w:val="21"/>
          <w14:textFill>
            <w14:solidFill>
              <w14:schemeClr w14:val="tx1"/>
            </w14:solidFill>
          </w14:textFill>
        </w:rPr>
        <w:t>上下翼缘</w:t>
      </w:r>
      <w:r>
        <w:rPr>
          <w:rFonts w:hint="eastAsia"/>
          <w:bCs/>
          <w:color w:val="000000" w:themeColor="text1"/>
          <w:szCs w:val="21"/>
          <w14:textFill>
            <w14:solidFill>
              <w14:schemeClr w14:val="tx1"/>
            </w14:solidFill>
          </w14:textFill>
        </w:rPr>
        <w:t>设置侧向支承。侧向支承可设置在梁端可能塑性铰区，也可沿梁全长均匀设置，其间距应符合下列要求：</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1 </w:t>
      </w:r>
      <w:r>
        <w:rPr>
          <w:rFonts w:hint="eastAsia"/>
          <w:bCs/>
          <w:color w:val="000000" w:themeColor="text1"/>
          <w:szCs w:val="21"/>
          <w14:textFill>
            <w14:solidFill>
              <w14:schemeClr w14:val="tx1"/>
            </w14:solidFill>
          </w14:textFill>
        </w:rPr>
        <w:t>当沿梁全长均布设置侧向支</w:t>
      </w:r>
      <w:r>
        <w:rPr>
          <w:rFonts w:hint="eastAsia"/>
          <w:bCs/>
          <w:snapToGrid w:val="0"/>
          <w:color w:val="000000" w:themeColor="text1"/>
          <w:kern w:val="0"/>
          <w:szCs w:val="21"/>
          <w14:textFill>
            <w14:solidFill>
              <w14:schemeClr w14:val="tx1"/>
            </w14:solidFill>
          </w14:textFill>
        </w:rPr>
        <w:t>承</w:t>
      </w:r>
      <w:r>
        <w:rPr>
          <w:rFonts w:hint="eastAsia"/>
          <w:bCs/>
          <w:color w:val="000000" w:themeColor="text1"/>
          <w:szCs w:val="21"/>
          <w14:textFill>
            <w14:solidFill>
              <w14:schemeClr w14:val="tx1"/>
            </w14:solidFill>
          </w14:textFill>
        </w:rPr>
        <w:t>时，支承的个数应符合下式要求：</w:t>
      </w:r>
    </w:p>
    <w:p>
      <w:pPr>
        <w:spacing w:line="380" w:lineRule="exact"/>
        <w:ind w:firstLine="420"/>
        <w:rPr>
          <w:bCs/>
          <w:color w:val="000000" w:themeColor="text1"/>
          <w:szCs w:val="21"/>
          <w14:textFill>
            <w14:solidFill>
              <w14:schemeClr w14:val="tx1"/>
            </w14:solidFill>
          </w14:textFill>
        </w:rPr>
      </w:pPr>
      <w:r>
        <w:rPr>
          <w:bCs/>
          <w:snapToGrid w:val="0"/>
          <w:color w:val="000000" w:themeColor="text1"/>
          <w:kern w:val="0"/>
          <w:szCs w:val="21"/>
          <w14:textFill>
            <w14:solidFill>
              <w14:schemeClr w14:val="tx1"/>
            </w14:solidFill>
          </w14:textFill>
        </w:rPr>
        <w:t>Q235</w:t>
      </w:r>
      <w:r>
        <w:rPr>
          <w:rFonts w:hint="eastAsia"/>
          <w:bCs/>
          <w:color w:val="000000" w:themeColor="text1"/>
          <w:szCs w:val="21"/>
          <w14:textFill>
            <w14:solidFill>
              <w14:schemeClr w14:val="tx1"/>
            </w14:solidFill>
          </w14:textFill>
        </w:rPr>
        <w:t>钢：</w:t>
      </w:r>
    </w:p>
    <w:p>
      <w:pPr>
        <w:tabs>
          <w:tab w:val="left" w:pos="5812"/>
        </w:tabs>
        <w:wordWrap w:val="0"/>
        <w:spacing w:line="360" w:lineRule="auto"/>
        <w:ind w:firstLine="420"/>
        <w:jc w:val="right"/>
        <w:rPr>
          <w:bCs/>
          <w:color w:val="000000" w:themeColor="text1"/>
          <w:szCs w:val="21"/>
          <w14:textFill>
            <w14:solidFill>
              <w14:schemeClr w14:val="tx1"/>
            </w14:solidFill>
          </w14:textFill>
        </w:rPr>
      </w:pPr>
      <m:oMath>
        <m:sSub>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y</m:t>
            </m:r>
            <m:ctrlPr>
              <w:rPr>
                <w:rFonts w:ascii="Cambria Math" w:hAnsi="Cambria Math"/>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≤170+20n</m:t>
        </m:r>
      </m:oMath>
      <w:r>
        <w:rPr>
          <w:bCs/>
          <w:color w:val="000000" w:themeColor="text1"/>
          <w:szCs w:val="21"/>
          <w14:textFill>
            <w14:solidFill>
              <w14:schemeClr w14:val="tx1"/>
            </w14:solidFill>
          </w14:textFill>
        </w:rPr>
        <w:t xml:space="preserve">                       </w:t>
      </w:r>
      <w:r>
        <w:rPr>
          <w:rFonts w:hint="eastAsia"/>
          <w:bCs/>
          <w:snapToGrid w:val="0"/>
          <w:color w:val="000000" w:themeColor="text1"/>
          <w:kern w:val="0"/>
          <w:position w:val="-10"/>
          <w:szCs w:val="21"/>
          <w14:textFill>
            <w14:solidFill>
              <w14:schemeClr w14:val="tx1"/>
            </w14:solidFill>
          </w14:textFill>
        </w:rPr>
        <w:t>（9</w:t>
      </w:r>
      <w:r>
        <w:rPr>
          <w:bCs/>
          <w:snapToGrid w:val="0"/>
          <w:color w:val="000000" w:themeColor="text1"/>
          <w:kern w:val="0"/>
          <w:position w:val="-10"/>
          <w:szCs w:val="21"/>
          <w14:textFill>
            <w14:solidFill>
              <w14:schemeClr w14:val="tx1"/>
            </w14:solidFill>
          </w14:textFill>
        </w:rPr>
        <w:t>.2.6-1</w:t>
      </w:r>
      <w:r>
        <w:rPr>
          <w:rFonts w:hint="eastAsia"/>
          <w:bCs/>
          <w:snapToGrid w:val="0"/>
          <w:color w:val="000000" w:themeColor="text1"/>
          <w:kern w:val="0"/>
          <w:position w:val="-10"/>
          <w:szCs w:val="21"/>
          <w14:textFill>
            <w14:solidFill>
              <w14:schemeClr w14:val="tx1"/>
            </w14:solidFill>
          </w14:textFill>
        </w:rPr>
        <w:t>）</w:t>
      </w:r>
    </w:p>
    <w:p>
      <w:pPr>
        <w:spacing w:line="380" w:lineRule="exact"/>
        <w:ind w:firstLine="420"/>
        <w:rPr>
          <w:bCs/>
          <w:color w:val="000000" w:themeColor="text1"/>
          <w:szCs w:val="21"/>
          <w14:textFill>
            <w14:solidFill>
              <w14:schemeClr w14:val="tx1"/>
            </w14:solidFill>
          </w14:textFill>
        </w:rPr>
      </w:pPr>
      <w:r>
        <w:rPr>
          <w:bCs/>
          <w:snapToGrid w:val="0"/>
          <w:color w:val="000000" w:themeColor="text1"/>
          <w:kern w:val="0"/>
          <w:szCs w:val="21"/>
          <w14:textFill>
            <w14:solidFill>
              <w14:schemeClr w14:val="tx1"/>
            </w14:solidFill>
          </w14:textFill>
        </w:rPr>
        <w:t>Q3</w:t>
      </w:r>
      <w:r>
        <w:rPr>
          <w:rFonts w:hint="eastAsia"/>
          <w:bCs/>
          <w:snapToGrid w:val="0"/>
          <w:color w:val="000000" w:themeColor="text1"/>
          <w:kern w:val="0"/>
          <w:szCs w:val="21"/>
          <w14:textFill>
            <w14:solidFill>
              <w14:schemeClr w14:val="tx1"/>
            </w14:solidFill>
          </w14:textFill>
        </w:rPr>
        <w:t>5</w:t>
      </w:r>
      <w:r>
        <w:rPr>
          <w:bCs/>
          <w:snapToGrid w:val="0"/>
          <w:color w:val="000000" w:themeColor="text1"/>
          <w:kern w:val="0"/>
          <w:szCs w:val="21"/>
          <w14:textFill>
            <w14:solidFill>
              <w14:schemeClr w14:val="tx1"/>
            </w14:solidFill>
          </w14:textFill>
        </w:rPr>
        <w:t>5</w:t>
      </w:r>
      <w:r>
        <w:rPr>
          <w:rFonts w:hint="eastAsia"/>
          <w:bCs/>
          <w:snapToGrid w:val="0"/>
          <w:color w:val="000000" w:themeColor="text1"/>
          <w14:textFill>
            <w14:solidFill>
              <w14:schemeClr w14:val="tx1"/>
            </w14:solidFill>
          </w14:textFill>
        </w:rPr>
        <w:t>钢</w:t>
      </w:r>
      <w:r>
        <w:rPr>
          <w:rFonts w:hint="eastAsia"/>
          <w:bCs/>
          <w:color w:val="000000" w:themeColor="text1"/>
          <w:szCs w:val="21"/>
          <w14:textFill>
            <w14:solidFill>
              <w14:schemeClr w14:val="tx1"/>
            </w14:solidFill>
          </w14:textFill>
        </w:rPr>
        <w:t>：</w:t>
      </w:r>
    </w:p>
    <w:p>
      <w:pPr>
        <w:tabs>
          <w:tab w:val="left" w:pos="5812"/>
        </w:tabs>
        <w:wordWrap w:val="0"/>
        <w:spacing w:line="360" w:lineRule="auto"/>
        <w:ind w:firstLine="420"/>
        <w:jc w:val="right"/>
        <w:rPr>
          <w:bCs/>
          <w:color w:val="000000" w:themeColor="text1"/>
          <w:szCs w:val="21"/>
          <w14:textFill>
            <w14:solidFill>
              <w14:schemeClr w14:val="tx1"/>
            </w14:solidFill>
          </w14:textFill>
        </w:rPr>
      </w:pPr>
      <m:oMath>
        <m:sSub>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y</m:t>
            </m:r>
            <m:ctrlPr>
              <w:rPr>
                <w:rFonts w:ascii="Cambria Math" w:hAnsi="Cambria Math"/>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≤130+20N</m:t>
        </m:r>
      </m:oMath>
      <w:r>
        <w:rPr>
          <w:bCs/>
          <w:color w:val="000000" w:themeColor="text1"/>
          <w:szCs w:val="21"/>
          <w14:textFill>
            <w14:solidFill>
              <w14:schemeClr w14:val="tx1"/>
            </w14:solidFill>
          </w14:textFill>
        </w:rPr>
        <w:t xml:space="preserve">                       </w:t>
      </w:r>
      <w:r>
        <w:rPr>
          <w:rFonts w:hint="eastAsia"/>
          <w:bCs/>
          <w:snapToGrid w:val="0"/>
          <w:color w:val="000000" w:themeColor="text1"/>
          <w:kern w:val="0"/>
          <w:position w:val="-10"/>
          <w:szCs w:val="21"/>
          <w14:textFill>
            <w14:solidFill>
              <w14:schemeClr w14:val="tx1"/>
            </w14:solidFill>
          </w14:textFill>
        </w:rPr>
        <w:t>（9</w:t>
      </w:r>
      <w:r>
        <w:rPr>
          <w:bCs/>
          <w:snapToGrid w:val="0"/>
          <w:color w:val="000000" w:themeColor="text1"/>
          <w:kern w:val="0"/>
          <w:position w:val="-10"/>
          <w:szCs w:val="21"/>
          <w14:textFill>
            <w14:solidFill>
              <w14:schemeClr w14:val="tx1"/>
            </w14:solidFill>
          </w14:textFill>
        </w:rPr>
        <w:t>.2.6-2</w:t>
      </w:r>
      <w:r>
        <w:rPr>
          <w:rFonts w:hint="eastAsia"/>
          <w:bCs/>
          <w:snapToGrid w:val="0"/>
          <w:color w:val="000000" w:themeColor="text1"/>
          <w:kern w:val="0"/>
          <w:position w:val="-10"/>
          <w:szCs w:val="21"/>
          <w14:textFill>
            <w14:solidFill>
              <w14:schemeClr w14:val="tx1"/>
            </w14:solidFill>
          </w14:textFill>
        </w:rPr>
        <w:t>）</w:t>
      </w:r>
    </w:p>
    <w:p>
      <w:pPr>
        <w:spacing w:line="380" w:lineRule="exact"/>
        <w:ind w:firstLine="0" w:firstLineChars="0"/>
        <w:rPr>
          <w:bCs/>
          <w:color w:val="000000" w:themeColor="text1"/>
          <w:szCs w:val="21"/>
          <w14:textFill>
            <w14:solidFill>
              <w14:schemeClr w14:val="tx1"/>
            </w14:solidFill>
          </w14:textFill>
        </w:rPr>
      </w:pPr>
      <w:r>
        <w:rPr>
          <w:rFonts w:hint="eastAsia"/>
          <w:bCs/>
          <w:snapToGrid w:val="0"/>
          <w:color w:val="000000" w:themeColor="text1"/>
          <w14:textFill>
            <w14:solidFill>
              <w14:schemeClr w14:val="tx1"/>
            </w14:solidFill>
          </w14:textFill>
        </w:rPr>
        <w:t>式</w:t>
      </w:r>
      <w:r>
        <w:rPr>
          <w:rFonts w:hint="eastAsia"/>
          <w:bCs/>
          <w:color w:val="000000" w:themeColor="text1"/>
          <w:szCs w:val="21"/>
          <w14:textFill>
            <w14:solidFill>
              <w14:schemeClr w14:val="tx1"/>
            </w14:solidFill>
          </w14:textFill>
        </w:rPr>
        <w:t>中：</w:t>
      </w:r>
      <w:r>
        <w:rPr>
          <w:bCs/>
          <w:color w:val="000000" w:themeColor="text1"/>
          <w:szCs w:val="21"/>
          <w14:textFill>
            <w14:solidFill>
              <w14:schemeClr w14:val="tx1"/>
            </w14:solidFill>
          </w14:textFill>
        </w:rPr>
        <w:t>n——</w:t>
      </w:r>
      <w:r>
        <w:rPr>
          <w:rFonts w:hint="eastAsia"/>
          <w:bCs/>
          <w:color w:val="000000" w:themeColor="text1"/>
          <w:szCs w:val="21"/>
          <w14:textFill>
            <w14:solidFill>
              <w14:schemeClr w14:val="tx1"/>
            </w14:solidFill>
          </w14:textFill>
        </w:rPr>
        <w:t>梁的侧向支承个数；</w:t>
      </w:r>
    </w:p>
    <w:p>
      <w:pPr>
        <w:spacing w:line="380" w:lineRule="exact"/>
        <w:ind w:firstLine="619" w:firstLineChars="295"/>
        <w:rPr>
          <w:bCs/>
          <w:color w:val="000000" w:themeColor="text1"/>
          <w:szCs w:val="21"/>
          <w14:textFill>
            <w14:solidFill>
              <w14:schemeClr w14:val="tx1"/>
            </w14:solidFill>
          </w14:textFill>
        </w:rPr>
      </w:pPr>
      <w:r>
        <w:rPr>
          <w:rFonts w:cs="Times New Roman"/>
          <w:bCs/>
          <w:color w:val="000000" w:themeColor="text1"/>
          <w:position w:val="-14"/>
          <w:szCs w:val="21"/>
          <w14:textFill>
            <w14:solidFill>
              <w14:schemeClr w14:val="tx1"/>
            </w14:solidFill>
          </w14:textFill>
        </w:rPr>
        <w:object>
          <v:shape id="_x0000_i1039" o:spt="75" type="#_x0000_t75" style="height:15.5pt;width:15.5pt;" o:ole="t" filled="f" o:preferrelative="t" stroked="f" coordsize="21600,21600">
            <v:path/>
            <v:fill on="f" focussize="0,0"/>
            <v:stroke on="f" joinstyle="miter"/>
            <v:imagedata r:id="rId74" o:title=""/>
            <o:lock v:ext="edit" aspectratio="t"/>
            <w10:wrap type="none"/>
            <w10:anchorlock/>
          </v:shape>
          <o:OLEObject Type="Embed" ProgID="Equation.3" ShapeID="_x0000_i1039" DrawAspect="Content" ObjectID="_1468075739" r:id="rId73">
            <o:LockedField>false</o:LockedField>
          </o:OLEObject>
        </w:objec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按梁全长计算的弯矩作用平面外的长细比。</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2 </w:t>
      </w:r>
      <w:r>
        <w:rPr>
          <w:rFonts w:hint="eastAsia"/>
          <w:bCs/>
          <w:color w:val="000000" w:themeColor="text1"/>
          <w:szCs w:val="21"/>
          <w14:textFill>
            <w14:solidFill>
              <w14:schemeClr w14:val="tx1"/>
            </w14:solidFill>
          </w14:textFill>
        </w:rPr>
        <w:t>当</w:t>
      </w:r>
      <w:r>
        <w:rPr>
          <w:rFonts w:hint="eastAsia"/>
          <w:bCs/>
          <w:snapToGrid w:val="0"/>
          <w:color w:val="000000" w:themeColor="text1"/>
          <w:kern w:val="0"/>
          <w:szCs w:val="21"/>
          <w14:textFill>
            <w14:solidFill>
              <w14:schemeClr w14:val="tx1"/>
            </w14:solidFill>
          </w14:textFill>
        </w:rPr>
        <w:t>梁端可能塑性铰区设置侧向支承时，</w:t>
      </w:r>
      <w:r>
        <w:rPr>
          <w:rFonts w:hint="eastAsia"/>
          <w:bCs/>
          <w:color w:val="000000" w:themeColor="text1"/>
          <w:szCs w:val="21"/>
          <w14:textFill>
            <w14:solidFill>
              <w14:schemeClr w14:val="tx1"/>
            </w14:solidFill>
          </w14:textFill>
        </w:rPr>
        <w:t>支承点的间距</w:t>
      </w:r>
      <w:r>
        <w:rPr>
          <w:rFonts w:hint="eastAsia"/>
          <w:bCs/>
          <w:snapToGrid w:val="0"/>
          <w:color w:val="000000" w:themeColor="text1"/>
          <w:kern w:val="0"/>
          <w:szCs w:val="21"/>
          <w14:textFill>
            <w14:solidFill>
              <w14:schemeClr w14:val="tx1"/>
            </w14:solidFill>
          </w14:textFill>
        </w:rPr>
        <w:t>应</w:t>
      </w:r>
      <w:r>
        <w:rPr>
          <w:rFonts w:hint="eastAsia"/>
          <w:bCs/>
          <w:color w:val="000000" w:themeColor="text1"/>
          <w:szCs w:val="21"/>
          <w14:textFill>
            <w14:solidFill>
              <w14:schemeClr w14:val="tx1"/>
            </w14:solidFill>
          </w14:textFill>
        </w:rPr>
        <w:t>符合下式要求：</w:t>
      </w:r>
    </w:p>
    <w:p>
      <w:pPr>
        <w:spacing w:line="380" w:lineRule="exact"/>
        <w:ind w:firstLine="420"/>
        <w:rPr>
          <w:bCs/>
          <w:color w:val="000000" w:themeColor="text1"/>
          <w:szCs w:val="21"/>
          <w14:textFill>
            <w14:solidFill>
              <w14:schemeClr w14:val="tx1"/>
            </w14:solidFill>
          </w14:textFill>
        </w:rPr>
      </w:pPr>
      <w:r>
        <w:rPr>
          <w:bCs/>
          <w:snapToGrid w:val="0"/>
          <w:color w:val="000000" w:themeColor="text1"/>
          <w:kern w:val="0"/>
          <w:szCs w:val="21"/>
          <w14:textFill>
            <w14:solidFill>
              <w14:schemeClr w14:val="tx1"/>
            </w14:solidFill>
          </w14:textFill>
        </w:rPr>
        <w:t>Q235</w:t>
      </w:r>
      <w:r>
        <w:rPr>
          <w:rFonts w:hint="eastAsia"/>
          <w:bCs/>
          <w:color w:val="000000" w:themeColor="text1"/>
          <w:szCs w:val="21"/>
          <w14:textFill>
            <w14:solidFill>
              <w14:schemeClr w14:val="tx1"/>
            </w14:solidFill>
          </w14:textFill>
        </w:rPr>
        <w:t>钢：</w:t>
      </w:r>
    </w:p>
    <w:p>
      <w:pPr>
        <w:tabs>
          <w:tab w:val="left" w:pos="5812"/>
        </w:tabs>
        <w:wordWrap w:val="0"/>
        <w:spacing w:line="360" w:lineRule="auto"/>
        <w:ind w:firstLine="420"/>
        <w:jc w:val="right"/>
        <w:rPr>
          <w:bCs/>
          <w:color w:val="000000" w:themeColor="text1"/>
          <w:szCs w:val="21"/>
          <w14:textFill>
            <w14:solidFill>
              <w14:schemeClr w14:val="tx1"/>
            </w14:solidFill>
          </w14:textFill>
        </w:rPr>
      </w:pPr>
      <m:oMath>
        <m:f>
          <m:fPr>
            <m:ctrlPr>
              <w:rPr>
                <w:rFonts w:ascii="Cambria Math" w:hAnsi="Cambria Math" w:eastAsia="Cambria Math" w:cs="Cambria Math"/>
                <w:bCs/>
                <w:i/>
                <w:color w:val="000000" w:themeColor="text1"/>
                <w:szCs w:val="21"/>
                <w14:textFill>
                  <w14:solidFill>
                    <w14:schemeClr w14:val="tx1"/>
                  </w14:solidFill>
                </w14:textFill>
              </w:rPr>
            </m:ctrlPr>
          </m:fPr>
          <m:num>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l</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1</m:t>
                </m:r>
                <m:ctrlPr>
                  <w:rPr>
                    <w:rFonts w:ascii="Cambria Math" w:hAnsi="Cambria Math" w:eastAsia="Cambria Math" w:cs="Cambria Math"/>
                    <w:bCs/>
                    <w:i/>
                    <w:color w:val="000000" w:themeColor="text1"/>
                    <w:szCs w:val="21"/>
                    <w14:textFill>
                      <w14:solidFill>
                        <w14:schemeClr w14:val="tx1"/>
                      </w14:solidFill>
                    </w14:textFill>
                  </w:rPr>
                </m:ctrlPr>
              </m:sub>
            </m:sSub>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h</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b</m:t>
                </m:r>
                <m:ctrlPr>
                  <w:rPr>
                    <w:rFonts w:ascii="Cambria Math" w:hAnsi="Cambria Math" w:eastAsia="Cambria Math" w:cs="Cambria Math"/>
                    <w:bCs/>
                    <w:i/>
                    <w:color w:val="000000" w:themeColor="text1"/>
                    <w:szCs w:val="21"/>
                    <w14:textFill>
                      <w14:solidFill>
                        <w14:schemeClr w14:val="tx1"/>
                      </w14:solidFill>
                    </w14:textFill>
                  </w:rPr>
                </m:ctrlPr>
              </m:sub>
            </m:sSub>
            <m:ctrlPr>
              <w:rPr>
                <w:rFonts w:ascii="Cambria Math" w:hAnsi="Cambria Math" w:eastAsia="Cambria Math" w:cs="Cambria Math"/>
                <w:bCs/>
                <w:i/>
                <w:color w:val="000000" w:themeColor="text1"/>
                <w:szCs w:val="21"/>
                <w14:textFill>
                  <w14:solidFill>
                    <w14:schemeClr w14:val="tx1"/>
                  </w14:solidFill>
                </w14:textFill>
              </w:rPr>
            </m:ctrlPr>
          </m:num>
          <m:den>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A</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f</m:t>
                </m:r>
                <m:ctrlPr>
                  <w:rPr>
                    <w:rFonts w:ascii="Cambria Math" w:hAnsi="Cambria Math" w:eastAsia="Cambria Math" w:cs="Cambria Math"/>
                    <w:bCs/>
                    <w:i/>
                    <w:color w:val="000000" w:themeColor="text1"/>
                    <w:szCs w:val="21"/>
                    <w14:textFill>
                      <w14:solidFill>
                        <w14:schemeClr w14:val="tx1"/>
                      </w14:solidFill>
                    </w14:textFill>
                  </w:rPr>
                </m:ctrlPr>
              </m:sub>
            </m:sSub>
            <m:ctrlPr>
              <w:rPr>
                <w:rFonts w:ascii="Cambria Math" w:hAnsi="Cambria Math" w:eastAsia="Cambria Math" w:cs="Cambria Math"/>
                <w:bCs/>
                <w:i/>
                <w:color w:val="000000" w:themeColor="text1"/>
                <w:szCs w:val="21"/>
                <w14:textFill>
                  <w14:solidFill>
                    <w14:schemeClr w14:val="tx1"/>
                  </w14:solidFill>
                </w14:textFill>
              </w:rPr>
            </m:ctrlPr>
          </m:den>
        </m:f>
        <m:r>
          <w:rPr>
            <w:rFonts w:ascii="Cambria Math" w:hAnsi="Cambria Math" w:eastAsia="Cambria Math" w:cs="Times New Roman"/>
            <w:color w:val="000000" w:themeColor="text1"/>
            <w:szCs w:val="21"/>
            <w14:textFill>
              <w14:solidFill>
                <w14:schemeClr w14:val="tx1"/>
              </w14:solidFill>
            </w14:textFill>
          </w:rPr>
          <m:t>≤250</m:t>
        </m:r>
      </m:oMath>
      <w:r>
        <w:rPr>
          <w:rFonts w:hint="eastAsia"/>
          <w:bCs/>
          <w:color w:val="000000" w:themeColor="text1"/>
          <w:szCs w:val="21"/>
          <w14:textFill>
            <w14:solidFill>
              <w14:schemeClr w14:val="tx1"/>
            </w14:solidFill>
          </w14:textFill>
        </w:rPr>
        <w:t>，且</w:t>
      </w:r>
      <w:r>
        <w:rPr>
          <w:bCs/>
          <w:color w:val="000000" w:themeColor="text1"/>
          <w:szCs w:val="21"/>
          <w14:textFill>
            <w14:solidFill>
              <w14:schemeClr w14:val="tx1"/>
            </w14:solidFill>
          </w14:textFill>
        </w:rPr>
        <w:t xml:space="preserve"> </w:t>
      </w:r>
      <m:oMath>
        <m:f>
          <m:fPr>
            <m:ctrlPr>
              <w:rPr>
                <w:rFonts w:ascii="Cambria Math" w:hAnsi="Cambria Math" w:eastAsia="Cambria Math" w:cs="Cambria Math"/>
                <w:bCs/>
                <w:i/>
                <w:color w:val="000000" w:themeColor="text1"/>
                <w:szCs w:val="21"/>
                <w14:textFill>
                  <w14:solidFill>
                    <w14:schemeClr w14:val="tx1"/>
                  </w14:solidFill>
                </w14:textFill>
              </w:rPr>
            </m:ctrlPr>
          </m:fPr>
          <m:num>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l</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1</m:t>
                </m:r>
                <m:ctrlPr>
                  <w:rPr>
                    <w:rFonts w:ascii="Cambria Math" w:hAnsi="Cambria Math" w:eastAsia="Cambria Math" w:cs="Cambria Math"/>
                    <w:bCs/>
                    <w:i/>
                    <w:color w:val="000000" w:themeColor="text1"/>
                    <w:szCs w:val="21"/>
                    <w14:textFill>
                      <w14:solidFill>
                        <w14:schemeClr w14:val="tx1"/>
                      </w14:solidFill>
                    </w14:textFill>
                  </w:rPr>
                </m:ctrlPr>
              </m:sub>
            </m:sSub>
            <m:ctrlPr>
              <w:rPr>
                <w:rFonts w:ascii="Cambria Math" w:hAnsi="Cambria Math" w:eastAsia="Cambria Math" w:cs="Cambria Math"/>
                <w:bCs/>
                <w:i/>
                <w:color w:val="000000" w:themeColor="text1"/>
                <w:szCs w:val="21"/>
                <w14:textFill>
                  <w14:solidFill>
                    <w14:schemeClr w14:val="tx1"/>
                  </w14:solidFill>
                </w14:textFill>
              </w:rPr>
            </m:ctrlPr>
          </m:num>
          <m:den>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j</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y</m:t>
                </m:r>
                <m:ctrlPr>
                  <w:rPr>
                    <w:rFonts w:ascii="Cambria Math" w:hAnsi="Cambria Math" w:eastAsia="Cambria Math" w:cs="Cambria Math"/>
                    <w:bCs/>
                    <w:i/>
                    <w:color w:val="000000" w:themeColor="text1"/>
                    <w:szCs w:val="21"/>
                    <w14:textFill>
                      <w14:solidFill>
                        <w14:schemeClr w14:val="tx1"/>
                      </w14:solidFill>
                    </w14:textFill>
                  </w:rPr>
                </m:ctrlPr>
              </m:sub>
            </m:sSub>
            <m:ctrlPr>
              <w:rPr>
                <w:rFonts w:ascii="Cambria Math" w:hAnsi="Cambria Math" w:eastAsia="Cambria Math" w:cs="Cambria Math"/>
                <w:bCs/>
                <w:i/>
                <w:color w:val="000000" w:themeColor="text1"/>
                <w:szCs w:val="21"/>
                <w14:textFill>
                  <w14:solidFill>
                    <w14:schemeClr w14:val="tx1"/>
                  </w14:solidFill>
                </w14:textFill>
              </w:rPr>
            </m:ctrlPr>
          </m:den>
        </m:f>
        <m:r>
          <w:rPr>
            <w:rFonts w:ascii="Cambria Math" w:hAnsi="Cambria Math" w:eastAsia="Cambria Math" w:cs="Times New Roman"/>
            <w:color w:val="000000" w:themeColor="text1"/>
            <w:szCs w:val="21"/>
            <w14:textFill>
              <w14:solidFill>
                <w14:schemeClr w14:val="tx1"/>
              </w14:solidFill>
            </w14:textFill>
          </w:rPr>
          <m:t>≤65</m:t>
        </m:r>
      </m:oMath>
      <w:r>
        <w:rPr>
          <w:bCs/>
          <w:color w:val="000000" w:themeColor="text1"/>
          <w:szCs w:val="21"/>
          <w14:textFill>
            <w14:solidFill>
              <w14:schemeClr w14:val="tx1"/>
            </w14:solidFill>
          </w14:textFill>
        </w:rPr>
        <w:t xml:space="preserve">                  </w:t>
      </w:r>
      <w:r>
        <w:rPr>
          <w:rFonts w:hint="eastAsia"/>
          <w:bCs/>
          <w:snapToGrid w:val="0"/>
          <w:color w:val="000000" w:themeColor="text1"/>
          <w:kern w:val="0"/>
          <w:position w:val="-10"/>
          <w:szCs w:val="21"/>
          <w14:textFill>
            <w14:solidFill>
              <w14:schemeClr w14:val="tx1"/>
            </w14:solidFill>
          </w14:textFill>
        </w:rPr>
        <w:t>（9</w:t>
      </w:r>
      <w:r>
        <w:rPr>
          <w:bCs/>
          <w:snapToGrid w:val="0"/>
          <w:color w:val="000000" w:themeColor="text1"/>
          <w:kern w:val="0"/>
          <w:position w:val="-10"/>
          <w:szCs w:val="21"/>
          <w14:textFill>
            <w14:solidFill>
              <w14:schemeClr w14:val="tx1"/>
            </w14:solidFill>
          </w14:textFill>
        </w:rPr>
        <w:t>.2.6-3</w:t>
      </w:r>
      <w:r>
        <w:rPr>
          <w:rFonts w:hint="eastAsia"/>
          <w:bCs/>
          <w:snapToGrid w:val="0"/>
          <w:color w:val="000000" w:themeColor="text1"/>
          <w:kern w:val="0"/>
          <w:position w:val="-10"/>
          <w:szCs w:val="21"/>
          <w14:textFill>
            <w14:solidFill>
              <w14:schemeClr w14:val="tx1"/>
            </w14:solidFill>
          </w14:textFill>
        </w:rPr>
        <w:t>）</w:t>
      </w:r>
    </w:p>
    <w:p>
      <w:pPr>
        <w:spacing w:line="380" w:lineRule="exact"/>
        <w:ind w:firstLine="420"/>
        <w:rPr>
          <w:bCs/>
          <w:color w:val="000000" w:themeColor="text1"/>
          <w:szCs w:val="21"/>
          <w14:textFill>
            <w14:solidFill>
              <w14:schemeClr w14:val="tx1"/>
            </w14:solidFill>
          </w14:textFill>
        </w:rPr>
      </w:pPr>
      <w:r>
        <w:rPr>
          <w:bCs/>
          <w:snapToGrid w:val="0"/>
          <w:color w:val="000000" w:themeColor="text1"/>
          <w:kern w:val="0"/>
          <w:szCs w:val="21"/>
          <w14:textFill>
            <w14:solidFill>
              <w14:schemeClr w14:val="tx1"/>
            </w14:solidFill>
          </w14:textFill>
        </w:rPr>
        <w:t>Q3</w:t>
      </w:r>
      <w:r>
        <w:rPr>
          <w:rFonts w:hint="eastAsia"/>
          <w:bCs/>
          <w:snapToGrid w:val="0"/>
          <w:color w:val="000000" w:themeColor="text1"/>
          <w:kern w:val="0"/>
          <w:szCs w:val="21"/>
          <w14:textFill>
            <w14:solidFill>
              <w14:schemeClr w14:val="tx1"/>
            </w14:solidFill>
          </w14:textFill>
        </w:rPr>
        <w:t>5</w:t>
      </w:r>
      <w:r>
        <w:rPr>
          <w:bCs/>
          <w:snapToGrid w:val="0"/>
          <w:color w:val="000000" w:themeColor="text1"/>
          <w:kern w:val="0"/>
          <w:szCs w:val="21"/>
          <w14:textFill>
            <w14:solidFill>
              <w14:schemeClr w14:val="tx1"/>
            </w14:solidFill>
          </w14:textFill>
        </w:rPr>
        <w:t>5</w:t>
      </w:r>
      <w:r>
        <w:rPr>
          <w:rFonts w:hint="eastAsia"/>
          <w:bCs/>
          <w:snapToGrid w:val="0"/>
          <w:color w:val="000000" w:themeColor="text1"/>
          <w14:textFill>
            <w14:solidFill>
              <w14:schemeClr w14:val="tx1"/>
            </w14:solidFill>
          </w14:textFill>
        </w:rPr>
        <w:t>钢</w:t>
      </w:r>
      <w:r>
        <w:rPr>
          <w:rFonts w:hint="eastAsia"/>
          <w:bCs/>
          <w:color w:val="000000" w:themeColor="text1"/>
          <w:szCs w:val="21"/>
          <w14:textFill>
            <w14:solidFill>
              <w14:schemeClr w14:val="tx1"/>
            </w14:solidFill>
          </w14:textFill>
        </w:rPr>
        <w:t>：</w:t>
      </w:r>
    </w:p>
    <w:p>
      <w:pPr>
        <w:tabs>
          <w:tab w:val="left" w:pos="5812"/>
        </w:tabs>
        <w:wordWrap w:val="0"/>
        <w:spacing w:line="360" w:lineRule="auto"/>
        <w:ind w:firstLine="420"/>
        <w:jc w:val="right"/>
        <w:rPr>
          <w:bCs/>
          <w:snapToGrid w:val="0"/>
          <w:color w:val="000000" w:themeColor="text1"/>
          <w:kern w:val="0"/>
          <w:position w:val="-10"/>
          <w:szCs w:val="21"/>
          <w14:textFill>
            <w14:solidFill>
              <w14:schemeClr w14:val="tx1"/>
            </w14:solidFill>
          </w14:textFill>
        </w:rPr>
      </w:pPr>
      <w:r>
        <w:rPr>
          <w:rFonts w:hint="eastAsia"/>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t xml:space="preserve"> </w:t>
      </w:r>
      <m:oMath>
        <m:f>
          <m:fPr>
            <m:ctrlPr>
              <w:rPr>
                <w:rFonts w:ascii="Cambria Math" w:hAnsi="Cambria Math" w:eastAsia="Cambria Math" w:cs="Cambria Math"/>
                <w:bCs/>
                <w:i/>
                <w:color w:val="000000" w:themeColor="text1"/>
                <w:szCs w:val="21"/>
                <w14:textFill>
                  <w14:solidFill>
                    <w14:schemeClr w14:val="tx1"/>
                  </w14:solidFill>
                </w14:textFill>
              </w:rPr>
            </m:ctrlPr>
          </m:fPr>
          <m:num>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l</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1</m:t>
                </m:r>
                <m:ctrlPr>
                  <w:rPr>
                    <w:rFonts w:ascii="Cambria Math" w:hAnsi="Cambria Math" w:eastAsia="Cambria Math" w:cs="Cambria Math"/>
                    <w:bCs/>
                    <w:i/>
                    <w:color w:val="000000" w:themeColor="text1"/>
                    <w:szCs w:val="21"/>
                    <w14:textFill>
                      <w14:solidFill>
                        <w14:schemeClr w14:val="tx1"/>
                      </w14:solidFill>
                    </w14:textFill>
                  </w:rPr>
                </m:ctrlPr>
              </m:sub>
            </m:sSub>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h</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b</m:t>
                </m:r>
                <m:ctrlPr>
                  <w:rPr>
                    <w:rFonts w:ascii="Cambria Math" w:hAnsi="Cambria Math" w:eastAsia="Cambria Math" w:cs="Cambria Math"/>
                    <w:bCs/>
                    <w:i/>
                    <w:color w:val="000000" w:themeColor="text1"/>
                    <w:szCs w:val="21"/>
                    <w14:textFill>
                      <w14:solidFill>
                        <w14:schemeClr w14:val="tx1"/>
                      </w14:solidFill>
                    </w14:textFill>
                  </w:rPr>
                </m:ctrlPr>
              </m:sub>
            </m:sSub>
            <m:ctrlPr>
              <w:rPr>
                <w:rFonts w:ascii="Cambria Math" w:hAnsi="Cambria Math" w:eastAsia="Cambria Math" w:cs="Cambria Math"/>
                <w:bCs/>
                <w:i/>
                <w:color w:val="000000" w:themeColor="text1"/>
                <w:szCs w:val="21"/>
                <w14:textFill>
                  <w14:solidFill>
                    <w14:schemeClr w14:val="tx1"/>
                  </w14:solidFill>
                </w14:textFill>
              </w:rPr>
            </m:ctrlPr>
          </m:num>
          <m:den>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A</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f</m:t>
                </m:r>
                <m:ctrlPr>
                  <w:rPr>
                    <w:rFonts w:ascii="Cambria Math" w:hAnsi="Cambria Math" w:eastAsia="Cambria Math" w:cs="Cambria Math"/>
                    <w:bCs/>
                    <w:i/>
                    <w:color w:val="000000" w:themeColor="text1"/>
                    <w:szCs w:val="21"/>
                    <w14:textFill>
                      <w14:solidFill>
                        <w14:schemeClr w14:val="tx1"/>
                      </w14:solidFill>
                    </w14:textFill>
                  </w:rPr>
                </m:ctrlPr>
              </m:sub>
            </m:sSub>
            <m:ctrlPr>
              <w:rPr>
                <w:rFonts w:ascii="Cambria Math" w:hAnsi="Cambria Math" w:eastAsia="Cambria Math" w:cs="Cambria Math"/>
                <w:bCs/>
                <w:i/>
                <w:color w:val="000000" w:themeColor="text1"/>
                <w:szCs w:val="21"/>
                <w14:textFill>
                  <w14:solidFill>
                    <w14:schemeClr w14:val="tx1"/>
                  </w14:solidFill>
                </w14:textFill>
              </w:rPr>
            </m:ctrlPr>
          </m:den>
        </m:f>
        <m:r>
          <w:rPr>
            <w:rFonts w:ascii="Cambria Math" w:hAnsi="Cambria Math" w:eastAsia="Cambria Math" w:cs="Times New Roman"/>
            <w:color w:val="000000" w:themeColor="text1"/>
            <w:szCs w:val="21"/>
            <w14:textFill>
              <w14:solidFill>
                <w14:schemeClr w14:val="tx1"/>
              </w14:solidFill>
            </w14:textFill>
          </w:rPr>
          <m:t>≤200</m:t>
        </m:r>
      </m:oMath>
      <w:r>
        <w:rPr>
          <w:rFonts w:hint="eastAsia"/>
          <w:bCs/>
          <w:color w:val="000000" w:themeColor="text1"/>
          <w:szCs w:val="21"/>
          <w14:textFill>
            <w14:solidFill>
              <w14:schemeClr w14:val="tx1"/>
            </w14:solidFill>
          </w14:textFill>
        </w:rPr>
        <w:t xml:space="preserve">，且 </w:t>
      </w:r>
      <m:oMath>
        <m:f>
          <m:fPr>
            <m:ctrlPr>
              <w:rPr>
                <w:rFonts w:ascii="Cambria Math" w:hAnsi="Cambria Math" w:eastAsia="Cambria Math" w:cs="Cambria Math"/>
                <w:bCs/>
                <w:i/>
                <w:color w:val="000000" w:themeColor="text1"/>
                <w:szCs w:val="21"/>
                <w14:textFill>
                  <w14:solidFill>
                    <w14:schemeClr w14:val="tx1"/>
                  </w14:solidFill>
                </w14:textFill>
              </w:rPr>
            </m:ctrlPr>
          </m:fPr>
          <m:num>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l</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1</m:t>
                </m:r>
                <m:ctrlPr>
                  <w:rPr>
                    <w:rFonts w:ascii="Cambria Math" w:hAnsi="Cambria Math" w:eastAsia="Cambria Math" w:cs="Cambria Math"/>
                    <w:bCs/>
                    <w:i/>
                    <w:color w:val="000000" w:themeColor="text1"/>
                    <w:szCs w:val="21"/>
                    <w14:textFill>
                      <w14:solidFill>
                        <w14:schemeClr w14:val="tx1"/>
                      </w14:solidFill>
                    </w14:textFill>
                  </w:rPr>
                </m:ctrlPr>
              </m:sub>
            </m:sSub>
            <m:ctrlPr>
              <w:rPr>
                <w:rFonts w:ascii="Cambria Math" w:hAnsi="Cambria Math" w:eastAsia="Cambria Math" w:cs="Cambria Math"/>
                <w:bCs/>
                <w:i/>
                <w:color w:val="000000" w:themeColor="text1"/>
                <w:szCs w:val="21"/>
                <w14:textFill>
                  <w14:solidFill>
                    <w14:schemeClr w14:val="tx1"/>
                  </w14:solidFill>
                </w14:textFill>
              </w:rPr>
            </m:ctrlPr>
          </m:num>
          <m:den>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j</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y</m:t>
                </m:r>
                <m:ctrlPr>
                  <w:rPr>
                    <w:rFonts w:ascii="Cambria Math" w:hAnsi="Cambria Math" w:eastAsia="Cambria Math" w:cs="Cambria Math"/>
                    <w:bCs/>
                    <w:i/>
                    <w:color w:val="000000" w:themeColor="text1"/>
                    <w:szCs w:val="21"/>
                    <w14:textFill>
                      <w14:solidFill>
                        <w14:schemeClr w14:val="tx1"/>
                      </w14:solidFill>
                    </w14:textFill>
                  </w:rPr>
                </m:ctrlPr>
              </m:sub>
            </m:sSub>
            <m:ctrlPr>
              <w:rPr>
                <w:rFonts w:ascii="Cambria Math" w:hAnsi="Cambria Math" w:eastAsia="Cambria Math" w:cs="Cambria Math"/>
                <w:bCs/>
                <w:i/>
                <w:color w:val="000000" w:themeColor="text1"/>
                <w:szCs w:val="21"/>
                <w14:textFill>
                  <w14:solidFill>
                    <w14:schemeClr w14:val="tx1"/>
                  </w14:solidFill>
                </w14:textFill>
              </w:rPr>
            </m:ctrlPr>
          </m:den>
        </m:f>
        <m:r>
          <w:rPr>
            <w:rFonts w:ascii="Cambria Math" w:hAnsi="Cambria Math" w:eastAsia="Cambria Math" w:cs="Times New Roman"/>
            <w:color w:val="000000" w:themeColor="text1"/>
            <w:szCs w:val="21"/>
            <w14:textFill>
              <w14:solidFill>
                <w14:schemeClr w14:val="tx1"/>
              </w14:solidFill>
            </w14:textFill>
          </w:rPr>
          <m:t>≤50</m:t>
        </m:r>
      </m:oMath>
      <w:r>
        <w:rPr>
          <w:bCs/>
          <w:color w:val="000000" w:themeColor="text1"/>
          <w:szCs w:val="21"/>
          <w14:textFill>
            <w14:solidFill>
              <w14:schemeClr w14:val="tx1"/>
            </w14:solidFill>
          </w14:textFill>
        </w:rPr>
        <w:t xml:space="preserve">                  </w:t>
      </w:r>
      <w:r>
        <w:rPr>
          <w:rFonts w:hint="eastAsia"/>
          <w:bCs/>
          <w:snapToGrid w:val="0"/>
          <w:color w:val="000000" w:themeColor="text1"/>
          <w:kern w:val="0"/>
          <w:position w:val="-10"/>
          <w:szCs w:val="21"/>
          <w14:textFill>
            <w14:solidFill>
              <w14:schemeClr w14:val="tx1"/>
            </w14:solidFill>
          </w14:textFill>
        </w:rPr>
        <w:t>（9</w:t>
      </w:r>
      <w:r>
        <w:rPr>
          <w:bCs/>
          <w:snapToGrid w:val="0"/>
          <w:color w:val="000000" w:themeColor="text1"/>
          <w:kern w:val="0"/>
          <w:position w:val="-10"/>
          <w:szCs w:val="21"/>
          <w14:textFill>
            <w14:solidFill>
              <w14:schemeClr w14:val="tx1"/>
            </w14:solidFill>
          </w14:textFill>
        </w:rPr>
        <w:t>.2.6-4</w:t>
      </w:r>
      <w:r>
        <w:rPr>
          <w:rFonts w:hint="eastAsia"/>
          <w:bCs/>
          <w:snapToGrid w:val="0"/>
          <w:color w:val="000000" w:themeColor="text1"/>
          <w:kern w:val="0"/>
          <w:position w:val="-10"/>
          <w:szCs w:val="21"/>
          <w14:textFill>
            <w14:solidFill>
              <w14:schemeClr w14:val="tx1"/>
            </w14:solidFill>
          </w14:textFill>
        </w:rPr>
        <w:t>）</w:t>
      </w:r>
    </w:p>
    <w:p>
      <w:pPr>
        <w:tabs>
          <w:tab w:val="left" w:pos="5812"/>
        </w:tabs>
        <w:spacing w:line="380" w:lineRule="exac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式中：</w:t>
      </w:r>
      <m:oMath>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l</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1</m:t>
            </m:r>
            <m:ctrlPr>
              <w:rPr>
                <w:rFonts w:ascii="Cambria Math" w:hAnsi="Cambria Math" w:eastAsia="Cambria Math" w:cs="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侧向支承点的间距；</w:t>
      </w:r>
    </w:p>
    <w:p>
      <w:pPr>
        <w:tabs>
          <w:tab w:val="left" w:pos="5812"/>
        </w:tabs>
        <w:spacing w:line="380" w:lineRule="exact"/>
        <w:ind w:firstLine="630" w:firstLineChars="300"/>
        <w:rPr>
          <w:bCs/>
          <w:color w:val="000000" w:themeColor="text1"/>
          <w:szCs w:val="21"/>
          <w14:textFill>
            <w14:solidFill>
              <w14:schemeClr w14:val="tx1"/>
            </w14:solidFill>
          </w14:textFill>
        </w:rPr>
      </w:pPr>
      <m:oMath>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j</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y</m:t>
            </m:r>
            <m:ctrlPr>
              <w:rPr>
                <w:rFonts w:ascii="Cambria Math" w:hAnsi="Cambria Math" w:eastAsia="Cambria Math" w:cs="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截面在弯矩作用平面外的回转半径；</w:t>
      </w:r>
    </w:p>
    <w:p>
      <w:pPr>
        <w:tabs>
          <w:tab w:val="left" w:pos="5812"/>
        </w:tabs>
        <w:spacing w:line="380" w:lineRule="exact"/>
        <w:ind w:firstLine="619" w:firstLineChars="295"/>
        <w:rPr>
          <w:bCs/>
          <w:color w:val="000000" w:themeColor="text1"/>
          <w:szCs w:val="21"/>
          <w14:textFill>
            <w14:solidFill>
              <w14:schemeClr w14:val="tx1"/>
            </w14:solidFill>
          </w14:textFill>
        </w:rPr>
      </w:pPr>
      <m:oMath>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A</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f</m:t>
            </m:r>
            <m:ctrlPr>
              <w:rPr>
                <w:rFonts w:ascii="Cambria Math" w:hAnsi="Cambria Math" w:eastAsia="Cambria Math" w:cs="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梁翼缘截面积；</w:t>
      </w:r>
    </w:p>
    <w:p>
      <w:pPr>
        <w:tabs>
          <w:tab w:val="left" w:pos="5812"/>
        </w:tabs>
        <w:spacing w:line="380" w:lineRule="exact"/>
        <w:ind w:firstLine="619" w:firstLineChars="295"/>
        <w:rPr>
          <w:bCs/>
          <w:color w:val="000000" w:themeColor="text1"/>
          <w:szCs w:val="21"/>
          <w14:textFill>
            <w14:solidFill>
              <w14:schemeClr w14:val="tx1"/>
            </w14:solidFill>
          </w14:textFill>
        </w:rPr>
      </w:pPr>
      <m:oMath>
        <m:sSub>
          <m:sSubPr>
            <m:ctrlPr>
              <w:rPr>
                <w:rFonts w:ascii="Cambria Math" w:hAnsi="Cambria Math" w:eastAsia="Cambria Math" w:cs="Cambria Math"/>
                <w:bCs/>
                <w:i/>
                <w:color w:val="000000" w:themeColor="text1"/>
                <w:szCs w:val="21"/>
                <w14:textFill>
                  <w14:solidFill>
                    <w14:schemeClr w14:val="tx1"/>
                  </w14:solidFill>
                </w14:textFill>
              </w:rPr>
            </m:ctrlPr>
          </m:sSubPr>
          <m:e>
            <m:r>
              <w:rPr>
                <w:rFonts w:ascii="Cambria Math" w:hAnsi="Cambria Math" w:eastAsia="Cambria Math" w:cs="Cambria Math"/>
                <w:color w:val="000000" w:themeColor="text1"/>
                <w:szCs w:val="21"/>
                <w14:textFill>
                  <w14:solidFill>
                    <w14:schemeClr w14:val="tx1"/>
                  </w14:solidFill>
                </w14:textFill>
              </w:rPr>
              <m:t>h</m:t>
            </m:r>
            <m:ctrlPr>
              <w:rPr>
                <w:rFonts w:ascii="Cambria Math" w:hAnsi="Cambria Math" w:eastAsia="Cambria Math" w:cs="Cambria Math"/>
                <w:bCs/>
                <w:i/>
                <w:color w:val="000000" w:themeColor="text1"/>
                <w:szCs w:val="21"/>
                <w14:textFill>
                  <w14:solidFill>
                    <w14:schemeClr w14:val="tx1"/>
                  </w14:solidFill>
                </w14:textFill>
              </w:rPr>
            </m:ctrlPr>
          </m:e>
          <m:sub>
            <m:r>
              <w:rPr>
                <w:rFonts w:ascii="Cambria Math" w:hAnsi="Cambria Math" w:eastAsia="Cambria Math" w:cs="Cambria Math"/>
                <w:color w:val="000000" w:themeColor="text1"/>
                <w:szCs w:val="21"/>
                <w14:textFill>
                  <w14:solidFill>
                    <w14:schemeClr w14:val="tx1"/>
                  </w14:solidFill>
                </w14:textFill>
              </w:rPr>
              <m:t>b</m:t>
            </m:r>
            <m:ctrlPr>
              <w:rPr>
                <w:rFonts w:ascii="Cambria Math" w:hAnsi="Cambria Math" w:eastAsia="Cambria Math" w:cs="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梁高。</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3 </w:t>
      </w:r>
      <w:r>
        <w:rPr>
          <w:rFonts w:hint="eastAsia"/>
          <w:bCs/>
          <w:color w:val="000000" w:themeColor="text1"/>
          <w:szCs w:val="21"/>
          <w14:textFill>
            <w14:solidFill>
              <w14:schemeClr w14:val="tx1"/>
            </w14:solidFill>
          </w14:textFill>
        </w:rPr>
        <w:t>侧向支撑杆的轴力设计值不应小于</w:t>
      </w:r>
      <w:r>
        <w:rPr>
          <w:bCs/>
          <w:color w:val="000000" w:themeColor="text1"/>
          <w:szCs w:val="21"/>
          <w14:textFill>
            <w14:solidFill>
              <w14:schemeClr w14:val="tx1"/>
            </w14:solidFill>
          </w14:textFill>
        </w:rPr>
        <w:t>0.02</w:t>
      </w:r>
      <m:oMath>
        <m:sSub>
          <m:sSubPr>
            <m:ctrlPr>
              <w:rPr>
                <w:rFonts w:ascii="Cambria Math" w:hAnsi="Cambria Math" w:eastAsia="楷体_GB2312" w:cs="HiddenHorzOCR"/>
                <w:color w:val="000000" w:themeColor="text1"/>
                <w:kern w:val="0"/>
                <w:szCs w:val="21"/>
                <w14:textFill>
                  <w14:solidFill>
                    <w14:schemeClr w14:val="tx1"/>
                  </w14:solidFill>
                </w14:textFill>
              </w:rPr>
            </m:ctrlPr>
          </m:sSubPr>
          <m:e>
            <m:r>
              <m:rPr>
                <m:sty m:val="p"/>
              </m:rPr>
              <w:rPr>
                <w:rFonts w:ascii="Cambria Math" w:hAnsi="Cambria Math" w:eastAsia="楷体_GB2312" w:cs="HiddenHorzOCR"/>
                <w:color w:val="000000" w:themeColor="text1"/>
                <w:kern w:val="0"/>
                <w:szCs w:val="21"/>
                <w14:textFill>
                  <w14:solidFill>
                    <w14:schemeClr w14:val="tx1"/>
                  </w14:solidFill>
                </w14:textFill>
              </w:rPr>
              <m:t>A</m:t>
            </m:r>
            <m:ctrlPr>
              <w:rPr>
                <w:rFonts w:ascii="Cambria Math" w:hAnsi="Cambria Math" w:eastAsia="楷体_GB2312" w:cs="HiddenHorzOCR"/>
                <w:color w:val="000000" w:themeColor="text1"/>
                <w:kern w:val="0"/>
                <w:szCs w:val="21"/>
                <w14:textFill>
                  <w14:solidFill>
                    <w14:schemeClr w14:val="tx1"/>
                  </w14:solidFill>
                </w14:textFill>
              </w:rPr>
            </m:ctrlPr>
          </m:e>
          <m:sub>
            <m:r>
              <w:rPr>
                <w:rFonts w:ascii="Cambria Math" w:hAnsi="Cambria Math" w:eastAsia="楷体_GB2312" w:cs="HiddenHorzOCR"/>
                <w:color w:val="000000" w:themeColor="text1"/>
                <w:kern w:val="0"/>
                <w:szCs w:val="21"/>
                <w14:textFill>
                  <w14:solidFill>
                    <w14:schemeClr w14:val="tx1"/>
                  </w14:solidFill>
                </w14:textFill>
              </w:rPr>
              <m:t>f</m:t>
            </m:r>
            <m:ctrlPr>
              <w:rPr>
                <w:rFonts w:ascii="Cambria Math" w:hAnsi="Cambria Math" w:eastAsia="楷体_GB2312" w:cs="HiddenHorzOCR"/>
                <w:color w:val="000000" w:themeColor="text1"/>
                <w:kern w:val="0"/>
                <w:szCs w:val="21"/>
                <w14:textFill>
                  <w14:solidFill>
                    <w14:schemeClr w14:val="tx1"/>
                  </w14:solidFill>
                </w14:textFill>
              </w:rPr>
            </m:ctrlPr>
          </m:sub>
        </m:sSub>
        <m:r>
          <w:rPr>
            <w:rFonts w:hint="eastAsia" w:ascii="Cambria Math" w:hAnsi="Cambria Math"/>
            <w:color w:val="000000" w:themeColor="text1"/>
            <w:szCs w:val="21"/>
            <w14:textFill>
              <w14:solidFill>
                <w14:schemeClr w14:val="tx1"/>
              </w14:solidFill>
            </w14:textFill>
          </w:rPr>
          <m:t>ƒ</m:t>
        </m:r>
      </m:oMath>
      <w:r>
        <w:rPr>
          <w:rFonts w:hint="eastAsia"/>
          <w:bCs/>
          <w:color w:val="000000" w:themeColor="text1"/>
          <w:szCs w:val="21"/>
          <w14:textFill>
            <w14:solidFill>
              <w14:schemeClr w14:val="tx1"/>
            </w14:solidFill>
          </w14:textFill>
        </w:rPr>
        <w:t>，支撑杆的轴向刚度不应低于5</w:t>
      </w:r>
      <m:oMath>
        <m:sSub>
          <m:sSubPr>
            <m:ctrlPr>
              <w:rPr>
                <w:rFonts w:ascii="Cambria Math" w:hAnsi="Cambria Math" w:eastAsia="楷体_GB2312" w:cs="HiddenHorzOCR"/>
                <w:i/>
                <w:color w:val="000000" w:themeColor="text1"/>
                <w:kern w:val="0"/>
                <w:szCs w:val="21"/>
                <w14:textFill>
                  <w14:solidFill>
                    <w14:schemeClr w14:val="tx1"/>
                  </w14:solidFill>
                </w14:textFill>
              </w:rPr>
            </m:ctrlPr>
          </m:sSubPr>
          <m:e>
            <m:r>
              <w:rPr>
                <w:rFonts w:ascii="Cambria Math" w:hAnsi="Cambria Math" w:eastAsia="楷体_GB2312" w:cs="HiddenHorzOCR"/>
                <w:color w:val="000000" w:themeColor="text1"/>
                <w:kern w:val="0"/>
                <w:szCs w:val="21"/>
                <w14:textFill>
                  <w14:solidFill>
                    <w14:schemeClr w14:val="tx1"/>
                  </w14:solidFill>
                </w14:textFill>
              </w:rPr>
              <m:t>A</m:t>
            </m:r>
            <m:ctrlPr>
              <w:rPr>
                <w:rFonts w:ascii="Cambria Math" w:hAnsi="Cambria Math" w:eastAsia="楷体_GB2312" w:cs="HiddenHorzOCR"/>
                <w:i/>
                <w:color w:val="000000" w:themeColor="text1"/>
                <w:kern w:val="0"/>
                <w:szCs w:val="21"/>
                <w14:textFill>
                  <w14:solidFill>
                    <w14:schemeClr w14:val="tx1"/>
                  </w14:solidFill>
                </w14:textFill>
              </w:rPr>
            </m:ctrlPr>
          </m:e>
          <m:sub>
            <m:r>
              <w:rPr>
                <w:rFonts w:ascii="Cambria Math" w:hAnsi="Cambria Math" w:eastAsia="楷体_GB2312" w:cs="HiddenHorzOCR"/>
                <w:color w:val="000000" w:themeColor="text1"/>
                <w:kern w:val="0"/>
                <w:szCs w:val="21"/>
                <w14:textFill>
                  <w14:solidFill>
                    <w14:schemeClr w14:val="tx1"/>
                  </w14:solidFill>
                </w14:textFill>
              </w:rPr>
              <m:t>f</m:t>
            </m:r>
            <m:ctrlPr>
              <w:rPr>
                <w:rFonts w:ascii="Cambria Math" w:hAnsi="Cambria Math" w:eastAsia="楷体_GB2312" w:cs="HiddenHorzOCR"/>
                <w:i/>
                <w:color w:val="000000" w:themeColor="text1"/>
                <w:kern w:val="0"/>
                <w:szCs w:val="21"/>
                <w14:textFill>
                  <w14:solidFill>
                    <w14:schemeClr w14:val="tx1"/>
                  </w14:solidFill>
                </w14:textFill>
              </w:rPr>
            </m:ctrlPr>
          </m:sub>
        </m:sSub>
        <m:r>
          <w:rPr>
            <w:rFonts w:hint="eastAsia" w:ascii="Cambria Math" w:hAnsi="Cambria Math"/>
            <w:color w:val="000000" w:themeColor="text1"/>
            <w:szCs w:val="21"/>
            <w14:textFill>
              <w14:solidFill>
                <w14:schemeClr w14:val="tx1"/>
              </w14:solidFill>
            </w14:textFill>
          </w:rPr>
          <m:t>ƒ</m:t>
        </m:r>
        <m:r>
          <w:rPr>
            <w:rFonts w:ascii="Cambria Math" w:hAnsi="Cambria Math" w:eastAsia="楷体_GB2312" w:cs="Calibri"/>
            <w:color w:val="000000" w:themeColor="text1"/>
            <w:kern w:val="0"/>
            <w:szCs w:val="21"/>
            <w14:textFill>
              <w14:solidFill>
                <w14:schemeClr w14:val="tx1"/>
              </w14:solidFill>
            </w14:textFill>
          </w:rPr>
          <m:t>/</m:t>
        </m:r>
        <m:sSub>
          <m:sSubPr>
            <m:ctrlPr>
              <w:rPr>
                <w:rFonts w:ascii="Cambria Math" w:hAnsi="Cambria Math" w:eastAsia="楷体_GB2312" w:cs="Calibri"/>
                <w:i/>
                <w:color w:val="000000" w:themeColor="text1"/>
                <w:kern w:val="0"/>
                <w:szCs w:val="21"/>
                <w14:textFill>
                  <w14:solidFill>
                    <w14:schemeClr w14:val="tx1"/>
                  </w14:solidFill>
                </w14:textFill>
              </w:rPr>
            </m:ctrlPr>
          </m:sSubPr>
          <m:e>
            <m:r>
              <w:rPr>
                <w:rFonts w:ascii="Cambria Math" w:hAnsi="Cambria Math" w:eastAsia="楷体_GB2312" w:cs="Calibri"/>
                <w:color w:val="000000" w:themeColor="text1"/>
                <w:kern w:val="0"/>
                <w:szCs w:val="21"/>
                <w14:textFill>
                  <w14:solidFill>
                    <w14:schemeClr w14:val="tx1"/>
                  </w14:solidFill>
                </w14:textFill>
              </w:rPr>
              <m:t>l</m:t>
            </m:r>
            <m:ctrlPr>
              <w:rPr>
                <w:rFonts w:ascii="Cambria Math" w:hAnsi="Cambria Math" w:eastAsia="楷体_GB2312" w:cs="Calibri"/>
                <w: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1</m:t>
            </m:r>
            <m:ctrlPr>
              <w:rPr>
                <w:rFonts w:ascii="Cambria Math" w:hAnsi="Cambria Math" w:eastAsia="楷体_GB2312" w:cs="Calibri"/>
                <w:i/>
                <w:color w:val="000000" w:themeColor="text1"/>
                <w:kern w:val="0"/>
                <w:szCs w:val="21"/>
                <w14:textFill>
                  <w14:solidFill>
                    <w14:schemeClr w14:val="tx1"/>
                  </w14:solidFill>
                </w14:textFill>
              </w:rPr>
            </m:ctrlPr>
          </m:sub>
        </m:sSub>
      </m:oMath>
      <w:r>
        <w:rPr>
          <w:rFonts w:hint="eastAsia"/>
          <w:bCs/>
          <w:color w:val="000000" w:themeColor="text1"/>
          <w:szCs w:val="21"/>
          <w14:textFill>
            <w14:solidFill>
              <w14:schemeClr w14:val="tx1"/>
            </w14:solidFill>
          </w14:textFill>
        </w:rPr>
        <w:t>。</w:t>
      </w:r>
    </w:p>
    <w:p>
      <w:pPr>
        <w:autoSpaceDE w:val="0"/>
        <w:autoSpaceDN w:val="0"/>
        <w:spacing w:line="360" w:lineRule="auto"/>
        <w:ind w:firstLine="42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PS1</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PS2</w:t>
      </w:r>
      <w:r>
        <w:rPr>
          <w:rFonts w:hint="eastAsia"/>
          <w:bCs/>
          <w:color w:val="000000" w:themeColor="text1"/>
          <w:szCs w:val="21"/>
          <w14:textFill>
            <w14:solidFill>
              <w14:schemeClr w14:val="tx1"/>
            </w14:solidFill>
          </w14:textFill>
        </w:rPr>
        <w:t>和</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的框架梁柱节点区的混凝土组合楼板，应在梁有效宽度范围内配置抗震附加钢筋。</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.2.7</w:t>
      </w:r>
      <w:r>
        <w:rPr>
          <w:rFonts w:eastAsia="MS Mincho"/>
          <w:bCs/>
          <w:color w:val="000000" w:themeColor="text1"/>
          <w:kern w:val="0"/>
          <w:szCs w:val="21"/>
          <w:lang w:eastAsia="ja-JP"/>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框架节点域的抗震设计应符合下列要求：</w:t>
      </w:r>
    </w:p>
    <w:p>
      <w:pPr>
        <w:spacing w:line="360" w:lineRule="auto"/>
        <w:ind w:firstLine="420"/>
        <w:rPr>
          <w:bCs/>
          <w:color w:val="000000" w:themeColor="text1"/>
          <w:szCs w:val="20"/>
          <w14:textFill>
            <w14:solidFill>
              <w14:schemeClr w14:val="tx1"/>
            </w14:solidFill>
          </w14:textFill>
        </w:rPr>
      </w:pPr>
      <w:r>
        <w:rPr>
          <w:bCs/>
          <w:color w:val="000000" w:themeColor="text1"/>
          <w14:textFill>
            <w14:solidFill>
              <w14:schemeClr w14:val="tx1"/>
            </w14:solidFill>
          </w14:textFill>
        </w:rPr>
        <w:t xml:space="preserve">1 </w:t>
      </w:r>
      <w:r>
        <w:rPr>
          <w:rFonts w:hint="eastAsia"/>
          <w:bCs/>
          <w:color w:val="000000" w:themeColor="text1"/>
          <w14:textFill>
            <w14:solidFill>
              <w14:schemeClr w14:val="tx1"/>
            </w14:solidFill>
          </w14:textFill>
        </w:rPr>
        <w:t>节点域的受剪正则化</w:t>
      </w:r>
      <w:r>
        <w:rPr>
          <w:rFonts w:hint="eastAsia"/>
          <w:bCs/>
          <w:color w:val="000000" w:themeColor="text1"/>
          <w:szCs w:val="21"/>
          <w14:textFill>
            <w14:solidFill>
              <w14:schemeClr w14:val="tx1"/>
            </w14:solidFill>
          </w14:textFill>
        </w:rPr>
        <w:t>宽厚</w:t>
      </w:r>
      <w:r>
        <w:rPr>
          <w:rFonts w:hint="eastAsia"/>
          <w:bCs/>
          <w:color w:val="000000" w:themeColor="text1"/>
          <w14:textFill>
            <w14:solidFill>
              <w14:schemeClr w14:val="tx1"/>
            </w14:solidFill>
          </w14:textFill>
        </w:rPr>
        <w:t>比</w:t>
      </w:r>
      <m:oMath>
        <m:sSub>
          <m:sSubPr>
            <m:ctrlPr>
              <w:rPr>
                <w:rFonts w:ascii="Cambria Math" w:hAnsi="Cambria Math"/>
                <w:color w:val="000000" w:themeColor="text1"/>
                <w:kern w:val="0"/>
                <w:szCs w:val="21"/>
                <w14:textFill>
                  <w14:solidFill>
                    <w14:schemeClr w14:val="tx1"/>
                  </w14:solidFill>
                </w14:textFill>
              </w:rPr>
            </m:ctrlPr>
          </m:sSubPr>
          <m:e>
            <w:bookmarkStart w:id="164" w:name="_Hlk24007966"/>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ps.n</m:t>
            </m:r>
            <w:bookmarkEnd w:id="164"/>
            <m:ctrlPr>
              <w:rPr>
                <w:rFonts w:ascii="Cambria Math" w:hAnsi="Cambria Math"/>
                <w:color w:val="000000" w:themeColor="text1"/>
                <w:kern w:val="0"/>
                <w:szCs w:val="21"/>
                <w14:textFill>
                  <w14:solidFill>
                    <w14:schemeClr w14:val="tx1"/>
                  </w14:solidFill>
                </w14:textFill>
              </w:rPr>
            </m:ctrlPr>
          </m:sub>
        </m:sSub>
      </m:oMath>
      <w:r>
        <w:rPr>
          <w:rFonts w:hint="eastAsia"/>
          <w:bCs/>
          <w:color w:val="000000" w:themeColor="text1"/>
          <w14:textFill>
            <w14:solidFill>
              <w14:schemeClr w14:val="tx1"/>
            </w14:solidFill>
          </w14:textFill>
        </w:rPr>
        <w:t>应按下式计算，且不应大于</w:t>
      </w:r>
      <w:r>
        <w:rPr>
          <w:rFonts w:hint="eastAsia"/>
          <w:bCs/>
          <w:snapToGrid w:val="0"/>
          <w:color w:val="000000" w:themeColor="text1"/>
          <w:kern w:val="0"/>
          <w14:textFill>
            <w14:solidFill>
              <w14:schemeClr w14:val="tx1"/>
            </w14:solidFill>
          </w14:textFill>
        </w:rPr>
        <w:t>表9</w:t>
      </w:r>
      <w:r>
        <w:rPr>
          <w:bCs/>
          <w:snapToGrid w:val="0"/>
          <w:color w:val="000000" w:themeColor="text1"/>
          <w:kern w:val="0"/>
          <w14:textFill>
            <w14:solidFill>
              <w14:schemeClr w14:val="tx1"/>
            </w14:solidFill>
          </w14:textFill>
        </w:rPr>
        <w:t>.2.7</w:t>
      </w:r>
      <w:r>
        <w:rPr>
          <w:rFonts w:hint="eastAsia"/>
          <w:bCs/>
          <w:snapToGrid w:val="0"/>
          <w:color w:val="000000" w:themeColor="text1"/>
          <w:kern w:val="0"/>
          <w14:textFill>
            <w14:solidFill>
              <w14:schemeClr w14:val="tx1"/>
            </w14:solidFill>
          </w14:textFill>
        </w:rPr>
        <w:t>-1所列的限值</w:t>
      </w:r>
      <w:r>
        <w:rPr>
          <w:rFonts w:hint="eastAsia"/>
          <w:bCs/>
          <w:color w:val="000000" w:themeColor="text1"/>
          <w14:textFill>
            <w14:solidFill>
              <w14:schemeClr w14:val="tx1"/>
            </w14:solidFill>
          </w14:textFill>
        </w:rPr>
        <w:t>。</w:t>
      </w:r>
    </w:p>
    <w:p>
      <w:pPr>
        <w:spacing w:line="360" w:lineRule="auto"/>
        <w:ind w:left="420" w:firstLine="0" w:firstLineChars="0"/>
        <w:rPr>
          <w:rFonts w:cs="Times New Roman"/>
          <w:bCs/>
          <w:color w:val="000000" w:themeColor="text1"/>
          <w:szCs w:val="24"/>
          <w14:textFill>
            <w14:solidFill>
              <w14:schemeClr w14:val="tx1"/>
            </w14:solidFill>
          </w14:textFill>
        </w:rPr>
      </w:pPr>
      <w:r>
        <w:rPr>
          <w:rFonts w:hint="eastAsia" w:cs="Times New Roman"/>
          <w:bCs/>
          <w:color w:val="000000" w:themeColor="text1"/>
          <w:szCs w:val="24"/>
          <w14:textFill>
            <w14:solidFill>
              <w14:schemeClr w14:val="tx1"/>
            </w14:solidFill>
          </w14:textFill>
        </w:rPr>
        <w:t>当</w:t>
      </w:r>
      <m:oMath>
        <m:sSub>
          <w:bookmarkStart w:id="165" w:name="_Hlk24007907"/>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b</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≥1.0</m:t>
        </m:r>
      </m:oMath>
      <w:bookmarkEnd w:id="165"/>
      <w:r>
        <w:rPr>
          <w:rFonts w:hint="eastAsia" w:cs="Times New Roman"/>
          <w:bCs/>
          <w:color w:val="000000" w:themeColor="text1"/>
          <w:szCs w:val="24"/>
          <w14:textFill>
            <w14:solidFill>
              <w14:schemeClr w14:val="tx1"/>
            </w14:solidFill>
          </w14:textFill>
        </w:rPr>
        <w:t>时：</w:t>
      </w:r>
    </w:p>
    <w:p>
      <w:pPr>
        <w:spacing w:line="360" w:lineRule="auto"/>
        <w:ind w:left="420" w:firstLine="0" w:firstLineChars="0"/>
        <w:jc w:val="right"/>
        <w:rPr>
          <w:rFonts w:cs="Times New Roman"/>
          <w:bCs/>
          <w:color w:val="000000" w:themeColor="text1"/>
          <w:szCs w:val="24"/>
          <w14:textFill>
            <w14:solidFill>
              <w14:schemeClr w14:val="tx1"/>
            </w14:solidFill>
          </w14:textFill>
        </w:rPr>
      </w:pPr>
      <w:bookmarkStart w:id="166" w:name="_Hlk24008102"/>
      <m:oMath>
        <m:sSub>
          <m:sSubPr>
            <m:ctrlPr>
              <w:rPr>
                <w:rFonts w:ascii="Cambria Math" w:hAnsi="Cambria Math" w:eastAsiaTheme="minorEastAsia"/>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λ</m:t>
            </m:r>
            <m:ctrlPr>
              <w:rPr>
                <w:rFonts w:ascii="Cambria Math" w:hAnsi="Cambria Math" w:eastAsiaTheme="minorEastAsia"/>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ps.n</m:t>
            </m:r>
            <m:ctrlPr>
              <w:rPr>
                <w:rFonts w:ascii="Cambria Math" w:hAnsi="Cambria Math" w:eastAsiaTheme="minorEastAsia"/>
                <w:color w:val="000000" w:themeColor="text1"/>
                <w:kern w:val="0"/>
                <w:szCs w:val="21"/>
                <w14:textFill>
                  <w14:solidFill>
                    <w14:schemeClr w14:val="tx1"/>
                  </w14:solidFill>
                </w14:textFill>
              </w:rPr>
            </m:ctrlPr>
          </m:sub>
        </m:sSub>
        <m:r>
          <w:rPr>
            <w:rFonts w:ascii="Cambria Math" w:hAnsi="Cambria Math" w:eastAsiaTheme="minorEastAsia"/>
            <w:color w:val="000000" w:themeColor="text1"/>
            <w:kern w:val="0"/>
            <w:szCs w:val="21"/>
            <w14:textFill>
              <w14:solidFill>
                <w14:schemeClr w14:val="tx1"/>
              </w14:solidFill>
            </w14:textFill>
          </w:rPr>
          <m:t>=</m:t>
        </m:r>
        <m:f>
          <m:fPr>
            <m:ctrlPr>
              <w:rPr>
                <w:rFonts w:ascii="Cambria Math" w:hAnsi="Cambria Math" w:eastAsiaTheme="minorEastAsia"/>
                <w:i/>
                <w:color w:val="000000" w:themeColor="text1"/>
                <w:kern w:val="0"/>
                <w:szCs w:val="21"/>
                <w14:textFill>
                  <w14:solidFill>
                    <w14:schemeClr w14:val="tx1"/>
                  </w14:solidFill>
                </w14:textFill>
              </w:rPr>
            </m:ctrlPr>
          </m:fPr>
          <m:num>
            <m:sSub>
              <m:sSubPr>
                <m:ctrlPr>
                  <w:rPr>
                    <w:rFonts w:ascii="Cambria Math" w:hAnsi="Cambria Math" w:eastAsiaTheme="minorEastAsia"/>
                    <w:i/>
                    <w:color w:val="000000" w:themeColor="text1"/>
                    <w:kern w:val="0"/>
                    <w:szCs w:val="21"/>
                    <w14:textFill>
                      <w14:solidFill>
                        <w14:schemeClr w14:val="tx1"/>
                      </w14:solidFill>
                    </w14:textFill>
                  </w:rPr>
                </m:ctrlPr>
              </m:sSubPr>
              <m:e>
                <m:r>
                  <w:rPr>
                    <w:rFonts w:ascii="Cambria Math" w:hAnsi="Cambria Math" w:eastAsiaTheme="minorEastAsia"/>
                    <w:color w:val="000000" w:themeColor="text1"/>
                    <w:kern w:val="0"/>
                    <w:szCs w:val="21"/>
                    <w14:textFill>
                      <w14:solidFill>
                        <w14:schemeClr w14:val="tx1"/>
                      </w14:solidFill>
                    </w14:textFill>
                  </w:rPr>
                  <m:t>h</m:t>
                </m:r>
                <m:ctrlPr>
                  <w:rPr>
                    <w:rFonts w:ascii="Cambria Math" w:hAnsi="Cambria Math" w:eastAsiaTheme="minorEastAsia"/>
                    <w:i/>
                    <w:color w:val="000000" w:themeColor="text1"/>
                    <w:kern w:val="0"/>
                    <w:szCs w:val="21"/>
                    <w14:textFill>
                      <w14:solidFill>
                        <w14:schemeClr w14:val="tx1"/>
                      </w14:solidFill>
                    </w14:textFill>
                  </w:rPr>
                </m:ctrlPr>
              </m:e>
              <m:sub>
                <m:r>
                  <w:rPr>
                    <w:rFonts w:ascii="Cambria Math" w:hAnsi="Cambria Math" w:eastAsiaTheme="minorEastAsia"/>
                    <w:color w:val="000000" w:themeColor="text1"/>
                    <w:kern w:val="0"/>
                    <w:szCs w:val="21"/>
                    <w14:textFill>
                      <w14:solidFill>
                        <w14:schemeClr w14:val="tx1"/>
                      </w14:solidFill>
                    </w14:textFill>
                  </w:rPr>
                  <m:t>b</m:t>
                </m:r>
                <m:ctrlPr>
                  <w:rPr>
                    <w:rFonts w:ascii="Cambria Math" w:hAnsi="Cambria Math" w:eastAsiaTheme="minorEastAsia"/>
                    <w:i/>
                    <w:color w:val="000000" w:themeColor="text1"/>
                    <w:kern w:val="0"/>
                    <w:szCs w:val="21"/>
                    <w14:textFill>
                      <w14:solidFill>
                        <w14:schemeClr w14:val="tx1"/>
                      </w14:solidFill>
                    </w14:textFill>
                  </w:rPr>
                </m:ctrlPr>
              </m:sub>
            </m:sSub>
            <m:r>
              <w:rPr>
                <w:rFonts w:ascii="Cambria Math" w:hAnsi="Cambria Math" w:eastAsiaTheme="minorEastAsia"/>
                <w:color w:val="000000" w:themeColor="text1"/>
                <w:kern w:val="0"/>
                <w:szCs w:val="21"/>
                <w14:textFill>
                  <w14:solidFill>
                    <w14:schemeClr w14:val="tx1"/>
                  </w14:solidFill>
                </w14:textFill>
              </w:rPr>
              <m:t>/</m:t>
            </m:r>
            <m:sSub>
              <m:sSubPr>
                <m:ctrlPr>
                  <w:rPr>
                    <w:rFonts w:ascii="Cambria Math" w:hAnsi="Cambria Math" w:eastAsiaTheme="minorEastAsia"/>
                    <w:i/>
                    <w:color w:val="000000" w:themeColor="text1"/>
                    <w:kern w:val="0"/>
                    <w:szCs w:val="21"/>
                    <w14:textFill>
                      <w14:solidFill>
                        <w14:schemeClr w14:val="tx1"/>
                      </w14:solidFill>
                    </w14:textFill>
                  </w:rPr>
                </m:ctrlPr>
              </m:sSubPr>
              <m:e>
                <m:r>
                  <w:rPr>
                    <w:rFonts w:ascii="Cambria Math" w:hAnsi="Cambria Math" w:eastAsiaTheme="minorEastAsia"/>
                    <w:color w:val="000000" w:themeColor="text1"/>
                    <w:kern w:val="0"/>
                    <w:szCs w:val="21"/>
                    <w14:textFill>
                      <w14:solidFill>
                        <w14:schemeClr w14:val="tx1"/>
                      </w14:solidFill>
                    </w14:textFill>
                  </w:rPr>
                  <m:t>t</m:t>
                </m:r>
                <m:ctrlPr>
                  <w:rPr>
                    <w:rFonts w:ascii="Cambria Math" w:hAnsi="Cambria Math" w:eastAsiaTheme="minorEastAsia"/>
                    <w:i/>
                    <w:color w:val="000000" w:themeColor="text1"/>
                    <w:kern w:val="0"/>
                    <w:szCs w:val="21"/>
                    <w14:textFill>
                      <w14:solidFill>
                        <w14:schemeClr w14:val="tx1"/>
                      </w14:solidFill>
                    </w14:textFill>
                  </w:rPr>
                </m:ctrlPr>
              </m:e>
              <m:sub>
                <m:r>
                  <w:rPr>
                    <w:rFonts w:ascii="Cambria Math" w:hAnsi="Cambria Math" w:eastAsiaTheme="minorEastAsia"/>
                    <w:color w:val="000000" w:themeColor="text1"/>
                    <w:kern w:val="0"/>
                    <w:szCs w:val="21"/>
                    <w14:textFill>
                      <w14:solidFill>
                        <w14:schemeClr w14:val="tx1"/>
                      </w14:solidFill>
                    </w14:textFill>
                  </w:rPr>
                  <m:t>w</m:t>
                </m:r>
                <m:ctrlPr>
                  <w:rPr>
                    <w:rFonts w:ascii="Cambria Math" w:hAnsi="Cambria Math" w:eastAsiaTheme="minorEastAsia"/>
                    <w:i/>
                    <w:color w:val="000000" w:themeColor="text1"/>
                    <w:kern w:val="0"/>
                    <w:szCs w:val="21"/>
                    <w14:textFill>
                      <w14:solidFill>
                        <w14:schemeClr w14:val="tx1"/>
                      </w14:solidFill>
                    </w14:textFill>
                  </w:rPr>
                </m:ctrlPr>
              </m:sub>
            </m:sSub>
            <m:ctrlPr>
              <w:rPr>
                <w:rFonts w:ascii="Cambria Math" w:hAnsi="Cambria Math" w:eastAsiaTheme="minorEastAsia"/>
                <w:i/>
                <w:color w:val="000000" w:themeColor="text1"/>
                <w:kern w:val="0"/>
                <w:szCs w:val="21"/>
                <w14:textFill>
                  <w14:solidFill>
                    <w14:schemeClr w14:val="tx1"/>
                  </w14:solidFill>
                </w14:textFill>
              </w:rPr>
            </m:ctrlPr>
          </m:num>
          <m:den>
            <m:r>
              <w:rPr>
                <w:rFonts w:ascii="Cambria Math" w:hAnsi="Cambria Math" w:eastAsiaTheme="minorEastAsia"/>
                <w:color w:val="000000" w:themeColor="text1"/>
                <w:kern w:val="0"/>
                <w:szCs w:val="21"/>
                <w14:textFill>
                  <w14:solidFill>
                    <w14:schemeClr w14:val="tx1"/>
                  </w14:solidFill>
                </w14:textFill>
              </w:rPr>
              <m:t>37</m:t>
            </m:r>
            <m:rad>
              <m:radPr>
                <m:degHide m:val="1"/>
                <m:ctrlPr>
                  <w:rPr>
                    <w:rFonts w:ascii="Cambria Math" w:hAnsi="Cambria Math" w:eastAsiaTheme="minorEastAsia"/>
                    <w:i/>
                    <w:color w:val="000000" w:themeColor="text1"/>
                    <w:kern w:val="0"/>
                    <w:szCs w:val="21"/>
                    <w14:textFill>
                      <w14:solidFill>
                        <w14:schemeClr w14:val="tx1"/>
                      </w14:solidFill>
                    </w14:textFill>
                  </w:rPr>
                </m:ctrlPr>
              </m:radPr>
              <m:deg>
                <m:ctrlPr>
                  <w:rPr>
                    <w:rFonts w:ascii="Cambria Math" w:hAnsi="Cambria Math" w:eastAsiaTheme="minorEastAsia"/>
                    <w:i/>
                    <w:color w:val="000000" w:themeColor="text1"/>
                    <w:kern w:val="0"/>
                    <w:szCs w:val="21"/>
                    <w14:textFill>
                      <w14:solidFill>
                        <w14:schemeClr w14:val="tx1"/>
                      </w14:solidFill>
                    </w14:textFill>
                  </w:rPr>
                </m:ctrlPr>
              </m:deg>
              <m:e>
                <m:r>
                  <w:rPr>
                    <w:rFonts w:ascii="Cambria Math" w:hAnsi="Cambria Math" w:eastAsiaTheme="minorEastAsia"/>
                    <w:color w:val="000000" w:themeColor="text1"/>
                    <w:kern w:val="0"/>
                    <w:szCs w:val="21"/>
                    <w14:textFill>
                      <w14:solidFill>
                        <w14:schemeClr w14:val="tx1"/>
                      </w14:solidFill>
                    </w14:textFill>
                  </w:rPr>
                  <m:t>5.34+4</m:t>
                </m:r>
                <m:sSup>
                  <m:sSupPr>
                    <m:ctrlPr>
                      <w:rPr>
                        <w:rFonts w:ascii="Cambria Math" w:hAnsi="Cambria Math" w:eastAsiaTheme="minorEastAsia"/>
                        <w:i/>
                        <w:color w:val="000000" w:themeColor="text1"/>
                        <w:kern w:val="0"/>
                        <w:szCs w:val="21"/>
                        <w14:textFill>
                          <w14:solidFill>
                            <w14:schemeClr w14:val="tx1"/>
                          </w14:solidFill>
                        </w14:textFill>
                      </w:rPr>
                    </m:ctrlPr>
                  </m:sSupPr>
                  <m:e>
                    <m:r>
                      <m:rPr>
                        <m:sty m:val="p"/>
                      </m:rPr>
                      <w:rPr>
                        <w:rFonts w:hint="eastAsia" w:ascii="Cambria Math" w:hAnsi="Cambria Math" w:eastAsiaTheme="minorEastAsia"/>
                        <w:color w:val="000000" w:themeColor="text1"/>
                        <w:kern w:val="0"/>
                        <w:szCs w:val="21"/>
                        <w14:textFill>
                          <w14:solidFill>
                            <w14:schemeClr w14:val="tx1"/>
                          </w14:solidFill>
                        </w14:textFill>
                      </w:rPr>
                      <m:t>（</m:t>
                    </m:r>
                    <m:sSub>
                      <m:sSubPr>
                        <m:ctrlPr>
                          <w:rPr>
                            <w:rFonts w:ascii="Cambria Math" w:hAnsi="Cambria Math" w:eastAsiaTheme="minorEastAsia"/>
                            <w:iCs/>
                            <w:color w:val="000000" w:themeColor="text1"/>
                            <w:kern w:val="0"/>
                            <w:szCs w:val="21"/>
                            <w14:textFill>
                              <w14:solidFill>
                                <w14:schemeClr w14:val="tx1"/>
                              </w14:solidFill>
                            </w14:textFill>
                          </w:rPr>
                        </m:ctrlPr>
                      </m:sSubPr>
                      <m:e>
                        <m:r>
                          <m:rPr>
                            <m:sty m:val="p"/>
                          </m:rPr>
                          <w:rPr>
                            <w:rFonts w:ascii="Cambria Math" w:hAnsi="Cambria Math" w:eastAsiaTheme="minorEastAsia"/>
                            <w:color w:val="000000" w:themeColor="text1"/>
                            <w:kern w:val="0"/>
                            <w:szCs w:val="21"/>
                            <w14:textFill>
                              <w14:solidFill>
                                <w14:schemeClr w14:val="tx1"/>
                              </w14:solidFill>
                            </w14:textFill>
                          </w:rPr>
                          <m:t>h</m:t>
                        </m:r>
                        <m:ctrlPr>
                          <w:rPr>
                            <w:rFonts w:ascii="Cambria Math" w:hAnsi="Cambria Math" w:eastAsiaTheme="minorEastAsia"/>
                            <w:iCs/>
                            <w:color w:val="000000" w:themeColor="text1"/>
                            <w:kern w:val="0"/>
                            <w:szCs w:val="21"/>
                            <w14:textFill>
                              <w14:solidFill>
                                <w14:schemeClr w14:val="tx1"/>
                              </w14:solidFill>
                            </w14:textFill>
                          </w:rPr>
                        </m:ctrlPr>
                      </m:e>
                      <m:sub>
                        <m:r>
                          <m:rPr>
                            <m:sty m:val="p"/>
                          </m:rPr>
                          <w:rPr>
                            <w:rFonts w:ascii="Cambria Math" w:hAnsi="Cambria Math" w:eastAsiaTheme="minorEastAsia"/>
                            <w:color w:val="000000" w:themeColor="text1"/>
                            <w:kern w:val="0"/>
                            <w:szCs w:val="21"/>
                            <w14:textFill>
                              <w14:solidFill>
                                <w14:schemeClr w14:val="tx1"/>
                              </w14:solidFill>
                            </w14:textFill>
                          </w:rPr>
                          <m:t>b</m:t>
                        </m:r>
                        <m:ctrlPr>
                          <w:rPr>
                            <w:rFonts w:ascii="Cambria Math" w:hAnsi="Cambria Math" w:eastAsiaTheme="minorEastAsia"/>
                            <w:iCs/>
                            <w:color w:val="000000" w:themeColor="text1"/>
                            <w:kern w:val="0"/>
                            <w:szCs w:val="21"/>
                            <w14:textFill>
                              <w14:solidFill>
                                <w14:schemeClr w14:val="tx1"/>
                              </w14:solidFill>
                            </w14:textFill>
                          </w:rPr>
                        </m:ctrlPr>
                      </m:sub>
                    </m:sSub>
                    <m:r>
                      <m:rPr>
                        <m:sty m:val="p"/>
                      </m:rPr>
                      <w:rPr>
                        <w:rFonts w:ascii="Cambria Math" w:hAnsi="Cambria Math" w:eastAsiaTheme="minorEastAsia"/>
                        <w:color w:val="000000" w:themeColor="text1"/>
                        <w:kern w:val="0"/>
                        <w:szCs w:val="21"/>
                        <w14:textFill>
                          <w14:solidFill>
                            <w14:schemeClr w14:val="tx1"/>
                          </w14:solidFill>
                        </w14:textFill>
                      </w:rPr>
                      <m:t>/</m:t>
                    </m:r>
                    <m:sSub>
                      <m:sSubPr>
                        <m:ctrlPr>
                          <w:rPr>
                            <w:rFonts w:ascii="Cambria Math" w:hAnsi="Cambria Math" w:eastAsiaTheme="minorEastAsia"/>
                            <w:iCs/>
                            <w:color w:val="000000" w:themeColor="text1"/>
                            <w:kern w:val="0"/>
                            <w:szCs w:val="21"/>
                            <w14:textFill>
                              <w14:solidFill>
                                <w14:schemeClr w14:val="tx1"/>
                              </w14:solidFill>
                            </w14:textFill>
                          </w:rPr>
                        </m:ctrlPr>
                      </m:sSubPr>
                      <m:e>
                        <m:r>
                          <m:rPr>
                            <m:sty m:val="p"/>
                          </m:rPr>
                          <w:rPr>
                            <w:rFonts w:ascii="Cambria Math" w:hAnsi="Cambria Math" w:eastAsiaTheme="minorEastAsia"/>
                            <w:color w:val="000000" w:themeColor="text1"/>
                            <w:kern w:val="0"/>
                            <w:szCs w:val="21"/>
                            <w14:textFill>
                              <w14:solidFill>
                                <w14:schemeClr w14:val="tx1"/>
                              </w14:solidFill>
                            </w14:textFill>
                          </w:rPr>
                          <m:t>h</m:t>
                        </m:r>
                        <m:ctrlPr>
                          <w:rPr>
                            <w:rFonts w:ascii="Cambria Math" w:hAnsi="Cambria Math" w:eastAsiaTheme="minorEastAsia"/>
                            <w:iCs/>
                            <w:color w:val="000000" w:themeColor="text1"/>
                            <w:kern w:val="0"/>
                            <w:szCs w:val="21"/>
                            <w14:textFill>
                              <w14:solidFill>
                                <w14:schemeClr w14:val="tx1"/>
                              </w14:solidFill>
                            </w14:textFill>
                          </w:rPr>
                        </m:ctrlPr>
                      </m:e>
                      <m:sub>
                        <m:r>
                          <m:rPr>
                            <m:sty m:val="p"/>
                          </m:rPr>
                          <w:rPr>
                            <w:rFonts w:ascii="Cambria Math" w:hAnsi="Cambria Math" w:eastAsiaTheme="minorEastAsia"/>
                            <w:color w:val="000000" w:themeColor="text1"/>
                            <w:kern w:val="0"/>
                            <w:szCs w:val="21"/>
                            <w14:textFill>
                              <w14:solidFill>
                                <w14:schemeClr w14:val="tx1"/>
                              </w14:solidFill>
                            </w14:textFill>
                          </w:rPr>
                          <m:t>c</m:t>
                        </m:r>
                        <m:ctrlPr>
                          <w:rPr>
                            <w:rFonts w:ascii="Cambria Math" w:hAnsi="Cambria Math" w:eastAsiaTheme="minorEastAsia"/>
                            <w:iCs/>
                            <w:color w:val="000000" w:themeColor="text1"/>
                            <w:kern w:val="0"/>
                            <w:szCs w:val="21"/>
                            <w14:textFill>
                              <w14:solidFill>
                                <w14:schemeClr w14:val="tx1"/>
                              </w14:solidFill>
                            </w14:textFill>
                          </w:rPr>
                        </m:ctrlPr>
                      </m:sub>
                    </m:sSub>
                    <m:r>
                      <m:rPr>
                        <m:sty m:val="p"/>
                      </m:rPr>
                      <w:rPr>
                        <w:rFonts w:hint="eastAsia" w:ascii="Cambria Math" w:hAnsi="Cambria Math" w:eastAsiaTheme="minorEastAsia"/>
                        <w:color w:val="000000" w:themeColor="text1"/>
                        <w:kern w:val="0"/>
                        <w:szCs w:val="21"/>
                        <w14:textFill>
                          <w14:solidFill>
                            <w14:schemeClr w14:val="tx1"/>
                          </w14:solidFill>
                        </w14:textFill>
                      </w:rPr>
                      <m:t>）</m:t>
                    </m:r>
                    <m:ctrlPr>
                      <w:rPr>
                        <w:rFonts w:ascii="Cambria Math" w:hAnsi="Cambria Math" w:eastAsiaTheme="minorEastAsia"/>
                        <w:i/>
                        <w:color w:val="000000" w:themeColor="text1"/>
                        <w:kern w:val="0"/>
                        <w:szCs w:val="21"/>
                        <w14:textFill>
                          <w14:solidFill>
                            <w14:schemeClr w14:val="tx1"/>
                          </w14:solidFill>
                        </w14:textFill>
                      </w:rPr>
                    </m:ctrlPr>
                  </m:e>
                  <m:sup>
                    <m:r>
                      <w:rPr>
                        <w:rFonts w:ascii="Cambria Math" w:hAnsi="Cambria Math" w:eastAsiaTheme="minorEastAsia"/>
                        <w:color w:val="000000" w:themeColor="text1"/>
                        <w:kern w:val="0"/>
                        <w:szCs w:val="21"/>
                        <w14:textFill>
                          <w14:solidFill>
                            <w14:schemeClr w14:val="tx1"/>
                          </w14:solidFill>
                        </w14:textFill>
                      </w:rPr>
                      <m:t>2</m:t>
                    </m:r>
                    <m:ctrlPr>
                      <w:rPr>
                        <w:rFonts w:ascii="Cambria Math" w:hAnsi="Cambria Math" w:eastAsiaTheme="minorEastAsia"/>
                        <w:i/>
                        <w:color w:val="000000" w:themeColor="text1"/>
                        <w:kern w:val="0"/>
                        <w:szCs w:val="21"/>
                        <w14:textFill>
                          <w14:solidFill>
                            <w14:schemeClr w14:val="tx1"/>
                          </w14:solidFill>
                        </w14:textFill>
                      </w:rPr>
                    </m:ctrlPr>
                  </m:sup>
                </m:sSup>
                <m:ctrlPr>
                  <w:rPr>
                    <w:rFonts w:ascii="Cambria Math" w:hAnsi="Cambria Math" w:eastAsiaTheme="minorEastAsia"/>
                    <w:i/>
                    <w:color w:val="000000" w:themeColor="text1"/>
                    <w:kern w:val="0"/>
                    <w:szCs w:val="21"/>
                    <w14:textFill>
                      <w14:solidFill>
                        <w14:schemeClr w14:val="tx1"/>
                      </w14:solidFill>
                    </w14:textFill>
                  </w:rPr>
                </m:ctrlPr>
              </m:e>
            </m:rad>
            <m:ctrlPr>
              <w:rPr>
                <w:rFonts w:ascii="Cambria Math" w:hAnsi="Cambria Math" w:eastAsiaTheme="minorEastAsia"/>
                <w:i/>
                <w:color w:val="000000" w:themeColor="text1"/>
                <w:kern w:val="0"/>
                <w:szCs w:val="21"/>
                <w14:textFill>
                  <w14:solidFill>
                    <w14:schemeClr w14:val="tx1"/>
                  </w14:solidFill>
                </w14:textFill>
              </w:rPr>
            </m:ctrlPr>
          </m:den>
        </m:f>
        <m:f>
          <m:fPr>
            <m:ctrlPr>
              <w:rPr>
                <w:rFonts w:ascii="Cambria Math" w:hAnsi="Cambria Math" w:eastAsiaTheme="minorEastAsia"/>
                <w:i/>
                <w:color w:val="000000" w:themeColor="text1"/>
                <w:kern w:val="0"/>
                <w:szCs w:val="21"/>
                <w14:textFill>
                  <w14:solidFill>
                    <w14:schemeClr w14:val="tx1"/>
                  </w14:solidFill>
                </w14:textFill>
              </w:rPr>
            </m:ctrlPr>
          </m:fPr>
          <m:num>
            <m:r>
              <w:rPr>
                <w:rFonts w:ascii="Cambria Math" w:hAnsi="Cambria Math" w:eastAsiaTheme="minorEastAsia"/>
                <w:color w:val="000000" w:themeColor="text1"/>
                <w:kern w:val="0"/>
                <w:szCs w:val="21"/>
                <w14:textFill>
                  <w14:solidFill>
                    <w14:schemeClr w14:val="tx1"/>
                  </w14:solidFill>
                </w14:textFill>
              </w:rPr>
              <m:t>1</m:t>
            </m:r>
            <m:ctrlPr>
              <w:rPr>
                <w:rFonts w:ascii="Cambria Math" w:hAnsi="Cambria Math" w:eastAsiaTheme="minorEastAsia"/>
                <w:i/>
                <w:color w:val="000000" w:themeColor="text1"/>
                <w:kern w:val="0"/>
                <w:szCs w:val="21"/>
                <w14:textFill>
                  <w14:solidFill>
                    <w14:schemeClr w14:val="tx1"/>
                  </w14:solidFill>
                </w14:textFill>
              </w:rPr>
            </m:ctrlPr>
          </m:num>
          <m:den>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w:bookmarkEnd w:id="166"/>
            <m:ctrlPr>
              <w:rPr>
                <w:rFonts w:ascii="Cambria Math" w:hAnsi="Cambria Math" w:eastAsiaTheme="minorEastAsia"/>
                <w:i/>
                <w:color w:val="000000" w:themeColor="text1"/>
                <w:kern w:val="0"/>
                <w:szCs w:val="21"/>
                <w14:textFill>
                  <w14:solidFill>
                    <w14:schemeClr w14:val="tx1"/>
                  </w14:solidFill>
                </w14:textFill>
              </w:rPr>
            </m:ctrlPr>
          </m:den>
        </m:f>
      </m:oMath>
      <w:r>
        <w:rPr>
          <w:rFonts w:cs="Times New Roman"/>
          <w:bCs/>
          <w:color w:val="000000" w:themeColor="text1"/>
          <w:szCs w:val="24"/>
          <w14:textFill>
            <w14:solidFill>
              <w14:schemeClr w14:val="tx1"/>
            </w14:solidFill>
          </w14:textFill>
        </w:rPr>
        <w:t xml:space="preserve">               </w:t>
      </w:r>
      <w:r>
        <w:rPr>
          <w:rFonts w:hint="eastAsia" w:cs="Times New Roman"/>
          <w:bCs/>
          <w:snapToGrid w:val="0"/>
          <w:color w:val="000000" w:themeColor="text1"/>
          <w:kern w:val="0"/>
          <w:position w:val="-10"/>
          <w:szCs w:val="24"/>
          <w14:textFill>
            <w14:solidFill>
              <w14:schemeClr w14:val="tx1"/>
            </w14:solidFill>
          </w14:textFill>
        </w:rPr>
        <w:t>（9</w:t>
      </w:r>
      <w:r>
        <w:rPr>
          <w:rFonts w:cs="Times New Roman"/>
          <w:bCs/>
          <w:snapToGrid w:val="0"/>
          <w:color w:val="000000" w:themeColor="text1"/>
          <w:kern w:val="0"/>
          <w:position w:val="-10"/>
          <w:szCs w:val="24"/>
          <w14:textFill>
            <w14:solidFill>
              <w14:schemeClr w14:val="tx1"/>
            </w14:solidFill>
          </w14:textFill>
        </w:rPr>
        <w:t>.2.7-1</w:t>
      </w:r>
      <w:r>
        <w:rPr>
          <w:rFonts w:hint="eastAsia" w:cs="Times New Roman"/>
          <w:bCs/>
          <w:snapToGrid w:val="0"/>
          <w:color w:val="000000" w:themeColor="text1"/>
          <w:kern w:val="0"/>
          <w:position w:val="-10"/>
          <w:szCs w:val="24"/>
          <w14:textFill>
            <w14:solidFill>
              <w14:schemeClr w14:val="tx1"/>
            </w14:solidFill>
          </w14:textFill>
        </w:rPr>
        <w:t>）</w:t>
      </w:r>
    </w:p>
    <w:p>
      <w:pPr>
        <w:spacing w:line="360" w:lineRule="auto"/>
        <w:ind w:firstLine="420"/>
        <w:rPr>
          <w:rFonts w:cs="Times New Roman"/>
          <w:bCs/>
          <w:color w:val="000000" w:themeColor="text1"/>
          <w:szCs w:val="21"/>
          <w14:textFill>
            <w14:solidFill>
              <w14:schemeClr w14:val="tx1"/>
            </w14:solidFill>
          </w14:textFill>
        </w:rPr>
      </w:pPr>
      <w:r>
        <w:rPr>
          <w:rFonts w:hint="eastAsia" w:cs="Times New Roman"/>
          <w:bCs/>
          <w:color w:val="000000" w:themeColor="text1"/>
          <w:szCs w:val="21"/>
          <w14:textFill>
            <w14:solidFill>
              <w14:schemeClr w14:val="tx1"/>
            </w14:solidFill>
          </w14:textFill>
        </w:rPr>
        <w:t>当</w:t>
      </w:r>
      <m:oMath>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c</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h</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b</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≥1.0</m:t>
        </m:r>
      </m:oMath>
      <w:r>
        <w:rPr>
          <w:rFonts w:hint="eastAsia" w:cs="Times New Roman"/>
          <w:bCs/>
          <w:color w:val="000000" w:themeColor="text1"/>
          <w:szCs w:val="21"/>
          <w14:textFill>
            <w14:solidFill>
              <w14:schemeClr w14:val="tx1"/>
            </w14:solidFill>
          </w14:textFill>
        </w:rPr>
        <w:t>时：</w:t>
      </w:r>
    </w:p>
    <w:p>
      <w:pPr>
        <w:tabs>
          <w:tab w:val="left" w:pos="6510"/>
        </w:tabs>
        <w:spacing w:line="360" w:lineRule="auto"/>
        <w:ind w:firstLine="420"/>
        <w:jc w:val="right"/>
        <w:rPr>
          <w:rFonts w:cs="Times New Roman"/>
          <w:bCs/>
          <w:color w:val="000000" w:themeColor="text1"/>
          <w:szCs w:val="21"/>
          <w14:textFill>
            <w14:solidFill>
              <w14:schemeClr w14:val="tx1"/>
            </w14:solidFill>
          </w14:textFill>
        </w:rPr>
      </w:pPr>
      <m:oMath>
        <m:sSub>
          <m:sSubPr>
            <m:ctrlPr>
              <w:rPr>
                <w:rFonts w:ascii="Cambria Math" w:hAnsi="Cambria Math" w:eastAsiaTheme="minorEastAsia"/>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λ</m:t>
            </m:r>
            <m:ctrlPr>
              <w:rPr>
                <w:rFonts w:ascii="Cambria Math" w:hAnsi="Cambria Math" w:eastAsiaTheme="minorEastAsia"/>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ps.n</m:t>
            </m:r>
            <m:ctrlPr>
              <w:rPr>
                <w:rFonts w:ascii="Cambria Math" w:hAnsi="Cambria Math" w:eastAsiaTheme="minorEastAsia"/>
                <w:color w:val="000000" w:themeColor="text1"/>
                <w:kern w:val="0"/>
                <w:szCs w:val="21"/>
                <w14:textFill>
                  <w14:solidFill>
                    <w14:schemeClr w14:val="tx1"/>
                  </w14:solidFill>
                </w14:textFill>
              </w:rPr>
            </m:ctrlPr>
          </m:sub>
        </m:sSub>
        <m:r>
          <w:rPr>
            <w:rFonts w:ascii="Cambria Math" w:hAnsi="Cambria Math" w:eastAsiaTheme="minorEastAsia"/>
            <w:color w:val="000000" w:themeColor="text1"/>
            <w:kern w:val="0"/>
            <w:szCs w:val="21"/>
            <w14:textFill>
              <w14:solidFill>
                <w14:schemeClr w14:val="tx1"/>
              </w14:solidFill>
            </w14:textFill>
          </w:rPr>
          <m:t>=</m:t>
        </m:r>
        <m:f>
          <m:fPr>
            <m:ctrlPr>
              <w:rPr>
                <w:rFonts w:ascii="Cambria Math" w:hAnsi="Cambria Math" w:eastAsiaTheme="minorEastAsia"/>
                <w:i/>
                <w:color w:val="000000" w:themeColor="text1"/>
                <w:kern w:val="0"/>
                <w:szCs w:val="21"/>
                <w14:textFill>
                  <w14:solidFill>
                    <w14:schemeClr w14:val="tx1"/>
                  </w14:solidFill>
                </w14:textFill>
              </w:rPr>
            </m:ctrlPr>
          </m:fPr>
          <m:num>
            <m:sSub>
              <m:sSubPr>
                <m:ctrlPr>
                  <w:rPr>
                    <w:rFonts w:ascii="Cambria Math" w:hAnsi="Cambria Math" w:eastAsiaTheme="minorEastAsia"/>
                    <w:i/>
                    <w:color w:val="000000" w:themeColor="text1"/>
                    <w:kern w:val="0"/>
                    <w:szCs w:val="21"/>
                    <w14:textFill>
                      <w14:solidFill>
                        <w14:schemeClr w14:val="tx1"/>
                      </w14:solidFill>
                    </w14:textFill>
                  </w:rPr>
                </m:ctrlPr>
              </m:sSubPr>
              <m:e>
                <m:r>
                  <w:rPr>
                    <w:rFonts w:ascii="Cambria Math" w:hAnsi="Cambria Math" w:eastAsiaTheme="minorEastAsia"/>
                    <w:color w:val="000000" w:themeColor="text1"/>
                    <w:kern w:val="0"/>
                    <w:szCs w:val="21"/>
                    <w14:textFill>
                      <w14:solidFill>
                        <w14:schemeClr w14:val="tx1"/>
                      </w14:solidFill>
                    </w14:textFill>
                  </w:rPr>
                  <m:t>h</m:t>
                </m:r>
                <m:ctrlPr>
                  <w:rPr>
                    <w:rFonts w:ascii="Cambria Math" w:hAnsi="Cambria Math" w:eastAsiaTheme="minorEastAsia"/>
                    <w:i/>
                    <w:color w:val="000000" w:themeColor="text1"/>
                    <w:kern w:val="0"/>
                    <w:szCs w:val="21"/>
                    <w14:textFill>
                      <w14:solidFill>
                        <w14:schemeClr w14:val="tx1"/>
                      </w14:solidFill>
                    </w14:textFill>
                  </w:rPr>
                </m:ctrlPr>
              </m:e>
              <m:sub>
                <m:r>
                  <w:rPr>
                    <w:rFonts w:ascii="Cambria Math" w:hAnsi="Cambria Math" w:eastAsiaTheme="minorEastAsia"/>
                    <w:color w:val="000000" w:themeColor="text1"/>
                    <w:kern w:val="0"/>
                    <w:szCs w:val="21"/>
                    <w14:textFill>
                      <w14:solidFill>
                        <w14:schemeClr w14:val="tx1"/>
                      </w14:solidFill>
                    </w14:textFill>
                  </w:rPr>
                  <m:t>b</m:t>
                </m:r>
                <m:ctrlPr>
                  <w:rPr>
                    <w:rFonts w:ascii="Cambria Math" w:hAnsi="Cambria Math" w:eastAsiaTheme="minorEastAsia"/>
                    <w:i/>
                    <w:color w:val="000000" w:themeColor="text1"/>
                    <w:kern w:val="0"/>
                    <w:szCs w:val="21"/>
                    <w14:textFill>
                      <w14:solidFill>
                        <w14:schemeClr w14:val="tx1"/>
                      </w14:solidFill>
                    </w14:textFill>
                  </w:rPr>
                </m:ctrlPr>
              </m:sub>
            </m:sSub>
            <m:r>
              <w:rPr>
                <w:rFonts w:ascii="Cambria Math" w:hAnsi="Cambria Math" w:eastAsiaTheme="minorEastAsia"/>
                <w:color w:val="000000" w:themeColor="text1"/>
                <w:kern w:val="0"/>
                <w:szCs w:val="21"/>
                <w14:textFill>
                  <w14:solidFill>
                    <w14:schemeClr w14:val="tx1"/>
                  </w14:solidFill>
                </w14:textFill>
              </w:rPr>
              <m:t>/</m:t>
            </m:r>
            <m:sSub>
              <m:sSubPr>
                <m:ctrlPr>
                  <w:rPr>
                    <w:rFonts w:ascii="Cambria Math" w:hAnsi="Cambria Math" w:eastAsiaTheme="minorEastAsia"/>
                    <w:i/>
                    <w:color w:val="000000" w:themeColor="text1"/>
                    <w:kern w:val="0"/>
                    <w:szCs w:val="21"/>
                    <w14:textFill>
                      <w14:solidFill>
                        <w14:schemeClr w14:val="tx1"/>
                      </w14:solidFill>
                    </w14:textFill>
                  </w:rPr>
                </m:ctrlPr>
              </m:sSubPr>
              <m:e>
                <m:r>
                  <w:rPr>
                    <w:rFonts w:ascii="Cambria Math" w:hAnsi="Cambria Math" w:eastAsiaTheme="minorEastAsia"/>
                    <w:color w:val="000000" w:themeColor="text1"/>
                    <w:kern w:val="0"/>
                    <w:szCs w:val="21"/>
                    <w14:textFill>
                      <w14:solidFill>
                        <w14:schemeClr w14:val="tx1"/>
                      </w14:solidFill>
                    </w14:textFill>
                  </w:rPr>
                  <m:t>t</m:t>
                </m:r>
                <m:ctrlPr>
                  <w:rPr>
                    <w:rFonts w:ascii="Cambria Math" w:hAnsi="Cambria Math" w:eastAsiaTheme="minorEastAsia"/>
                    <w:i/>
                    <w:color w:val="000000" w:themeColor="text1"/>
                    <w:kern w:val="0"/>
                    <w:szCs w:val="21"/>
                    <w14:textFill>
                      <w14:solidFill>
                        <w14:schemeClr w14:val="tx1"/>
                      </w14:solidFill>
                    </w14:textFill>
                  </w:rPr>
                </m:ctrlPr>
              </m:e>
              <m:sub>
                <m:r>
                  <w:rPr>
                    <w:rFonts w:ascii="Cambria Math" w:hAnsi="Cambria Math" w:eastAsiaTheme="minorEastAsia"/>
                    <w:color w:val="000000" w:themeColor="text1"/>
                    <w:kern w:val="0"/>
                    <w:szCs w:val="21"/>
                    <w14:textFill>
                      <w14:solidFill>
                        <w14:schemeClr w14:val="tx1"/>
                      </w14:solidFill>
                    </w14:textFill>
                  </w:rPr>
                  <m:t>w</m:t>
                </m:r>
                <m:ctrlPr>
                  <w:rPr>
                    <w:rFonts w:ascii="Cambria Math" w:hAnsi="Cambria Math" w:eastAsiaTheme="minorEastAsia"/>
                    <w:i/>
                    <w:color w:val="000000" w:themeColor="text1"/>
                    <w:kern w:val="0"/>
                    <w:szCs w:val="21"/>
                    <w14:textFill>
                      <w14:solidFill>
                        <w14:schemeClr w14:val="tx1"/>
                      </w14:solidFill>
                    </w14:textFill>
                  </w:rPr>
                </m:ctrlPr>
              </m:sub>
            </m:sSub>
            <m:ctrlPr>
              <w:rPr>
                <w:rFonts w:ascii="Cambria Math" w:hAnsi="Cambria Math" w:eastAsiaTheme="minorEastAsia"/>
                <w:i/>
                <w:color w:val="000000" w:themeColor="text1"/>
                <w:kern w:val="0"/>
                <w:szCs w:val="21"/>
                <w14:textFill>
                  <w14:solidFill>
                    <w14:schemeClr w14:val="tx1"/>
                  </w14:solidFill>
                </w14:textFill>
              </w:rPr>
            </m:ctrlPr>
          </m:num>
          <m:den>
            <m:r>
              <w:rPr>
                <w:rFonts w:ascii="Cambria Math" w:hAnsi="Cambria Math" w:eastAsiaTheme="minorEastAsia"/>
                <w:color w:val="000000" w:themeColor="text1"/>
                <w:kern w:val="0"/>
                <w:szCs w:val="21"/>
                <w14:textFill>
                  <w14:solidFill>
                    <w14:schemeClr w14:val="tx1"/>
                  </w14:solidFill>
                </w14:textFill>
              </w:rPr>
              <m:t>37</m:t>
            </m:r>
            <m:rad>
              <m:radPr>
                <m:degHide m:val="1"/>
                <m:ctrlPr>
                  <w:rPr>
                    <w:rFonts w:ascii="Cambria Math" w:hAnsi="Cambria Math" w:eastAsiaTheme="minorEastAsia"/>
                    <w:i/>
                    <w:color w:val="000000" w:themeColor="text1"/>
                    <w:kern w:val="0"/>
                    <w:szCs w:val="21"/>
                    <w14:textFill>
                      <w14:solidFill>
                        <w14:schemeClr w14:val="tx1"/>
                      </w14:solidFill>
                    </w14:textFill>
                  </w:rPr>
                </m:ctrlPr>
              </m:radPr>
              <m:deg>
                <m:ctrlPr>
                  <w:rPr>
                    <w:rFonts w:ascii="Cambria Math" w:hAnsi="Cambria Math" w:eastAsiaTheme="minorEastAsia"/>
                    <w:i/>
                    <w:color w:val="000000" w:themeColor="text1"/>
                    <w:kern w:val="0"/>
                    <w:szCs w:val="21"/>
                    <w14:textFill>
                      <w14:solidFill>
                        <w14:schemeClr w14:val="tx1"/>
                      </w14:solidFill>
                    </w14:textFill>
                  </w:rPr>
                </m:ctrlPr>
              </m:deg>
              <m:e>
                <m:r>
                  <w:rPr>
                    <w:rFonts w:ascii="Cambria Math" w:hAnsi="Cambria Math" w:eastAsiaTheme="minorEastAsia"/>
                    <w:color w:val="000000" w:themeColor="text1"/>
                    <w:kern w:val="0"/>
                    <w:szCs w:val="21"/>
                    <w14:textFill>
                      <w14:solidFill>
                        <w14:schemeClr w14:val="tx1"/>
                      </w14:solidFill>
                    </w14:textFill>
                  </w:rPr>
                  <m:t>4+5.34</m:t>
                </m:r>
                <m:sSup>
                  <m:sSupPr>
                    <m:ctrlPr>
                      <w:rPr>
                        <w:rFonts w:ascii="Cambria Math" w:hAnsi="Cambria Math" w:eastAsiaTheme="minorEastAsia"/>
                        <w:i/>
                        <w:color w:val="000000" w:themeColor="text1"/>
                        <w:kern w:val="0"/>
                        <w:szCs w:val="21"/>
                        <w14:textFill>
                          <w14:solidFill>
                            <w14:schemeClr w14:val="tx1"/>
                          </w14:solidFill>
                        </w14:textFill>
                      </w:rPr>
                    </m:ctrlPr>
                  </m:sSupPr>
                  <m:e>
                    <m:r>
                      <m:rPr>
                        <m:sty m:val="p"/>
                      </m:rPr>
                      <w:rPr>
                        <w:rFonts w:hint="eastAsia" w:ascii="Cambria Math" w:hAnsi="Cambria Math" w:eastAsiaTheme="minorEastAsia"/>
                        <w:color w:val="000000" w:themeColor="text1"/>
                        <w:kern w:val="0"/>
                        <w:szCs w:val="21"/>
                        <w14:textFill>
                          <w14:solidFill>
                            <w14:schemeClr w14:val="tx1"/>
                          </w14:solidFill>
                        </w14:textFill>
                      </w:rPr>
                      <m:t>（</m:t>
                    </m:r>
                    <m:sSub>
                      <m:sSubPr>
                        <m:ctrlPr>
                          <w:rPr>
                            <w:rFonts w:ascii="Cambria Math" w:hAnsi="Cambria Math" w:eastAsiaTheme="minorEastAsia"/>
                            <w:iCs/>
                            <w:color w:val="000000" w:themeColor="text1"/>
                            <w:kern w:val="0"/>
                            <w:szCs w:val="21"/>
                            <w14:textFill>
                              <w14:solidFill>
                                <w14:schemeClr w14:val="tx1"/>
                              </w14:solidFill>
                            </w14:textFill>
                          </w:rPr>
                        </m:ctrlPr>
                      </m:sSubPr>
                      <m:e>
                        <m:r>
                          <m:rPr>
                            <m:sty m:val="p"/>
                          </m:rPr>
                          <w:rPr>
                            <w:rFonts w:ascii="Cambria Math" w:hAnsi="Cambria Math" w:eastAsiaTheme="minorEastAsia"/>
                            <w:color w:val="000000" w:themeColor="text1"/>
                            <w:kern w:val="0"/>
                            <w:szCs w:val="21"/>
                            <w14:textFill>
                              <w14:solidFill>
                                <w14:schemeClr w14:val="tx1"/>
                              </w14:solidFill>
                            </w14:textFill>
                          </w:rPr>
                          <m:t>h</m:t>
                        </m:r>
                        <m:ctrlPr>
                          <w:rPr>
                            <w:rFonts w:ascii="Cambria Math" w:hAnsi="Cambria Math" w:eastAsiaTheme="minorEastAsia"/>
                            <w:iCs/>
                            <w:color w:val="000000" w:themeColor="text1"/>
                            <w:kern w:val="0"/>
                            <w:szCs w:val="21"/>
                            <w14:textFill>
                              <w14:solidFill>
                                <w14:schemeClr w14:val="tx1"/>
                              </w14:solidFill>
                            </w14:textFill>
                          </w:rPr>
                        </m:ctrlPr>
                      </m:e>
                      <m:sub>
                        <m:r>
                          <m:rPr>
                            <m:sty m:val="p"/>
                          </m:rPr>
                          <w:rPr>
                            <w:rFonts w:ascii="Cambria Math" w:hAnsi="Cambria Math" w:eastAsiaTheme="minorEastAsia"/>
                            <w:color w:val="000000" w:themeColor="text1"/>
                            <w:kern w:val="0"/>
                            <w:szCs w:val="21"/>
                            <w14:textFill>
                              <w14:solidFill>
                                <w14:schemeClr w14:val="tx1"/>
                              </w14:solidFill>
                            </w14:textFill>
                          </w:rPr>
                          <m:t>b</m:t>
                        </m:r>
                        <m:ctrlPr>
                          <w:rPr>
                            <w:rFonts w:ascii="Cambria Math" w:hAnsi="Cambria Math" w:eastAsiaTheme="minorEastAsia"/>
                            <w:iCs/>
                            <w:color w:val="000000" w:themeColor="text1"/>
                            <w:kern w:val="0"/>
                            <w:szCs w:val="21"/>
                            <w14:textFill>
                              <w14:solidFill>
                                <w14:schemeClr w14:val="tx1"/>
                              </w14:solidFill>
                            </w14:textFill>
                          </w:rPr>
                        </m:ctrlPr>
                      </m:sub>
                    </m:sSub>
                    <m:r>
                      <m:rPr>
                        <m:sty m:val="p"/>
                      </m:rPr>
                      <w:rPr>
                        <w:rFonts w:ascii="Cambria Math" w:hAnsi="Cambria Math" w:eastAsiaTheme="minorEastAsia"/>
                        <w:color w:val="000000" w:themeColor="text1"/>
                        <w:kern w:val="0"/>
                        <w:szCs w:val="21"/>
                        <w14:textFill>
                          <w14:solidFill>
                            <w14:schemeClr w14:val="tx1"/>
                          </w14:solidFill>
                        </w14:textFill>
                      </w:rPr>
                      <m:t>/</m:t>
                    </m:r>
                    <m:sSub>
                      <m:sSubPr>
                        <m:ctrlPr>
                          <w:rPr>
                            <w:rFonts w:ascii="Cambria Math" w:hAnsi="Cambria Math" w:eastAsiaTheme="minorEastAsia"/>
                            <w:iCs/>
                            <w:color w:val="000000" w:themeColor="text1"/>
                            <w:kern w:val="0"/>
                            <w:szCs w:val="21"/>
                            <w14:textFill>
                              <w14:solidFill>
                                <w14:schemeClr w14:val="tx1"/>
                              </w14:solidFill>
                            </w14:textFill>
                          </w:rPr>
                        </m:ctrlPr>
                      </m:sSubPr>
                      <m:e>
                        <m:r>
                          <m:rPr>
                            <m:sty m:val="p"/>
                          </m:rPr>
                          <w:rPr>
                            <w:rFonts w:ascii="Cambria Math" w:hAnsi="Cambria Math" w:eastAsiaTheme="minorEastAsia"/>
                            <w:color w:val="000000" w:themeColor="text1"/>
                            <w:kern w:val="0"/>
                            <w:szCs w:val="21"/>
                            <w14:textFill>
                              <w14:solidFill>
                                <w14:schemeClr w14:val="tx1"/>
                              </w14:solidFill>
                            </w14:textFill>
                          </w:rPr>
                          <m:t>h</m:t>
                        </m:r>
                        <m:ctrlPr>
                          <w:rPr>
                            <w:rFonts w:ascii="Cambria Math" w:hAnsi="Cambria Math" w:eastAsiaTheme="minorEastAsia"/>
                            <w:iCs/>
                            <w:color w:val="000000" w:themeColor="text1"/>
                            <w:kern w:val="0"/>
                            <w:szCs w:val="21"/>
                            <w14:textFill>
                              <w14:solidFill>
                                <w14:schemeClr w14:val="tx1"/>
                              </w14:solidFill>
                            </w14:textFill>
                          </w:rPr>
                        </m:ctrlPr>
                      </m:e>
                      <m:sub>
                        <m:r>
                          <m:rPr>
                            <m:sty m:val="p"/>
                          </m:rPr>
                          <w:rPr>
                            <w:rFonts w:ascii="Cambria Math" w:hAnsi="Cambria Math" w:eastAsiaTheme="minorEastAsia"/>
                            <w:color w:val="000000" w:themeColor="text1"/>
                            <w:kern w:val="0"/>
                            <w:szCs w:val="21"/>
                            <w14:textFill>
                              <w14:solidFill>
                                <w14:schemeClr w14:val="tx1"/>
                              </w14:solidFill>
                            </w14:textFill>
                          </w:rPr>
                          <m:t>c</m:t>
                        </m:r>
                        <m:ctrlPr>
                          <w:rPr>
                            <w:rFonts w:ascii="Cambria Math" w:hAnsi="Cambria Math" w:eastAsiaTheme="minorEastAsia"/>
                            <w:iCs/>
                            <w:color w:val="000000" w:themeColor="text1"/>
                            <w:kern w:val="0"/>
                            <w:szCs w:val="21"/>
                            <w14:textFill>
                              <w14:solidFill>
                                <w14:schemeClr w14:val="tx1"/>
                              </w14:solidFill>
                            </w14:textFill>
                          </w:rPr>
                        </m:ctrlPr>
                      </m:sub>
                    </m:sSub>
                    <m:r>
                      <m:rPr>
                        <m:sty m:val="p"/>
                      </m:rPr>
                      <w:rPr>
                        <w:rFonts w:hint="eastAsia" w:ascii="Cambria Math" w:hAnsi="Cambria Math" w:eastAsiaTheme="minorEastAsia"/>
                        <w:color w:val="000000" w:themeColor="text1"/>
                        <w:kern w:val="0"/>
                        <w:szCs w:val="21"/>
                        <w14:textFill>
                          <w14:solidFill>
                            <w14:schemeClr w14:val="tx1"/>
                          </w14:solidFill>
                        </w14:textFill>
                      </w:rPr>
                      <m:t>）</m:t>
                    </m:r>
                    <m:ctrlPr>
                      <w:rPr>
                        <w:rFonts w:ascii="Cambria Math" w:hAnsi="Cambria Math" w:eastAsiaTheme="minorEastAsia"/>
                        <w:i/>
                        <w:color w:val="000000" w:themeColor="text1"/>
                        <w:kern w:val="0"/>
                        <w:szCs w:val="21"/>
                        <w14:textFill>
                          <w14:solidFill>
                            <w14:schemeClr w14:val="tx1"/>
                          </w14:solidFill>
                        </w14:textFill>
                      </w:rPr>
                    </m:ctrlPr>
                  </m:e>
                  <m:sup>
                    <m:r>
                      <w:rPr>
                        <w:rFonts w:ascii="Cambria Math" w:hAnsi="Cambria Math" w:eastAsiaTheme="minorEastAsia"/>
                        <w:color w:val="000000" w:themeColor="text1"/>
                        <w:kern w:val="0"/>
                        <w:szCs w:val="21"/>
                        <w14:textFill>
                          <w14:solidFill>
                            <w14:schemeClr w14:val="tx1"/>
                          </w14:solidFill>
                        </w14:textFill>
                      </w:rPr>
                      <m:t>2</m:t>
                    </m:r>
                    <m:ctrlPr>
                      <w:rPr>
                        <w:rFonts w:ascii="Cambria Math" w:hAnsi="Cambria Math" w:eastAsiaTheme="minorEastAsia"/>
                        <w:i/>
                        <w:color w:val="000000" w:themeColor="text1"/>
                        <w:kern w:val="0"/>
                        <w:szCs w:val="21"/>
                        <w14:textFill>
                          <w14:solidFill>
                            <w14:schemeClr w14:val="tx1"/>
                          </w14:solidFill>
                        </w14:textFill>
                      </w:rPr>
                    </m:ctrlPr>
                  </m:sup>
                </m:sSup>
                <m:ctrlPr>
                  <w:rPr>
                    <w:rFonts w:ascii="Cambria Math" w:hAnsi="Cambria Math" w:eastAsiaTheme="minorEastAsia"/>
                    <w:i/>
                    <w:color w:val="000000" w:themeColor="text1"/>
                    <w:kern w:val="0"/>
                    <w:szCs w:val="21"/>
                    <w14:textFill>
                      <w14:solidFill>
                        <w14:schemeClr w14:val="tx1"/>
                      </w14:solidFill>
                    </w14:textFill>
                  </w:rPr>
                </m:ctrlPr>
              </m:e>
            </m:rad>
            <m:ctrlPr>
              <w:rPr>
                <w:rFonts w:ascii="Cambria Math" w:hAnsi="Cambria Math" w:eastAsiaTheme="minorEastAsia"/>
                <w:i/>
                <w:color w:val="000000" w:themeColor="text1"/>
                <w:kern w:val="0"/>
                <w:szCs w:val="21"/>
                <w14:textFill>
                  <w14:solidFill>
                    <w14:schemeClr w14:val="tx1"/>
                  </w14:solidFill>
                </w14:textFill>
              </w:rPr>
            </m:ctrlPr>
          </m:den>
        </m:f>
        <m:f>
          <m:fPr>
            <m:ctrlPr>
              <w:rPr>
                <w:rFonts w:ascii="Cambria Math" w:hAnsi="Cambria Math" w:eastAsiaTheme="minorEastAsia"/>
                <w:i/>
                <w:color w:val="000000" w:themeColor="text1"/>
                <w:kern w:val="0"/>
                <w:szCs w:val="21"/>
                <w14:textFill>
                  <w14:solidFill>
                    <w14:schemeClr w14:val="tx1"/>
                  </w14:solidFill>
                </w14:textFill>
              </w:rPr>
            </m:ctrlPr>
          </m:fPr>
          <m:num>
            <m:r>
              <w:rPr>
                <w:rFonts w:ascii="Cambria Math" w:hAnsi="Cambria Math" w:eastAsiaTheme="minorEastAsia"/>
                <w:color w:val="000000" w:themeColor="text1"/>
                <w:kern w:val="0"/>
                <w:szCs w:val="21"/>
                <w14:textFill>
                  <w14:solidFill>
                    <w14:schemeClr w14:val="tx1"/>
                  </w14:solidFill>
                </w14:textFill>
              </w:rPr>
              <m:t>1</m:t>
            </m:r>
            <m:ctrlPr>
              <w:rPr>
                <w:rFonts w:ascii="Cambria Math" w:hAnsi="Cambria Math" w:eastAsiaTheme="minorEastAsia"/>
                <w:i/>
                <w:color w:val="000000" w:themeColor="text1"/>
                <w:kern w:val="0"/>
                <w:szCs w:val="21"/>
                <w14:textFill>
                  <w14:solidFill>
                    <w14:schemeClr w14:val="tx1"/>
                  </w14:solidFill>
                </w14:textFill>
              </w:rPr>
            </m:ctrlPr>
          </m:num>
          <m:den>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m:ctrlPr>
                  <w:rPr>
                    <w:rFonts w:ascii="Cambria Math" w:hAnsi="Cambria Math" w:cs="Times New Roman"/>
                    <w:bCs/>
                    <w:i/>
                    <w:snapToGrid w:val="0"/>
                    <w:color w:val="000000" w:themeColor="text1"/>
                    <w:kern w:val="0"/>
                    <w:sz w:val="18"/>
                    <w:szCs w:val="21"/>
                    <w14:textFill>
                      <w14:solidFill>
                        <w14:schemeClr w14:val="tx1"/>
                      </w14:solidFill>
                    </w14:textFill>
                  </w:rPr>
                </m:ctrlPr>
              </m:sub>
            </m:sSub>
            <m:ctrlPr>
              <w:rPr>
                <w:rFonts w:ascii="Cambria Math" w:hAnsi="Cambria Math" w:eastAsiaTheme="minorEastAsia"/>
                <w:i/>
                <w:color w:val="000000" w:themeColor="text1"/>
                <w:kern w:val="0"/>
                <w:szCs w:val="21"/>
                <w14:textFill>
                  <w14:solidFill>
                    <w14:schemeClr w14:val="tx1"/>
                  </w14:solidFill>
                </w14:textFill>
              </w:rPr>
            </m:ctrlPr>
          </m:den>
        </m:f>
      </m:oMath>
      <w:r>
        <w:rPr>
          <w:rFonts w:cs="Times New Roman"/>
          <w:bCs/>
          <w:color w:val="000000" w:themeColor="text1"/>
          <w:szCs w:val="24"/>
          <w14:textFill>
            <w14:solidFill>
              <w14:schemeClr w14:val="tx1"/>
            </w14:solidFill>
          </w14:textFill>
        </w:rPr>
        <w:t xml:space="preserve">               </w:t>
      </w:r>
      <w:r>
        <w:rPr>
          <w:rFonts w:hint="eastAsia" w:cs="Times New Roman"/>
          <w:bCs/>
          <w:snapToGrid w:val="0"/>
          <w:color w:val="000000" w:themeColor="text1"/>
          <w:kern w:val="0"/>
          <w:position w:val="-10"/>
          <w:szCs w:val="24"/>
          <w14:textFill>
            <w14:solidFill>
              <w14:schemeClr w14:val="tx1"/>
            </w14:solidFill>
          </w14:textFill>
        </w:rPr>
        <w:t>（9</w:t>
      </w:r>
      <w:r>
        <w:rPr>
          <w:rFonts w:cs="Times New Roman"/>
          <w:bCs/>
          <w:snapToGrid w:val="0"/>
          <w:color w:val="000000" w:themeColor="text1"/>
          <w:kern w:val="0"/>
          <w:position w:val="-10"/>
          <w:szCs w:val="24"/>
          <w14:textFill>
            <w14:solidFill>
              <w14:schemeClr w14:val="tx1"/>
            </w14:solidFill>
          </w14:textFill>
        </w:rPr>
        <w:t>.2.7-2</w:t>
      </w:r>
      <w:r>
        <w:rPr>
          <w:rFonts w:hint="eastAsia" w:cs="Times New Roman"/>
          <w:bCs/>
          <w:snapToGrid w:val="0"/>
          <w:color w:val="000000" w:themeColor="text1"/>
          <w:kern w:val="0"/>
          <w:position w:val="-10"/>
          <w:szCs w:val="24"/>
          <w14:textFill>
            <w14:solidFill>
              <w14:schemeClr w14:val="tx1"/>
            </w14:solidFill>
          </w14:textFill>
        </w:rPr>
        <w:t>）</w:t>
      </w:r>
    </w:p>
    <w:p>
      <w:pPr>
        <w:spacing w:line="360" w:lineRule="auto"/>
        <w:ind w:firstLine="0" w:firstLineChars="0"/>
        <w:rPr>
          <w:rFonts w:cs="Times New Roman"/>
          <w:bCs/>
          <w:color w:val="000000" w:themeColor="text1"/>
          <w:szCs w:val="21"/>
          <w14:textFill>
            <w14:solidFill>
              <w14:schemeClr w14:val="tx1"/>
            </w14:solidFill>
          </w14:textFill>
        </w:rPr>
      </w:pPr>
      <w:r>
        <w:rPr>
          <w:rFonts w:hint="eastAsia" w:cs="Times New Roman"/>
          <w:bCs/>
          <w:color w:val="000000" w:themeColor="text1"/>
          <w:szCs w:val="24"/>
          <w14:textFill>
            <w14:solidFill>
              <w14:schemeClr w14:val="tx1"/>
            </w14:solidFill>
          </w14:textFill>
        </w:rPr>
        <w:t>式中：</w:t>
      </w:r>
      <w:r>
        <w:rPr>
          <w:rFonts w:cs="Times New Roman"/>
          <w:bCs/>
          <w:color w:val="000000" w:themeColor="text1"/>
          <w:szCs w:val="21"/>
          <w14:textFill>
            <w14:solidFill>
              <w14:schemeClr w14:val="tx1"/>
            </w14:solidFill>
          </w14:textFill>
        </w:rPr>
        <w:t>h</w:t>
      </w:r>
      <w:r>
        <w:rPr>
          <w:rFonts w:cs="Times New Roman"/>
          <w:bCs/>
          <w:color w:val="000000" w:themeColor="text1"/>
          <w:szCs w:val="21"/>
          <w:vertAlign w:val="subscript"/>
          <w14:textFill>
            <w14:solidFill>
              <w14:schemeClr w14:val="tx1"/>
            </w14:solidFill>
          </w14:textFill>
        </w:rPr>
        <w:t>c</w:t>
      </w:r>
      <w:r>
        <w:rPr>
          <w:rFonts w:hint="eastAsia" w:cs="Times New Roman"/>
          <w:bCs/>
          <w:color w:val="000000" w:themeColor="text1"/>
          <w:szCs w:val="21"/>
          <w14:textFill>
            <w14:solidFill>
              <w14:schemeClr w14:val="tx1"/>
            </w14:solidFill>
          </w14:textFill>
        </w:rPr>
        <w:t>、</w:t>
      </w:r>
      <w:r>
        <w:rPr>
          <w:rFonts w:cs="Times New Roman"/>
          <w:bCs/>
          <w:color w:val="000000" w:themeColor="text1"/>
          <w:szCs w:val="21"/>
          <w14:textFill>
            <w14:solidFill>
              <w14:schemeClr w14:val="tx1"/>
            </w14:solidFill>
          </w14:textFill>
        </w:rPr>
        <w:t>h</w:t>
      </w:r>
      <w:r>
        <w:rPr>
          <w:rFonts w:cs="Times New Roman"/>
          <w:bCs/>
          <w:color w:val="000000" w:themeColor="text1"/>
          <w:szCs w:val="21"/>
          <w:vertAlign w:val="subscript"/>
          <w14:textFill>
            <w14:solidFill>
              <w14:schemeClr w14:val="tx1"/>
            </w14:solidFill>
          </w14:textFill>
        </w:rPr>
        <w:t>b</w:t>
      </w:r>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分别为节点域腹板的宽度和高度；</w:t>
      </w:r>
    </w:p>
    <w:p>
      <w:pPr>
        <w:spacing w:line="360" w:lineRule="auto"/>
        <w:ind w:firstLine="638" w:firstLineChars="304"/>
        <w:rPr>
          <w:rFonts w:cs="Times New Roman"/>
          <w:bCs/>
          <w:color w:val="000000" w:themeColor="text1"/>
          <w:szCs w:val="24"/>
          <w14:textFill>
            <w14:solidFill>
              <w14:schemeClr w14:val="tx1"/>
            </w14:solidFill>
          </w14:textFill>
        </w:rPr>
      </w:pPr>
      <w:r>
        <w:rPr>
          <w:rFonts w:cs="Times New Roman"/>
          <w:bCs/>
          <w:color w:val="000000" w:themeColor="text1"/>
          <w:szCs w:val="21"/>
          <w14:textFill>
            <w14:solidFill>
              <w14:schemeClr w14:val="tx1"/>
            </w14:solidFill>
          </w14:textFill>
        </w:rPr>
        <w:t>t</w:t>
      </w:r>
      <w:r>
        <w:rPr>
          <w:rFonts w:cs="Times New Roman"/>
          <w:bCs/>
          <w:color w:val="000000" w:themeColor="text1"/>
          <w:szCs w:val="21"/>
          <w:vertAlign w:val="subscript"/>
          <w14:textFill>
            <w14:solidFill>
              <w14:schemeClr w14:val="tx1"/>
            </w14:solidFill>
          </w14:textFill>
        </w:rPr>
        <w:t>w</w:t>
      </w:r>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节点域腹板的厚度。</w:t>
      </w:r>
    </w:p>
    <w:p>
      <w:pPr>
        <w:spacing w:line="380" w:lineRule="exact"/>
        <w:ind w:firstLine="420"/>
        <w:jc w:val="center"/>
        <w:rPr>
          <w:rFonts w:cs="Times New Roman"/>
          <w:bCs/>
          <w:color w:val="000000" w:themeColor="text1"/>
          <w:szCs w:val="24"/>
          <w14:textFill>
            <w14:solidFill>
              <w14:schemeClr w14:val="tx1"/>
            </w14:solidFill>
          </w14:textFill>
        </w:rPr>
      </w:pPr>
      <w:r>
        <w:rPr>
          <w:rFonts w:hint="eastAsia" w:cs="Times New Roman"/>
          <w:bCs/>
          <w:snapToGrid w:val="0"/>
          <w:color w:val="000000" w:themeColor="text1"/>
          <w:kern w:val="0"/>
          <w:szCs w:val="24"/>
          <w14:textFill>
            <w14:solidFill>
              <w14:schemeClr w14:val="tx1"/>
            </w14:solidFill>
          </w14:textFill>
        </w:rPr>
        <w:t>表9</w:t>
      </w:r>
      <w:r>
        <w:rPr>
          <w:rFonts w:cs="Times New Roman"/>
          <w:bCs/>
          <w:snapToGrid w:val="0"/>
          <w:color w:val="000000" w:themeColor="text1"/>
          <w:kern w:val="0"/>
          <w:szCs w:val="24"/>
          <w14:textFill>
            <w14:solidFill>
              <w14:schemeClr w14:val="tx1"/>
            </w14:solidFill>
          </w14:textFill>
        </w:rPr>
        <w:t>.2.7</w:t>
      </w:r>
      <w:r>
        <w:rPr>
          <w:rFonts w:hint="eastAsia" w:cs="Times New Roman"/>
          <w:bCs/>
          <w:snapToGrid w:val="0"/>
          <w:color w:val="000000" w:themeColor="text1"/>
          <w:kern w:val="0"/>
          <w:szCs w:val="24"/>
          <w14:textFill>
            <w14:solidFill>
              <w14:schemeClr w14:val="tx1"/>
            </w14:solidFill>
          </w14:textFill>
        </w:rPr>
        <w:t>-1</w:t>
      </w:r>
      <w:r>
        <w:rPr>
          <w:rFonts w:cs="Times New Roman"/>
          <w:bCs/>
          <w:snapToGrid w:val="0"/>
          <w:color w:val="000000" w:themeColor="text1"/>
          <w:kern w:val="0"/>
          <w:szCs w:val="24"/>
          <w14:textFill>
            <w14:solidFill>
              <w14:schemeClr w14:val="tx1"/>
            </w14:solidFill>
          </w14:textFill>
        </w:rPr>
        <w:t xml:space="preserve">  </w:t>
      </w:r>
      <w:r>
        <w:rPr>
          <w:rFonts w:hint="eastAsia" w:cs="Times New Roman"/>
          <w:bCs/>
          <w:color w:val="000000" w:themeColor="text1"/>
          <w:szCs w:val="24"/>
          <w14:textFill>
            <w14:solidFill>
              <w14:schemeClr w14:val="tx1"/>
            </w14:solidFill>
          </w14:textFill>
        </w:rPr>
        <w:t>节点域正则化宽厚比</w:t>
      </w:r>
      <m:oMath>
        <m:sSub>
          <m:sSubPr>
            <m:ctrlPr>
              <w:rPr>
                <w:rFonts w:ascii="Cambria Math" w:hAnsi="Cambria Math" w:eastAsiaTheme="minorEastAsia"/>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λ</m:t>
            </m:r>
            <m:ctrlPr>
              <w:rPr>
                <w:rFonts w:ascii="Cambria Math" w:hAnsi="Cambria Math" w:eastAsiaTheme="minorEastAsia"/>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ps.n</m:t>
            </m:r>
            <m:ctrlPr>
              <w:rPr>
                <w:rFonts w:ascii="Cambria Math" w:hAnsi="Cambria Math" w:eastAsiaTheme="minorEastAsia"/>
                <w:color w:val="000000" w:themeColor="text1"/>
                <w:kern w:val="0"/>
                <w:szCs w:val="21"/>
                <w14:textFill>
                  <w14:solidFill>
                    <w14:schemeClr w14:val="tx1"/>
                  </w14:solidFill>
                </w14:textFill>
              </w:rPr>
            </m:ctrlPr>
          </m:sub>
        </m:sSub>
      </m:oMath>
      <w:r>
        <w:rPr>
          <w:rFonts w:hint="eastAsia" w:cs="Times New Roman"/>
          <w:bCs/>
          <w:color w:val="000000" w:themeColor="text1"/>
          <w:szCs w:val="24"/>
          <w14:textFill>
            <w14:solidFill>
              <w14:schemeClr w14:val="tx1"/>
            </w14:solidFill>
          </w14:textFill>
        </w:rPr>
        <w:t>限值</w:t>
      </w:r>
    </w:p>
    <w:tbl>
      <w:tblPr>
        <w:tblStyle w:val="32"/>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1394"/>
        <w:gridCol w:w="1394"/>
        <w:gridCol w:w="1394"/>
        <w:gridCol w:w="1394"/>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sz w:val="18"/>
                <w:szCs w:val="18"/>
                <w14:textFill>
                  <w14:solidFill>
                    <w14:schemeClr w14:val="tx1"/>
                  </w14:solidFill>
                </w14:textFill>
              </w:rPr>
            </w:pPr>
            <w:r>
              <w:rPr>
                <w:rFonts w:hint="eastAsia" w:cs="Times New Roman"/>
                <w:bCs/>
                <w:color w:val="000000" w:themeColor="text1"/>
                <w:sz w:val="18"/>
                <w:szCs w:val="18"/>
                <w14:textFill>
                  <w14:solidFill>
                    <w14:schemeClr w14:val="tx1"/>
                  </w14:solidFill>
                </w14:textFill>
              </w:rPr>
              <w:t>结构类别</w:t>
            </w:r>
          </w:p>
        </w:tc>
        <w:tc>
          <w:tcPr>
            <w:tcW w:w="278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18"/>
                <w14:textFill>
                  <w14:solidFill>
                    <w14:schemeClr w14:val="tx1"/>
                  </w14:solidFill>
                </w14:textFill>
              </w:rPr>
              <w:t>塑性结构</w:t>
            </w:r>
          </w:p>
        </w:tc>
        <w:tc>
          <w:tcPr>
            <w:tcW w:w="139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18"/>
                <w14:textFill>
                  <w14:solidFill>
                    <w14:schemeClr w14:val="tx1"/>
                  </w14:solidFill>
                </w14:textFill>
              </w:rPr>
              <w:t>弹塑性结构</w:t>
            </w:r>
          </w:p>
        </w:tc>
        <w:tc>
          <w:tcPr>
            <w:tcW w:w="2657"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snapToGrid w:val="0"/>
                <w:color w:val="000000" w:themeColor="text1"/>
                <w:kern w:val="0"/>
                <w:sz w:val="18"/>
                <w:szCs w:val="21"/>
                <w14:textFill>
                  <w14:solidFill>
                    <w14:schemeClr w14:val="tx1"/>
                  </w14:solidFill>
                </w14:textFill>
              </w:rPr>
            </w:pPr>
            <w:r>
              <w:rPr>
                <w:rFonts w:hint="eastAsia"/>
                <w:bCs/>
                <w:color w:val="000000" w:themeColor="text1"/>
                <w:sz w:val="18"/>
                <w:szCs w:val="18"/>
                <w14:textFill>
                  <w14:solidFill>
                    <w14:schemeClr w14:val="tx1"/>
                  </w14:solidFill>
                </w14:textFill>
              </w:rPr>
              <w:t>弹性结构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sz w:val="18"/>
                <w:szCs w:val="18"/>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color w:val="000000" w:themeColor="text1"/>
                <w:sz w:val="18"/>
                <w:szCs w:val="18"/>
                <w14:textFill>
                  <w14:solidFill>
                    <w14:schemeClr w14:val="tx1"/>
                  </w14:solidFill>
                </w14:textFill>
              </w:rPr>
            </w:pPr>
            <w:r>
              <w:rPr>
                <w:bCs/>
                <w:snapToGrid w:val="0"/>
                <w:color w:val="000000" w:themeColor="text1"/>
                <w:kern w:val="0"/>
                <w:sz w:val="18"/>
                <w:szCs w:val="21"/>
                <w14:textFill>
                  <w14:solidFill>
                    <w14:schemeClr w14:val="tx1"/>
                  </w14:solidFill>
                </w14:textFill>
              </w:rPr>
              <w:t>PS1</w:t>
            </w:r>
          </w:p>
        </w:tc>
        <w:tc>
          <w:tcPr>
            <w:tcW w:w="139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color w:val="000000" w:themeColor="text1"/>
                <w:sz w:val="18"/>
                <w:szCs w:val="18"/>
                <w14:textFill>
                  <w14:solidFill>
                    <w14:schemeClr w14:val="tx1"/>
                  </w14:solidFill>
                </w14:textFill>
              </w:rPr>
            </w:pPr>
            <w:r>
              <w:rPr>
                <w:bCs/>
                <w:snapToGrid w:val="0"/>
                <w:color w:val="000000" w:themeColor="text1"/>
                <w:kern w:val="0"/>
                <w:sz w:val="18"/>
                <w:szCs w:val="21"/>
                <w14:textFill>
                  <w14:solidFill>
                    <w14:schemeClr w14:val="tx1"/>
                  </w14:solidFill>
                </w14:textFill>
              </w:rPr>
              <w:t>PS2</w:t>
            </w:r>
          </w:p>
        </w:tc>
        <w:tc>
          <w:tcPr>
            <w:tcW w:w="139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color w:val="000000" w:themeColor="text1"/>
                <w:sz w:val="18"/>
                <w:szCs w:val="18"/>
                <w14:textFill>
                  <w14:solidFill>
                    <w14:schemeClr w14:val="tx1"/>
                  </w14:solidFill>
                </w14:textFill>
              </w:rPr>
            </w:pPr>
            <w:r>
              <w:rPr>
                <w:bCs/>
                <w:snapToGrid w:val="0"/>
                <w:color w:val="000000" w:themeColor="text1"/>
                <w:kern w:val="0"/>
                <w:sz w:val="18"/>
                <w:szCs w:val="21"/>
                <w14:textFill>
                  <w14:solidFill>
                    <w14:schemeClr w14:val="tx1"/>
                  </w14:solidFill>
                </w14:textFill>
              </w:rPr>
              <w:t>PES</w:t>
            </w:r>
          </w:p>
        </w:tc>
        <w:tc>
          <w:tcPr>
            <w:tcW w:w="1394" w:type="dxa"/>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color w:val="000000" w:themeColor="text1"/>
                <w:sz w:val="18"/>
                <w:szCs w:val="18"/>
                <w14:textFill>
                  <w14:solidFill>
                    <w14:schemeClr w14:val="tx1"/>
                  </w14:solidFill>
                </w14:textFill>
              </w:rPr>
            </w:pPr>
            <w:r>
              <w:rPr>
                <w:bCs/>
                <w:snapToGrid w:val="0"/>
                <w:color w:val="000000" w:themeColor="text1"/>
                <w:kern w:val="0"/>
                <w:sz w:val="18"/>
                <w:szCs w:val="21"/>
                <w14:textFill>
                  <w14:solidFill>
                    <w14:schemeClr w14:val="tx1"/>
                  </w14:solidFill>
                </w14:textFill>
              </w:rPr>
              <w:t>ES1</w:t>
            </w:r>
          </w:p>
        </w:tc>
        <w:tc>
          <w:tcPr>
            <w:tcW w:w="1263" w:type="dxa"/>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color w:val="000000" w:themeColor="text1"/>
                <w:sz w:val="18"/>
                <w:szCs w:val="18"/>
                <w14:textFill>
                  <w14:solidFill>
                    <w14:schemeClr w14:val="tx1"/>
                  </w14:solidFill>
                </w14:textFill>
              </w:rPr>
            </w:pPr>
            <w:r>
              <w:rPr>
                <w:bCs/>
                <w:snapToGrid w:val="0"/>
                <w:color w:val="000000" w:themeColor="text1"/>
                <w:kern w:val="0"/>
                <w:sz w:val="18"/>
                <w:szCs w:val="21"/>
                <w14:textFill>
                  <w14:solidFill>
                    <w14:schemeClr w14:val="tx1"/>
                  </w14:solidFill>
                </w14:textFill>
              </w:rPr>
              <w:t>ES2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36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bCs/>
                <w:color w:val="000000" w:themeColor="text1"/>
                <w:sz w:val="18"/>
                <w:szCs w:val="18"/>
                <w14:textFill>
                  <w14:solidFill>
                    <w14:schemeClr w14:val="tx1"/>
                  </w14:solidFill>
                </w14:textFill>
              </w:rPr>
            </w:pPr>
            <m:oMathPara>
              <m:oMath>
                <m:sSub>
                  <m:sSubPr>
                    <m:ctrlPr>
                      <w:rPr>
                        <w:rFonts w:ascii="Cambria Math" w:hAnsi="Cambria Math" w:eastAsiaTheme="minorEastAsia"/>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λ</m:t>
                    </m:r>
                    <m:ctrlPr>
                      <w:rPr>
                        <w:rFonts w:ascii="Cambria Math" w:hAnsi="Cambria Math" w:eastAsiaTheme="minorEastAsia"/>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ps.n</m:t>
                    </m:r>
                    <m:ctrlPr>
                      <w:rPr>
                        <w:rFonts w:ascii="Cambria Math" w:hAnsi="Cambria Math" w:eastAsiaTheme="minorEastAsia"/>
                        <w:color w:val="000000" w:themeColor="text1"/>
                        <w:kern w:val="0"/>
                        <w:szCs w:val="21"/>
                        <w14:textFill>
                          <w14:solidFill>
                            <w14:schemeClr w14:val="tx1"/>
                          </w14:solidFill>
                        </w14:textFill>
                      </w:rPr>
                    </m:ctrlPr>
                  </m:sub>
                </m:sSub>
              </m:oMath>
            </m:oMathPara>
          </w:p>
        </w:tc>
        <w:tc>
          <w:tcPr>
            <w:tcW w:w="2788" w:type="dxa"/>
            <w:gridSpan w:val="2"/>
            <w:tcBorders>
              <w:top w:val="single" w:color="auto" w:sz="4" w:space="0"/>
              <w:left w:val="single" w:color="auto" w:sz="4" w:space="0"/>
              <w:bottom w:val="single" w:color="auto" w:sz="4" w:space="0"/>
              <w:right w:val="single" w:color="auto" w:sz="4" w:space="0"/>
            </w:tcBorders>
            <w:vAlign w:val="center"/>
          </w:tcPr>
          <w:p>
            <w:pPr>
              <w:widowControl/>
              <w:ind w:firstLine="360"/>
              <w:jc w:val="center"/>
              <w:rPr>
                <w:bCs/>
                <w:snapToGrid w:val="0"/>
                <w:color w:val="000000" w:themeColor="text1"/>
                <w:kern w:val="0"/>
                <w:sz w:val="18"/>
                <w:szCs w:val="21"/>
                <w14:textFill>
                  <w14:solidFill>
                    <w14:schemeClr w14:val="tx1"/>
                  </w14:solidFill>
                </w14:textFill>
              </w:rPr>
            </w:pPr>
            <w:r>
              <w:rPr>
                <w:bCs/>
                <w:color w:val="000000" w:themeColor="text1"/>
                <w:sz w:val="18"/>
                <w:szCs w:val="18"/>
                <w14:textFill>
                  <w14:solidFill>
                    <w14:schemeClr w14:val="tx1"/>
                  </w14:solidFill>
                </w14:textFill>
              </w:rPr>
              <w:t>0.4</w:t>
            </w:r>
          </w:p>
        </w:tc>
        <w:tc>
          <w:tcPr>
            <w:tcW w:w="1394" w:type="dxa"/>
            <w:tcBorders>
              <w:top w:val="single" w:color="auto" w:sz="4" w:space="0"/>
              <w:left w:val="single" w:color="auto" w:sz="4" w:space="0"/>
              <w:bottom w:val="single" w:color="auto" w:sz="4" w:space="0"/>
              <w:right w:val="single" w:color="auto" w:sz="4" w:space="0"/>
            </w:tcBorders>
            <w:vAlign w:val="center"/>
          </w:tcPr>
          <w:p>
            <w:pPr>
              <w:widowControl/>
              <w:ind w:firstLine="360"/>
              <w:jc w:val="center"/>
              <w:rPr>
                <w:bCs/>
                <w:color w:val="000000" w:themeColor="text1"/>
                <w:sz w:val="18"/>
                <w:szCs w:val="18"/>
                <w14:textFill>
                  <w14:solidFill>
                    <w14:schemeClr w14:val="tx1"/>
                  </w14:solidFill>
                </w14:textFill>
              </w:rPr>
            </w:pPr>
            <w:r>
              <w:rPr>
                <w:bCs/>
                <w:snapToGrid w:val="0"/>
                <w:color w:val="000000" w:themeColor="text1"/>
                <w:kern w:val="0"/>
                <w:sz w:val="18"/>
                <w:szCs w:val="21"/>
                <w14:textFill>
                  <w14:solidFill>
                    <w14:schemeClr w14:val="tx1"/>
                  </w14:solidFill>
                </w14:textFill>
              </w:rPr>
              <w:t>0</w:t>
            </w:r>
            <w:r>
              <w:rPr>
                <w:bCs/>
                <w:color w:val="000000" w:themeColor="text1"/>
                <w:sz w:val="18"/>
                <w:szCs w:val="18"/>
                <w14:textFill>
                  <w14:solidFill>
                    <w14:schemeClr w14:val="tx1"/>
                  </w14:solidFill>
                </w14:textFill>
              </w:rPr>
              <w:t>.6</w:t>
            </w:r>
          </w:p>
        </w:tc>
        <w:tc>
          <w:tcPr>
            <w:tcW w:w="1394" w:type="dxa"/>
            <w:tcBorders>
              <w:top w:val="single" w:color="auto" w:sz="4" w:space="0"/>
              <w:left w:val="single" w:color="auto" w:sz="4" w:space="0"/>
              <w:bottom w:val="single" w:color="auto" w:sz="4" w:space="0"/>
              <w:right w:val="single" w:color="auto" w:sz="4" w:space="0"/>
            </w:tcBorders>
            <w:vAlign w:val="center"/>
          </w:tcPr>
          <w:p>
            <w:pPr>
              <w:widowControl/>
              <w:ind w:firstLine="360"/>
              <w:jc w:val="center"/>
              <w:rPr>
                <w:bCs/>
                <w:color w:val="000000" w:themeColor="text1"/>
                <w:sz w:val="18"/>
                <w:szCs w:val="18"/>
                <w14:textFill>
                  <w14:solidFill>
                    <w14:schemeClr w14:val="tx1"/>
                  </w14:solidFill>
                </w14:textFill>
              </w:rPr>
            </w:pPr>
            <w:r>
              <w:rPr>
                <w:bCs/>
                <w:snapToGrid w:val="0"/>
                <w:color w:val="000000" w:themeColor="text1"/>
                <w:kern w:val="0"/>
                <w:sz w:val="18"/>
                <w:szCs w:val="21"/>
                <w14:textFill>
                  <w14:solidFill>
                    <w14:schemeClr w14:val="tx1"/>
                  </w14:solidFill>
                </w14:textFill>
              </w:rPr>
              <w:t>0</w:t>
            </w:r>
            <w:r>
              <w:rPr>
                <w:bCs/>
                <w:color w:val="000000" w:themeColor="text1"/>
                <w:sz w:val="18"/>
                <w:szCs w:val="18"/>
                <w14:textFill>
                  <w14:solidFill>
                    <w14:schemeClr w14:val="tx1"/>
                  </w14:solidFill>
                </w14:textFill>
              </w:rPr>
              <w:t>.8</w:t>
            </w:r>
          </w:p>
        </w:tc>
        <w:tc>
          <w:tcPr>
            <w:tcW w:w="1263" w:type="dxa"/>
            <w:tcBorders>
              <w:top w:val="single" w:color="auto" w:sz="4" w:space="0"/>
              <w:left w:val="single" w:color="auto" w:sz="4" w:space="0"/>
              <w:bottom w:val="single" w:color="auto" w:sz="4" w:space="0"/>
              <w:right w:val="single" w:color="auto" w:sz="4" w:space="0"/>
            </w:tcBorders>
            <w:vAlign w:val="center"/>
          </w:tcPr>
          <w:p>
            <w:pPr>
              <w:widowControl/>
              <w:ind w:firstLine="360"/>
              <w:jc w:val="center"/>
              <w:rPr>
                <w:bCs/>
                <w:color w:val="000000" w:themeColor="text1"/>
                <w:sz w:val="18"/>
                <w:szCs w:val="18"/>
                <w14:textFill>
                  <w14:solidFill>
                    <w14:schemeClr w14:val="tx1"/>
                  </w14:solidFill>
                </w14:textFill>
              </w:rPr>
            </w:pPr>
            <w:r>
              <w:rPr>
                <w:bCs/>
                <w:snapToGrid w:val="0"/>
                <w:color w:val="000000" w:themeColor="text1"/>
                <w:kern w:val="0"/>
                <w:sz w:val="18"/>
                <w:szCs w:val="21"/>
                <w14:textFill>
                  <w14:solidFill>
                    <w14:schemeClr w14:val="tx1"/>
                  </w14:solidFill>
                </w14:textFill>
              </w:rPr>
              <w:t>1</w:t>
            </w:r>
            <w:r>
              <w:rPr>
                <w:bCs/>
                <w:color w:val="000000" w:themeColor="text1"/>
                <w:sz w:val="18"/>
                <w:szCs w:val="18"/>
                <w14:textFill>
                  <w14:solidFill>
                    <w14:schemeClr w14:val="tx1"/>
                  </w14:solidFill>
                </w14:textFill>
              </w:rPr>
              <w:t>.2</w:t>
            </w:r>
          </w:p>
        </w:tc>
      </w:tr>
    </w:tbl>
    <w:p>
      <w:pPr>
        <w:spacing w:before="156" w:beforeLines="50" w:line="360" w:lineRule="auto"/>
        <w:ind w:firstLine="420"/>
        <w:rPr>
          <w:rFonts w:cs="Times New Roman"/>
          <w:bCs/>
          <w:color w:val="000000" w:themeColor="text1"/>
          <w:szCs w:val="20"/>
          <w14:textFill>
            <w14:solidFill>
              <w14:schemeClr w14:val="tx1"/>
            </w14:solidFill>
          </w14:textFill>
        </w:rPr>
      </w:pPr>
      <w:r>
        <w:rPr>
          <w:bCs/>
          <w:color w:val="000000" w:themeColor="text1"/>
          <w14:textFill>
            <w14:solidFill>
              <w14:schemeClr w14:val="tx1"/>
            </w14:solidFill>
          </w14:textFill>
        </w:rPr>
        <w:t>2  H</w:t>
      </w:r>
      <w:r>
        <w:rPr>
          <w:rFonts w:hint="eastAsia"/>
          <w:bCs/>
          <w:color w:val="000000" w:themeColor="text1"/>
          <w14:textFill>
            <w14:solidFill>
              <w14:schemeClr w14:val="tx1"/>
            </w14:solidFill>
          </w14:textFill>
        </w:rPr>
        <w:t>形、箱形、十字形截面柱的</w:t>
      </w:r>
      <w:r>
        <w:rPr>
          <w:rFonts w:hint="eastAsia"/>
          <w:bCs/>
          <w:color w:val="000000" w:themeColor="text1"/>
          <w:szCs w:val="21"/>
          <w14:textFill>
            <w14:solidFill>
              <w14:schemeClr w14:val="tx1"/>
            </w14:solidFill>
          </w14:textFill>
        </w:rPr>
        <w:t>节点</w:t>
      </w:r>
      <w:r>
        <w:rPr>
          <w:rFonts w:hint="eastAsia"/>
          <w:bCs/>
          <w:color w:val="000000" w:themeColor="text1"/>
          <w14:textFill>
            <w14:solidFill>
              <w14:schemeClr w14:val="tx1"/>
            </w14:solidFill>
          </w14:textFill>
        </w:rPr>
        <w:t>域的横向加劲肋厚度，不应小于梁翼缘板的厚度。节点域抗震承载力应符合下列要求：</w:t>
      </w:r>
    </w:p>
    <w:p>
      <w:pPr>
        <w:spacing w:line="360" w:lineRule="auto"/>
        <w:ind w:firstLine="840" w:firstLineChars="400"/>
        <w:rPr>
          <w:bCs/>
          <w:color w:val="000000" w:themeColor="text1"/>
          <w14:textFill>
            <w14:solidFill>
              <w14:schemeClr w14:val="tx1"/>
            </w14:solidFill>
          </w14:textFill>
        </w:rPr>
      </w:pPr>
      <w:r>
        <w:rPr>
          <w:bCs/>
          <w:color w:val="000000" w:themeColor="text1"/>
          <w14:textFill>
            <w14:solidFill>
              <w14:schemeClr w14:val="tx1"/>
            </w14:solidFill>
          </w14:textFill>
        </w:rPr>
        <w:t>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PS1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PS2</w:t>
      </w:r>
      <w:r>
        <w:rPr>
          <w:rFonts w:hint="eastAsia"/>
          <w:bCs/>
          <w:color w:val="000000" w:themeColor="text1"/>
          <w14:textFill>
            <w14:solidFill>
              <w14:schemeClr w14:val="tx1"/>
            </w14:solidFill>
          </w14:textFill>
        </w:rPr>
        <w:t>的节点域，应按下式进行抗剪承载力验算：</w:t>
      </w:r>
    </w:p>
    <w:p>
      <w:pPr>
        <w:spacing w:line="360" w:lineRule="auto"/>
        <w:ind w:left="420" w:firstLine="420"/>
        <w:jc w:val="right"/>
        <w:rPr>
          <w:rFonts w:cs="Times New Roman"/>
          <w:bCs/>
          <w:snapToGrid w:val="0"/>
          <w:color w:val="000000" w:themeColor="text1"/>
          <w:kern w:val="0"/>
          <w:position w:val="-10"/>
          <w:szCs w:val="24"/>
          <w14:textFill>
            <w14:solidFill>
              <w14:schemeClr w14:val="tx1"/>
            </w14:solidFill>
          </w14:textFill>
        </w:rPr>
      </w:pPr>
      <m:oMath>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α</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p</m:t>
            </m:r>
            <m:ctrlPr>
              <w:rPr>
                <w:rFonts w:ascii="Cambria Math" w:hAnsi="Cambria Math" w:cs="Times New Roman"/>
                <w:bCs/>
                <w:i/>
                <w:snapToGrid w:val="0"/>
                <w:color w:val="000000" w:themeColor="text1"/>
                <w:kern w:val="0"/>
                <w:szCs w:val="24"/>
                <w14:textFill>
                  <w14:solidFill>
                    <w14:schemeClr w14:val="tx1"/>
                  </w14:solidFill>
                </w14:textFill>
              </w:rPr>
            </m:ctrlPr>
          </m:sub>
        </m:sSub>
        <m:f>
          <m:fPr>
            <m:ctrlPr>
              <w:rPr>
                <w:rFonts w:ascii="Cambria Math" w:hAnsi="Cambria Math" w:cs="Times New Roman"/>
                <w:bCs/>
                <w:i/>
                <w:snapToGrid w:val="0"/>
                <w:color w:val="000000" w:themeColor="text1"/>
                <w:kern w:val="0"/>
                <w:szCs w:val="24"/>
                <w14:textFill>
                  <w14:solidFill>
                    <w14:schemeClr w14:val="tx1"/>
                  </w14:solidFill>
                </w14:textFill>
              </w:rPr>
            </m:ctrlPr>
          </m:fPr>
          <m:num>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M</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pbL</m:t>
                </m:r>
                <m:ctrlPr>
                  <w:rPr>
                    <w:rFonts w:ascii="Cambria Math" w:hAnsi="Cambria Math" w:cs="Times New Roman"/>
                    <w:bCs/>
                    <w:i/>
                    <w:snapToGrid w:val="0"/>
                    <w:color w:val="000000" w:themeColor="text1"/>
                    <w:kern w:val="0"/>
                    <w:szCs w:val="24"/>
                    <w14:textFill>
                      <w14:solidFill>
                        <w14:schemeClr w14:val="tx1"/>
                      </w14:solidFill>
                    </w14:textFill>
                  </w:rPr>
                </m:ctrlPr>
              </m:sub>
            </m:sSub>
            <m:r>
              <w:rPr>
                <w:rFonts w:ascii="Cambria Math" w:hAnsi="Cambria Math" w:cs="Times New Roman"/>
                <w:snapToGrid w:val="0"/>
                <w:color w:val="000000" w:themeColor="text1"/>
                <w:kern w:val="0"/>
                <w:szCs w:val="24"/>
                <w14:textFill>
                  <w14:solidFill>
                    <w14:schemeClr w14:val="tx1"/>
                  </w14:solidFill>
                </w14:textFill>
              </w:rPr>
              <m:t>+</m:t>
            </m:r>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M</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pbR</m:t>
                </m:r>
                <m:ctrlPr>
                  <w:rPr>
                    <w:rFonts w:ascii="Cambria Math" w:hAnsi="Cambria Math" w:cs="Times New Roman"/>
                    <w:bCs/>
                    <w:i/>
                    <w:snapToGrid w:val="0"/>
                    <w:color w:val="000000" w:themeColor="text1"/>
                    <w:kern w:val="0"/>
                    <w:szCs w:val="24"/>
                    <w14:textFill>
                      <w14:solidFill>
                        <w14:schemeClr w14:val="tx1"/>
                      </w14:solidFill>
                    </w14:textFill>
                  </w:rPr>
                </m:ctrlPr>
              </m:sub>
            </m:sSub>
            <m:ctrlPr>
              <w:rPr>
                <w:rFonts w:ascii="Cambria Math" w:hAnsi="Cambria Math" w:cs="Times New Roman"/>
                <w:bCs/>
                <w:i/>
                <w:snapToGrid w:val="0"/>
                <w:color w:val="000000" w:themeColor="text1"/>
                <w:kern w:val="0"/>
                <w:szCs w:val="24"/>
                <w14:textFill>
                  <w14:solidFill>
                    <w14:schemeClr w14:val="tx1"/>
                  </w14:solidFill>
                </w14:textFill>
              </w:rPr>
            </m:ctrlPr>
          </m:num>
          <m:den>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V</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p</m:t>
                </m:r>
                <m:ctrlPr>
                  <w:rPr>
                    <w:rFonts w:ascii="Cambria Math" w:hAnsi="Cambria Math" w:cs="Times New Roman"/>
                    <w:bCs/>
                    <w:i/>
                    <w:snapToGrid w:val="0"/>
                    <w:color w:val="000000" w:themeColor="text1"/>
                    <w:kern w:val="0"/>
                    <w:szCs w:val="24"/>
                    <w14:textFill>
                      <w14:solidFill>
                        <w14:schemeClr w14:val="tx1"/>
                      </w14:solidFill>
                    </w14:textFill>
                  </w:rPr>
                </m:ctrlPr>
              </m:sub>
            </m:sSub>
            <m:ctrlPr>
              <w:rPr>
                <w:rFonts w:ascii="Cambria Math" w:hAnsi="Cambria Math" w:cs="Times New Roman"/>
                <w:bCs/>
                <w:i/>
                <w:snapToGrid w:val="0"/>
                <w:color w:val="000000" w:themeColor="text1"/>
                <w:kern w:val="0"/>
                <w:szCs w:val="24"/>
                <w14:textFill>
                  <w14:solidFill>
                    <w14:schemeClr w14:val="tx1"/>
                  </w14:solidFill>
                </w14:textFill>
              </w:rPr>
            </m:ctrlPr>
          </m:den>
        </m:f>
        <m:r>
          <w:rPr>
            <w:rFonts w:ascii="Cambria Math" w:hAnsi="Cambria Math" w:cs="Times New Roman"/>
            <w:snapToGrid w:val="0"/>
            <w:color w:val="000000" w:themeColor="text1"/>
            <w:kern w:val="0"/>
            <w:szCs w:val="24"/>
            <w14:textFill>
              <w14:solidFill>
                <w14:schemeClr w14:val="tx1"/>
              </w14:solidFill>
            </w14:textFill>
          </w:rPr>
          <m:t>≤</m:t>
        </m:r>
        <m:f>
          <m:fPr>
            <m:ctrlPr>
              <w:rPr>
                <w:rFonts w:ascii="Cambria Math" w:hAnsi="Cambria Math" w:cs="Times New Roman"/>
                <w:bCs/>
                <w:i/>
                <w:snapToGrid w:val="0"/>
                <w:color w:val="000000" w:themeColor="text1"/>
                <w:kern w:val="0"/>
                <w:szCs w:val="24"/>
                <w14:textFill>
                  <w14:solidFill>
                    <w14:schemeClr w14:val="tx1"/>
                  </w14:solidFill>
                </w14:textFill>
              </w:rPr>
            </m:ctrlPr>
          </m:fPr>
          <m:num>
            <m:r>
              <w:rPr>
                <w:rFonts w:ascii="Cambria Math" w:hAnsi="Cambria Math" w:cs="Times New Roman"/>
                <w:snapToGrid w:val="0"/>
                <w:color w:val="000000" w:themeColor="text1"/>
                <w:kern w:val="0"/>
                <w:szCs w:val="24"/>
                <w14:textFill>
                  <w14:solidFill>
                    <w14:schemeClr w14:val="tx1"/>
                  </w14:solidFill>
                </w14:textFill>
              </w:rPr>
              <m:t>4</m:t>
            </m:r>
            <m:ctrlPr>
              <w:rPr>
                <w:rFonts w:ascii="Cambria Math" w:hAnsi="Cambria Math" w:cs="Times New Roman"/>
                <w:bCs/>
                <w:i/>
                <w:snapToGrid w:val="0"/>
                <w:color w:val="000000" w:themeColor="text1"/>
                <w:kern w:val="0"/>
                <w:szCs w:val="24"/>
                <w14:textFill>
                  <w14:solidFill>
                    <w14:schemeClr w14:val="tx1"/>
                  </w14:solidFill>
                </w14:textFill>
              </w:rPr>
            </m:ctrlPr>
          </m:num>
          <m:den>
            <m:r>
              <w:rPr>
                <w:rFonts w:ascii="Cambria Math" w:hAnsi="Cambria Math" w:cs="Times New Roman"/>
                <w:snapToGrid w:val="0"/>
                <w:color w:val="000000" w:themeColor="text1"/>
                <w:kern w:val="0"/>
                <w:szCs w:val="24"/>
                <w14:textFill>
                  <w14:solidFill>
                    <w14:schemeClr w14:val="tx1"/>
                  </w14:solidFill>
                </w14:textFill>
              </w:rPr>
              <m:t>3</m:t>
            </m:r>
            <m:ctrlPr>
              <w:rPr>
                <w:rFonts w:ascii="Cambria Math" w:hAnsi="Cambria Math" w:cs="Times New Roman"/>
                <w:bCs/>
                <w:i/>
                <w:snapToGrid w:val="0"/>
                <w:color w:val="000000" w:themeColor="text1"/>
                <w:kern w:val="0"/>
                <w:szCs w:val="24"/>
                <w14:textFill>
                  <w14:solidFill>
                    <w14:schemeClr w14:val="tx1"/>
                  </w14:solidFill>
                </w14:textFill>
              </w:rPr>
            </m:ctrlPr>
          </m:den>
        </m:f>
        <m:sSub>
          <m:sSubPr>
            <m:ctrlPr>
              <w:rPr>
                <w:rFonts w:ascii="Cambria Math" w:hAnsi="Cambria Math" w:eastAsia="楷体_GB2312" w:cs="Calibri"/>
                <w:color w:val="000000" w:themeColor="text1"/>
                <w:kern w:val="0"/>
                <w:szCs w:val="21"/>
                <w14:textFill>
                  <w14:solidFill>
                    <w14:schemeClr w14:val="tx1"/>
                  </w14:solidFill>
                </w14:textFill>
              </w:rPr>
            </m:ctrlPr>
          </m:sSubPr>
          <m:e>
            <m: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yv</m:t>
            </m:r>
            <m:ctrlPr>
              <w:rPr>
                <w:rFonts w:ascii="Cambria Math" w:hAnsi="Cambria Math" w:eastAsia="楷体_GB2312" w:cs="Calibri"/>
                <w:color w:val="000000" w:themeColor="text1"/>
                <w:kern w:val="0"/>
                <w:szCs w:val="21"/>
                <w14:textFill>
                  <w14:solidFill>
                    <w14:schemeClr w14:val="tx1"/>
                  </w14:solidFill>
                </w14:textFill>
              </w:rPr>
            </m:ctrlPr>
          </m:sub>
        </m:sSub>
      </m:oMath>
      <w:r>
        <w:rPr>
          <w:rFonts w:cs="Times New Roman"/>
          <w:bCs/>
          <w:color w:val="000000" w:themeColor="text1"/>
          <w:szCs w:val="24"/>
          <w14:textFill>
            <w14:solidFill>
              <w14:schemeClr w14:val="tx1"/>
            </w14:solidFill>
          </w14:textFill>
        </w:rPr>
        <w:t xml:space="preserve">                   </w:t>
      </w:r>
      <w:r>
        <w:rPr>
          <w:rFonts w:hint="eastAsia" w:cs="Times New Roman"/>
          <w:bCs/>
          <w:snapToGrid w:val="0"/>
          <w:color w:val="000000" w:themeColor="text1"/>
          <w:kern w:val="0"/>
          <w:position w:val="-10"/>
          <w:szCs w:val="24"/>
          <w14:textFill>
            <w14:solidFill>
              <w14:schemeClr w14:val="tx1"/>
            </w14:solidFill>
          </w14:textFill>
        </w:rPr>
        <w:t>（9</w:t>
      </w:r>
      <w:r>
        <w:rPr>
          <w:rFonts w:cs="Times New Roman"/>
          <w:bCs/>
          <w:snapToGrid w:val="0"/>
          <w:color w:val="000000" w:themeColor="text1"/>
          <w:kern w:val="0"/>
          <w:position w:val="-10"/>
          <w:szCs w:val="24"/>
          <w14:textFill>
            <w14:solidFill>
              <w14:schemeClr w14:val="tx1"/>
            </w14:solidFill>
          </w14:textFill>
        </w:rPr>
        <w:t>.2.7-3</w:t>
      </w:r>
      <w:r>
        <w:rPr>
          <w:rFonts w:hint="eastAsia" w:cs="Times New Roman"/>
          <w:bCs/>
          <w:snapToGrid w:val="0"/>
          <w:color w:val="000000" w:themeColor="text1"/>
          <w:kern w:val="0"/>
          <w:position w:val="-10"/>
          <w:szCs w:val="24"/>
          <w14:textFill>
            <w14:solidFill>
              <w14:schemeClr w14:val="tx1"/>
            </w14:solidFill>
          </w14:textFill>
        </w:rPr>
        <w:t>）</w:t>
      </w:r>
    </w:p>
    <w:p>
      <w:pPr>
        <w:spacing w:line="360" w:lineRule="auto"/>
        <w:ind w:firstLine="420"/>
        <w:rPr>
          <w:bCs/>
          <w:snapToGrid w:val="0"/>
          <w:color w:val="000000" w:themeColor="text1"/>
          <w:kern w:val="0"/>
          <w:szCs w:val="21"/>
          <w14:textFill>
            <w14:solidFill>
              <w14:schemeClr w14:val="tx1"/>
            </w14:solidFill>
          </w14:textFill>
        </w:rPr>
      </w:pPr>
      <w:r>
        <w:rPr>
          <w:rFonts w:hint="eastAsia"/>
          <w:bCs/>
          <w:snapToGrid w:val="0"/>
          <w:color w:val="000000" w:themeColor="text1"/>
          <w:kern w:val="0"/>
          <w:szCs w:val="21"/>
          <w14:textFill>
            <w14:solidFill>
              <w14:schemeClr w14:val="tx1"/>
            </w14:solidFill>
          </w14:textFill>
        </w:rPr>
        <w:t>式中：</w:t>
      </w:r>
      <w:r>
        <w:rPr>
          <w:bCs/>
          <w:snapToGrid w:val="0"/>
          <w:color w:val="000000" w:themeColor="text1"/>
          <w:kern w:val="0"/>
          <w:szCs w:val="21"/>
          <w14:textFill>
            <w14:solidFill>
              <w14:schemeClr w14:val="tx1"/>
            </w14:solidFill>
          </w14:textFill>
        </w:rPr>
        <w:t>α</w:t>
      </w:r>
      <w:r>
        <w:rPr>
          <w:bCs/>
          <w:snapToGrid w:val="0"/>
          <w:color w:val="000000" w:themeColor="text1"/>
          <w:kern w:val="0"/>
          <w:szCs w:val="21"/>
          <w:vertAlign w:val="subscript"/>
          <w14:textFill>
            <w14:solidFill>
              <w14:schemeClr w14:val="tx1"/>
            </w14:solidFill>
          </w14:textFill>
        </w:rPr>
        <w:t>p</w:t>
      </w:r>
      <w:r>
        <w:rPr>
          <w:bCs/>
          <w:color w:val="000000" w:themeColor="text1"/>
          <w:szCs w:val="21"/>
          <w14:textFill>
            <w14:solidFill>
              <w14:schemeClr w14:val="tx1"/>
            </w14:solidFill>
          </w14:textFill>
        </w:rPr>
        <w:t>——</w:t>
      </w:r>
      <w:r>
        <w:rPr>
          <w:rFonts w:hint="eastAsia"/>
          <w:bCs/>
          <w:snapToGrid w:val="0"/>
          <w:color w:val="000000" w:themeColor="text1"/>
          <w:kern w:val="0"/>
          <w:szCs w:val="21"/>
          <w14:textFill>
            <w14:solidFill>
              <w14:schemeClr w14:val="tx1"/>
            </w14:solidFill>
          </w14:textFill>
        </w:rPr>
        <w:t>节点域弯矩分布系数，边柱取0.95，中柱取0.85；</w:t>
      </w:r>
    </w:p>
    <w:p>
      <w:pPr>
        <w:spacing w:line="360" w:lineRule="auto"/>
        <w:ind w:left="1358" w:leftChars="504" w:hanging="300" w:hangingChars="143"/>
        <w:rPr>
          <w:bCs/>
          <w:color w:val="000000" w:themeColor="text1"/>
          <w:kern w:val="0"/>
          <w:szCs w:val="21"/>
          <w14:textFill>
            <w14:solidFill>
              <w14:schemeClr w14:val="tx1"/>
            </w14:solidFill>
          </w14:textFill>
        </w:rPr>
      </w:pPr>
      <w:bookmarkStart w:id="167" w:name="_Hlk24008309"/>
      <m:oMath>
        <m:sSub>
          <m:sSubPr>
            <m:ctrlPr>
              <w:rPr>
                <w:rFonts w:ascii="Cambria Math" w:hAnsi="Cambria Math" w:eastAsia="楷体_GB2312" w:cs="Calibri"/>
                <w:color w:val="000000" w:themeColor="text1"/>
                <w:kern w:val="0"/>
                <w:szCs w:val="21"/>
                <w14:textFill>
                  <w14:solidFill>
                    <w14:schemeClr w14:val="tx1"/>
                  </w14:solidFill>
                </w14:textFill>
              </w:rPr>
            </m:ctrlPr>
          </m:sSubPr>
          <m:e>
            <m:r>
              <m:rPr>
                <m:sty m:val="p"/>
              </m:rPr>
              <w:rPr>
                <w:rFonts w:ascii="Cambria Math" w:hAnsi="Cambria Math" w:eastAsia="楷体_GB2312" w:cs="Calibri"/>
                <w:color w:val="000000" w:themeColor="text1"/>
                <w:kern w:val="0"/>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yv</m:t>
            </m:r>
            <w:bookmarkEnd w:id="167"/>
            <m:ctrlPr>
              <w:rPr>
                <w:rFonts w:ascii="Cambria Math" w:hAnsi="Cambria Math" w:eastAsia="楷体_GB2312" w:cs="Calibri"/>
                <w:color w:val="000000" w:themeColor="text1"/>
                <w:kern w:val="0"/>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snapToGrid w:val="0"/>
          <w:color w:val="000000" w:themeColor="text1"/>
          <w:kern w:val="0"/>
          <w:szCs w:val="21"/>
          <w14:textFill>
            <w14:solidFill>
              <w14:schemeClr w14:val="tx1"/>
            </w14:solidFill>
          </w14:textFill>
        </w:rPr>
        <w:t>节点域钢材的抗剪屈服强度；</w:t>
      </w:r>
    </w:p>
    <w:p>
      <w:pPr>
        <w:spacing w:line="360" w:lineRule="auto"/>
        <w:ind w:left="1358" w:leftChars="504" w:hanging="300" w:hangingChars="143"/>
        <w:rPr>
          <w:bCs/>
          <w:snapToGrid w:val="0"/>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V</w:t>
      </w:r>
      <w:r>
        <w:rPr>
          <w:bCs/>
          <w:color w:val="000000" w:themeColor="text1"/>
          <w:kern w:val="0"/>
          <w:szCs w:val="21"/>
          <w:vertAlign w:val="subscript"/>
          <w14:textFill>
            <w14:solidFill>
              <w14:schemeClr w14:val="tx1"/>
            </w14:solidFill>
          </w14:textFill>
        </w:rPr>
        <w:t>p</w:t>
      </w:r>
      <w:r>
        <w:rPr>
          <w:bCs/>
          <w:snapToGrid w:val="0"/>
          <w:color w:val="000000" w:themeColor="text1"/>
          <w:kern w:val="0"/>
          <w:szCs w:val="21"/>
          <w14:textFill>
            <w14:solidFill>
              <w14:schemeClr w14:val="tx1"/>
            </w14:solidFill>
          </w14:textFill>
        </w:rPr>
        <w:t>——</w:t>
      </w:r>
      <w:r>
        <w:rPr>
          <w:rFonts w:hint="eastAsia"/>
          <w:bCs/>
          <w:snapToGrid w:val="0"/>
          <w:color w:val="000000" w:themeColor="text1"/>
          <w:kern w:val="0"/>
          <w:szCs w:val="21"/>
          <w14:textFill>
            <w14:solidFill>
              <w14:schemeClr w14:val="tx1"/>
            </w14:solidFill>
          </w14:textFill>
        </w:rPr>
        <w:t>节点域的体积，应按下列公式计算：</w:t>
      </w:r>
    </w:p>
    <w:p>
      <w:pPr>
        <w:spacing w:line="360" w:lineRule="auto"/>
        <w:ind w:left="1362" w:leftChars="504" w:hanging="304" w:hangingChars="145"/>
        <w:rPr>
          <w:bCs/>
          <w:snapToGrid w:val="0"/>
          <w:color w:val="000000" w:themeColor="text1"/>
          <w:kern w:val="0"/>
          <w:szCs w:val="20"/>
          <w14:textFill>
            <w14:solidFill>
              <w14:schemeClr w14:val="tx1"/>
            </w14:solidFill>
          </w14:textFill>
        </w:rPr>
      </w:pPr>
      <w:r>
        <w:rPr>
          <w:bCs/>
          <w:snapToGrid w:val="0"/>
          <w:color w:val="000000" w:themeColor="text1"/>
          <w:kern w:val="0"/>
          <w:szCs w:val="21"/>
          <w14:textFill>
            <w14:solidFill>
              <w14:schemeClr w14:val="tx1"/>
            </w14:solidFill>
          </w14:textFill>
        </w:rPr>
        <w:t>H</w:t>
      </w:r>
      <w:r>
        <w:rPr>
          <w:rFonts w:hint="eastAsia"/>
          <w:bCs/>
          <w:snapToGrid w:val="0"/>
          <w:color w:val="000000" w:themeColor="text1"/>
          <w:kern w:val="0"/>
          <w14:textFill>
            <w14:solidFill>
              <w14:schemeClr w14:val="tx1"/>
            </w14:solidFill>
          </w14:textFill>
        </w:rPr>
        <w:t>形截面柱：</w:t>
      </w:r>
    </w:p>
    <w:p>
      <w:pPr>
        <w:spacing w:line="360" w:lineRule="auto"/>
        <w:ind w:firstLine="420" w:firstLineChars="0"/>
        <w:jc w:val="right"/>
        <w:rPr>
          <w:rFonts w:cs="Times New Roman"/>
          <w:bCs/>
          <w:snapToGrid w:val="0"/>
          <w:color w:val="000000" w:themeColor="text1"/>
          <w:kern w:val="0"/>
          <w:position w:val="-10"/>
          <w:szCs w:val="24"/>
          <w14:textFill>
            <w14:solidFill>
              <w14:schemeClr w14:val="tx1"/>
            </w14:solidFill>
          </w14:textFill>
        </w:rPr>
      </w:pPr>
      <w:bookmarkStart w:id="168" w:name="_Hlk24008381"/>
      <m:oMath>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V</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p</m:t>
            </m:r>
            <m:ctrlPr>
              <w:rPr>
                <w:rFonts w:ascii="Cambria Math" w:hAnsi="Cambria Math" w:cs="Times New Roman"/>
                <w:bCs/>
                <w:i/>
                <w:snapToGrid w:val="0"/>
                <w:color w:val="000000" w:themeColor="text1"/>
                <w:kern w:val="0"/>
                <w:szCs w:val="24"/>
                <w14:textFill>
                  <w14:solidFill>
                    <w14:schemeClr w14:val="tx1"/>
                  </w14:solidFill>
                </w14:textFill>
              </w:rPr>
            </m:ctrlPr>
          </m:sub>
        </m:sSub>
        <m:r>
          <w:rPr>
            <w:rFonts w:ascii="Cambria Math" w:hAnsi="Cambria Math" w:cs="Times New Roman"/>
            <w:snapToGrid w:val="0"/>
            <w:color w:val="000000" w:themeColor="text1"/>
            <w:kern w:val="0"/>
            <w:szCs w:val="24"/>
            <w14:textFill>
              <w14:solidFill>
                <w14:schemeClr w14:val="tx1"/>
              </w14:solidFill>
            </w14:textFill>
          </w:rPr>
          <m:t>=</m:t>
        </m:r>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b1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c1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t</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w</m:t>
            </m:r>
            <w:bookmarkEnd w:id="168"/>
            <m:ctrlPr>
              <w:rPr>
                <w:rFonts w:ascii="Cambria Math" w:hAnsi="Cambria Math" w:cs="Times New Roman"/>
                <w:bCs/>
                <w:i/>
                <w:snapToGrid w:val="0"/>
                <w:color w:val="000000" w:themeColor="text1"/>
                <w:kern w:val="0"/>
                <w:szCs w:val="24"/>
                <w14:textFill>
                  <w14:solidFill>
                    <w14:schemeClr w14:val="tx1"/>
                  </w14:solidFill>
                </w14:textFill>
              </w:rPr>
            </m:ctrlPr>
          </m:sub>
        </m:sSub>
      </m:oMath>
      <w:r>
        <w:rPr>
          <w:rFonts w:cs="Times New Roman"/>
          <w:bCs/>
          <w:snapToGrid w:val="0"/>
          <w:color w:val="000000" w:themeColor="text1"/>
          <w:kern w:val="0"/>
          <w:szCs w:val="24"/>
          <w14:textFill>
            <w14:solidFill>
              <w14:schemeClr w14:val="tx1"/>
            </w14:solidFill>
          </w14:textFill>
        </w:rPr>
        <w:t xml:space="preserve">                       </w:t>
      </w:r>
      <w:r>
        <w:rPr>
          <w:rFonts w:hint="eastAsia" w:cs="Times New Roman"/>
          <w:bCs/>
          <w:snapToGrid w:val="0"/>
          <w:color w:val="000000" w:themeColor="text1"/>
          <w:kern w:val="0"/>
          <w:position w:val="-10"/>
          <w:szCs w:val="24"/>
          <w14:textFill>
            <w14:solidFill>
              <w14:schemeClr w14:val="tx1"/>
            </w14:solidFill>
          </w14:textFill>
        </w:rPr>
        <w:t>（9</w:t>
      </w:r>
      <w:r>
        <w:rPr>
          <w:rFonts w:cs="Times New Roman"/>
          <w:bCs/>
          <w:snapToGrid w:val="0"/>
          <w:color w:val="000000" w:themeColor="text1"/>
          <w:kern w:val="0"/>
          <w:position w:val="-10"/>
          <w:szCs w:val="24"/>
          <w14:textFill>
            <w14:solidFill>
              <w14:schemeClr w14:val="tx1"/>
            </w14:solidFill>
          </w14:textFill>
        </w:rPr>
        <w:t>.2.7-4</w:t>
      </w:r>
      <w:r>
        <w:rPr>
          <w:rFonts w:hint="eastAsia" w:cs="Times New Roman"/>
          <w:bCs/>
          <w:snapToGrid w:val="0"/>
          <w:color w:val="000000" w:themeColor="text1"/>
          <w:kern w:val="0"/>
          <w:position w:val="-10"/>
          <w:szCs w:val="24"/>
          <w14:textFill>
            <w14:solidFill>
              <w14:schemeClr w14:val="tx1"/>
            </w14:solidFill>
          </w14:textFill>
        </w:rPr>
        <w:t>）</w:t>
      </w:r>
    </w:p>
    <w:p>
      <w:pPr>
        <w:spacing w:line="360" w:lineRule="auto"/>
        <w:ind w:left="1362" w:leftChars="504" w:hanging="304" w:hangingChars="145"/>
        <w:rPr>
          <w:bCs/>
          <w:snapToGrid w:val="0"/>
          <w:color w:val="000000" w:themeColor="text1"/>
          <w:kern w:val="0"/>
          <w14:textFill>
            <w14:solidFill>
              <w14:schemeClr w14:val="tx1"/>
            </w14:solidFill>
          </w14:textFill>
        </w:rPr>
      </w:pPr>
      <w:r>
        <w:rPr>
          <w:rFonts w:hint="eastAsia"/>
          <w:bCs/>
          <w:snapToGrid w:val="0"/>
          <w:color w:val="000000" w:themeColor="text1"/>
          <w:kern w:val="0"/>
          <w:szCs w:val="21"/>
          <w14:textFill>
            <w14:solidFill>
              <w14:schemeClr w14:val="tx1"/>
            </w14:solidFill>
          </w14:textFill>
        </w:rPr>
        <w:t>箱</w:t>
      </w:r>
      <w:r>
        <w:rPr>
          <w:rFonts w:hint="eastAsia"/>
          <w:bCs/>
          <w:snapToGrid w:val="0"/>
          <w:color w:val="000000" w:themeColor="text1"/>
          <w:kern w:val="0"/>
          <w14:textFill>
            <w14:solidFill>
              <w14:schemeClr w14:val="tx1"/>
            </w14:solidFill>
          </w14:textFill>
        </w:rPr>
        <w:t>形截面柱：</w:t>
      </w:r>
    </w:p>
    <w:p>
      <w:pPr>
        <w:spacing w:line="360" w:lineRule="auto"/>
        <w:ind w:firstLine="420"/>
        <w:jc w:val="right"/>
        <w:rPr>
          <w:bCs/>
          <w:snapToGrid w:val="0"/>
          <w:color w:val="000000" w:themeColor="text1"/>
          <w:kern w:val="0"/>
          <w14:textFill>
            <w14:solidFill>
              <w14:schemeClr w14:val="tx1"/>
            </w14:solidFill>
          </w14:textFill>
        </w:rPr>
      </w:pPr>
      <m:oMath>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snapToGrid w:val="0"/>
                <w:color w:val="000000" w:themeColor="text1"/>
                <w:kern w:val="0"/>
                <w14:textFill>
                  <w14:solidFill>
                    <w14:schemeClr w14:val="tx1"/>
                  </w14:solidFill>
                </w14:textFill>
              </w:rPr>
              <m:t>V</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snapToGrid w:val="0"/>
                <w:color w:val="000000" w:themeColor="text1"/>
                <w:kern w:val="0"/>
                <w14:textFill>
                  <w14:solidFill>
                    <w14:schemeClr w14:val="tx1"/>
                  </w14:solidFill>
                </w14:textFill>
              </w:rPr>
              <m:t>p</m:t>
            </m:r>
            <m:ctrlPr>
              <w:rPr>
                <w:rFonts w:ascii="Cambria Math" w:hAnsi="Cambria Math" w:cs="Times New Roman"/>
                <w:bCs/>
                <w:i/>
                <w:snapToGrid w:val="0"/>
                <w:color w:val="000000" w:themeColor="text1"/>
                <w:kern w:val="0"/>
                <w:szCs w:val="24"/>
                <w14:textFill>
                  <w14:solidFill>
                    <w14:schemeClr w14:val="tx1"/>
                  </w14:solidFill>
                </w14:textFill>
              </w:rPr>
            </m:ctrlPr>
          </m:sub>
        </m:sSub>
        <m:r>
          <w:rPr>
            <w:rFonts w:ascii="Cambria Math" w:hAnsi="Cambria Math"/>
            <w:snapToGrid w:val="0"/>
            <w:color w:val="000000" w:themeColor="text1"/>
            <w:kern w:val="0"/>
            <w14:textFill>
              <w14:solidFill>
                <w14:schemeClr w14:val="tx1"/>
              </w14:solidFill>
            </w14:textFill>
          </w:rPr>
          <m:t>=</m:t>
        </m:r>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snapToGrid w:val="0"/>
                <w:color w:val="000000" w:themeColor="text1"/>
                <w:kern w:val="0"/>
                <w14:textFill>
                  <w14:solidFill>
                    <w14:schemeClr w14:val="tx1"/>
                  </w14:solidFill>
                </w14:textFill>
              </w:rPr>
              <m:t>1.8h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snapToGrid w:val="0"/>
                <w:color w:val="000000" w:themeColor="text1"/>
                <w:kern w:val="0"/>
                <w14:textFill>
                  <w14:solidFill>
                    <w14:schemeClr w14:val="tx1"/>
                  </w14:solidFill>
                </w14:textFill>
              </w:rPr>
              <m:t>b1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snapToGrid w:val="0"/>
                <w:color w:val="000000" w:themeColor="text1"/>
                <w:kern w:val="0"/>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snapToGrid w:val="0"/>
                <w:color w:val="000000" w:themeColor="text1"/>
                <w:kern w:val="0"/>
                <w14:textFill>
                  <w14:solidFill>
                    <w14:schemeClr w14:val="tx1"/>
                  </w14:solidFill>
                </w14:textFill>
              </w:rPr>
              <m:t>c1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snapToGrid w:val="0"/>
                <w:color w:val="000000" w:themeColor="text1"/>
                <w:kern w:val="0"/>
                <w14:textFill>
                  <w14:solidFill>
                    <w14:schemeClr w14:val="tx1"/>
                  </w14:solidFill>
                </w14:textFill>
              </w:rPr>
              <m:t>t</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snapToGrid w:val="0"/>
                <w:color w:val="000000" w:themeColor="text1"/>
                <w:kern w:val="0"/>
                <w14:textFill>
                  <w14:solidFill>
                    <w14:schemeClr w14:val="tx1"/>
                  </w14:solidFill>
                </w14:textFill>
              </w:rPr>
              <m:t>w</m:t>
            </m:r>
            <m:ctrlPr>
              <w:rPr>
                <w:rFonts w:ascii="Cambria Math" w:hAnsi="Cambria Math" w:cs="Times New Roman"/>
                <w:bCs/>
                <w:i/>
                <w:snapToGrid w:val="0"/>
                <w:color w:val="000000" w:themeColor="text1"/>
                <w:kern w:val="0"/>
                <w:szCs w:val="24"/>
                <w14:textFill>
                  <w14:solidFill>
                    <w14:schemeClr w14:val="tx1"/>
                  </w14:solidFill>
                </w14:textFill>
              </w:rPr>
            </m:ctrlPr>
          </m:sub>
        </m:sSub>
      </m:oMath>
      <w:r>
        <w:rPr>
          <w:bCs/>
          <w:snapToGrid w:val="0"/>
          <w:color w:val="000000" w:themeColor="text1"/>
          <w:kern w:val="0"/>
          <w14:textFill>
            <w14:solidFill>
              <w14:schemeClr w14:val="tx1"/>
            </w14:solidFill>
          </w14:textFill>
        </w:rPr>
        <w:t xml:space="preserve">                      </w:t>
      </w:r>
      <w:r>
        <w:rPr>
          <w:rFonts w:hint="eastAsia"/>
          <w:bCs/>
          <w:snapToGrid w:val="0"/>
          <w:color w:val="000000" w:themeColor="text1"/>
          <w:kern w:val="0"/>
          <w:position w:val="-10"/>
          <w14:textFill>
            <w14:solidFill>
              <w14:schemeClr w14:val="tx1"/>
            </w14:solidFill>
          </w14:textFill>
        </w:rPr>
        <w:t>（9</w:t>
      </w:r>
      <w:r>
        <w:rPr>
          <w:bCs/>
          <w:snapToGrid w:val="0"/>
          <w:color w:val="000000" w:themeColor="text1"/>
          <w:kern w:val="0"/>
          <w:position w:val="-10"/>
          <w14:textFill>
            <w14:solidFill>
              <w14:schemeClr w14:val="tx1"/>
            </w14:solidFill>
          </w14:textFill>
        </w:rPr>
        <w:t>.2.7-5</w:t>
      </w:r>
      <w:r>
        <w:rPr>
          <w:rFonts w:hint="eastAsia"/>
          <w:bCs/>
          <w:snapToGrid w:val="0"/>
          <w:color w:val="000000" w:themeColor="text1"/>
          <w:kern w:val="0"/>
          <w:position w:val="-10"/>
          <w14:textFill>
            <w14:solidFill>
              <w14:schemeClr w14:val="tx1"/>
            </w14:solidFill>
          </w14:textFill>
        </w:rPr>
        <w:t>）</w:t>
      </w:r>
    </w:p>
    <w:p>
      <w:pPr>
        <w:spacing w:line="360" w:lineRule="auto"/>
        <w:ind w:left="1362" w:leftChars="504" w:hanging="304" w:hangingChars="145"/>
        <w:rPr>
          <w:bCs/>
          <w:snapToGrid w:val="0"/>
          <w:color w:val="000000" w:themeColor="text1"/>
          <w:kern w:val="0"/>
          <w14:textFill>
            <w14:solidFill>
              <w14:schemeClr w14:val="tx1"/>
            </w14:solidFill>
          </w14:textFill>
        </w:rPr>
      </w:pPr>
      <w:r>
        <w:rPr>
          <w:rFonts w:hint="eastAsia"/>
          <w:bCs/>
          <w:snapToGrid w:val="0"/>
          <w:color w:val="000000" w:themeColor="text1"/>
          <w:kern w:val="0"/>
          <w:szCs w:val="21"/>
          <w14:textFill>
            <w14:solidFill>
              <w14:schemeClr w14:val="tx1"/>
            </w14:solidFill>
          </w14:textFill>
        </w:rPr>
        <w:t>圆</w:t>
      </w:r>
      <w:r>
        <w:rPr>
          <w:rFonts w:hint="eastAsia"/>
          <w:bCs/>
          <w:snapToGrid w:val="0"/>
          <w:color w:val="000000" w:themeColor="text1"/>
          <w:kern w:val="0"/>
          <w14:textFill>
            <w14:solidFill>
              <w14:schemeClr w14:val="tx1"/>
            </w14:solidFill>
          </w14:textFill>
        </w:rPr>
        <w:t>钢管截面柱：</w:t>
      </w:r>
    </w:p>
    <w:p>
      <w:pPr>
        <w:spacing w:line="360" w:lineRule="auto"/>
        <w:ind w:firstLine="420"/>
        <w:jc w:val="right"/>
        <w:rPr>
          <w:bCs/>
          <w:snapToGrid w:val="0"/>
          <w:color w:val="000000" w:themeColor="text1"/>
          <w:kern w:val="0"/>
          <w:position w:val="-10"/>
          <w14:textFill>
            <w14:solidFill>
              <w14:schemeClr w14:val="tx1"/>
            </w14:solidFill>
          </w14:textFill>
        </w:rPr>
      </w:pPr>
      <m:oMath>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snapToGrid w:val="0"/>
                <w:color w:val="000000" w:themeColor="text1"/>
                <w:kern w:val="0"/>
                <w14:textFill>
                  <w14:solidFill>
                    <w14:schemeClr w14:val="tx1"/>
                  </w14:solidFill>
                </w14:textFill>
              </w:rPr>
              <m:t>V</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snapToGrid w:val="0"/>
                <w:color w:val="000000" w:themeColor="text1"/>
                <w:kern w:val="0"/>
                <w14:textFill>
                  <w14:solidFill>
                    <w14:schemeClr w14:val="tx1"/>
                  </w14:solidFill>
                </w14:textFill>
              </w:rPr>
              <m:t>p</m:t>
            </m:r>
            <m:ctrlPr>
              <w:rPr>
                <w:rFonts w:ascii="Cambria Math" w:hAnsi="Cambria Math" w:cs="Times New Roman"/>
                <w:bCs/>
                <w:i/>
                <w:snapToGrid w:val="0"/>
                <w:color w:val="000000" w:themeColor="text1"/>
                <w:kern w:val="0"/>
                <w:szCs w:val="24"/>
                <w14:textFill>
                  <w14:solidFill>
                    <w14:schemeClr w14:val="tx1"/>
                  </w14:solidFill>
                </w14:textFill>
              </w:rPr>
            </m:ctrlPr>
          </m:sub>
        </m:sSub>
        <m:r>
          <w:rPr>
            <w:rFonts w:ascii="Cambria Math" w:hAnsi="Cambria Math"/>
            <w:snapToGrid w:val="0"/>
            <w:color w:val="000000" w:themeColor="text1"/>
            <w:kern w:val="0"/>
            <w14:textFill>
              <w14:solidFill>
                <w14:schemeClr w14:val="tx1"/>
              </w14:solidFill>
            </w14:textFill>
          </w:rPr>
          <m:t>=</m:t>
        </m:r>
        <m:f>
          <m:fPr>
            <m:ctrlPr>
              <w:rPr>
                <w:rFonts w:ascii="Cambria Math" w:hAnsi="Cambria Math"/>
                <w:bCs/>
                <w:i/>
                <w:snapToGrid w:val="0"/>
                <w:color w:val="000000" w:themeColor="text1"/>
                <w:kern w:val="0"/>
                <w14:textFill>
                  <w14:solidFill>
                    <w14:schemeClr w14:val="tx1"/>
                  </w14:solidFill>
                </w14:textFill>
              </w:rPr>
            </m:ctrlPr>
          </m:fPr>
          <m:num>
            <m:r>
              <w:rPr>
                <w:rFonts w:ascii="Cambria Math" w:hAnsi="Cambria Math"/>
                <w:snapToGrid w:val="0"/>
                <w:color w:val="000000" w:themeColor="text1"/>
                <w:kern w:val="0"/>
                <w14:textFill>
                  <w14:solidFill>
                    <w14:schemeClr w14:val="tx1"/>
                  </w14:solidFill>
                </w14:textFill>
              </w:rPr>
              <m:t>π</m:t>
            </m:r>
            <m:ctrlPr>
              <w:rPr>
                <w:rFonts w:ascii="Cambria Math" w:hAnsi="Cambria Math"/>
                <w:bCs/>
                <w:i/>
                <w:snapToGrid w:val="0"/>
                <w:color w:val="000000" w:themeColor="text1"/>
                <w:kern w:val="0"/>
                <w14:textFill>
                  <w14:solidFill>
                    <w14:schemeClr w14:val="tx1"/>
                  </w14:solidFill>
                </w14:textFill>
              </w:rPr>
            </m:ctrlPr>
          </m:num>
          <m:den>
            <m:r>
              <w:rPr>
                <w:rFonts w:ascii="Cambria Math" w:hAnsi="Cambria Math"/>
                <w:snapToGrid w:val="0"/>
                <w:color w:val="000000" w:themeColor="text1"/>
                <w:kern w:val="0"/>
                <w14:textFill>
                  <w14:solidFill>
                    <w14:schemeClr w14:val="tx1"/>
                  </w14:solidFill>
                </w14:textFill>
              </w:rPr>
              <m:t>2</m:t>
            </m:r>
            <m:ctrlPr>
              <w:rPr>
                <w:rFonts w:ascii="Cambria Math" w:hAnsi="Cambria Math"/>
                <w:bCs/>
                <w:i/>
                <w:snapToGrid w:val="0"/>
                <w:color w:val="000000" w:themeColor="text1"/>
                <w:kern w:val="0"/>
                <w14:textFill>
                  <w14:solidFill>
                    <w14:schemeClr w14:val="tx1"/>
                  </w14:solidFill>
                </w14:textFill>
              </w:rPr>
            </m:ctrlPr>
          </m:den>
        </m:f>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snapToGrid w:val="0"/>
                <w:color w:val="000000" w:themeColor="text1"/>
                <w:kern w:val="0"/>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snapToGrid w:val="0"/>
                <w:color w:val="000000" w:themeColor="text1"/>
                <w:kern w:val="0"/>
                <w14:textFill>
                  <w14:solidFill>
                    <w14:schemeClr w14:val="tx1"/>
                  </w14:solidFill>
                </w14:textFill>
              </w:rPr>
              <m:t>b1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snapToGrid w:val="0"/>
                <w:color w:val="000000" w:themeColor="text1"/>
                <w:kern w:val="0"/>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snapToGrid w:val="0"/>
                <w:color w:val="000000" w:themeColor="text1"/>
                <w:kern w:val="0"/>
                <w14:textFill>
                  <w14:solidFill>
                    <w14:schemeClr w14:val="tx1"/>
                  </w14:solidFill>
                </w14:textFill>
              </w:rPr>
              <m:t>c1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snapToGrid w:val="0"/>
                <w:color w:val="000000" w:themeColor="text1"/>
                <w:kern w:val="0"/>
                <w14:textFill>
                  <w14:solidFill>
                    <w14:schemeClr w14:val="tx1"/>
                  </w14:solidFill>
                </w14:textFill>
              </w:rPr>
              <m:t>t</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snapToGrid w:val="0"/>
                <w:color w:val="000000" w:themeColor="text1"/>
                <w:kern w:val="0"/>
                <w14:textFill>
                  <w14:solidFill>
                    <w14:schemeClr w14:val="tx1"/>
                  </w14:solidFill>
                </w14:textFill>
              </w:rPr>
              <m:t>w</m:t>
            </m:r>
            <m:ctrlPr>
              <w:rPr>
                <w:rFonts w:ascii="Cambria Math" w:hAnsi="Cambria Math" w:cs="Times New Roman"/>
                <w:bCs/>
                <w:i/>
                <w:snapToGrid w:val="0"/>
                <w:color w:val="000000" w:themeColor="text1"/>
                <w:kern w:val="0"/>
                <w:szCs w:val="24"/>
                <w14:textFill>
                  <w14:solidFill>
                    <w14:schemeClr w14:val="tx1"/>
                  </w14:solidFill>
                </w14:textFill>
              </w:rPr>
            </m:ctrlPr>
          </m:sub>
        </m:sSub>
      </m:oMath>
      <w:r>
        <w:rPr>
          <w:bCs/>
          <w:snapToGrid w:val="0"/>
          <w:color w:val="000000" w:themeColor="text1"/>
          <w:kern w:val="0"/>
          <w14:textFill>
            <w14:solidFill>
              <w14:schemeClr w14:val="tx1"/>
            </w14:solidFill>
          </w14:textFill>
        </w:rPr>
        <w:t xml:space="preserve">                       </w:t>
      </w:r>
      <w:r>
        <w:rPr>
          <w:rFonts w:hint="eastAsia"/>
          <w:bCs/>
          <w:snapToGrid w:val="0"/>
          <w:color w:val="000000" w:themeColor="text1"/>
          <w:kern w:val="0"/>
          <w:position w:val="-10"/>
          <w14:textFill>
            <w14:solidFill>
              <w14:schemeClr w14:val="tx1"/>
            </w14:solidFill>
          </w14:textFill>
        </w:rPr>
        <w:t>（9</w:t>
      </w:r>
      <w:r>
        <w:rPr>
          <w:bCs/>
          <w:snapToGrid w:val="0"/>
          <w:color w:val="000000" w:themeColor="text1"/>
          <w:kern w:val="0"/>
          <w:position w:val="-10"/>
          <w14:textFill>
            <w14:solidFill>
              <w14:schemeClr w14:val="tx1"/>
            </w14:solidFill>
          </w14:textFill>
        </w:rPr>
        <w:t>.2.7-6</w:t>
      </w:r>
      <w:r>
        <w:rPr>
          <w:rFonts w:hint="eastAsia"/>
          <w:bCs/>
          <w:snapToGrid w:val="0"/>
          <w:color w:val="000000" w:themeColor="text1"/>
          <w:kern w:val="0"/>
          <w:position w:val="-10"/>
          <w14:textFill>
            <w14:solidFill>
              <w14:schemeClr w14:val="tx1"/>
            </w14:solidFill>
          </w14:textFill>
        </w:rPr>
        <w:t>）</w:t>
      </w:r>
    </w:p>
    <w:p>
      <w:pPr>
        <w:spacing w:line="360" w:lineRule="auto"/>
        <w:ind w:left="1362" w:leftChars="504" w:hanging="304" w:hangingChars="145"/>
        <w:rPr>
          <w:bCs/>
          <w:snapToGrid w:val="0"/>
          <w:color w:val="000000" w:themeColor="text1"/>
          <w:kern w:val="0"/>
          <w14:textFill>
            <w14:solidFill>
              <w14:schemeClr w14:val="tx1"/>
            </w14:solidFill>
          </w14:textFill>
        </w:rPr>
      </w:pPr>
      <w:r>
        <w:rPr>
          <w:rFonts w:hint="eastAsia"/>
          <w:bCs/>
          <w:snapToGrid w:val="0"/>
          <w:color w:val="000000" w:themeColor="text1"/>
          <w:kern w:val="0"/>
          <w14:textFill>
            <w14:solidFill>
              <w14:schemeClr w14:val="tx1"/>
            </w14:solidFill>
          </w14:textFill>
        </w:rPr>
        <w:t>十字形截面柱（图9.2.7-1）：</w:t>
      </w:r>
    </w:p>
    <w:p>
      <w:pPr>
        <w:widowControl/>
        <w:ind w:firstLine="924" w:firstLineChars="440"/>
        <w:jc w:val="right"/>
        <w:rPr>
          <w:rFonts w:cs="Times New Roman"/>
          <w:bCs/>
          <w:snapToGrid w:val="0"/>
          <w:color w:val="000000" w:themeColor="text1"/>
          <w:kern w:val="0"/>
          <w:position w:val="-10"/>
          <w:szCs w:val="20"/>
          <w14:textFill>
            <w14:solidFill>
              <w14:schemeClr w14:val="tx1"/>
            </w14:solidFill>
          </w14:textFill>
        </w:rPr>
      </w:pPr>
      <m:oMath>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V</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p</m:t>
            </m:r>
            <m:ctrlPr>
              <w:rPr>
                <w:rFonts w:ascii="Cambria Math" w:hAnsi="Cambria Math" w:cs="Times New Roman"/>
                <w:bCs/>
                <w:i/>
                <w:snapToGrid w:val="0"/>
                <w:color w:val="000000" w:themeColor="text1"/>
                <w:kern w:val="0"/>
                <w:szCs w:val="24"/>
                <w14:textFill>
                  <w14:solidFill>
                    <w14:schemeClr w14:val="tx1"/>
                  </w14:solidFill>
                </w14:textFill>
              </w:rPr>
            </m:ctrlPr>
          </m:sub>
        </m:sSub>
        <m:r>
          <w:rPr>
            <w:rFonts w:ascii="Cambria Math" w:hAnsi="Cambria Math" w:cs="Times New Roman"/>
            <w:snapToGrid w:val="0"/>
            <w:color w:val="000000" w:themeColor="text1"/>
            <w:kern w:val="0"/>
            <w:szCs w:val="24"/>
            <w14:textFill>
              <w14:solidFill>
                <w14:schemeClr w14:val="tx1"/>
              </w14:solidFill>
            </w14:textFill>
          </w:rPr>
          <m:t>=</m:t>
        </m:r>
        <m:f>
          <m:fPr>
            <m:ctrlPr>
              <w:rPr>
                <w:rFonts w:ascii="Cambria Math" w:hAnsi="Cambria Math" w:cs="Times New Roman"/>
                <w:bCs/>
                <w:i/>
                <w:snapToGrid w:val="0"/>
                <w:color w:val="000000" w:themeColor="text1"/>
                <w:kern w:val="0"/>
                <w:szCs w:val="24"/>
                <w14:textFill>
                  <w14:solidFill>
                    <w14:schemeClr w14:val="tx1"/>
                  </w14:solidFill>
                </w14:textFill>
              </w:rPr>
            </m:ctrlPr>
          </m:fPr>
          <m:num>
            <m:sSup>
              <m:sSupPr>
                <m:ctrlPr>
                  <w:rPr>
                    <w:rFonts w:ascii="Cambria Math" w:hAnsi="Cambria Math" w:cs="Times New Roman"/>
                    <w:bCs/>
                    <w:i/>
                    <w:snapToGrid w:val="0"/>
                    <w:color w:val="000000" w:themeColor="text1"/>
                    <w:kern w:val="0"/>
                    <w:szCs w:val="24"/>
                    <w14:textFill>
                      <w14:solidFill>
                        <w14:schemeClr w14:val="tx1"/>
                      </w14:solidFill>
                    </w14:textFill>
                  </w:rPr>
                </m:ctrlPr>
              </m:sSupPr>
              <m:e>
                <m:d>
                  <m:dPr>
                    <m:ctrlPr>
                      <w:rPr>
                        <w:rFonts w:ascii="Cambria Math" w:hAnsi="Cambria Math" w:cs="Times New Roman"/>
                        <w:bCs/>
                        <w:i/>
                        <w:snapToGrid w:val="0"/>
                        <w:color w:val="000000" w:themeColor="text1"/>
                        <w:kern w:val="0"/>
                        <w:szCs w:val="24"/>
                        <w14:textFill>
                          <w14:solidFill>
                            <w14:schemeClr w14:val="tx1"/>
                          </w14:solidFill>
                        </w14:textFill>
                      </w:rPr>
                    </m:ctrlPr>
                  </m:dPr>
                  <m:e>
                    <m:f>
                      <m:fPr>
                        <m:ctrlPr>
                          <w:rPr>
                            <w:rFonts w:ascii="Cambria Math" w:hAnsi="Cambria Math" w:cs="Times New Roman"/>
                            <w:bCs/>
                            <w:i/>
                            <w:snapToGrid w:val="0"/>
                            <w:color w:val="000000" w:themeColor="text1"/>
                            <w:kern w:val="0"/>
                            <w:szCs w:val="24"/>
                            <w14:textFill>
                              <w14:solidFill>
                                <w14:schemeClr w14:val="tx1"/>
                              </w14:solidFill>
                            </w14:textFill>
                          </w:rPr>
                        </m:ctrlPr>
                      </m:fPr>
                      <m:num>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b1</m:t>
                            </m:r>
                            <m:ctrlPr>
                              <w:rPr>
                                <w:rFonts w:ascii="Cambria Math" w:hAnsi="Cambria Math" w:cs="Times New Roman"/>
                                <w:bCs/>
                                <w:i/>
                                <w:snapToGrid w:val="0"/>
                                <w:color w:val="000000" w:themeColor="text1"/>
                                <w:kern w:val="0"/>
                                <w:szCs w:val="24"/>
                                <w14:textFill>
                                  <w14:solidFill>
                                    <w14:schemeClr w14:val="tx1"/>
                                  </w14:solidFill>
                                </w14:textFill>
                              </w:rPr>
                            </m:ctrlPr>
                          </m:sub>
                        </m:sSub>
                        <m:ctrlPr>
                          <w:rPr>
                            <w:rFonts w:ascii="Cambria Math" w:hAnsi="Cambria Math" w:cs="Times New Roman"/>
                            <w:bCs/>
                            <w:i/>
                            <w:snapToGrid w:val="0"/>
                            <w:color w:val="000000" w:themeColor="text1"/>
                            <w:kern w:val="0"/>
                            <w:szCs w:val="24"/>
                            <w14:textFill>
                              <w14:solidFill>
                                <w14:schemeClr w14:val="tx1"/>
                              </w14:solidFill>
                            </w14:textFill>
                          </w:rPr>
                        </m:ctrlPr>
                      </m:num>
                      <m:den>
                        <m:r>
                          <w:rPr>
                            <w:rFonts w:ascii="Cambria Math" w:hAnsi="Cambria Math" w:cs="Times New Roman"/>
                            <w:snapToGrid w:val="0"/>
                            <w:color w:val="000000" w:themeColor="text1"/>
                            <w:kern w:val="0"/>
                            <w:szCs w:val="24"/>
                            <w14:textFill>
                              <w14:solidFill>
                                <w14:schemeClr w14:val="tx1"/>
                              </w14:solidFill>
                            </w14:textFill>
                          </w:rPr>
                          <m:t>b</m:t>
                        </m:r>
                        <m:ctrlPr>
                          <w:rPr>
                            <w:rFonts w:ascii="Cambria Math" w:hAnsi="Cambria Math" w:cs="Times New Roman"/>
                            <w:bCs/>
                            <w:i/>
                            <w:snapToGrid w:val="0"/>
                            <w:color w:val="000000" w:themeColor="text1"/>
                            <w:kern w:val="0"/>
                            <w:szCs w:val="24"/>
                            <w14:textFill>
                              <w14:solidFill>
                                <w14:schemeClr w14:val="tx1"/>
                              </w14:solidFill>
                            </w14:textFill>
                          </w:rPr>
                        </m:ctrlPr>
                      </m:den>
                    </m:f>
                    <m:ctrlPr>
                      <w:rPr>
                        <w:rFonts w:ascii="Cambria Math" w:hAnsi="Cambria Math" w:cs="Times New Roman"/>
                        <w:bCs/>
                        <w:i/>
                        <w:snapToGrid w:val="0"/>
                        <w:color w:val="000000" w:themeColor="text1"/>
                        <w:kern w:val="0"/>
                        <w:szCs w:val="24"/>
                        <w14:textFill>
                          <w14:solidFill>
                            <w14:schemeClr w14:val="tx1"/>
                          </w14:solidFill>
                        </w14:textFill>
                      </w:rPr>
                    </m:ctrlPr>
                  </m:e>
                </m:d>
                <m:ctrlPr>
                  <w:rPr>
                    <w:rFonts w:ascii="Cambria Math" w:hAnsi="Cambria Math" w:cs="Times New Roman"/>
                    <w:bCs/>
                    <w:i/>
                    <w:snapToGrid w:val="0"/>
                    <w:color w:val="000000" w:themeColor="text1"/>
                    <w:kern w:val="0"/>
                    <w:szCs w:val="24"/>
                    <w14:textFill>
                      <w14:solidFill>
                        <w14:schemeClr w14:val="tx1"/>
                      </w14:solidFill>
                    </w14:textFill>
                  </w:rPr>
                </m:ctrlPr>
              </m:e>
              <m:sup>
                <m:r>
                  <w:rPr>
                    <w:rFonts w:ascii="Cambria Math" w:hAnsi="Cambria Math" w:cs="Times New Roman"/>
                    <w:snapToGrid w:val="0"/>
                    <w:color w:val="000000" w:themeColor="text1"/>
                    <w:kern w:val="0"/>
                    <w:szCs w:val="24"/>
                    <w14:textFill>
                      <w14:solidFill>
                        <w14:schemeClr w14:val="tx1"/>
                      </w14:solidFill>
                    </w14:textFill>
                  </w:rPr>
                  <m:t>2</m:t>
                </m:r>
                <m:ctrlPr>
                  <w:rPr>
                    <w:rFonts w:ascii="Cambria Math" w:hAnsi="Cambria Math" w:cs="Times New Roman"/>
                    <w:bCs/>
                    <w:i/>
                    <w:snapToGrid w:val="0"/>
                    <w:color w:val="000000" w:themeColor="text1"/>
                    <w:kern w:val="0"/>
                    <w:szCs w:val="24"/>
                    <w14:textFill>
                      <w14:solidFill>
                        <w14:schemeClr w14:val="tx1"/>
                      </w14:solidFill>
                    </w14:textFill>
                  </w:rPr>
                </m:ctrlPr>
              </m:sup>
            </m:sSup>
            <m:r>
              <w:rPr>
                <w:rFonts w:ascii="Cambria Math" w:hAnsi="Cambria Math" w:cs="Times New Roman"/>
                <w:snapToGrid w:val="0"/>
                <w:color w:val="000000" w:themeColor="text1"/>
                <w:kern w:val="0"/>
                <w:szCs w:val="24"/>
                <w14:textFill>
                  <w14:solidFill>
                    <w14:schemeClr w14:val="tx1"/>
                  </w14:solidFill>
                </w14:textFill>
              </w:rPr>
              <m:t>+2.61+</m:t>
            </m:r>
            <m:f>
              <m:fPr>
                <m:ctrlPr>
                  <w:rPr>
                    <w:rFonts w:ascii="Cambria Math" w:hAnsi="Cambria Math" w:cs="Times New Roman"/>
                    <w:bCs/>
                    <w:i/>
                    <w:snapToGrid w:val="0"/>
                    <w:color w:val="000000" w:themeColor="text1"/>
                    <w:kern w:val="0"/>
                    <w:szCs w:val="24"/>
                    <w14:textFill>
                      <w14:solidFill>
                        <w14:schemeClr w14:val="tx1"/>
                      </w14:solidFill>
                    </w14:textFill>
                  </w:rPr>
                </m:ctrlPr>
              </m:fPr>
              <m:num>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bt</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f</m:t>
                    </m:r>
                    <m:ctrlPr>
                      <w:rPr>
                        <w:rFonts w:ascii="Cambria Math" w:hAnsi="Cambria Math" w:cs="Times New Roman"/>
                        <w:bCs/>
                        <w:i/>
                        <w:snapToGrid w:val="0"/>
                        <w:color w:val="000000" w:themeColor="text1"/>
                        <w:kern w:val="0"/>
                        <w:szCs w:val="24"/>
                        <w14:textFill>
                          <w14:solidFill>
                            <w14:schemeClr w14:val="tx1"/>
                          </w14:solidFill>
                        </w14:textFill>
                      </w:rPr>
                    </m:ctrlPr>
                  </m:sub>
                </m:sSub>
                <m:ctrlPr>
                  <w:rPr>
                    <w:rFonts w:ascii="Cambria Math" w:hAnsi="Cambria Math" w:cs="Times New Roman"/>
                    <w:bCs/>
                    <w:i/>
                    <w:snapToGrid w:val="0"/>
                    <w:color w:val="000000" w:themeColor="text1"/>
                    <w:kern w:val="0"/>
                    <w:szCs w:val="24"/>
                    <w14:textFill>
                      <w14:solidFill>
                        <w14:schemeClr w14:val="tx1"/>
                      </w14:solidFill>
                    </w14:textFill>
                  </w:rPr>
                </m:ctrlPr>
              </m:num>
              <m:den>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c1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t</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w</m:t>
                    </m:r>
                    <m:ctrlPr>
                      <w:rPr>
                        <w:rFonts w:ascii="Cambria Math" w:hAnsi="Cambria Math" w:cs="Times New Roman"/>
                        <w:bCs/>
                        <w:i/>
                        <w:snapToGrid w:val="0"/>
                        <w:color w:val="000000" w:themeColor="text1"/>
                        <w:kern w:val="0"/>
                        <w:szCs w:val="24"/>
                        <w14:textFill>
                          <w14:solidFill>
                            <w14:schemeClr w14:val="tx1"/>
                          </w14:solidFill>
                        </w14:textFill>
                      </w:rPr>
                    </m:ctrlPr>
                  </m:sub>
                </m:sSub>
                <m:ctrlPr>
                  <w:rPr>
                    <w:rFonts w:ascii="Cambria Math" w:hAnsi="Cambria Math" w:cs="Times New Roman"/>
                    <w:bCs/>
                    <w:i/>
                    <w:snapToGrid w:val="0"/>
                    <w:color w:val="000000" w:themeColor="text1"/>
                    <w:kern w:val="0"/>
                    <w:szCs w:val="24"/>
                    <w14:textFill>
                      <w14:solidFill>
                        <w14:schemeClr w14:val="tx1"/>
                      </w14:solidFill>
                    </w14:textFill>
                  </w:rPr>
                </m:ctrlPr>
              </m:den>
            </m:f>
            <m:ctrlPr>
              <w:rPr>
                <w:rFonts w:ascii="Cambria Math" w:hAnsi="Cambria Math" w:cs="Times New Roman"/>
                <w:bCs/>
                <w:i/>
                <w:snapToGrid w:val="0"/>
                <w:color w:val="000000" w:themeColor="text1"/>
                <w:kern w:val="0"/>
                <w:szCs w:val="24"/>
                <w14:textFill>
                  <w14:solidFill>
                    <w14:schemeClr w14:val="tx1"/>
                  </w14:solidFill>
                </w14:textFill>
              </w:rPr>
            </m:ctrlPr>
          </m:num>
          <m:den>
            <m:sSup>
              <m:sSupPr>
                <m:ctrlPr>
                  <w:rPr>
                    <w:rFonts w:ascii="Cambria Math" w:hAnsi="Cambria Math" w:cs="Times New Roman"/>
                    <w:bCs/>
                    <w:i/>
                    <w:snapToGrid w:val="0"/>
                    <w:color w:val="000000" w:themeColor="text1"/>
                    <w:kern w:val="0"/>
                    <w:szCs w:val="24"/>
                    <w14:textFill>
                      <w14:solidFill>
                        <w14:schemeClr w14:val="tx1"/>
                      </w14:solidFill>
                    </w14:textFill>
                  </w:rPr>
                </m:ctrlPr>
              </m:sSupPr>
              <m:e>
                <m:d>
                  <m:dPr>
                    <m:ctrlPr>
                      <w:rPr>
                        <w:rFonts w:ascii="Cambria Math" w:hAnsi="Cambria Math" w:cs="Times New Roman"/>
                        <w:bCs/>
                        <w:i/>
                        <w:snapToGrid w:val="0"/>
                        <w:color w:val="000000" w:themeColor="text1"/>
                        <w:kern w:val="0"/>
                        <w:szCs w:val="24"/>
                        <w14:textFill>
                          <w14:solidFill>
                            <w14:schemeClr w14:val="tx1"/>
                          </w14:solidFill>
                        </w14:textFill>
                      </w:rPr>
                    </m:ctrlPr>
                  </m:dPr>
                  <m:e>
                    <m:f>
                      <m:fPr>
                        <m:ctrlPr>
                          <w:rPr>
                            <w:rFonts w:ascii="Cambria Math" w:hAnsi="Cambria Math" w:cs="Times New Roman"/>
                            <w:bCs/>
                            <w:i/>
                            <w:snapToGrid w:val="0"/>
                            <w:color w:val="000000" w:themeColor="text1"/>
                            <w:kern w:val="0"/>
                            <w:szCs w:val="24"/>
                            <w14:textFill>
                              <w14:solidFill>
                                <w14:schemeClr w14:val="tx1"/>
                              </w14:solidFill>
                            </w14:textFill>
                          </w:rPr>
                        </m:ctrlPr>
                      </m:fPr>
                      <m:num>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b1</m:t>
                            </m:r>
                            <m:ctrlPr>
                              <w:rPr>
                                <w:rFonts w:ascii="Cambria Math" w:hAnsi="Cambria Math" w:cs="Times New Roman"/>
                                <w:bCs/>
                                <w:i/>
                                <w:snapToGrid w:val="0"/>
                                <w:color w:val="000000" w:themeColor="text1"/>
                                <w:kern w:val="0"/>
                                <w:szCs w:val="24"/>
                                <w14:textFill>
                                  <w14:solidFill>
                                    <w14:schemeClr w14:val="tx1"/>
                                  </w14:solidFill>
                                </w14:textFill>
                              </w:rPr>
                            </m:ctrlPr>
                          </m:sub>
                        </m:sSub>
                        <m:ctrlPr>
                          <w:rPr>
                            <w:rFonts w:ascii="Cambria Math" w:hAnsi="Cambria Math" w:cs="Times New Roman"/>
                            <w:bCs/>
                            <w:i/>
                            <w:snapToGrid w:val="0"/>
                            <w:color w:val="000000" w:themeColor="text1"/>
                            <w:kern w:val="0"/>
                            <w:szCs w:val="24"/>
                            <w14:textFill>
                              <w14:solidFill>
                                <w14:schemeClr w14:val="tx1"/>
                              </w14:solidFill>
                            </w14:textFill>
                          </w:rPr>
                        </m:ctrlPr>
                      </m:num>
                      <m:den>
                        <m:r>
                          <w:rPr>
                            <w:rFonts w:ascii="Cambria Math" w:hAnsi="Cambria Math" w:cs="Times New Roman"/>
                            <w:snapToGrid w:val="0"/>
                            <w:color w:val="000000" w:themeColor="text1"/>
                            <w:kern w:val="0"/>
                            <w:szCs w:val="24"/>
                            <w14:textFill>
                              <w14:solidFill>
                                <w14:schemeClr w14:val="tx1"/>
                              </w14:solidFill>
                            </w14:textFill>
                          </w:rPr>
                          <m:t>b</m:t>
                        </m:r>
                        <m:ctrlPr>
                          <w:rPr>
                            <w:rFonts w:ascii="Cambria Math" w:hAnsi="Cambria Math" w:cs="Times New Roman"/>
                            <w:bCs/>
                            <w:i/>
                            <w:snapToGrid w:val="0"/>
                            <w:color w:val="000000" w:themeColor="text1"/>
                            <w:kern w:val="0"/>
                            <w:szCs w:val="24"/>
                            <w14:textFill>
                              <w14:solidFill>
                                <w14:schemeClr w14:val="tx1"/>
                              </w14:solidFill>
                            </w14:textFill>
                          </w:rPr>
                        </m:ctrlPr>
                      </m:den>
                    </m:f>
                    <m:ctrlPr>
                      <w:rPr>
                        <w:rFonts w:ascii="Cambria Math" w:hAnsi="Cambria Math" w:cs="Times New Roman"/>
                        <w:bCs/>
                        <w:i/>
                        <w:snapToGrid w:val="0"/>
                        <w:color w:val="000000" w:themeColor="text1"/>
                        <w:kern w:val="0"/>
                        <w:szCs w:val="24"/>
                        <w14:textFill>
                          <w14:solidFill>
                            <w14:schemeClr w14:val="tx1"/>
                          </w14:solidFill>
                        </w14:textFill>
                      </w:rPr>
                    </m:ctrlPr>
                  </m:e>
                </m:d>
                <m:ctrlPr>
                  <w:rPr>
                    <w:rFonts w:ascii="Cambria Math" w:hAnsi="Cambria Math" w:cs="Times New Roman"/>
                    <w:bCs/>
                    <w:i/>
                    <w:snapToGrid w:val="0"/>
                    <w:color w:val="000000" w:themeColor="text1"/>
                    <w:kern w:val="0"/>
                    <w:szCs w:val="24"/>
                    <w14:textFill>
                      <w14:solidFill>
                        <w14:schemeClr w14:val="tx1"/>
                      </w14:solidFill>
                    </w14:textFill>
                  </w:rPr>
                </m:ctrlPr>
              </m:e>
              <m:sup>
                <m:r>
                  <w:rPr>
                    <w:rFonts w:ascii="Cambria Math" w:hAnsi="Cambria Math" w:cs="Times New Roman"/>
                    <w:snapToGrid w:val="0"/>
                    <w:color w:val="000000" w:themeColor="text1"/>
                    <w:kern w:val="0"/>
                    <w:szCs w:val="24"/>
                    <w14:textFill>
                      <w14:solidFill>
                        <w14:schemeClr w14:val="tx1"/>
                      </w14:solidFill>
                    </w14:textFill>
                  </w:rPr>
                  <m:t>2</m:t>
                </m:r>
                <m:ctrlPr>
                  <w:rPr>
                    <w:rFonts w:ascii="Cambria Math" w:hAnsi="Cambria Math" w:cs="Times New Roman"/>
                    <w:bCs/>
                    <w:i/>
                    <w:snapToGrid w:val="0"/>
                    <w:color w:val="000000" w:themeColor="text1"/>
                    <w:kern w:val="0"/>
                    <w:szCs w:val="24"/>
                    <w14:textFill>
                      <w14:solidFill>
                        <w14:schemeClr w14:val="tx1"/>
                      </w14:solidFill>
                    </w14:textFill>
                  </w:rPr>
                </m:ctrlPr>
              </m:sup>
            </m:sSup>
            <m:r>
              <w:rPr>
                <w:rFonts w:ascii="Cambria Math" w:hAnsi="Cambria Math" w:cs="Times New Roman"/>
                <w:snapToGrid w:val="0"/>
                <w:color w:val="000000" w:themeColor="text1"/>
                <w:kern w:val="0"/>
                <w:szCs w:val="24"/>
                <w14:textFill>
                  <w14:solidFill>
                    <w14:schemeClr w14:val="tx1"/>
                  </w14:solidFill>
                </w14:textFill>
              </w:rPr>
              <m:t>+2.6</m:t>
            </m:r>
            <m:ctrlPr>
              <w:rPr>
                <w:rFonts w:ascii="Cambria Math" w:hAnsi="Cambria Math" w:cs="Times New Roman"/>
                <w:bCs/>
                <w:i/>
                <w:snapToGrid w:val="0"/>
                <w:color w:val="000000" w:themeColor="text1"/>
                <w:kern w:val="0"/>
                <w:szCs w:val="24"/>
                <w14:textFill>
                  <w14:solidFill>
                    <w14:schemeClr w14:val="tx1"/>
                  </w14:solidFill>
                </w14:textFill>
              </w:rPr>
            </m:ctrlPr>
          </m:den>
        </m:f>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b1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h</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c1</m:t>
            </m:r>
            <m:ctrlPr>
              <w:rPr>
                <w:rFonts w:ascii="Cambria Math" w:hAnsi="Cambria Math" w:cs="Times New Roman"/>
                <w:bCs/>
                <w:i/>
                <w:snapToGrid w:val="0"/>
                <w:color w:val="000000" w:themeColor="text1"/>
                <w:kern w:val="0"/>
                <w:szCs w:val="24"/>
                <w14:textFill>
                  <w14:solidFill>
                    <w14:schemeClr w14:val="tx1"/>
                  </w14:solidFill>
                </w14:textFill>
              </w:rPr>
            </m:ctrlPr>
          </m:sub>
        </m:sSub>
        <m:sSub>
          <m:sSubPr>
            <m:ctrlPr>
              <w:rPr>
                <w:rFonts w:ascii="Cambria Math" w:hAnsi="Cambria Math" w:cs="Times New Roman"/>
                <w:bCs/>
                <w:i/>
                <w:snapToGrid w:val="0"/>
                <w:color w:val="000000" w:themeColor="text1"/>
                <w:kern w:val="0"/>
                <w:szCs w:val="24"/>
                <w14:textFill>
                  <w14:solidFill>
                    <w14:schemeClr w14:val="tx1"/>
                  </w14:solidFill>
                </w14:textFill>
              </w:rPr>
            </m:ctrlPr>
          </m:sSubPr>
          <m:e>
            <m:r>
              <w:rPr>
                <w:rFonts w:ascii="Cambria Math" w:hAnsi="Cambria Math" w:cs="Times New Roman"/>
                <w:snapToGrid w:val="0"/>
                <w:color w:val="000000" w:themeColor="text1"/>
                <w:kern w:val="0"/>
                <w:szCs w:val="24"/>
                <w14:textFill>
                  <w14:solidFill>
                    <w14:schemeClr w14:val="tx1"/>
                  </w14:solidFill>
                </w14:textFill>
              </w:rPr>
              <m:t>t</m:t>
            </m:r>
            <m:ctrlPr>
              <w:rPr>
                <w:rFonts w:ascii="Cambria Math" w:hAnsi="Cambria Math" w:cs="Times New Roman"/>
                <w:bCs/>
                <w:i/>
                <w:snapToGrid w:val="0"/>
                <w:color w:val="000000" w:themeColor="text1"/>
                <w:kern w:val="0"/>
                <w:szCs w:val="24"/>
                <w14:textFill>
                  <w14:solidFill>
                    <w14:schemeClr w14:val="tx1"/>
                  </w14:solidFill>
                </w14:textFill>
              </w:rPr>
            </m:ctrlPr>
          </m:e>
          <m:sub>
            <m:r>
              <w:rPr>
                <w:rFonts w:ascii="Cambria Math" w:hAnsi="Cambria Math" w:cs="Times New Roman"/>
                <w:snapToGrid w:val="0"/>
                <w:color w:val="000000" w:themeColor="text1"/>
                <w:kern w:val="0"/>
                <w:szCs w:val="24"/>
                <w14:textFill>
                  <w14:solidFill>
                    <w14:schemeClr w14:val="tx1"/>
                  </w14:solidFill>
                </w14:textFill>
              </w:rPr>
              <m:t>w</m:t>
            </m:r>
            <m:ctrlPr>
              <w:rPr>
                <w:rFonts w:ascii="Cambria Math" w:hAnsi="Cambria Math" w:cs="Times New Roman"/>
                <w:bCs/>
                <w:i/>
                <w:snapToGrid w:val="0"/>
                <w:color w:val="000000" w:themeColor="text1"/>
                <w:kern w:val="0"/>
                <w:szCs w:val="24"/>
                <w14:textFill>
                  <w14:solidFill>
                    <w14:schemeClr w14:val="tx1"/>
                  </w14:solidFill>
                </w14:textFill>
              </w:rPr>
            </m:ctrlPr>
          </m:sub>
        </m:sSub>
      </m:oMath>
      <w:r>
        <w:rPr>
          <w:rFonts w:cs="Times New Roman"/>
          <w:bCs/>
          <w:snapToGrid w:val="0"/>
          <w:color w:val="000000" w:themeColor="text1"/>
          <w:kern w:val="0"/>
          <w:position w:val="-10"/>
          <w:szCs w:val="20"/>
          <w14:textFill>
            <w14:solidFill>
              <w14:schemeClr w14:val="tx1"/>
            </w14:solidFill>
          </w14:textFill>
        </w:rPr>
        <w:t xml:space="preserve">            </w:t>
      </w:r>
      <w:r>
        <w:rPr>
          <w:rFonts w:hint="eastAsia" w:cs="Times New Roman"/>
          <w:bCs/>
          <w:snapToGrid w:val="0"/>
          <w:color w:val="000000" w:themeColor="text1"/>
          <w:kern w:val="0"/>
          <w:position w:val="-10"/>
          <w:szCs w:val="20"/>
          <w14:textFill>
            <w14:solidFill>
              <w14:schemeClr w14:val="tx1"/>
            </w14:solidFill>
          </w14:textFill>
        </w:rPr>
        <w:t>（9</w:t>
      </w:r>
      <w:r>
        <w:rPr>
          <w:rFonts w:cs="Times New Roman"/>
          <w:bCs/>
          <w:snapToGrid w:val="0"/>
          <w:color w:val="000000" w:themeColor="text1"/>
          <w:kern w:val="0"/>
          <w:position w:val="-10"/>
          <w:szCs w:val="20"/>
          <w14:textFill>
            <w14:solidFill>
              <w14:schemeClr w14:val="tx1"/>
            </w14:solidFill>
          </w14:textFill>
        </w:rPr>
        <w:t>.2.7-7</w:t>
      </w:r>
      <w:r>
        <w:rPr>
          <w:rFonts w:hint="eastAsia" w:cs="Times New Roman"/>
          <w:bCs/>
          <w:snapToGrid w:val="0"/>
          <w:color w:val="000000" w:themeColor="text1"/>
          <w:kern w:val="0"/>
          <w:position w:val="-10"/>
          <w:szCs w:val="20"/>
          <w14:textFill>
            <w14:solidFill>
              <w14:schemeClr w14:val="tx1"/>
            </w14:solidFill>
          </w14:textFill>
        </w:rPr>
        <w:t>）</w:t>
      </w:r>
    </w:p>
    <w:p>
      <w:pPr>
        <w:widowControl/>
        <w:ind w:firstLine="0" w:firstLineChars="0"/>
        <w:jc w:val="center"/>
        <w:rPr>
          <w:rFonts w:cs="Times New Roman"/>
          <w:bCs/>
          <w:snapToGrid w:val="0"/>
          <w:color w:val="000000" w:themeColor="text1"/>
          <w:kern w:val="0"/>
          <w:sz w:val="24"/>
          <w:szCs w:val="24"/>
          <w14:textFill>
            <w14:solidFill>
              <w14:schemeClr w14:val="tx1"/>
            </w14:solidFill>
          </w14:textFill>
        </w:rPr>
      </w:pPr>
      <w:r>
        <w:rPr>
          <w:rFonts w:cs="Times New Roman"/>
          <w:bCs/>
          <w:snapToGrid w:val="0"/>
          <w:color w:val="000000" w:themeColor="text1"/>
          <w:kern w:val="0"/>
          <w:sz w:val="24"/>
          <w:szCs w:val="24"/>
          <w14:textFill>
            <w14:solidFill>
              <w14:schemeClr w14:val="tx1"/>
            </w14:solidFill>
          </w14:textFill>
        </w:rPr>
        <w:drawing>
          <wp:inline distT="0" distB="0" distL="0" distR="0">
            <wp:extent cx="1778000" cy="1498600"/>
            <wp:effectExtent l="0" t="0" r="0" b="635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1778000" cy="1498600"/>
                    </a:xfrm>
                    <a:prstGeom prst="rect">
                      <a:avLst/>
                    </a:prstGeom>
                    <a:noFill/>
                    <a:ln>
                      <a:noFill/>
                    </a:ln>
                  </pic:spPr>
                </pic:pic>
              </a:graphicData>
            </a:graphic>
          </wp:inline>
        </w:drawing>
      </w:r>
    </w:p>
    <w:p>
      <w:pPr>
        <w:spacing w:line="360" w:lineRule="auto"/>
        <w:ind w:firstLine="36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图9</w:t>
      </w:r>
      <w:r>
        <w:rPr>
          <w:bCs/>
          <w:color w:val="000000" w:themeColor="text1"/>
          <w:sz w:val="18"/>
          <w:szCs w:val="21"/>
          <w14:textFill>
            <w14:solidFill>
              <w14:schemeClr w14:val="tx1"/>
            </w14:solidFill>
          </w14:textFill>
        </w:rPr>
        <w:t>.2.7</w:t>
      </w:r>
      <w:r>
        <w:rPr>
          <w:rFonts w:hint="eastAsia"/>
          <w:bCs/>
          <w:color w:val="000000" w:themeColor="text1"/>
          <w:sz w:val="18"/>
          <w:szCs w:val="21"/>
          <w14:textFill>
            <w14:solidFill>
              <w14:schemeClr w14:val="tx1"/>
            </w14:solidFill>
          </w14:textFill>
        </w:rPr>
        <w:t>-1</w:t>
      </w:r>
      <w:r>
        <w:rPr>
          <w:bCs/>
          <w:color w:val="000000" w:themeColor="text1"/>
          <w:sz w:val="18"/>
          <w:szCs w:val="21"/>
          <w14:textFill>
            <w14:solidFill>
              <w14:schemeClr w14:val="tx1"/>
            </w14:solidFill>
          </w14:textFill>
        </w:rPr>
        <w:t xml:space="preserve">  </w:t>
      </w:r>
      <w:r>
        <w:rPr>
          <w:rFonts w:hint="eastAsia"/>
          <w:bCs/>
          <w:color w:val="000000" w:themeColor="text1"/>
          <w:sz w:val="18"/>
          <w:szCs w:val="21"/>
          <w14:textFill>
            <w14:solidFill>
              <w14:schemeClr w14:val="tx1"/>
            </w14:solidFill>
          </w14:textFill>
        </w:rPr>
        <w:t>十字形截面柱</w:t>
      </w:r>
    </w:p>
    <w:p>
      <w:pPr>
        <w:spacing w:line="400" w:lineRule="exact"/>
        <w:ind w:left="1362" w:leftChars="504" w:hanging="304" w:hangingChars="145"/>
        <w:rPr>
          <w:bCs/>
          <w:snapToGrid w:val="0"/>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h</w:t>
      </w:r>
      <w:r>
        <w:rPr>
          <w:bCs/>
          <w:color w:val="000000" w:themeColor="text1"/>
          <w:szCs w:val="21"/>
          <w:vertAlign w:val="subscript"/>
          <w14:textFill>
            <w14:solidFill>
              <w14:schemeClr w14:val="tx1"/>
            </w14:solidFill>
          </w14:textFill>
        </w:rPr>
        <w:t>c1</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柱翼缘中心线之间的宽度和梁腹板高度；</w:t>
      </w:r>
    </w:p>
    <w:p>
      <w:pPr>
        <w:spacing w:line="400" w:lineRule="exact"/>
        <w:ind w:left="1362" w:leftChars="504" w:hanging="304" w:hangingChars="145"/>
        <w:rPr>
          <w:bCs/>
          <w:snapToGrid w:val="0"/>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h</w:t>
      </w:r>
      <w:r>
        <w:rPr>
          <w:bCs/>
          <w:color w:val="000000" w:themeColor="text1"/>
          <w:szCs w:val="21"/>
          <w:vertAlign w:val="subscript"/>
          <w14:textFill>
            <w14:solidFill>
              <w14:schemeClr w14:val="tx1"/>
            </w14:solidFill>
          </w14:textFill>
        </w:rPr>
        <w:t>b1</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梁翼缘中心线之间的距离；</w:t>
      </w:r>
    </w:p>
    <w:p>
      <w:pPr>
        <w:spacing w:line="400" w:lineRule="exact"/>
        <w:ind w:left="1362" w:leftChars="504" w:hanging="304" w:hangingChars="145"/>
        <w:rPr>
          <w:bCs/>
          <w:snapToGrid w:val="0"/>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d</w:t>
      </w:r>
      <w:r>
        <w:rPr>
          <w:bCs/>
          <w:color w:val="000000" w:themeColor="text1"/>
          <w:szCs w:val="21"/>
          <w:vertAlign w:val="subscript"/>
          <w14:textFill>
            <w14:solidFill>
              <w14:schemeClr w14:val="tx1"/>
            </w14:solidFill>
          </w14:textFill>
        </w:rPr>
        <w:t>c</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钢管中径；</w:t>
      </w:r>
    </w:p>
    <w:p>
      <w:pPr>
        <w:spacing w:line="400" w:lineRule="exact"/>
        <w:ind w:left="1362" w:leftChars="504" w:hanging="304" w:hangingChars="14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t</w:t>
      </w:r>
      <w:r>
        <w:rPr>
          <w:bCs/>
          <w:color w:val="000000" w:themeColor="text1"/>
          <w:szCs w:val="21"/>
          <w:vertAlign w:val="subscript"/>
          <w14:textFill>
            <w14:solidFill>
              <w14:schemeClr w14:val="tx1"/>
            </w14:solidFill>
          </w14:textFill>
        </w:rPr>
        <w:t>c</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节点域钢管壁厚。</w:t>
      </w:r>
    </w:p>
    <w:p>
      <w:pPr>
        <w:spacing w:line="400" w:lineRule="exact"/>
        <w:ind w:firstLine="840" w:firstLineChars="400"/>
        <w:rPr>
          <w:bCs/>
          <w:color w:val="000000" w:themeColor="text1"/>
          <w:szCs w:val="20"/>
          <w14:textFill>
            <w14:solidFill>
              <w14:schemeClr w14:val="tx1"/>
            </w14:solidFill>
          </w14:textFill>
        </w:rPr>
      </w:pP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PES</w:t>
      </w:r>
      <w:r>
        <w:rPr>
          <w:rFonts w:hint="eastAsia"/>
          <w:bCs/>
          <w:color w:val="000000" w:themeColor="text1"/>
          <w14:textFill>
            <w14:solidFill>
              <w14:schemeClr w14:val="tx1"/>
            </w14:solidFill>
          </w14:textFill>
        </w:rPr>
        <w:t>和</w:t>
      </w:r>
      <w:r>
        <w:rPr>
          <w:bCs/>
          <w:color w:val="000000" w:themeColor="text1"/>
          <w14:textFill>
            <w14:solidFill>
              <w14:schemeClr w14:val="tx1"/>
            </w14:solidFill>
          </w14:textFill>
        </w:rPr>
        <w:t>ES1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ES2</w:t>
      </w:r>
      <w:r>
        <w:rPr>
          <w:rFonts w:hint="eastAsia"/>
          <w:bCs/>
          <w:color w:val="000000" w:themeColor="text1"/>
          <w14:textFill>
            <w14:solidFill>
              <w14:schemeClr w14:val="tx1"/>
            </w14:solidFill>
          </w14:textFill>
        </w:rPr>
        <w:t>的节点域承载力，应符合下列公式的要求：</w:t>
      </w:r>
    </w:p>
    <w:p>
      <w:pPr>
        <w:spacing w:line="360" w:lineRule="auto"/>
        <w:ind w:left="420" w:firstLine="420"/>
        <w:jc w:val="right"/>
        <w:rPr>
          <w:rFonts w:cs="Times New Roman"/>
          <w:bCs/>
          <w:snapToGrid w:val="0"/>
          <w:color w:val="000000" w:themeColor="text1"/>
          <w:kern w:val="0"/>
          <w:position w:val="-10"/>
          <w:szCs w:val="24"/>
          <w14:textFill>
            <w14:solidFill>
              <w14:schemeClr w14:val="tx1"/>
            </w14:solidFill>
          </w14:textFill>
        </w:rPr>
      </w:pPr>
      <w:r>
        <w:rPr>
          <w:rFonts w:cs="Times New Roman"/>
          <w:bCs/>
          <w:color w:val="000000" w:themeColor="text1"/>
          <w:szCs w:val="24"/>
          <w14:textFill>
            <w14:solidFill>
              <w14:schemeClr w14:val="tx1"/>
            </w14:solidFill>
          </w14:textFill>
        </w:rPr>
        <w:t xml:space="preserve">  </w:t>
      </w:r>
      <m:oMath>
        <m:f>
          <m:fPr>
            <m:ctrlPr>
              <w:rPr>
                <w:rFonts w:ascii="Cambria Math" w:hAnsi="Cambria Math" w:cs="Times New Roman"/>
                <w:bCs/>
                <w:i/>
                <w:color w:val="000000" w:themeColor="text1"/>
                <w:szCs w:val="24"/>
                <w14:textFill>
                  <w14:solidFill>
                    <w14:schemeClr w14:val="tx1"/>
                  </w14:solidFill>
                </w14:textFill>
              </w:rPr>
            </m:ctrlPr>
          </m:fPr>
          <m:num>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bL</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bR</m:t>
                </m:r>
                <m:ctrlPr>
                  <w:rPr>
                    <w:rFonts w:ascii="Cambria Math" w:hAnsi="Cambria Math" w:cs="Times New Roman"/>
                    <w:bCs/>
                    <w:i/>
                    <w:color w:val="000000" w:themeColor="text1"/>
                    <w:szCs w:val="24"/>
                    <w14:textFill>
                      <w14:solidFill>
                        <w14:schemeClr w14:val="tx1"/>
                      </w14:solidFill>
                    </w14:textFill>
                  </w:rPr>
                </m:ctrlPr>
              </m:sub>
            </m:sSub>
            <m:ctrlPr>
              <w:rPr>
                <w:rFonts w:ascii="Cambria Math" w:hAnsi="Cambria Math" w:cs="Times New Roman"/>
                <w:bCs/>
                <w:i/>
                <w:color w:val="000000" w:themeColor="text1"/>
                <w:szCs w:val="24"/>
                <w14:textFill>
                  <w14:solidFill>
                    <w14:schemeClr w14:val="tx1"/>
                  </w14:solidFill>
                </w14:textFill>
              </w:rPr>
            </m:ctrlPr>
          </m:num>
          <m:den>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p</m:t>
                </m:r>
                <m:ctrlPr>
                  <w:rPr>
                    <w:rFonts w:ascii="Cambria Math" w:hAnsi="Cambria Math" w:cs="Times New Roman"/>
                    <w:bCs/>
                    <w:i/>
                    <w:color w:val="000000" w:themeColor="text1"/>
                    <w:szCs w:val="24"/>
                    <w14:textFill>
                      <w14:solidFill>
                        <w14:schemeClr w14:val="tx1"/>
                      </w14:solidFill>
                    </w14:textFill>
                  </w:rPr>
                </m:ctrlPr>
              </m:sub>
            </m:sSub>
            <m:ctrlPr>
              <w:rPr>
                <w:rFonts w:ascii="Cambria Math" w:hAnsi="Cambria Math" w:cs="Times New Roman"/>
                <w:bCs/>
                <w:i/>
                <w:color w:val="000000" w:themeColor="text1"/>
                <w:szCs w:val="24"/>
                <w14:textFill>
                  <w14:solidFill>
                    <w14:schemeClr w14:val="tx1"/>
                  </w14:solidFill>
                </w14:textFill>
              </w:rPr>
            </m:ctrlPr>
          </m:den>
        </m:f>
        <m:r>
          <w:rPr>
            <w:rFonts w:ascii="Cambria Math" w:hAnsi="Cambria Math" w:cs="Times New Roman"/>
            <w:color w:val="000000" w:themeColor="text1"/>
            <w:szCs w:val="24"/>
            <w14:textFill>
              <w14:solidFill>
                <w14:schemeClr w14:val="tx1"/>
              </w14:solidFill>
            </w14:textFill>
          </w:rPr>
          <m:t>≤</m:t>
        </m:r>
        <m:f>
          <m:fPr>
            <m:ctrlPr>
              <w:rPr>
                <w:rFonts w:ascii="Cambria Math" w:hAnsi="Cambria Math" w:cs="Times New Roman"/>
                <w:bCs/>
                <w:i/>
                <w:color w:val="000000" w:themeColor="text1"/>
                <w:szCs w:val="24"/>
                <w14:textFill>
                  <w14:solidFill>
                    <w14:schemeClr w14:val="tx1"/>
                  </w14:solidFill>
                </w14:textFill>
              </w:rPr>
            </m:ctrlPr>
          </m:fPr>
          <m:num>
            <m:sSub>
              <m:sSubPr>
                <m:ctrlPr>
                  <w:rPr>
                    <w:rFonts w:ascii="Cambria Math" w:hAnsi="Cambria Math" w:eastAsia="楷体_GB2312" w:cs="Calibri"/>
                    <w:color w:val="000000" w:themeColor="text1"/>
                    <w:kern w:val="0"/>
                    <w:szCs w:val="21"/>
                    <w14:textFill>
                      <w14:solidFill>
                        <w14:schemeClr w14:val="tx1"/>
                      </w14:solidFill>
                    </w14:textFill>
                  </w:rPr>
                </m:ctrlPr>
              </m:sSubPr>
              <m:e>
                <m: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pc</m:t>
                </m:r>
                <m:ctrlPr>
                  <w:rPr>
                    <w:rFonts w:ascii="Cambria Math" w:hAnsi="Cambria Math" w:eastAsia="楷体_GB2312" w:cs="Calibri"/>
                    <w:color w:val="000000" w:themeColor="text1"/>
                    <w:kern w:val="0"/>
                    <w:szCs w:val="21"/>
                    <w14:textFill>
                      <w14:solidFill>
                        <w14:schemeClr w14:val="tx1"/>
                      </w14:solidFill>
                    </w14:textFill>
                  </w:rPr>
                </m:ctrlPr>
              </m:sub>
            </m:sSub>
            <m:ctrlPr>
              <w:rPr>
                <w:rFonts w:ascii="Cambria Math" w:hAnsi="Cambria Math" w:cs="Times New Roman"/>
                <w:bCs/>
                <w:i/>
                <w:color w:val="000000" w:themeColor="text1"/>
                <w:szCs w:val="24"/>
                <w14:textFill>
                  <w14:solidFill>
                    <w14:schemeClr w14:val="tx1"/>
                  </w14:solidFill>
                </w14:textFill>
              </w:rPr>
            </m:ctrlPr>
          </m:num>
          <m:den>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γ</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RE</m:t>
                </m:r>
                <m:ctrlPr>
                  <w:rPr>
                    <w:rFonts w:ascii="Cambria Math" w:hAnsi="Cambria Math" w:cs="Times New Roman"/>
                    <w:bCs/>
                    <w:i/>
                    <w:color w:val="000000" w:themeColor="text1"/>
                    <w:szCs w:val="24"/>
                    <w14:textFill>
                      <w14:solidFill>
                        <w14:schemeClr w14:val="tx1"/>
                      </w14:solidFill>
                    </w14:textFill>
                  </w:rPr>
                </m:ctrlPr>
              </m:sub>
            </m:sSub>
            <m:ctrlPr>
              <w:rPr>
                <w:rFonts w:ascii="Cambria Math" w:hAnsi="Cambria Math" w:cs="Times New Roman"/>
                <w:bCs/>
                <w:i/>
                <w:color w:val="000000" w:themeColor="text1"/>
                <w:szCs w:val="24"/>
                <w14:textFill>
                  <w14:solidFill>
                    <w14:schemeClr w14:val="tx1"/>
                  </w14:solidFill>
                </w14:textFill>
              </w:rPr>
            </m:ctrlPr>
          </m:den>
        </m:f>
      </m:oMath>
      <w:r>
        <w:rPr>
          <w:rFonts w:cs="Times New Roman"/>
          <w:bCs/>
          <w:color w:val="000000" w:themeColor="text1"/>
          <w:szCs w:val="24"/>
          <w14:textFill>
            <w14:solidFill>
              <w14:schemeClr w14:val="tx1"/>
            </w14:solidFill>
          </w14:textFill>
        </w:rPr>
        <w:t xml:space="preserve">                   </w:t>
      </w:r>
      <w:r>
        <w:rPr>
          <w:rFonts w:hint="eastAsia" w:cs="Times New Roman"/>
          <w:bCs/>
          <w:snapToGrid w:val="0"/>
          <w:color w:val="000000" w:themeColor="text1"/>
          <w:kern w:val="0"/>
          <w:position w:val="-10"/>
          <w:szCs w:val="24"/>
          <w14:textFill>
            <w14:solidFill>
              <w14:schemeClr w14:val="tx1"/>
            </w14:solidFill>
          </w14:textFill>
        </w:rPr>
        <w:t>（9</w:t>
      </w:r>
      <w:r>
        <w:rPr>
          <w:rFonts w:cs="Times New Roman"/>
          <w:bCs/>
          <w:snapToGrid w:val="0"/>
          <w:color w:val="000000" w:themeColor="text1"/>
          <w:kern w:val="0"/>
          <w:position w:val="-10"/>
          <w:szCs w:val="24"/>
          <w14:textFill>
            <w14:solidFill>
              <w14:schemeClr w14:val="tx1"/>
            </w14:solidFill>
          </w14:textFill>
        </w:rPr>
        <w:t>.2.7-8</w:t>
      </w:r>
      <w:r>
        <w:rPr>
          <w:rFonts w:hint="eastAsia" w:cs="Times New Roman"/>
          <w:bCs/>
          <w:snapToGrid w:val="0"/>
          <w:color w:val="000000" w:themeColor="text1"/>
          <w:kern w:val="0"/>
          <w:position w:val="-10"/>
          <w:szCs w:val="24"/>
          <w14:textFill>
            <w14:solidFill>
              <w14:schemeClr w14:val="tx1"/>
            </w14:solidFill>
          </w14:textFill>
        </w:rPr>
        <w:t>）</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14:textFill>
            <w14:solidFill>
              <w14:schemeClr w14:val="tx1"/>
            </w14:solidFill>
          </w14:textFill>
        </w:rPr>
        <w:t>当</w:t>
      </w:r>
      <m:oMath>
        <m:sSub>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 xml:space="preserve"> 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ps.n</m:t>
            </m:r>
            <m:ctrlPr>
              <w:rPr>
                <w:rFonts w:ascii="Cambria Math" w:hAnsi="Cambria Math"/>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≤0.6</m:t>
        </m:r>
      </m:oMath>
      <w:r>
        <w:rPr>
          <w:rFonts w:hint="eastAsia"/>
          <w:bCs/>
          <w:color w:val="000000" w:themeColor="text1"/>
          <w:szCs w:val="21"/>
          <w14:textFill>
            <w14:solidFill>
              <w14:schemeClr w14:val="tx1"/>
            </w14:solidFill>
          </w14:textFill>
        </w:rPr>
        <w:t>时：</w:t>
      </w:r>
    </w:p>
    <w:p>
      <w:pPr>
        <w:spacing w:line="360" w:lineRule="auto"/>
        <w:ind w:left="638" w:leftChars="304" w:firstLine="420"/>
        <w:jc w:val="right"/>
        <w:rPr>
          <w:bCs/>
          <w:color w:val="000000" w:themeColor="text1"/>
          <w:szCs w:val="21"/>
          <w14:textFill>
            <w14:solidFill>
              <w14:schemeClr w14:val="tx1"/>
            </w14:solidFill>
          </w14:textFill>
        </w:rPr>
      </w:pPr>
      <m:oMath>
        <m:sSub>
          <m:sSubPr>
            <m:ctrlPr>
              <w:rPr>
                <w:rFonts w:ascii="Cambria Math" w:hAnsi="Cambria Math" w:cs="Calibri" w:eastAsiaTheme="majorEastAsia"/>
                <w:color w:val="000000" w:themeColor="text1"/>
                <w:kern w:val="0"/>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cs="Calibri" w:eastAsiaTheme="majorEastAsia"/>
                <w:color w:val="000000" w:themeColor="text1"/>
                <w:kern w:val="0"/>
                <w:szCs w:val="21"/>
                <w14:textFill>
                  <w14:solidFill>
                    <w14:schemeClr w14:val="tx1"/>
                  </w14:solidFill>
                </w14:textFill>
              </w:rPr>
            </m:ctrlPr>
          </m:e>
          <m:sub>
            <m:r>
              <w:rPr>
                <w:rFonts w:ascii="Cambria Math" w:hAnsi="Cambria Math" w:cs="Calibri" w:eastAsiaTheme="majorEastAsia"/>
                <w:color w:val="000000" w:themeColor="text1"/>
                <w:kern w:val="0"/>
                <w:szCs w:val="21"/>
                <w14:textFill>
                  <w14:solidFill>
                    <w14:schemeClr w14:val="tx1"/>
                  </w14:solidFill>
                </w14:textFill>
              </w:rPr>
              <m:t>ps</m:t>
            </m:r>
            <m:ctrlPr>
              <w:rPr>
                <w:rFonts w:ascii="Cambria Math" w:hAnsi="Cambria Math" w:cs="Calibri" w:eastAsiaTheme="majorEastAsia"/>
                <w:color w:val="000000" w:themeColor="text1"/>
                <w:kern w:val="0"/>
                <w:szCs w:val="21"/>
                <w14:textFill>
                  <w14:solidFill>
                    <w14:schemeClr w14:val="tx1"/>
                  </w14:solidFill>
                </w14:textFill>
              </w:rPr>
            </m:ctrlPr>
          </m:sub>
        </m:sSub>
        <m:r>
          <w:rPr>
            <w:rFonts w:ascii="Cambria Math" w:hAnsi="Cambria Math" w:cs="Calibri" w:eastAsiaTheme="majorEastAsia"/>
            <w:color w:val="000000" w:themeColor="text1"/>
            <w:kern w:val="0"/>
            <w:szCs w:val="21"/>
            <w14:textFill>
              <w14:solidFill>
                <w14:schemeClr w14:val="tx1"/>
              </w14:solidFill>
            </w14:textFill>
          </w:rPr>
          <m:t>=</m:t>
        </m:r>
        <m:f>
          <m:fPr>
            <m:ctrlPr>
              <w:rPr>
                <w:rFonts w:ascii="Cambria Math" w:hAnsi="Cambria Math" w:cs="Calibri" w:eastAsiaTheme="majorEastAsia"/>
                <w:i/>
                <w:color w:val="000000" w:themeColor="text1"/>
                <w:kern w:val="0"/>
                <w:szCs w:val="21"/>
                <w14:textFill>
                  <w14:solidFill>
                    <w14:schemeClr w14:val="tx1"/>
                  </w14:solidFill>
                </w14:textFill>
              </w:rPr>
            </m:ctrlPr>
          </m:fPr>
          <m:num>
            <m:r>
              <w:rPr>
                <w:rFonts w:ascii="Cambria Math" w:hAnsi="Cambria Math" w:cs="Calibri" w:eastAsiaTheme="majorEastAsia"/>
                <w:color w:val="000000" w:themeColor="text1"/>
                <w:kern w:val="0"/>
                <w:szCs w:val="21"/>
                <w14:textFill>
                  <w14:solidFill>
                    <w14:schemeClr w14:val="tx1"/>
                  </w14:solidFill>
                </w14:textFill>
              </w:rPr>
              <m:t>4</m:t>
            </m:r>
            <m:ctrlPr>
              <w:rPr>
                <w:rFonts w:ascii="Cambria Math" w:hAnsi="Cambria Math" w:cs="Calibri" w:eastAsiaTheme="majorEastAsia"/>
                <w:i/>
                <w:color w:val="000000" w:themeColor="text1"/>
                <w:kern w:val="0"/>
                <w:szCs w:val="21"/>
                <w14:textFill>
                  <w14:solidFill>
                    <w14:schemeClr w14:val="tx1"/>
                  </w14:solidFill>
                </w14:textFill>
              </w:rPr>
            </m:ctrlPr>
          </m:num>
          <m:den>
            <m:r>
              <w:rPr>
                <w:rFonts w:ascii="Cambria Math" w:hAnsi="Cambria Math" w:cs="Calibri" w:eastAsiaTheme="majorEastAsia"/>
                <w:color w:val="000000" w:themeColor="text1"/>
                <w:kern w:val="0"/>
                <w:szCs w:val="21"/>
                <w14:textFill>
                  <w14:solidFill>
                    <w14:schemeClr w14:val="tx1"/>
                  </w14:solidFill>
                </w14:textFill>
              </w:rPr>
              <m:t>3</m:t>
            </m:r>
            <m:ctrlPr>
              <w:rPr>
                <w:rFonts w:ascii="Cambria Math" w:hAnsi="Cambria Math" w:cs="Calibri" w:eastAsiaTheme="majorEastAsia"/>
                <w:i/>
                <w:color w:val="000000" w:themeColor="text1"/>
                <w:kern w:val="0"/>
                <w:szCs w:val="21"/>
                <w14:textFill>
                  <w14:solidFill>
                    <w14:schemeClr w14:val="tx1"/>
                  </w14:solidFill>
                </w14:textFill>
              </w:rPr>
            </m:ctrlPr>
          </m:den>
        </m:f>
        <m:sSub>
          <m:sSubPr>
            <m:ctrlPr>
              <w:rPr>
                <w:rFonts w:ascii="Cambria Math" w:hAnsi="Cambria Math" w:eastAsia="楷体_GB2312" w:cs="Calibri"/>
                <w:color w:val="000000" w:themeColor="text1"/>
                <w:kern w:val="0"/>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v</m:t>
            </m:r>
            <m:ctrlPr>
              <w:rPr>
                <w:rFonts w:ascii="Cambria Math" w:hAnsi="Cambria Math" w:eastAsia="楷体_GB2312" w:cs="Calibri"/>
                <w:color w:val="000000" w:themeColor="text1"/>
                <w:kern w:val="0"/>
                <w:szCs w:val="21"/>
                <w14:textFill>
                  <w14:solidFill>
                    <w14:schemeClr w14:val="tx1"/>
                  </w14:solidFill>
                </w14:textFill>
              </w:rPr>
            </m:ctrlPr>
          </m:sub>
        </m:sSub>
      </m:oMath>
      <w:r>
        <w:rPr>
          <w:bCs/>
          <w:color w:val="000000" w:themeColor="text1"/>
          <w:szCs w:val="21"/>
          <w14:textFill>
            <w14:solidFill>
              <w14:schemeClr w14:val="tx1"/>
            </w14:solidFill>
          </w14:textFill>
        </w:rPr>
        <w:t xml:space="preserve">                        </w:t>
      </w:r>
      <w:r>
        <w:rPr>
          <w:rFonts w:hint="eastAsia"/>
          <w:bCs/>
          <w:snapToGrid w:val="0"/>
          <w:color w:val="000000" w:themeColor="text1"/>
          <w:kern w:val="0"/>
          <w:position w:val="-10"/>
          <w:szCs w:val="21"/>
          <w14:textFill>
            <w14:solidFill>
              <w14:schemeClr w14:val="tx1"/>
            </w14:solidFill>
          </w14:textFill>
        </w:rPr>
        <w:t>（9</w:t>
      </w:r>
      <w:r>
        <w:rPr>
          <w:bCs/>
          <w:snapToGrid w:val="0"/>
          <w:color w:val="000000" w:themeColor="text1"/>
          <w:kern w:val="0"/>
          <w:position w:val="-10"/>
          <w:szCs w:val="21"/>
          <w14:textFill>
            <w14:solidFill>
              <w14:schemeClr w14:val="tx1"/>
            </w14:solidFill>
          </w14:textFill>
        </w:rPr>
        <w:t>.2.7-9</w:t>
      </w:r>
      <w:r>
        <w:rPr>
          <w:rFonts w:hint="eastAsia"/>
          <w:bCs/>
          <w:snapToGrid w:val="0"/>
          <w:color w:val="000000" w:themeColor="text1"/>
          <w:kern w:val="0"/>
          <w:position w:val="-10"/>
          <w:szCs w:val="21"/>
          <w14:textFill>
            <w14:solidFill>
              <w14:schemeClr w14:val="tx1"/>
            </w14:solidFill>
          </w14:textFill>
        </w:rPr>
        <w:t>）</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14:textFill>
            <w14:solidFill>
              <w14:schemeClr w14:val="tx1"/>
            </w14:solidFill>
          </w14:textFill>
        </w:rPr>
        <w:t>当</w:t>
      </w:r>
      <m:oMath>
        <m:sSub>
          <m:sSubPr>
            <m:ctrlPr>
              <w:rPr>
                <w:rFonts w:ascii="Cambria Math" w:hAnsi="Cambria Math"/>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0.6</m:t>
            </m:r>
            <m:r>
              <m:rPr>
                <m:sty m:val="p"/>
              </m:rPr>
              <w:rPr>
                <w:rFonts w:hint="eastAsia" w:ascii="Cambria Math" w:hAnsi="Cambria Math"/>
                <w:color w:val="000000" w:themeColor="text1"/>
                <w:kern w:val="0"/>
                <w:szCs w:val="21"/>
                <w14:textFill>
                  <w14:solidFill>
                    <w14:schemeClr w14:val="tx1"/>
                  </w14:solidFill>
                </w14:textFill>
              </w:rPr>
              <m:t>＜</m:t>
            </m:r>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ps.n</m:t>
            </m:r>
            <m:ctrlPr>
              <w:rPr>
                <w:rFonts w:ascii="Cambria Math" w:hAnsi="Cambria Math"/>
                <w:iCs/>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≤0.</m:t>
        </m:r>
        <m:r>
          <w:rPr>
            <w:rFonts w:hint="eastAsia" w:ascii="Cambria Math" w:hAnsi="Cambria Math"/>
            <w:color w:val="000000" w:themeColor="text1"/>
            <w:kern w:val="0"/>
            <w:szCs w:val="21"/>
            <w14:textFill>
              <w14:solidFill>
                <w14:schemeClr w14:val="tx1"/>
              </w14:solidFill>
            </w14:textFill>
          </w:rPr>
          <m:t>8</m:t>
        </m:r>
      </m:oMath>
      <w:r>
        <w:rPr>
          <w:rFonts w:hint="eastAsia"/>
          <w:bCs/>
          <w:color w:val="000000" w:themeColor="text1"/>
          <w:szCs w:val="21"/>
          <w14:textFill>
            <w14:solidFill>
              <w14:schemeClr w14:val="tx1"/>
            </w14:solidFill>
          </w14:textFill>
        </w:rPr>
        <w:t>时：</w:t>
      </w:r>
    </w:p>
    <w:p>
      <w:pPr>
        <w:autoSpaceDE w:val="0"/>
        <w:autoSpaceDN w:val="0"/>
        <w:spacing w:line="360" w:lineRule="auto"/>
        <w:ind w:firstLine="420"/>
        <w:jc w:val="right"/>
        <w:rPr>
          <w:bCs/>
          <w:color w:val="000000" w:themeColor="text1"/>
          <w:szCs w:val="21"/>
          <w14:textFill>
            <w14:solidFill>
              <w14:schemeClr w14:val="tx1"/>
            </w14:solidFill>
          </w14:textFill>
        </w:rPr>
      </w:pPr>
      <m:oMath>
        <m:sSub>
          <m:sSubPr>
            <m:ctrlPr>
              <w:rPr>
                <w:rFonts w:ascii="Cambria Math" w:hAnsi="Cambria Math" w:cs="Calibri" w:eastAsiaTheme="majorEastAsia"/>
                <w:color w:val="000000" w:themeColor="text1"/>
                <w:kern w:val="0"/>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cs="Calibri" w:eastAsiaTheme="majorEastAsia"/>
                <w:color w:val="000000" w:themeColor="text1"/>
                <w:kern w:val="0"/>
                <w:szCs w:val="21"/>
                <w14:textFill>
                  <w14:solidFill>
                    <w14:schemeClr w14:val="tx1"/>
                  </w14:solidFill>
                </w14:textFill>
              </w:rPr>
            </m:ctrlPr>
          </m:e>
          <m:sub>
            <m:r>
              <w:rPr>
                <w:rFonts w:ascii="Cambria Math" w:hAnsi="Cambria Math" w:cs="Calibri" w:eastAsiaTheme="majorEastAsia"/>
                <w:color w:val="000000" w:themeColor="text1"/>
                <w:kern w:val="0"/>
                <w:szCs w:val="21"/>
                <w14:textFill>
                  <w14:solidFill>
                    <w14:schemeClr w14:val="tx1"/>
                  </w14:solidFill>
                </w14:textFill>
              </w:rPr>
              <m:t>ps</m:t>
            </m:r>
            <m:ctrlPr>
              <w:rPr>
                <w:rFonts w:ascii="Cambria Math" w:hAnsi="Cambria Math" w:cs="Calibri" w:eastAsiaTheme="majorEastAsia"/>
                <w:color w:val="000000" w:themeColor="text1"/>
                <w:kern w:val="0"/>
                <w:szCs w:val="21"/>
                <w14:textFill>
                  <w14:solidFill>
                    <w14:schemeClr w14:val="tx1"/>
                  </w14:solidFill>
                </w14:textFill>
              </w:rPr>
            </m:ctrlPr>
          </m:sub>
        </m:sSub>
        <m:r>
          <w:rPr>
            <w:rFonts w:ascii="Cambria Math" w:hAnsi="Cambria Math" w:cs="Calibri" w:eastAsiaTheme="majorEastAsia"/>
            <w:color w:val="000000" w:themeColor="text1"/>
            <w:kern w:val="0"/>
            <w:szCs w:val="21"/>
            <w14:textFill>
              <w14:solidFill>
                <w14:schemeClr w14:val="tx1"/>
              </w14:solidFill>
            </w14:textFill>
          </w:rPr>
          <m:t>=</m:t>
        </m:r>
        <m:f>
          <m:fPr>
            <m:ctrlPr>
              <w:rPr>
                <w:rFonts w:ascii="Cambria Math" w:hAnsi="Cambria Math" w:cs="Calibri" w:eastAsiaTheme="majorEastAsia"/>
                <w:i/>
                <w:color w:val="000000" w:themeColor="text1"/>
                <w:kern w:val="0"/>
                <w:szCs w:val="21"/>
                <w14:textFill>
                  <w14:solidFill>
                    <w14:schemeClr w14:val="tx1"/>
                  </w14:solidFill>
                </w14:textFill>
              </w:rPr>
            </m:ctrlPr>
          </m:fPr>
          <m:num>
            <m:r>
              <w:rPr>
                <w:rFonts w:ascii="Cambria Math" w:hAnsi="Cambria Math" w:cs="Calibri" w:eastAsiaTheme="majorEastAsia"/>
                <w:color w:val="000000" w:themeColor="text1"/>
                <w:kern w:val="0"/>
                <w:szCs w:val="21"/>
                <w14:textFill>
                  <w14:solidFill>
                    <w14:schemeClr w14:val="tx1"/>
                  </w14:solidFill>
                </w14:textFill>
              </w:rPr>
              <m:t>1</m:t>
            </m:r>
            <m:ctrlPr>
              <w:rPr>
                <w:rFonts w:ascii="Cambria Math" w:hAnsi="Cambria Math" w:cs="Calibri" w:eastAsiaTheme="majorEastAsia"/>
                <w:i/>
                <w:color w:val="000000" w:themeColor="text1"/>
                <w:kern w:val="0"/>
                <w:szCs w:val="21"/>
                <w14:textFill>
                  <w14:solidFill>
                    <w14:schemeClr w14:val="tx1"/>
                  </w14:solidFill>
                </w14:textFill>
              </w:rPr>
            </m:ctrlPr>
          </m:num>
          <m:den>
            <m:r>
              <w:rPr>
                <w:rFonts w:ascii="Cambria Math" w:hAnsi="Cambria Math" w:cs="Calibri" w:eastAsiaTheme="majorEastAsia"/>
                <w:color w:val="000000" w:themeColor="text1"/>
                <w:kern w:val="0"/>
                <w:szCs w:val="21"/>
                <w14:textFill>
                  <w14:solidFill>
                    <w14:schemeClr w14:val="tx1"/>
                  </w14:solidFill>
                </w14:textFill>
              </w:rPr>
              <m:t>3</m:t>
            </m:r>
            <m:ctrlPr>
              <w:rPr>
                <w:rFonts w:ascii="Cambria Math" w:hAnsi="Cambria Math" w:cs="Calibri" w:eastAsiaTheme="majorEastAsia"/>
                <w:i/>
                <w:color w:val="000000" w:themeColor="text1"/>
                <w:kern w:val="0"/>
                <w:szCs w:val="21"/>
                <w14:textFill>
                  <w14:solidFill>
                    <w14:schemeClr w14:val="tx1"/>
                  </w14:solidFill>
                </w14:textFill>
              </w:rPr>
            </m:ctrlPr>
          </m:den>
        </m:f>
        <m:r>
          <w:rPr>
            <w:rFonts w:hint="eastAsia" w:ascii="Cambria Math" w:hAnsi="Cambria Math" w:cs="Calibri" w:eastAsiaTheme="majorEastAsia"/>
            <w:color w:val="000000" w:themeColor="text1"/>
            <w:kern w:val="0"/>
            <w:szCs w:val="21"/>
            <w14:textFill>
              <w14:solidFill>
                <w14:schemeClr w14:val="tx1"/>
              </w14:solidFill>
            </w14:textFill>
          </w:rPr>
          <m:t>（</m:t>
        </m:r>
        <m:r>
          <w:rPr>
            <w:rFonts w:ascii="Cambria Math" w:hAnsi="Cambria Math" w:cs="Calibri" w:eastAsiaTheme="majorEastAsia"/>
            <w:color w:val="000000" w:themeColor="text1"/>
            <w:kern w:val="0"/>
            <w:szCs w:val="21"/>
            <w14:textFill>
              <w14:solidFill>
                <w14:schemeClr w14:val="tx1"/>
              </w14:solidFill>
            </w14:textFill>
          </w:rPr>
          <m:t>7-5</m:t>
        </m:r>
        <m:sSub>
          <w:bookmarkStart w:id="169" w:name="_Hlk24008812"/>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ps.n</m:t>
            </m:r>
            <w:bookmarkEnd w:id="169"/>
            <m:ctrlPr>
              <w:rPr>
                <w:rFonts w:ascii="Cambria Math" w:hAnsi="Cambria Math"/>
                <w:color w:val="000000" w:themeColor="text1"/>
                <w:kern w:val="0"/>
                <w:szCs w:val="21"/>
                <w14:textFill>
                  <w14:solidFill>
                    <w14:schemeClr w14:val="tx1"/>
                  </w14:solidFill>
                </w14:textFill>
              </w:rPr>
            </m:ctrlPr>
          </m:sub>
        </m:sSub>
        <m:r>
          <w:rPr>
            <w:rFonts w:hint="eastAsia" w:ascii="Cambria Math" w:hAnsi="Cambria Math" w:cs="Calibri" w:eastAsiaTheme="majorEastAsia"/>
            <w:color w:val="000000" w:themeColor="text1"/>
            <w:kern w:val="0"/>
            <w:szCs w:val="21"/>
            <w14:textFill>
              <w14:solidFill>
                <w14:schemeClr w14:val="tx1"/>
              </w14:solidFill>
            </w14:textFill>
          </w:rPr>
          <m:t>）</m:t>
        </m:r>
        <m:sSub>
          <m:sSubPr>
            <m:ctrlPr>
              <w:rPr>
                <w:rFonts w:ascii="Cambria Math" w:hAnsi="Cambria Math" w:eastAsia="楷体_GB2312" w:cs="Calibri"/>
                <w:color w:val="000000" w:themeColor="text1"/>
                <w:kern w:val="0"/>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v</m:t>
            </m:r>
            <m:ctrlPr>
              <w:rPr>
                <w:rFonts w:ascii="Cambria Math" w:hAnsi="Cambria Math" w:eastAsia="楷体_GB2312" w:cs="Calibri"/>
                <w:color w:val="000000" w:themeColor="text1"/>
                <w:kern w:val="0"/>
                <w:szCs w:val="21"/>
                <w14:textFill>
                  <w14:solidFill>
                    <w14:schemeClr w14:val="tx1"/>
                  </w14:solidFill>
                </w14:textFill>
              </w:rPr>
            </m:ctrlPr>
          </m:sub>
        </m:sSub>
      </m:oMath>
      <w:r>
        <w:rPr>
          <w:bCs/>
          <w:color w:val="000000" w:themeColor="text1"/>
          <w:szCs w:val="21"/>
          <w14:textFill>
            <w14:solidFill>
              <w14:schemeClr w14:val="tx1"/>
            </w14:solidFill>
          </w14:textFill>
        </w:rPr>
        <w:t xml:space="preserve">                  </w:t>
      </w:r>
      <w:r>
        <w:rPr>
          <w:rFonts w:hint="eastAsia"/>
          <w:bCs/>
          <w:snapToGrid w:val="0"/>
          <w:color w:val="000000" w:themeColor="text1"/>
          <w:kern w:val="0"/>
          <w:position w:val="-10"/>
          <w:szCs w:val="21"/>
          <w14:textFill>
            <w14:solidFill>
              <w14:schemeClr w14:val="tx1"/>
            </w14:solidFill>
          </w14:textFill>
        </w:rPr>
        <w:t>（9</w:t>
      </w:r>
      <w:r>
        <w:rPr>
          <w:bCs/>
          <w:snapToGrid w:val="0"/>
          <w:color w:val="000000" w:themeColor="text1"/>
          <w:kern w:val="0"/>
          <w:position w:val="-10"/>
          <w:szCs w:val="21"/>
          <w14:textFill>
            <w14:solidFill>
              <w14:schemeClr w14:val="tx1"/>
            </w14:solidFill>
          </w14:textFill>
        </w:rPr>
        <w:t>.2.7-10</w:t>
      </w:r>
      <w:r>
        <w:rPr>
          <w:rFonts w:hint="eastAsia"/>
          <w:bCs/>
          <w:snapToGrid w:val="0"/>
          <w:color w:val="000000" w:themeColor="text1"/>
          <w:kern w:val="0"/>
          <w:position w:val="-10"/>
          <w:szCs w:val="21"/>
          <w14:textFill>
            <w14:solidFill>
              <w14:schemeClr w14:val="tx1"/>
            </w14:solidFill>
          </w14:textFill>
        </w:rPr>
        <w:t>）</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14:textFill>
            <w14:solidFill>
              <w14:schemeClr w14:val="tx1"/>
            </w14:solidFill>
          </w14:textFill>
        </w:rPr>
        <w:t>当</w:t>
      </w:r>
      <w:r>
        <w:rPr>
          <w:rFonts w:cs="Times New Roman"/>
          <w:bCs/>
          <w:color w:val="000000" w:themeColor="text1"/>
          <w:szCs w:val="21"/>
          <w14:textFill>
            <w14:solidFill>
              <w14:schemeClr w14:val="tx1"/>
            </w14:solidFill>
          </w14:textFill>
        </w:rPr>
        <w:t>0.8</w:t>
      </w:r>
      <w:r>
        <w:rPr>
          <w:rFonts w:hint="eastAsia" w:cs="Times New Roman"/>
          <w:bCs/>
          <w:color w:val="000000" w:themeColor="text1"/>
          <w:szCs w:val="21"/>
          <w14:textFill>
            <w14:solidFill>
              <w14:schemeClr w14:val="tx1"/>
            </w14:solidFill>
          </w14:textFill>
        </w:rPr>
        <w:t>＜</w:t>
      </w:r>
      <m:oMath>
        <m:sSub>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ps.n</m:t>
            </m:r>
            <m:ctrlPr>
              <w:rPr>
                <w:rFonts w:ascii="Cambria Math" w:hAnsi="Cambria Math"/>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≤1.2</m:t>
        </m:r>
      </m:oMath>
      <w:r>
        <w:rPr>
          <w:rFonts w:hint="eastAsia"/>
          <w:bCs/>
          <w:color w:val="000000" w:themeColor="text1"/>
          <w:szCs w:val="21"/>
          <w14:textFill>
            <w14:solidFill>
              <w14:schemeClr w14:val="tx1"/>
            </w14:solidFill>
          </w14:textFill>
        </w:rPr>
        <w:t>时：</w:t>
      </w:r>
    </w:p>
    <w:p>
      <w:pPr>
        <w:autoSpaceDE w:val="0"/>
        <w:autoSpaceDN w:val="0"/>
        <w:spacing w:line="360" w:lineRule="auto"/>
        <w:ind w:firstLine="420"/>
        <w:jc w:val="right"/>
        <w:rPr>
          <w:bCs/>
          <w:snapToGrid w:val="0"/>
          <w:color w:val="000000" w:themeColor="text1"/>
          <w:kern w:val="0"/>
          <w:position w:val="-10"/>
          <w:szCs w:val="21"/>
          <w14:textFill>
            <w14:solidFill>
              <w14:schemeClr w14:val="tx1"/>
            </w14:solidFill>
          </w14:textFill>
        </w:rPr>
      </w:pPr>
      <m:oMath>
        <m:sSub>
          <m:sSubPr>
            <m:ctrlPr>
              <w:rPr>
                <w:rFonts w:ascii="Cambria Math" w:hAnsi="Cambria Math" w:cs="Calibri" w:eastAsiaTheme="majorEastAsia"/>
                <w:color w:val="000000" w:themeColor="text1"/>
                <w:kern w:val="0"/>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cs="Calibri" w:eastAsiaTheme="majorEastAsia"/>
                <w:color w:val="000000" w:themeColor="text1"/>
                <w:kern w:val="0"/>
                <w:szCs w:val="21"/>
                <w14:textFill>
                  <w14:solidFill>
                    <w14:schemeClr w14:val="tx1"/>
                  </w14:solidFill>
                </w14:textFill>
              </w:rPr>
            </m:ctrlPr>
          </m:e>
          <m:sub>
            <m:r>
              <w:rPr>
                <w:rFonts w:ascii="Cambria Math" w:hAnsi="Cambria Math" w:cs="Calibri" w:eastAsiaTheme="majorEastAsia"/>
                <w:color w:val="000000" w:themeColor="text1"/>
                <w:kern w:val="0"/>
                <w:szCs w:val="21"/>
                <w14:textFill>
                  <w14:solidFill>
                    <w14:schemeClr w14:val="tx1"/>
                  </w14:solidFill>
                </w14:textFill>
              </w:rPr>
              <m:t>ps</m:t>
            </m:r>
            <m:ctrlPr>
              <w:rPr>
                <w:rFonts w:ascii="Cambria Math" w:hAnsi="Cambria Math" w:cs="Calibri" w:eastAsiaTheme="majorEastAsia"/>
                <w:color w:val="000000" w:themeColor="text1"/>
                <w:kern w:val="0"/>
                <w:szCs w:val="21"/>
                <w14:textFill>
                  <w14:solidFill>
                    <w14:schemeClr w14:val="tx1"/>
                  </w14:solidFill>
                </w14:textFill>
              </w:rPr>
            </m:ctrlPr>
          </m:sub>
        </m:sSub>
        <m:r>
          <w:rPr>
            <w:rFonts w:ascii="Cambria Math" w:hAnsi="Cambria Math" w:cs="Calibri" w:eastAsiaTheme="majorEastAsia"/>
            <w:color w:val="000000" w:themeColor="text1"/>
            <w:kern w:val="0"/>
            <w:szCs w:val="21"/>
            <w14:textFill>
              <w14:solidFill>
                <w14:schemeClr w14:val="tx1"/>
              </w14:solidFill>
            </w14:textFill>
          </w:rPr>
          <m:t>=</m:t>
        </m:r>
        <m:d>
          <m:dPr>
            <m:begChr m:val="["/>
            <m:endChr m:val="]"/>
            <m:ctrlPr>
              <w:rPr>
                <w:rFonts w:ascii="Cambria Math" w:hAnsi="Cambria Math" w:cs="Calibri" w:eastAsiaTheme="majorEastAsia"/>
                <w:i/>
                <w:color w:val="000000" w:themeColor="text1"/>
                <w:kern w:val="0"/>
                <w:szCs w:val="21"/>
                <w14:textFill>
                  <w14:solidFill>
                    <w14:schemeClr w14:val="tx1"/>
                  </w14:solidFill>
                </w14:textFill>
              </w:rPr>
            </m:ctrlPr>
          </m:dPr>
          <m:e>
            <m:r>
              <w:rPr>
                <w:rFonts w:ascii="Cambria Math" w:hAnsi="Cambria Math" w:cs="Calibri" w:eastAsiaTheme="majorEastAsia"/>
                <w:color w:val="000000" w:themeColor="text1"/>
                <w:kern w:val="0"/>
                <w:szCs w:val="21"/>
                <w14:textFill>
                  <w14:solidFill>
                    <w14:schemeClr w14:val="tx1"/>
                  </w14:solidFill>
                </w14:textFill>
              </w:rPr>
              <m:t>1-0.75</m:t>
            </m:r>
            <m:r>
              <w:rPr>
                <w:rFonts w:hint="eastAsia" w:ascii="Cambria Math" w:hAnsi="Cambria Math" w:cs="Calibri" w:eastAsiaTheme="majorEastAsia"/>
                <w:color w:val="000000" w:themeColor="text1"/>
                <w:kern w:val="0"/>
                <w:szCs w:val="21"/>
                <w14:textFill>
                  <w14:solidFill>
                    <w14:schemeClr w14:val="tx1"/>
                  </w14:solidFill>
                </w14:textFill>
              </w:rPr>
              <m:t>（</m:t>
            </m:r>
            <m:sSub>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ps.n</m:t>
                </m:r>
                <m:ctrlPr>
                  <w:rPr>
                    <w:rFonts w:ascii="Cambria Math" w:hAnsi="Cambria Math"/>
                    <w:color w:val="000000" w:themeColor="text1"/>
                    <w:kern w:val="0"/>
                    <w:szCs w:val="21"/>
                    <w14:textFill>
                      <w14:solidFill>
                        <w14:schemeClr w14:val="tx1"/>
                      </w14:solidFill>
                    </w14:textFill>
                  </w:rPr>
                </m:ctrlPr>
              </m:sub>
            </m:sSub>
            <m:r>
              <w:rPr>
                <w:rFonts w:ascii="Cambria Math" w:hAnsi="Cambria Math" w:cs="Calibri" w:eastAsiaTheme="majorEastAsia"/>
                <w:color w:val="000000" w:themeColor="text1"/>
                <w:kern w:val="0"/>
                <w:szCs w:val="21"/>
                <w14:textFill>
                  <w14:solidFill>
                    <w14:schemeClr w14:val="tx1"/>
                  </w14:solidFill>
                </w14:textFill>
              </w:rPr>
              <m:t>-0.8</m:t>
            </m:r>
            <m:r>
              <w:rPr>
                <w:rFonts w:hint="eastAsia" w:ascii="Cambria Math" w:hAnsi="Cambria Math" w:cs="Calibri" w:eastAsiaTheme="majorEastAsia"/>
                <w:color w:val="000000" w:themeColor="text1"/>
                <w:kern w:val="0"/>
                <w:szCs w:val="21"/>
                <w14:textFill>
                  <w14:solidFill>
                    <w14:schemeClr w14:val="tx1"/>
                  </w14:solidFill>
                </w14:textFill>
              </w:rPr>
              <m:t>）</m:t>
            </m:r>
            <m:ctrlPr>
              <w:rPr>
                <w:rFonts w:ascii="Cambria Math" w:hAnsi="Cambria Math" w:cs="Calibri" w:eastAsiaTheme="majorEastAsia"/>
                <w:i/>
                <w:color w:val="000000" w:themeColor="text1"/>
                <w:kern w:val="0"/>
                <w:szCs w:val="21"/>
                <w14:textFill>
                  <w14:solidFill>
                    <w14:schemeClr w14:val="tx1"/>
                  </w14:solidFill>
                </w14:textFill>
              </w:rPr>
            </m:ctrlPr>
          </m:e>
        </m:d>
        <m:sSub>
          <m:sSubPr>
            <m:ctrlPr>
              <w:rPr>
                <w:rFonts w:ascii="Cambria Math" w:hAnsi="Cambria Math" w:eastAsia="楷体_GB2312" w:cs="Calibri"/>
                <w:color w:val="000000" w:themeColor="text1"/>
                <w:kern w:val="0"/>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v</m:t>
            </m:r>
            <m:ctrlPr>
              <w:rPr>
                <w:rFonts w:ascii="Cambria Math" w:hAnsi="Cambria Math" w:eastAsia="楷体_GB2312" w:cs="Calibri"/>
                <w:color w:val="000000" w:themeColor="text1"/>
                <w:kern w:val="0"/>
                <w:szCs w:val="21"/>
                <w14:textFill>
                  <w14:solidFill>
                    <w14:schemeClr w14:val="tx1"/>
                  </w14:solidFill>
                </w14:textFill>
              </w:rPr>
            </m:ctrlPr>
          </m:sub>
        </m:sSub>
      </m:oMath>
      <w:r>
        <w:rPr>
          <w:bCs/>
          <w:color w:val="000000" w:themeColor="text1"/>
          <w:szCs w:val="21"/>
          <w14:textFill>
            <w14:solidFill>
              <w14:schemeClr w14:val="tx1"/>
            </w14:solidFill>
          </w14:textFill>
        </w:rPr>
        <w:t xml:space="preserve">                </w:t>
      </w:r>
      <w:r>
        <w:rPr>
          <w:rFonts w:hint="eastAsia"/>
          <w:bCs/>
          <w:snapToGrid w:val="0"/>
          <w:color w:val="000000" w:themeColor="text1"/>
          <w:kern w:val="0"/>
          <w:position w:val="-10"/>
          <w:szCs w:val="21"/>
          <w14:textFill>
            <w14:solidFill>
              <w14:schemeClr w14:val="tx1"/>
            </w14:solidFill>
          </w14:textFill>
        </w:rPr>
        <w:t>（9</w:t>
      </w:r>
      <w:r>
        <w:rPr>
          <w:bCs/>
          <w:snapToGrid w:val="0"/>
          <w:color w:val="000000" w:themeColor="text1"/>
          <w:kern w:val="0"/>
          <w:position w:val="-10"/>
          <w:szCs w:val="21"/>
          <w14:textFill>
            <w14:solidFill>
              <w14:schemeClr w14:val="tx1"/>
            </w14:solidFill>
          </w14:textFill>
        </w:rPr>
        <w:t>.2.7-11</w:t>
      </w:r>
      <w:r>
        <w:rPr>
          <w:rFonts w:hint="eastAsia"/>
          <w:bCs/>
          <w:snapToGrid w:val="0"/>
          <w:color w:val="000000" w:themeColor="text1"/>
          <w:kern w:val="0"/>
          <w:position w:val="-10"/>
          <w:szCs w:val="21"/>
          <w14:textFill>
            <w14:solidFill>
              <w14:schemeClr w14:val="tx1"/>
            </w14:solidFill>
          </w14:textFill>
        </w:rPr>
        <w:t>）</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当</w:t>
      </w:r>
      <w:r>
        <w:rPr>
          <w:rFonts w:cs="Times New Roman"/>
          <w:bCs/>
          <w:color w:val="000000" w:themeColor="text1"/>
          <w:szCs w:val="21"/>
          <w14:textFill>
            <w14:solidFill>
              <w14:schemeClr w14:val="tx1"/>
            </w14:solidFill>
          </w14:textFill>
        </w:rPr>
        <w:t>0.8</w:t>
      </w:r>
      <w:r>
        <w:rPr>
          <w:rFonts w:hint="eastAsia" w:cs="Times New Roman"/>
          <w:bCs/>
          <w:color w:val="000000" w:themeColor="text1"/>
          <w:szCs w:val="21"/>
          <w14:textFill>
            <w14:solidFill>
              <w14:schemeClr w14:val="tx1"/>
            </w14:solidFill>
          </w14:textFill>
        </w:rPr>
        <w:t>＜</w:t>
      </w:r>
      <m:oMath>
        <m:sSub>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ps.n</m:t>
            </m:r>
            <m:ctrlPr>
              <w:rPr>
                <w:rFonts w:ascii="Cambria Math" w:hAnsi="Cambria Math"/>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≤1.2</m:t>
        </m:r>
      </m:oMath>
      <w:r>
        <w:rPr>
          <w:rFonts w:hint="eastAsia"/>
          <w:bCs/>
          <w:color w:val="000000" w:themeColor="text1"/>
          <w:szCs w:val="21"/>
          <w14:textFill>
            <w14:solidFill>
              <w14:schemeClr w14:val="tx1"/>
            </w14:solidFill>
          </w14:textFill>
        </w:rPr>
        <w:t>，但设置竖向加劲肋使节点域的抗剪临界应力大于抗剪屈服应力时：</w:t>
      </w:r>
    </w:p>
    <w:p>
      <w:pPr>
        <w:spacing w:line="360" w:lineRule="auto"/>
        <w:ind w:left="638" w:leftChars="304" w:firstLine="420"/>
        <w:jc w:val="right"/>
        <w:rPr>
          <w:bCs/>
          <w:color w:val="000000" w:themeColor="text1"/>
          <w:szCs w:val="21"/>
          <w14:textFill>
            <w14:solidFill>
              <w14:schemeClr w14:val="tx1"/>
            </w14:solidFill>
          </w14:textFill>
        </w:rPr>
      </w:pPr>
      <m:oMath>
        <m:sSub>
          <m:sSubPr>
            <m:ctrlPr>
              <w:rPr>
                <w:rFonts w:ascii="Cambria Math" w:hAnsi="Cambria Math" w:cs="Calibri" w:eastAsiaTheme="majorEastAsia"/>
                <w:color w:val="000000" w:themeColor="text1"/>
                <w:kern w:val="0"/>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cs="Calibri" w:eastAsiaTheme="majorEastAsia"/>
                <w:color w:val="000000" w:themeColor="text1"/>
                <w:kern w:val="0"/>
                <w:szCs w:val="21"/>
                <w14:textFill>
                  <w14:solidFill>
                    <w14:schemeClr w14:val="tx1"/>
                  </w14:solidFill>
                </w14:textFill>
              </w:rPr>
            </m:ctrlPr>
          </m:e>
          <m:sub>
            <m:r>
              <w:rPr>
                <w:rFonts w:ascii="Cambria Math" w:hAnsi="Cambria Math" w:cs="Calibri" w:eastAsiaTheme="majorEastAsia"/>
                <w:color w:val="000000" w:themeColor="text1"/>
                <w:kern w:val="0"/>
                <w:szCs w:val="21"/>
                <w14:textFill>
                  <w14:solidFill>
                    <w14:schemeClr w14:val="tx1"/>
                  </w14:solidFill>
                </w14:textFill>
              </w:rPr>
              <m:t>ps</m:t>
            </m:r>
            <m:ctrlPr>
              <w:rPr>
                <w:rFonts w:ascii="Cambria Math" w:hAnsi="Cambria Math" w:cs="Calibri" w:eastAsiaTheme="majorEastAsia"/>
                <w:color w:val="000000" w:themeColor="text1"/>
                <w:kern w:val="0"/>
                <w:szCs w:val="21"/>
                <w14:textFill>
                  <w14:solidFill>
                    <w14:schemeClr w14:val="tx1"/>
                  </w14:solidFill>
                </w14:textFill>
              </w:rPr>
            </m:ctrlPr>
          </m:sub>
        </m:sSub>
        <m:r>
          <w:rPr>
            <w:rFonts w:ascii="Cambria Math" w:hAnsi="Cambria Math" w:cs="Calibri" w:eastAsiaTheme="majorEastAsia"/>
            <w:color w:val="000000" w:themeColor="text1"/>
            <w:kern w:val="0"/>
            <w:szCs w:val="21"/>
            <w14:textFill>
              <w14:solidFill>
                <w14:schemeClr w14:val="tx1"/>
              </w14:solidFill>
            </w14:textFill>
          </w:rPr>
          <m:t>=</m:t>
        </m:r>
        <m:sSub>
          <m:sSubPr>
            <m:ctrlPr>
              <w:rPr>
                <w:rFonts w:ascii="Cambria Math" w:hAnsi="Cambria Math" w:eastAsia="楷体_GB2312" w:cs="Calibri"/>
                <w:color w:val="000000" w:themeColor="text1"/>
                <w:kern w:val="0"/>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eastAsia="楷体_GB2312" w:cs="Calibri"/>
                <w:color w:val="000000" w:themeColor="text1"/>
                <w:kern w:val="0"/>
                <w:szCs w:val="21"/>
                <w14:textFill>
                  <w14:solidFill>
                    <w14:schemeClr w14:val="tx1"/>
                  </w14:solidFill>
                </w14:textFill>
              </w:rPr>
            </m:ctrlPr>
          </m:e>
          <m:sub>
            <m:r>
              <w:rPr>
                <w:rFonts w:ascii="Cambria Math" w:hAnsi="Cambria Math" w:eastAsia="楷体_GB2312" w:cs="Calibri"/>
                <w:color w:val="000000" w:themeColor="text1"/>
                <w:kern w:val="0"/>
                <w:szCs w:val="21"/>
                <w14:textFill>
                  <w14:solidFill>
                    <w14:schemeClr w14:val="tx1"/>
                  </w14:solidFill>
                </w14:textFill>
              </w:rPr>
              <m:t>v</m:t>
            </m:r>
            <m:ctrlPr>
              <w:rPr>
                <w:rFonts w:ascii="Cambria Math" w:hAnsi="Cambria Math" w:eastAsia="楷体_GB2312" w:cs="Calibri"/>
                <w:color w:val="000000" w:themeColor="text1"/>
                <w:kern w:val="0"/>
                <w:szCs w:val="21"/>
                <w14:textFill>
                  <w14:solidFill>
                    <w14:schemeClr w14:val="tx1"/>
                  </w14:solidFill>
                </w14:textFill>
              </w:rPr>
            </m:ctrlPr>
          </m:sub>
        </m:sSub>
      </m:oMath>
      <w:r>
        <w:rPr>
          <w:bCs/>
          <w:color w:val="000000" w:themeColor="text1"/>
          <w:szCs w:val="21"/>
          <w14:textFill>
            <w14:solidFill>
              <w14:schemeClr w14:val="tx1"/>
            </w14:solidFill>
          </w14:textFill>
        </w:rPr>
        <w:t xml:space="preserve">                        </w:t>
      </w:r>
      <w:r>
        <w:rPr>
          <w:rFonts w:hint="eastAsia"/>
          <w:bCs/>
          <w:snapToGrid w:val="0"/>
          <w:color w:val="000000" w:themeColor="text1"/>
          <w:kern w:val="0"/>
          <w:position w:val="-10"/>
          <w:szCs w:val="21"/>
          <w14:textFill>
            <w14:solidFill>
              <w14:schemeClr w14:val="tx1"/>
            </w14:solidFill>
          </w14:textFill>
        </w:rPr>
        <w:t>（9</w:t>
      </w:r>
      <w:r>
        <w:rPr>
          <w:bCs/>
          <w:snapToGrid w:val="0"/>
          <w:color w:val="000000" w:themeColor="text1"/>
          <w:kern w:val="0"/>
          <w:position w:val="-10"/>
          <w:szCs w:val="21"/>
          <w14:textFill>
            <w14:solidFill>
              <w14:schemeClr w14:val="tx1"/>
            </w14:solidFill>
          </w14:textFill>
        </w:rPr>
        <w:t>.2.7-12</w:t>
      </w:r>
      <w:r>
        <w:rPr>
          <w:rFonts w:hint="eastAsia"/>
          <w:bCs/>
          <w:snapToGrid w:val="0"/>
          <w:color w:val="000000" w:themeColor="text1"/>
          <w:kern w:val="0"/>
          <w:position w:val="-10"/>
          <w:szCs w:val="21"/>
          <w14:textFill>
            <w14:solidFill>
              <w14:schemeClr w14:val="tx1"/>
            </w14:solidFill>
          </w14:textFill>
        </w:rPr>
        <w:t>）</w:t>
      </w:r>
    </w:p>
    <w:p>
      <w:pPr>
        <w:spacing w:line="360" w:lineRule="auto"/>
        <w:ind w:firstLine="420" w:firstLineChars="0"/>
        <w:rPr>
          <w:rFonts w:cs="Times New Roman"/>
          <w:bCs/>
          <w:color w:val="000000" w:themeColor="text1"/>
          <w:szCs w:val="21"/>
          <w14:textFill>
            <w14:solidFill>
              <w14:schemeClr w14:val="tx1"/>
            </w14:solidFill>
          </w14:textFill>
        </w:rPr>
      </w:pPr>
      <w:r>
        <w:rPr>
          <w:rFonts w:hint="eastAsia" w:cs="Times New Roman"/>
          <w:bCs/>
          <w:color w:val="000000" w:themeColor="text1"/>
          <w:szCs w:val="21"/>
          <w14:textFill>
            <w14:solidFill>
              <w14:schemeClr w14:val="tx1"/>
            </w14:solidFill>
          </w14:textFill>
        </w:rPr>
        <w:t>当轴压比</w:t>
      </w:r>
      <m:oMath>
        <m:sSub>
          <w:bookmarkStart w:id="170" w:name="_Hlk24009176"/>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pc</m:t>
            </m:r>
            <m:ctrlPr>
              <w:rPr>
                <w:rFonts w:ascii="Cambria Math" w:hAnsi="Cambria Math" w:cs="Times New Roman"/>
                <w:bCs/>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0.4</m:t>
        </m:r>
        <w:bookmarkEnd w:id="170"/>
      </m:oMath>
      <w:r>
        <w:rPr>
          <w:rFonts w:hint="eastAsia" w:cs="Times New Roman"/>
          <w:bCs/>
          <w:color w:val="000000" w:themeColor="text1"/>
          <w:szCs w:val="21"/>
          <w14:textFill>
            <w14:solidFill>
              <w14:schemeClr w14:val="tx1"/>
            </w14:solidFill>
          </w14:textFill>
        </w:rPr>
        <w:t>时，节点域的抗剪</w:t>
      </w:r>
      <w:r>
        <w:rPr>
          <w:rFonts w:hint="eastAsia" w:cs="Times New Roman"/>
          <w:bCs/>
          <w:color w:val="000000" w:themeColor="text1"/>
          <w:szCs w:val="24"/>
          <w14:textFill>
            <w14:solidFill>
              <w14:schemeClr w14:val="tx1"/>
            </w14:solidFill>
          </w14:textFill>
        </w:rPr>
        <w:t>承载力</w:t>
      </w:r>
      <w:r>
        <w:rPr>
          <w:rFonts w:hint="eastAsia" w:cs="Times New Roman"/>
          <w:bCs/>
          <w:color w:val="000000" w:themeColor="text1"/>
          <w:szCs w:val="21"/>
          <w14:textFill>
            <w14:solidFill>
              <w14:schemeClr w14:val="tx1"/>
            </w14:solidFill>
          </w14:textFill>
        </w:rPr>
        <w:t>应乘以修正系数。当</w:t>
      </w:r>
      <m:oMath>
        <m:sSub>
          <m:sSubPr>
            <m:ctrlPr>
              <w:rPr>
                <w:rFonts w:ascii="Cambria Math" w:hAnsi="Cambria Math" w:eastAsiaTheme="minorEastAsia"/>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λ</m:t>
            </m:r>
            <m:ctrlPr>
              <w:rPr>
                <w:rFonts w:ascii="Cambria Math" w:hAnsi="Cambria Math" w:eastAsiaTheme="minorEastAsia"/>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ps.n</m:t>
            </m:r>
            <m:ctrlPr>
              <w:rPr>
                <w:rFonts w:ascii="Cambria Math" w:hAnsi="Cambria Math" w:eastAsiaTheme="minorEastAsia"/>
                <w:color w:val="000000" w:themeColor="text1"/>
                <w:kern w:val="0"/>
                <w:szCs w:val="21"/>
                <w14:textFill>
                  <w14:solidFill>
                    <w14:schemeClr w14:val="tx1"/>
                  </w14:solidFill>
                </w14:textFill>
              </w:rPr>
            </m:ctrlPr>
          </m:sub>
        </m:sSub>
        <m:r>
          <w:rPr>
            <w:rFonts w:ascii="Cambria Math" w:hAnsi="Cambria Math" w:eastAsiaTheme="minorEastAsia"/>
            <w:color w:val="000000" w:themeColor="text1"/>
            <w:kern w:val="0"/>
            <w:szCs w:val="21"/>
            <w14:textFill>
              <w14:solidFill>
                <w14:schemeClr w14:val="tx1"/>
              </w14:solidFill>
            </w14:textFill>
          </w:rPr>
          <m:t>≤0.8</m:t>
        </m:r>
      </m:oMath>
      <w:r>
        <w:rPr>
          <w:rFonts w:hint="eastAsia" w:cs="Times New Roman"/>
          <w:bCs/>
          <w:color w:val="000000" w:themeColor="text1"/>
          <w:szCs w:val="21"/>
          <w14:textFill>
            <w14:solidFill>
              <w14:schemeClr w14:val="tx1"/>
            </w14:solidFill>
          </w14:textFill>
        </w:rPr>
        <w:t>时，修正系数可取为</w:t>
      </w:r>
      <m:oMath>
        <m:rad>
          <m:radPr>
            <m:degHide m:val="1"/>
            <m:ctrlPr>
              <w:rPr>
                <w:rFonts w:ascii="Cambria Math" w:hAnsi="Cambria Math" w:cs="Times New Roman"/>
                <w:bCs/>
                <w:i/>
                <w:color w:val="000000" w:themeColor="text1"/>
                <w:szCs w:val="21"/>
                <w14:textFill>
                  <w14:solidFill>
                    <w14:schemeClr w14:val="tx1"/>
                  </w14:solidFill>
                </w14:textFill>
              </w:rPr>
            </m:ctrlPr>
          </m:radPr>
          <m:deg>
            <m:ctrlPr>
              <w:rPr>
                <w:rFonts w:ascii="Cambria Math" w:hAnsi="Cambria Math" w:cs="Times New Roman"/>
                <w:bCs/>
                <w:i/>
                <w:color w:val="000000" w:themeColor="text1"/>
                <w:szCs w:val="21"/>
                <w14:textFill>
                  <w14:solidFill>
                    <w14:schemeClr w14:val="tx1"/>
                  </w14:solidFill>
                </w14:textFill>
              </w:rPr>
            </m:ctrlPr>
          </m:deg>
          <m:e>
            <m:r>
              <w:rPr>
                <w:rFonts w:ascii="Cambria Math" w:hAnsi="Cambria Math" w:cs="Times New Roman"/>
                <w:color w:val="000000" w:themeColor="text1"/>
                <w:szCs w:val="21"/>
                <w14:textFill>
                  <w14:solidFill>
                    <w14:schemeClr w14:val="tx1"/>
                  </w14:solidFill>
                </w14:textFill>
              </w:rPr>
              <m:t>1-</m:t>
            </m:r>
            <m:sSup>
              <m:sSupPr>
                <m:ctrlPr>
                  <w:rPr>
                    <w:rFonts w:ascii="Cambria Math" w:hAnsi="Cambria Math" w:cs="Times New Roman"/>
                    <w:bCs/>
                    <w:i/>
                    <w:color w:val="000000" w:themeColor="text1"/>
                    <w:szCs w:val="21"/>
                    <w14:textFill>
                      <w14:solidFill>
                        <w14:schemeClr w14:val="tx1"/>
                      </w14:solidFill>
                    </w14:textFill>
                  </w:rPr>
                </m:ctrlPr>
              </m:sSupPr>
              <m:e>
                <m:d>
                  <m:dPr>
                    <m:ctrlPr>
                      <w:rPr>
                        <w:rFonts w:ascii="Cambria Math" w:hAnsi="Cambria Math" w:cs="Times New Roman"/>
                        <w:bCs/>
                        <w:i/>
                        <w:color w:val="000000" w:themeColor="text1"/>
                        <w:szCs w:val="21"/>
                        <w14:textFill>
                          <w14:solidFill>
                            <w14:schemeClr w14:val="tx1"/>
                          </w14:solidFill>
                        </w14:textFill>
                      </w:rPr>
                    </m:ctrlPr>
                  </m:dPr>
                  <m:e>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pc</m:t>
                        </m:r>
                        <m:ctrlPr>
                          <w:rPr>
                            <w:rFonts w:ascii="Cambria Math" w:hAnsi="Cambria Math" w:cs="Times New Roman"/>
                            <w:bCs/>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0.4</m:t>
                    </m:r>
                    <m:ctrlPr>
                      <w:rPr>
                        <w:rFonts w:ascii="Cambria Math" w:hAnsi="Cambria Math" w:cs="Times New Roman"/>
                        <w:bCs/>
                        <w:i/>
                        <w:color w:val="000000" w:themeColor="text1"/>
                        <w:szCs w:val="21"/>
                        <w14:textFill>
                          <w14:solidFill>
                            <w14:schemeClr w14:val="tx1"/>
                          </w14:solidFill>
                        </w14:textFill>
                      </w:rPr>
                    </m:ctrlPr>
                  </m:e>
                </m:d>
                <m:ctrlPr>
                  <w:rPr>
                    <w:rFonts w:ascii="Cambria Math" w:hAnsi="Cambria Math" w:cs="Times New Roman"/>
                    <w:bCs/>
                    <w:i/>
                    <w:color w:val="000000" w:themeColor="text1"/>
                    <w:szCs w:val="21"/>
                    <w14:textFill>
                      <w14:solidFill>
                        <w14:schemeClr w14:val="tx1"/>
                      </w14:solidFill>
                    </w14:textFill>
                  </w:rPr>
                </m:ctrlPr>
              </m:e>
              <m:sup>
                <m:r>
                  <w:rPr>
                    <w:rFonts w:ascii="Cambria Math" w:hAnsi="Cambria Math" w:cs="Times New Roman"/>
                    <w:color w:val="000000" w:themeColor="text1"/>
                    <w:szCs w:val="21"/>
                    <w14:textFill>
                      <w14:solidFill>
                        <w14:schemeClr w14:val="tx1"/>
                      </w14:solidFill>
                    </w14:textFill>
                  </w:rPr>
                  <m:t>2</m:t>
                </m:r>
                <m:ctrlPr>
                  <w:rPr>
                    <w:rFonts w:ascii="Cambria Math" w:hAnsi="Cambria Math" w:cs="Times New Roman"/>
                    <w:bCs/>
                    <w:i/>
                    <w:color w:val="000000" w:themeColor="text1"/>
                    <w:szCs w:val="21"/>
                    <w14:textFill>
                      <w14:solidFill>
                        <w14:schemeClr w14:val="tx1"/>
                      </w14:solidFill>
                    </w14:textFill>
                  </w:rPr>
                </m:ctrlPr>
              </m:sup>
            </m:sSup>
            <m:ctrlPr>
              <w:rPr>
                <w:rFonts w:ascii="Cambria Math" w:hAnsi="Cambria Math" w:cs="Times New Roman"/>
                <w:bCs/>
                <w:i/>
                <w:color w:val="000000" w:themeColor="text1"/>
                <w:szCs w:val="21"/>
                <w14:textFill>
                  <w14:solidFill>
                    <w14:schemeClr w14:val="tx1"/>
                  </w14:solidFill>
                </w14:textFill>
              </w:rPr>
            </m:ctrlPr>
          </m:e>
        </m:rad>
      </m:oMath>
      <w:r>
        <w:rPr>
          <w:rFonts w:hint="eastAsia" w:cs="Times New Roman"/>
          <w:bCs/>
          <w:color w:val="000000" w:themeColor="text1"/>
          <w:szCs w:val="21"/>
          <w14:textFill>
            <w14:solidFill>
              <w14:schemeClr w14:val="tx1"/>
            </w14:solidFill>
          </w14:textFill>
        </w:rPr>
        <w:t>。</w:t>
      </w:r>
    </w:p>
    <w:p>
      <w:pPr>
        <w:spacing w:line="400" w:lineRule="exact"/>
        <w:ind w:left="1890" w:hanging="1890" w:hangingChars="900"/>
        <w:textAlignment w:val="center"/>
        <w:rPr>
          <w:rFonts w:cs="Times New Roman"/>
          <w:bCs/>
          <w:color w:val="000000" w:themeColor="text1"/>
          <w:szCs w:val="21"/>
          <w14:textFill>
            <w14:solidFill>
              <w14:schemeClr w14:val="tx1"/>
            </w14:solidFill>
          </w14:textFill>
        </w:rPr>
      </w:pPr>
      <w:r>
        <w:rPr>
          <w:rFonts w:hint="eastAsia" w:cs="Times New Roman"/>
          <w:bCs/>
          <w:snapToGrid w:val="0"/>
          <w:color w:val="000000" w:themeColor="text1"/>
          <w:szCs w:val="21"/>
          <w14:textFill>
            <w14:solidFill>
              <w14:schemeClr w14:val="tx1"/>
            </w14:solidFill>
          </w14:textFill>
        </w:rPr>
        <w:t>式中：</w:t>
      </w:r>
      <w:r>
        <w:rPr>
          <w:rFonts w:cs="Times New Roman"/>
          <w:bCs/>
          <w:snapToGrid w:val="0"/>
          <w:color w:val="000000" w:themeColor="text1"/>
          <w:szCs w:val="21"/>
          <w14:textFill>
            <w14:solidFill>
              <w14:schemeClr w14:val="tx1"/>
            </w14:solidFill>
          </w14:textFill>
        </w:rPr>
        <w:t>M</w:t>
      </w:r>
      <w:r>
        <w:rPr>
          <w:rFonts w:cs="Times New Roman"/>
          <w:bCs/>
          <w:snapToGrid w:val="0"/>
          <w:color w:val="000000" w:themeColor="text1"/>
          <w:szCs w:val="21"/>
          <w:vertAlign w:val="subscript"/>
          <w14:textFill>
            <w14:solidFill>
              <w14:schemeClr w14:val="tx1"/>
            </w14:solidFill>
          </w14:textFill>
        </w:rPr>
        <w:t>bL</w:t>
      </w:r>
      <w:r>
        <w:rPr>
          <w:rFonts w:hint="eastAsia" w:cs="Times New Roman"/>
          <w:bCs/>
          <w:snapToGrid w:val="0"/>
          <w:color w:val="000000" w:themeColor="text1"/>
          <w:szCs w:val="21"/>
          <w14:textFill>
            <w14:solidFill>
              <w14:schemeClr w14:val="tx1"/>
            </w14:solidFill>
          </w14:textFill>
        </w:rPr>
        <w:t>、</w:t>
      </w:r>
      <w:r>
        <w:rPr>
          <w:rFonts w:cs="Times New Roman"/>
          <w:bCs/>
          <w:snapToGrid w:val="0"/>
          <w:color w:val="000000" w:themeColor="text1"/>
          <w:szCs w:val="21"/>
          <w14:textFill>
            <w14:solidFill>
              <w14:schemeClr w14:val="tx1"/>
            </w14:solidFill>
          </w14:textFill>
        </w:rPr>
        <w:t>M</w:t>
      </w:r>
      <w:r>
        <w:rPr>
          <w:rFonts w:cs="Times New Roman"/>
          <w:bCs/>
          <w:snapToGrid w:val="0"/>
          <w:color w:val="000000" w:themeColor="text1"/>
          <w:szCs w:val="21"/>
          <w:vertAlign w:val="subscript"/>
          <w14:textFill>
            <w14:solidFill>
              <w14:schemeClr w14:val="tx1"/>
            </w14:solidFill>
          </w14:textFill>
        </w:rPr>
        <w:t>bR</w:t>
      </w:r>
      <w:r>
        <w:rPr>
          <w:rFonts w:cs="Times New Roman"/>
          <w:bCs/>
          <w:snapToGrid w:val="0"/>
          <w:color w:val="000000" w:themeColor="text1"/>
          <w:szCs w:val="21"/>
          <w14:textFill>
            <w14:solidFill>
              <w14:schemeClr w14:val="tx1"/>
            </w14:solidFill>
          </w14:textFill>
        </w:rPr>
        <w:t>——</w:t>
      </w:r>
      <w:r>
        <w:rPr>
          <w:rFonts w:hint="eastAsia" w:cs="Times New Roman"/>
          <w:bCs/>
          <w:snapToGrid w:val="0"/>
          <w:color w:val="000000" w:themeColor="text1"/>
          <w:szCs w:val="21"/>
          <w14:textFill>
            <w14:solidFill>
              <w14:schemeClr w14:val="tx1"/>
            </w14:solidFill>
          </w14:textFill>
        </w:rPr>
        <w:t>分别为节点域左右两侧梁端按采用性能系数</w:t>
      </w:r>
      <w:r>
        <w:rPr>
          <w:rFonts w:cs="Times New Roman"/>
          <w:bCs/>
          <w:snapToGrid w:val="0"/>
          <w:color w:val="000000" w:themeColor="text1"/>
          <w:szCs w:val="21"/>
          <w14:textFill>
            <w14:solidFill>
              <w14:schemeClr w14:val="tx1"/>
            </w14:solidFill>
          </w14:textFill>
        </w:rPr>
        <w:t>q</w:t>
      </w:r>
      <w:r>
        <w:rPr>
          <w:rFonts w:hint="eastAsia" w:cs="Times New Roman"/>
          <w:bCs/>
          <w:snapToGrid w:val="0"/>
          <w:color w:val="000000" w:themeColor="text1"/>
          <w:szCs w:val="21"/>
          <w14:textFill>
            <w14:solidFill>
              <w14:schemeClr w14:val="tx1"/>
            </w14:solidFill>
          </w14:textFill>
        </w:rPr>
        <w:t>得到的地震组合下的弯矩</w:t>
      </w:r>
      <w:r>
        <w:rPr>
          <w:rFonts w:hint="eastAsia" w:cs="Times New Roman"/>
          <w:bCs/>
          <w:color w:val="000000" w:themeColor="text1"/>
          <w:szCs w:val="21"/>
          <w14:textFill>
            <w14:solidFill>
              <w14:schemeClr w14:val="tx1"/>
            </w14:solidFill>
          </w14:textFill>
        </w:rPr>
        <w:t>；</w:t>
      </w:r>
    </w:p>
    <w:p>
      <w:pPr>
        <w:spacing w:line="360" w:lineRule="auto"/>
        <w:ind w:firstLine="619" w:firstLineChars="2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f</w:t>
      </w:r>
      <w:r>
        <w:rPr>
          <w:bCs/>
          <w:color w:val="000000" w:themeColor="text1"/>
          <w:szCs w:val="21"/>
          <w:vertAlign w:val="subscript"/>
          <w14:textFill>
            <w14:solidFill>
              <w14:schemeClr w14:val="tx1"/>
            </w14:solidFill>
          </w14:textFill>
        </w:rPr>
        <w:t>ps</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节点域的抗剪承载力；</w:t>
      </w:r>
      <w:r>
        <w:rPr>
          <w:bCs/>
          <w:color w:val="000000" w:themeColor="text1"/>
          <w:sz w:val="24"/>
          <w:szCs w:val="24"/>
          <w14:textFill>
            <w14:solidFill>
              <w14:schemeClr w14:val="tx1"/>
            </w14:solidFill>
          </w14:textFill>
        </w:rPr>
        <w:t xml:space="preserve"> </w:t>
      </w:r>
    </w:p>
    <w:p>
      <w:pPr>
        <w:spacing w:line="360" w:lineRule="auto"/>
        <w:ind w:firstLine="619" w:firstLineChars="295"/>
        <w:rPr>
          <w:bCs/>
          <w:snapToGrid w:val="0"/>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f</w:t>
      </w:r>
      <w:r>
        <w:rPr>
          <w:bCs/>
          <w:color w:val="000000" w:themeColor="text1"/>
          <w:szCs w:val="21"/>
          <w:vertAlign w:val="subscript"/>
          <w14:textFill>
            <w14:solidFill>
              <w14:schemeClr w14:val="tx1"/>
            </w14:solidFill>
          </w14:textFill>
        </w:rPr>
        <w:t>v</w:t>
      </w:r>
      <w:r>
        <w:rPr>
          <w:bCs/>
          <w:snapToGrid w:val="0"/>
          <w:color w:val="000000" w:themeColor="text1"/>
          <w:szCs w:val="21"/>
          <w14:textFill>
            <w14:solidFill>
              <w14:schemeClr w14:val="tx1"/>
            </w14:solidFill>
          </w14:textFill>
        </w:rPr>
        <w:t>——</w:t>
      </w:r>
      <w:r>
        <w:rPr>
          <w:rFonts w:hint="eastAsia"/>
          <w:bCs/>
          <w:snapToGrid w:val="0"/>
          <w:color w:val="000000" w:themeColor="text1"/>
          <w:szCs w:val="21"/>
          <w14:textFill>
            <w14:solidFill>
              <w14:schemeClr w14:val="tx1"/>
            </w14:solidFill>
          </w14:textFill>
        </w:rPr>
        <w:t>节点域钢材</w:t>
      </w:r>
      <w:r>
        <w:rPr>
          <w:rFonts w:hint="eastAsia"/>
          <w:bCs/>
          <w:snapToGrid w:val="0"/>
          <w:color w:val="000000" w:themeColor="text1"/>
          <w:kern w:val="0"/>
          <w:szCs w:val="21"/>
          <w14:textFill>
            <w14:solidFill>
              <w14:schemeClr w14:val="tx1"/>
            </w14:solidFill>
          </w14:textFill>
        </w:rPr>
        <w:t>的抗剪强度</w:t>
      </w:r>
      <w:r>
        <w:rPr>
          <w:rFonts w:hint="eastAsia"/>
          <w:bCs/>
          <w:color w:val="000000" w:themeColor="text1"/>
          <w:szCs w:val="21"/>
          <w14:textFill>
            <w14:solidFill>
              <w14:schemeClr w14:val="tx1"/>
            </w14:solidFill>
          </w14:textFill>
        </w:rPr>
        <w:t>设计</w:t>
      </w:r>
      <w:r>
        <w:rPr>
          <w:rFonts w:hint="eastAsia"/>
          <w:bCs/>
          <w:snapToGrid w:val="0"/>
          <w:color w:val="000000" w:themeColor="text1"/>
          <w:kern w:val="0"/>
          <w:szCs w:val="21"/>
          <w14:textFill>
            <w14:solidFill>
              <w14:schemeClr w14:val="tx1"/>
            </w14:solidFill>
          </w14:textFill>
        </w:rPr>
        <w:t>值。</w:t>
      </w:r>
    </w:p>
    <w:p>
      <w:pPr>
        <w:spacing w:line="360" w:lineRule="auto"/>
        <w:ind w:left="1362" w:leftChars="304" w:hanging="724" w:hangingChars="345"/>
        <w:rPr>
          <w:bCs/>
          <w:snapToGrid w:val="0"/>
          <w:color w:val="000000" w:themeColor="text1"/>
          <w:kern w:val="0"/>
          <w:szCs w:val="21"/>
          <w14:textFill>
            <w14:solidFill>
              <w14:schemeClr w14:val="tx1"/>
            </w14:solidFill>
          </w14:textFill>
        </w:rPr>
      </w:pPr>
      <m:oMath>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N</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E</m:t>
            </m:r>
            <m:ctrlPr>
              <w:rPr>
                <w:rFonts w:ascii="Cambria Math" w:hAnsi="Cambria Math" w:cs="Times New Roman"/>
                <w:bCs/>
                <w:i/>
                <w:color w:val="000000" w:themeColor="text1"/>
                <w:szCs w:val="21"/>
                <w14:textFill>
                  <w14:solidFill>
                    <w14:schemeClr w14:val="tx1"/>
                  </w14:solidFill>
                </w14:textFill>
              </w:rPr>
            </m:ctrlPr>
          </m:sub>
        </m:sSub>
      </m:oMath>
      <w:r>
        <w:rPr>
          <w:rFonts w:hint="eastAsia"/>
          <w:bCs/>
          <w:snapToGrid w:val="0"/>
          <w:color w:val="000000" w:themeColor="text1"/>
          <w:kern w:val="0"/>
          <w:szCs w:val="21"/>
          <w14:textFill>
            <w14:solidFill>
              <w14:schemeClr w14:val="tx1"/>
            </w14:solidFill>
          </w14:textFill>
        </w:rPr>
        <w:t>、</w:t>
      </w:r>
      <m:oMath>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N</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pc</m:t>
            </m:r>
            <m:ctrlPr>
              <w:rPr>
                <w:rFonts w:ascii="Cambria Math" w:hAnsi="Cambria Math" w:cs="Times New Roman"/>
                <w:bCs/>
                <w:i/>
                <w:color w:val="000000" w:themeColor="text1"/>
                <w:szCs w:val="21"/>
                <w14:textFill>
                  <w14:solidFill>
                    <w14:schemeClr w14:val="tx1"/>
                  </w14:solidFill>
                </w14:textFill>
              </w:rPr>
            </m:ctrlPr>
          </m:sub>
        </m:sSub>
      </m:oMath>
      <w:r>
        <w:rPr>
          <w:bCs/>
          <w:snapToGrid w:val="0"/>
          <w:color w:val="000000" w:themeColor="text1"/>
          <w:kern w:val="0"/>
          <w:szCs w:val="21"/>
          <w14:textFill>
            <w14:solidFill>
              <w14:schemeClr w14:val="tx1"/>
            </w14:solidFill>
          </w14:textFill>
        </w:rPr>
        <w:t>——</w:t>
      </w:r>
      <w:r>
        <w:rPr>
          <w:rFonts w:hint="eastAsia"/>
          <w:bCs/>
          <w:snapToGrid w:val="0"/>
          <w:color w:val="000000" w:themeColor="text1"/>
          <w:kern w:val="0"/>
          <w:szCs w:val="21"/>
          <w14:textFill>
            <w14:solidFill>
              <w14:schemeClr w14:val="tx1"/>
            </w14:solidFill>
          </w14:textFill>
        </w:rPr>
        <w:t>节点域处的地震组合轴力和柱轴向塑性承载力。</w:t>
      </w:r>
    </w:p>
    <w:p>
      <w:pPr>
        <w:spacing w:line="40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3 </w:t>
      </w:r>
      <w:r>
        <w:rPr>
          <w:rFonts w:hint="eastAsia"/>
          <w:bCs/>
          <w:color w:val="000000" w:themeColor="text1"/>
          <w:szCs w:val="21"/>
          <w14:textFill>
            <w14:solidFill>
              <w14:schemeClr w14:val="tx1"/>
            </w14:solidFill>
          </w14:textFill>
        </w:rPr>
        <w:t>当</w:t>
      </w:r>
      <w:r>
        <w:rPr>
          <w:bCs/>
          <w:color w:val="000000" w:themeColor="text1"/>
          <w:szCs w:val="21"/>
          <w14:textFill>
            <w14:solidFill>
              <w14:schemeClr w14:val="tx1"/>
            </w14:solidFill>
          </w14:textFill>
        </w:rPr>
        <w:t>H</w:t>
      </w:r>
      <w:r>
        <w:rPr>
          <w:rFonts w:hint="eastAsia"/>
          <w:bCs/>
          <w:color w:val="000000" w:themeColor="text1"/>
          <w:szCs w:val="21"/>
          <w14:textFill>
            <w14:solidFill>
              <w14:schemeClr w14:val="tx1"/>
            </w14:solidFill>
          </w14:textFill>
        </w:rPr>
        <w:t>形截面柱节点域不满足本条</w:t>
      </w: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款的要求时，可采用加厚柱腹板、焊贴补强板和设置加劲肋等补强措施，并应符合下列要求：</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）采用加厚节点域的柱腹板时，加厚腹板的范围应伸出梁的上下翼缘之外不应小于</w:t>
      </w:r>
      <w:r>
        <w:rPr>
          <w:bCs/>
          <w:color w:val="000000" w:themeColor="text1"/>
          <w:szCs w:val="21"/>
          <w14:textFill>
            <w14:solidFill>
              <w14:schemeClr w14:val="tx1"/>
            </w14:solidFill>
          </w14:textFill>
        </w:rPr>
        <w:t>150mm</w:t>
      </w:r>
      <w:r>
        <w:rPr>
          <w:rFonts w:hint="eastAsia"/>
          <w:bCs/>
          <w:color w:val="000000" w:themeColor="text1"/>
          <w:szCs w:val="21"/>
          <w14:textFill>
            <w14:solidFill>
              <w14:schemeClr w14:val="tx1"/>
            </w14:solidFill>
          </w14:textFill>
        </w:rPr>
        <w:t>；</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）采用节点域焊贴补强板时，补强板与柱加劲肋和翼缘可采用角焊缝连接，与柱腹板采用塞焊连成整体，塞焊点之间的距离不应大于较薄焊件厚度的</w:t>
      </w:r>
      <w:bookmarkStart w:id="171" w:name="_Hlk24008088"/>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21ε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k</m:t>
            </m:r>
            <w:bookmarkEnd w:id="171"/>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w:r>
        <w:rPr>
          <w:rFonts w:hint="eastAsia"/>
          <w:bCs/>
          <w:color w:val="000000" w:themeColor="text1"/>
          <w:szCs w:val="21"/>
          <w14:textFill>
            <w14:solidFill>
              <w14:schemeClr w14:val="tx1"/>
            </w14:solidFill>
          </w14:textFill>
        </w:rPr>
        <w:t>倍；</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）节点域采用设置斜向加劲肋加强时（图9.2.7-2），可按下式计算其截面面积：</w:t>
      </w:r>
    </w:p>
    <w:p>
      <w:pPr>
        <w:ind w:firstLine="420"/>
        <w:jc w:val="center"/>
        <w:rPr>
          <w:color w:val="000000" w:themeColor="text1"/>
          <w14:textFill>
            <w14:solidFill>
              <w14:schemeClr w14:val="tx1"/>
            </w14:solidFill>
          </w14:textFill>
        </w:rPr>
      </w:pPr>
      <m:oMath>
        <m:sSub>
          <w:bookmarkStart w:id="172" w:name="_Hlk24009580"/>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A</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d</m:t>
            </m:r>
            <m:ctrlPr>
              <w:rPr>
                <w:rFonts w:ascii="Cambria Math" w:hAnsi="Cambria Math"/>
                <w:color w:val="000000" w:themeColor="text1"/>
                <w14:textFill>
                  <w14:solidFill>
                    <w14:schemeClr w14:val="tx1"/>
                  </w14:solidFill>
                </w14:textFill>
              </w:rPr>
            </m:ctrlPr>
          </m:sub>
        </m:sSub>
        <m:r>
          <m:rPr>
            <m:sty m:val="p"/>
          </m:rPr>
          <w:rPr>
            <w:rFonts w:ascii="Cambria Math" w:hAnsi="Cambria Math"/>
            <w:color w:val="000000" w:themeColor="text1"/>
            <w14:textFill>
              <w14:solidFill>
                <w14:schemeClr w14:val="tx1"/>
              </w14:solidFill>
            </w14:textFill>
          </w:rPr>
          <m:t>≥</m:t>
        </m:r>
        <m:f>
          <m:fPr>
            <m:ctrlPr>
              <w:rPr>
                <w:rFonts w:ascii="Cambria Math" w:hAnsi="Cambria Math"/>
                <w:color w:val="000000" w:themeColor="text1"/>
                <w14:textFill>
                  <w14:solidFill>
                    <w14:schemeClr w14:val="tx1"/>
                  </w14:solidFill>
                </w14:textFill>
              </w:rPr>
            </m:ctrlPr>
          </m:fPr>
          <m:num>
            <m:r>
              <m:rPr>
                <m:sty m:val="p"/>
              </m:rPr>
              <w:rPr>
                <w:rFonts w:ascii="Cambria Math" w:hAnsi="Cambria Math"/>
                <w:color w:val="000000" w:themeColor="text1"/>
                <w14:textFill>
                  <w14:solidFill>
                    <w14:schemeClr w14:val="tx1"/>
                  </w14:solidFill>
                </w14:textFill>
              </w:rPr>
              <m:t>1</m:t>
            </m:r>
            <m:ctrlPr>
              <w:rPr>
                <w:rFonts w:ascii="Cambria Math" w:hAnsi="Cambria Math"/>
                <w:color w:val="000000" w:themeColor="text1"/>
                <w14:textFill>
                  <w14:solidFill>
                    <w14:schemeClr w14:val="tx1"/>
                  </w14:solidFill>
                </w14:textFill>
              </w:rPr>
            </m:ctrlPr>
          </m:num>
          <m:den>
            <m:r>
              <w:rPr>
                <w:rFonts w:ascii="Cambria Math" w:hAnsi="Cambria Math"/>
                <w:color w:val="000000" w:themeColor="text1"/>
                <w14:textFill>
                  <w14:solidFill>
                    <w14:schemeClr w14:val="tx1"/>
                  </w14:solidFill>
                </w14:textFill>
              </w:rPr>
              <m:t>cosθ</m:t>
            </m:r>
            <m:ctrlPr>
              <w:rPr>
                <w:rFonts w:ascii="Cambria Math" w:hAnsi="Cambria Math"/>
                <w:color w:val="000000" w:themeColor="text1"/>
                <w14:textFill>
                  <w14:solidFill>
                    <w14:schemeClr w14:val="tx1"/>
                  </w14:solidFill>
                </w14:textFill>
              </w:rPr>
            </m:ctrlPr>
          </m:den>
        </m:f>
        <m:d>
          <m:dPr>
            <m:ctrlPr>
              <w:rPr>
                <w:rFonts w:ascii="Cambria Math" w:hAnsi="Cambria Math"/>
                <w:color w:val="000000" w:themeColor="text1"/>
                <w14:textFill>
                  <w14:solidFill>
                    <w14:schemeClr w14:val="tx1"/>
                  </w14:solidFill>
                </w14:textFill>
              </w:rPr>
            </m:ctrlPr>
          </m:dPr>
          <m:e>
            <m:f>
              <m:fPr>
                <m:ctrlPr>
                  <w:rPr>
                    <w:rFonts w:ascii="Cambria Math" w:hAnsi="Cambria Math"/>
                    <w:color w:val="000000" w:themeColor="text1"/>
                    <w14:textFill>
                      <w14:solidFill>
                        <w14:schemeClr w14:val="tx1"/>
                      </w14:solidFill>
                    </w14:textFill>
                  </w:rPr>
                </m:ctrlPr>
              </m:fPr>
              <m:num>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M</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L</m:t>
                    </m:r>
                    <m:ctrlPr>
                      <w:rPr>
                        <w:rFonts w:ascii="Cambria Math" w:hAnsi="Cambria Math"/>
                        <w:color w:val="000000" w:themeColor="text1"/>
                        <w14:textFill>
                          <w14:solidFill>
                            <w14:schemeClr w14:val="tx1"/>
                          </w14:solidFill>
                        </w14:textFill>
                      </w:rPr>
                    </m:ctrlPr>
                  </m:sub>
                </m:sSub>
                <m:r>
                  <m:rPr>
                    <m:sty m:val="p"/>
                  </m:rPr>
                  <w:rPr>
                    <w:rFonts w:ascii="Cambria Math" w:hAnsi="Cambria Math"/>
                    <w:color w:val="000000" w:themeColor="text1"/>
                    <w14:textFill>
                      <w14:solidFill>
                        <w14:schemeClr w14:val="tx1"/>
                      </w14:solidFill>
                    </w14:textFill>
                  </w:rPr>
                  <m:t>+</m:t>
                </m:r>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M</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R</m:t>
                    </m:r>
                    <m:ctrlPr>
                      <w:rPr>
                        <w:rFonts w:ascii="Cambria Math" w:hAnsi="Cambria Math"/>
                        <w:color w:val="000000" w:themeColor="text1"/>
                        <w14:textFill>
                          <w14:solidFill>
                            <w14:schemeClr w14:val="tx1"/>
                          </w14:solidFill>
                        </w14:textFill>
                      </w:rPr>
                    </m:ctrlPr>
                  </m:sub>
                </m:sSub>
                <m:ctrlPr>
                  <w:rPr>
                    <w:rFonts w:ascii="Cambria Math" w:hAnsi="Cambria Math"/>
                    <w:color w:val="000000" w:themeColor="text1"/>
                    <w14:textFill>
                      <w14:solidFill>
                        <w14:schemeClr w14:val="tx1"/>
                      </w14:solidFill>
                    </w14:textFill>
                  </w:rPr>
                </m:ctrlPr>
              </m:num>
              <m:den>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h</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b</m:t>
                    </m:r>
                    <m:r>
                      <m:rPr>
                        <m:sty m:val="p"/>
                      </m:rPr>
                      <w:rPr>
                        <w:rFonts w:ascii="Cambria Math" w:hAnsi="Cambria Math"/>
                        <w:color w:val="000000" w:themeColor="text1"/>
                        <w14:textFill>
                          <w14:solidFill>
                            <w14:schemeClr w14:val="tx1"/>
                          </w14:solidFill>
                        </w14:textFill>
                      </w:rPr>
                      <m:t>1</m:t>
                    </m:r>
                    <m:ctrlPr>
                      <w:rPr>
                        <w:rFonts w:ascii="Cambria Math" w:hAnsi="Cambria Math"/>
                        <w:color w:val="000000" w:themeColor="text1"/>
                        <w14:textFill>
                          <w14:solidFill>
                            <w14:schemeClr w14:val="tx1"/>
                          </w14:solidFill>
                        </w14:textFill>
                      </w:rPr>
                    </m:ctrlPr>
                  </m:sub>
                </m:sSub>
                <m:ctrlPr>
                  <w:rPr>
                    <w:rFonts w:ascii="Cambria Math" w:hAnsi="Cambria Math"/>
                    <w:color w:val="000000" w:themeColor="text1"/>
                    <w14:textFill>
                      <w14:solidFill>
                        <w14:schemeClr w14:val="tx1"/>
                      </w14:solidFill>
                    </w14:textFill>
                  </w:rPr>
                </m:ctrlPr>
              </m:den>
            </m:f>
            <m:r>
              <m:rPr>
                <m:sty m:val="p"/>
              </m:rPr>
              <w:rPr>
                <w:rFonts w:ascii="Cambria Math" w:hAnsi="Cambria Math"/>
                <w:color w:val="000000" w:themeColor="text1"/>
                <w14:textFill>
                  <w14:solidFill>
                    <w14:schemeClr w14:val="tx1"/>
                  </w14:solidFill>
                </w14:textFill>
              </w:rPr>
              <m:t>-</m:t>
            </m:r>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t</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w</m:t>
                </m:r>
                <m:ctrlPr>
                  <w:rPr>
                    <w:rFonts w:ascii="Cambria Math" w:hAnsi="Cambria Math"/>
                    <w:color w:val="000000" w:themeColor="text1"/>
                    <w14:textFill>
                      <w14:solidFill>
                        <w14:schemeClr w14:val="tx1"/>
                      </w14:solidFill>
                    </w14:textFill>
                  </w:rPr>
                </m:ctrlPr>
              </m:sub>
            </m:sSub>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h</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c</m:t>
                </m:r>
                <m:r>
                  <m:rPr>
                    <m:sty m:val="p"/>
                  </m:rPr>
                  <w:rPr>
                    <w:rFonts w:ascii="Cambria Math" w:hAnsi="Cambria Math"/>
                    <w:color w:val="000000" w:themeColor="text1"/>
                    <w14:textFill>
                      <w14:solidFill>
                        <w14:schemeClr w14:val="tx1"/>
                      </w14:solidFill>
                    </w14:textFill>
                  </w:rPr>
                  <m:t>1</m:t>
                </m:r>
                <m:ctrlPr>
                  <w:rPr>
                    <w:rFonts w:ascii="Cambria Math" w:hAnsi="Cambria Math"/>
                    <w:color w:val="000000" w:themeColor="text1"/>
                    <w14:textFill>
                      <w14:solidFill>
                        <w14:schemeClr w14:val="tx1"/>
                      </w14:solidFill>
                    </w14:textFill>
                  </w:rPr>
                </m:ctrlPr>
              </m:sub>
            </m:sSub>
            <m:sSub>
              <m:sSubPr>
                <m:ctrlPr>
                  <w:rPr>
                    <w:rFonts w:ascii="Cambria Math" w:hAnsi="Cambria Math"/>
                    <w:color w:val="000000" w:themeColor="text1"/>
                    <w14:textFill>
                      <w14:solidFill>
                        <w14:schemeClr w14:val="tx1"/>
                      </w14:solidFill>
                    </w14:textFill>
                  </w:rPr>
                </m:ctrlPr>
              </m:sSubPr>
              <m:e>
                <w:bookmarkStart w:id="173" w:name="_Hlk24009405"/>
                <m:r>
                  <m:rPr>
                    <m:sty m:val="p"/>
                  </m:rPr>
                  <w:rPr>
                    <w:rFonts w:hint="eastAsia" w:ascii="Cambria Math" w:hAnsi="Cambria Math"/>
                    <w:color w:val="000000" w:themeColor="text1"/>
                    <w14:textFill>
                      <w14:solidFill>
                        <w14:schemeClr w14:val="tx1"/>
                      </w14:solidFill>
                    </w14:textFill>
                  </w:rPr>
                  <m:t>ƒ</m:t>
                </m:r>
                <w:bookmarkEnd w:id="173"/>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yv</m:t>
                </m:r>
                <m:ctrlPr>
                  <w:rPr>
                    <w:rFonts w:ascii="Cambria Math" w:hAnsi="Cambria Math"/>
                    <w:color w:val="000000" w:themeColor="text1"/>
                    <w14:textFill>
                      <w14:solidFill>
                        <w14:schemeClr w14:val="tx1"/>
                      </w14:solidFill>
                    </w14:textFill>
                  </w:rPr>
                </m:ctrlPr>
              </m:sub>
            </m:sSub>
            <m:ctrlPr>
              <w:rPr>
                <w:rFonts w:ascii="Cambria Math" w:hAnsi="Cambria Math"/>
                <w:color w:val="000000" w:themeColor="text1"/>
                <w14:textFill>
                  <w14:solidFill>
                    <w14:schemeClr w14:val="tx1"/>
                  </w14:solidFill>
                </w14:textFill>
              </w:rPr>
            </m:ctrlPr>
          </m:e>
        </m:d>
        <m:f>
          <m:fPr>
            <m:ctrlPr>
              <w:rPr>
                <w:rFonts w:ascii="Cambria Math" w:hAnsi="Cambria Math"/>
                <w:color w:val="000000" w:themeColor="text1"/>
                <w14:textFill>
                  <w14:solidFill>
                    <w14:schemeClr w14:val="tx1"/>
                  </w14:solidFill>
                </w14:textFill>
              </w:rPr>
            </m:ctrlPr>
          </m:fPr>
          <m:num>
            <m:r>
              <m:rPr>
                <m:sty m:val="p"/>
              </m:rPr>
              <w:rPr>
                <w:rFonts w:ascii="Cambria Math" w:hAnsi="Cambria Math"/>
                <w:color w:val="000000" w:themeColor="text1"/>
                <w14:textFill>
                  <w14:solidFill>
                    <w14:schemeClr w14:val="tx1"/>
                  </w14:solidFill>
                </w14:textFill>
              </w:rPr>
              <m:t>1</m:t>
            </m:r>
            <m:ctrlPr>
              <w:rPr>
                <w:rFonts w:ascii="Cambria Math" w:hAnsi="Cambria Math"/>
                <w:color w:val="000000" w:themeColor="text1"/>
                <w14:textFill>
                  <w14:solidFill>
                    <w14:schemeClr w14:val="tx1"/>
                  </w14:solidFill>
                </w14:textFill>
              </w:rPr>
            </m:ctrlPr>
          </m:num>
          <m:den>
            <m:sSub>
              <m:sSubPr>
                <m:ctrlPr>
                  <w:rPr>
                    <w:rFonts w:ascii="Cambria Math" w:hAnsi="Cambria Math"/>
                    <w:color w:val="000000" w:themeColor="text1"/>
                    <w14:textFill>
                      <w14:solidFill>
                        <w14:schemeClr w14:val="tx1"/>
                      </w14:solidFill>
                    </w14:textFill>
                  </w:rPr>
                </m:ctrlPr>
              </m:sSubPr>
              <m:e>
                <m:r>
                  <m:rPr>
                    <m:sty m:val="p"/>
                  </m:rPr>
                  <w:rPr>
                    <w:rFonts w:hint="eastAsia" w:ascii="Cambria Math" w:hAnsi="Cambria Math"/>
                    <w:color w:val="000000" w:themeColor="text1"/>
                    <w14:textFill>
                      <w14:solidFill>
                        <w14:schemeClr w14:val="tx1"/>
                      </w14:solidFill>
                    </w14:textFill>
                  </w:rPr>
                  <m:t>ƒ</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dy</m:t>
                </m:r>
                <w:bookmarkEnd w:id="172"/>
                <m:ctrlPr>
                  <w:rPr>
                    <w:rFonts w:ascii="Cambria Math" w:hAnsi="Cambria Math"/>
                    <w:color w:val="000000" w:themeColor="text1"/>
                    <w14:textFill>
                      <w14:solidFill>
                        <w14:schemeClr w14:val="tx1"/>
                      </w14:solidFill>
                    </w14:textFill>
                  </w:rPr>
                </m:ctrlPr>
              </m:sub>
            </m:sSub>
            <m:ctrlPr>
              <w:rPr>
                <w:rFonts w:ascii="Cambria Math" w:hAnsi="Cambria Math"/>
                <w:color w:val="000000" w:themeColor="text1"/>
                <w14:textFill>
                  <w14:solidFill>
                    <w14:schemeClr w14:val="tx1"/>
                  </w14:solidFill>
                </w14:textFill>
              </w:rPr>
            </m:ctrlPr>
          </m:den>
        </m:f>
      </m:oMath>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（9</w:t>
      </w:r>
      <w:r>
        <w:rPr>
          <w:color w:val="000000" w:themeColor="text1"/>
          <w14:textFill>
            <w14:solidFill>
              <w14:schemeClr w14:val="tx1"/>
            </w14:solidFill>
          </w14:textFill>
        </w:rPr>
        <w:t>.2.7-13</w:t>
      </w:r>
      <w:r>
        <w:rPr>
          <w:rFonts w:hint="eastAsia"/>
          <w:color w:val="000000" w:themeColor="text1"/>
          <w14:textFill>
            <w14:solidFill>
              <w14:schemeClr w14:val="tx1"/>
            </w14:solidFill>
          </w14:textFill>
        </w:rPr>
        <w:t>）</w:t>
      </w:r>
    </w:p>
    <w:p>
      <w:pPr>
        <w:spacing w:line="400" w:lineRule="exact"/>
        <w:ind w:left="1680" w:hanging="1680" w:hangingChars="8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式中：</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M</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L</m:t>
            </m:r>
            <m:ctrlPr>
              <w:rPr>
                <w:rFonts w:ascii="Cambria Math" w:hAnsi="Cambria Math"/>
                <w:bCs/>
                <w:i/>
                <w:color w:val="000000" w:themeColor="text1"/>
                <w:szCs w:val="21"/>
                <w14:textFill>
                  <w14:solidFill>
                    <w14:schemeClr w14:val="tx1"/>
                  </w14:solidFill>
                </w14:textFill>
              </w:rPr>
            </m:ctrlPr>
          </m:sub>
        </m:sSub>
      </m:oMath>
      <w:r>
        <w:rPr>
          <w:rFonts w:hint="eastAsia"/>
          <w:bCs/>
          <w:color w:val="000000" w:themeColor="text1"/>
          <w:szCs w:val="21"/>
          <w14:textFill>
            <w14:solidFill>
              <w14:schemeClr w14:val="tx1"/>
            </w14:solidFill>
          </w14:textFill>
        </w:rPr>
        <w:t>、</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M</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R</m:t>
            </m:r>
            <m:ctrlPr>
              <w:rPr>
                <w:rFonts w:ascii="Cambria Math" w:hAnsi="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对于</w:t>
      </w:r>
      <w:r>
        <w:rPr>
          <w:bCs/>
          <w:color w:val="000000" w:themeColor="text1"/>
          <w:szCs w:val="21"/>
          <w14:textFill>
            <w14:solidFill>
              <w14:schemeClr w14:val="tx1"/>
            </w14:solidFill>
          </w14:textFill>
        </w:rPr>
        <w:t>PS1</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PS2</w:t>
      </w:r>
      <w:r>
        <w:rPr>
          <w:rFonts w:hint="eastAsia"/>
          <w:bCs/>
          <w:color w:val="000000" w:themeColor="text1"/>
          <w:szCs w:val="21"/>
          <w14:textFill>
            <w14:solidFill>
              <w14:schemeClr w14:val="tx1"/>
            </w14:solidFill>
          </w14:textFill>
        </w:rPr>
        <w:t>，分别为与节点域左右两侧的梁的全截面塑性弯矩；对于</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ES2</w:t>
      </w:r>
      <w:r>
        <w:rPr>
          <w:rFonts w:hint="eastAsia"/>
          <w:bCs/>
          <w:color w:val="000000" w:themeColor="text1"/>
          <w:szCs w:val="21"/>
          <w14:textFill>
            <w14:solidFill>
              <w14:schemeClr w14:val="tx1"/>
            </w14:solidFill>
          </w14:textFill>
        </w:rPr>
        <w:t>和</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为地震组合的计算弯矩；</w:t>
      </w:r>
    </w:p>
    <w:p>
      <w:pPr>
        <w:spacing w:line="400" w:lineRule="exact"/>
        <w:ind w:firstLine="630" w:firstLineChars="300"/>
        <w:rPr>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d</m:t>
            </m:r>
            <m:ctrlPr>
              <w:rPr>
                <w:rFonts w:ascii="Cambria Math" w:hAnsi="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斜向加劲肋的总截面面积，一般应双侧布置；</w:t>
      </w:r>
    </w:p>
    <w:p>
      <w:pPr>
        <w:spacing w:line="400" w:lineRule="exact"/>
        <w:ind w:firstLine="630" w:firstLineChars="300"/>
        <w:rPr>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dy</m:t>
            </m:r>
            <m:ctrlPr>
              <w:rPr>
                <w:rFonts w:ascii="Cambria Math" w:hAnsi="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斜向加劲肋钢材的屈服强度；</w:t>
      </w:r>
    </w:p>
    <w:p>
      <w:pPr>
        <w:spacing w:line="400" w:lineRule="exact"/>
        <w:ind w:firstLine="630" w:firstLineChars="300"/>
        <w:rPr>
          <w:bCs/>
          <w:color w:val="000000" w:themeColor="text1"/>
          <w:szCs w:val="21"/>
          <w14:textFill>
            <w14:solidFill>
              <w14:schemeClr w14:val="tx1"/>
            </w14:solidFill>
          </w14:textFill>
        </w:rPr>
      </w:pPr>
      <m:oMath>
        <m:r>
          <w:rPr>
            <w:rFonts w:ascii="Cambria Math" w:hAnsi="Cambria Math"/>
            <w:color w:val="000000" w:themeColor="text1"/>
            <w:szCs w:val="21"/>
            <w14:textFill>
              <w14:solidFill>
                <w14:schemeClr w14:val="tx1"/>
              </w14:solidFill>
            </w14:textFill>
          </w:rPr>
          <m:t>θ</m:t>
        </m:r>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斜向加劲肋的倾角。</w:t>
      </w:r>
    </w:p>
    <w:p>
      <w:pPr>
        <w:tabs>
          <w:tab w:val="left" w:pos="5812"/>
        </w:tabs>
        <w:spacing w:line="360" w:lineRule="exact"/>
        <w:ind w:firstLine="420"/>
        <w:jc w:val="center"/>
        <w:rPr>
          <w:bCs/>
          <w:color w:val="000000" w:themeColor="text1"/>
          <w:szCs w:val="20"/>
          <w14:textFill>
            <w14:solidFill>
              <w14:schemeClr w14:val="tx1"/>
            </w14:solidFill>
          </w14:textFill>
        </w:rPr>
      </w:pPr>
      <w:r>
        <w:rPr>
          <w:color w:val="000000" w:themeColor="text1"/>
          <w:szCs w:val="20"/>
          <w14:textFill>
            <w14:solidFill>
              <w14:schemeClr w14:val="tx1"/>
            </w14:solidFill>
          </w14:textFill>
        </w:rPr>
        <w:drawing>
          <wp:anchor distT="0" distB="0" distL="114300" distR="114300" simplePos="0" relativeHeight="251635712" behindDoc="0" locked="0" layoutInCell="1" allowOverlap="1">
            <wp:simplePos x="0" y="0"/>
            <wp:positionH relativeFrom="column">
              <wp:posOffset>1052195</wp:posOffset>
            </wp:positionH>
            <wp:positionV relativeFrom="paragraph">
              <wp:posOffset>85090</wp:posOffset>
            </wp:positionV>
            <wp:extent cx="3221355" cy="1399540"/>
            <wp:effectExtent l="0" t="0" r="0" b="0"/>
            <wp:wrapSquare wrapText="bothSides"/>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3221355" cy="1399540"/>
                    </a:xfrm>
                    <a:prstGeom prst="rect">
                      <a:avLst/>
                    </a:prstGeom>
                    <a:noFill/>
                  </pic:spPr>
                </pic:pic>
              </a:graphicData>
            </a:graphic>
          </wp:anchor>
        </w:drawing>
      </w:r>
    </w:p>
    <w:p>
      <w:pPr>
        <w:tabs>
          <w:tab w:val="left" w:pos="5812"/>
        </w:tabs>
        <w:spacing w:line="400" w:lineRule="exact"/>
        <w:ind w:firstLine="420"/>
        <w:jc w:val="center"/>
        <w:rPr>
          <w:bCs/>
          <w:color w:val="000000" w:themeColor="text1"/>
          <w14:textFill>
            <w14:solidFill>
              <w14:schemeClr w14:val="tx1"/>
            </w14:solidFill>
          </w14:textFill>
        </w:rPr>
      </w:pPr>
    </w:p>
    <w:p>
      <w:pPr>
        <w:tabs>
          <w:tab w:val="left" w:pos="5812"/>
        </w:tabs>
        <w:spacing w:line="400" w:lineRule="exact"/>
        <w:ind w:firstLine="420"/>
        <w:jc w:val="center"/>
        <w:rPr>
          <w:bCs/>
          <w:color w:val="000000" w:themeColor="text1"/>
          <w14:textFill>
            <w14:solidFill>
              <w14:schemeClr w14:val="tx1"/>
            </w14:solidFill>
          </w14:textFill>
        </w:rPr>
      </w:pPr>
    </w:p>
    <w:p>
      <w:pPr>
        <w:tabs>
          <w:tab w:val="left" w:pos="5812"/>
        </w:tabs>
        <w:spacing w:line="400" w:lineRule="exact"/>
        <w:ind w:firstLine="420"/>
        <w:jc w:val="left"/>
        <w:rPr>
          <w:bCs/>
          <w:color w:val="000000" w:themeColor="text1"/>
          <w14:textFill>
            <w14:solidFill>
              <w14:schemeClr w14:val="tx1"/>
            </w14:solidFill>
          </w14:textFill>
        </w:rPr>
      </w:pPr>
    </w:p>
    <w:p>
      <w:pPr>
        <w:tabs>
          <w:tab w:val="left" w:pos="5812"/>
        </w:tabs>
        <w:spacing w:line="400" w:lineRule="exact"/>
        <w:ind w:firstLine="420"/>
        <w:jc w:val="center"/>
        <w:rPr>
          <w:bCs/>
          <w:color w:val="000000" w:themeColor="text1"/>
          <w:szCs w:val="21"/>
          <w14:textFill>
            <w14:solidFill>
              <w14:schemeClr w14:val="tx1"/>
            </w14:solidFill>
          </w14:textFill>
        </w:rPr>
      </w:pPr>
    </w:p>
    <w:p>
      <w:pPr>
        <w:tabs>
          <w:tab w:val="left" w:pos="5812"/>
        </w:tabs>
        <w:spacing w:line="400" w:lineRule="exact"/>
        <w:ind w:firstLine="360"/>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               </w:t>
      </w:r>
    </w:p>
    <w:p>
      <w:pPr>
        <w:tabs>
          <w:tab w:val="left" w:pos="5812"/>
        </w:tabs>
        <w:spacing w:line="400" w:lineRule="exact"/>
        <w:ind w:firstLine="360"/>
        <w:jc w:val="left"/>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a</w:t>
      </w:r>
      <w:r>
        <w:rPr>
          <w:rFonts w:hint="eastAsia"/>
          <w:bCs/>
          <w:color w:val="000000" w:themeColor="text1"/>
          <w:sz w:val="18"/>
          <w:szCs w:val="18"/>
          <w14:textFill>
            <w14:solidFill>
              <w14:schemeClr w14:val="tx1"/>
            </w14:solidFill>
          </w14:textFill>
        </w:rPr>
        <w:t>）边柱</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b</w:t>
      </w:r>
      <w:r>
        <w:rPr>
          <w:rFonts w:hint="eastAsia"/>
          <w:bCs/>
          <w:color w:val="000000" w:themeColor="text1"/>
          <w:sz w:val="18"/>
          <w:szCs w:val="18"/>
          <w14:textFill>
            <w14:solidFill>
              <w14:schemeClr w14:val="tx1"/>
            </w14:solidFill>
          </w14:textFill>
        </w:rPr>
        <w:t>）中柱</w:t>
      </w:r>
    </w:p>
    <w:p>
      <w:pPr>
        <w:widowControl/>
        <w:spacing w:line="360" w:lineRule="exact"/>
        <w:ind w:firstLine="0" w:firstLineChars="0"/>
        <w:jc w:val="center"/>
        <w:rPr>
          <w:rFonts w:cs="Times New Roman"/>
          <w:bCs/>
          <w:snapToGrid w:val="0"/>
          <w:color w:val="000000" w:themeColor="text1"/>
          <w:kern w:val="0"/>
          <w:sz w:val="18"/>
          <w:szCs w:val="21"/>
          <w14:textFill>
            <w14:solidFill>
              <w14:schemeClr w14:val="tx1"/>
            </w14:solidFill>
          </w14:textFill>
        </w:rPr>
      </w:pPr>
      <w:r>
        <w:rPr>
          <w:rFonts w:hint="eastAsia" w:cs="Times New Roman"/>
          <w:bCs/>
          <w:snapToGrid w:val="0"/>
          <w:color w:val="000000" w:themeColor="text1"/>
          <w:kern w:val="0"/>
          <w:sz w:val="18"/>
          <w:szCs w:val="21"/>
          <w14:textFill>
            <w14:solidFill>
              <w14:schemeClr w14:val="tx1"/>
            </w14:solidFill>
          </w14:textFill>
        </w:rPr>
        <w:t>图9</w:t>
      </w:r>
      <w:r>
        <w:rPr>
          <w:rFonts w:cs="Times New Roman"/>
          <w:bCs/>
          <w:snapToGrid w:val="0"/>
          <w:color w:val="000000" w:themeColor="text1"/>
          <w:kern w:val="0"/>
          <w:sz w:val="18"/>
          <w:szCs w:val="21"/>
          <w14:textFill>
            <w14:solidFill>
              <w14:schemeClr w14:val="tx1"/>
            </w14:solidFill>
          </w14:textFill>
        </w:rPr>
        <w:t>.</w:t>
      </w:r>
      <w:r>
        <w:rPr>
          <w:rFonts w:hint="eastAsia" w:cs="Times New Roman"/>
          <w:bCs/>
          <w:snapToGrid w:val="0"/>
          <w:color w:val="000000" w:themeColor="text1"/>
          <w:kern w:val="0"/>
          <w:sz w:val="18"/>
          <w:szCs w:val="21"/>
          <w14:textFill>
            <w14:solidFill>
              <w14:schemeClr w14:val="tx1"/>
            </w14:solidFill>
          </w14:textFill>
        </w:rPr>
        <w:t>2.7-2</w:t>
      </w:r>
      <w:r>
        <w:rPr>
          <w:rFonts w:cs="Times New Roman"/>
          <w:bCs/>
          <w:snapToGrid w:val="0"/>
          <w:color w:val="000000" w:themeColor="text1"/>
          <w:kern w:val="0"/>
          <w:sz w:val="18"/>
          <w:szCs w:val="21"/>
          <w14:textFill>
            <w14:solidFill>
              <w14:schemeClr w14:val="tx1"/>
            </w14:solidFill>
          </w14:textFill>
        </w:rPr>
        <w:t xml:space="preserve">  </w:t>
      </w:r>
      <w:r>
        <w:rPr>
          <w:rFonts w:hint="eastAsia" w:cs="Times New Roman"/>
          <w:bCs/>
          <w:snapToGrid w:val="0"/>
          <w:color w:val="000000" w:themeColor="text1"/>
          <w:kern w:val="0"/>
          <w:sz w:val="18"/>
          <w:szCs w:val="21"/>
          <w14:textFill>
            <w14:solidFill>
              <w14:schemeClr w14:val="tx1"/>
            </w14:solidFill>
          </w14:textFill>
        </w:rPr>
        <w:t>节点域的斜向加劲肋</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ES2</w:t>
      </w:r>
      <w:r>
        <w:rPr>
          <w:rFonts w:hint="eastAsia"/>
          <w:bCs/>
          <w:color w:val="000000" w:themeColor="text1"/>
          <w:szCs w:val="21"/>
          <w14:textFill>
            <w14:solidFill>
              <w14:schemeClr w14:val="tx1"/>
            </w14:solidFill>
          </w14:textFill>
        </w:rPr>
        <w:t>的节点域，也可采用设置竖向加劲肋加强，使节点域腹板的临界应力不小于抗剪屈服强度，其抗剪承载力可按式9</w:t>
      </w:r>
      <w:r>
        <w:rPr>
          <w:bCs/>
          <w:color w:val="000000" w:themeColor="text1"/>
          <w:szCs w:val="21"/>
          <w14:textFill>
            <w14:solidFill>
              <w14:schemeClr w14:val="tx1"/>
            </w14:solidFill>
          </w14:textFill>
        </w:rPr>
        <w:t>.2.7-12</w:t>
      </w:r>
      <w:r>
        <w:rPr>
          <w:rFonts w:hint="eastAsia"/>
          <w:bCs/>
          <w:color w:val="000000" w:themeColor="text1"/>
          <w:szCs w:val="21"/>
          <w14:textFill>
            <w14:solidFill>
              <w14:schemeClr w14:val="tx1"/>
            </w14:solidFill>
          </w14:textFill>
        </w:rPr>
        <w:t>取值。</w:t>
      </w:r>
    </w:p>
    <w:p>
      <w:pPr>
        <w:autoSpaceDE w:val="0"/>
        <w:autoSpaceDN w:val="0"/>
        <w:spacing w:line="380" w:lineRule="exact"/>
        <w:ind w:firstLine="0" w:firstLineChars="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 xml:space="preserve">.2.8 </w:t>
      </w:r>
      <w:r>
        <w:rPr>
          <w:rFonts w:hint="eastAsia"/>
          <w:bCs/>
          <w:color w:val="000000" w:themeColor="text1"/>
          <w:szCs w:val="21"/>
          <w14:textFill>
            <w14:solidFill>
              <w14:schemeClr w14:val="tx1"/>
            </w14:solidFill>
          </w14:textFill>
        </w:rPr>
        <w:t>钢管混凝土柱</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钢梁外加强环板连接节点的极限抗剪承载力</w:t>
      </w:r>
      <w:r>
        <w:rPr>
          <w:bCs/>
          <w:color w:val="000000" w:themeColor="text1"/>
          <w:szCs w:val="21"/>
          <w14:textFill>
            <w14:solidFill>
              <w14:schemeClr w14:val="tx1"/>
            </w14:solidFill>
          </w14:textFill>
        </w:rPr>
        <w:object>
          <v:shape id="_x0000_i1040" o:spt="75" type="#_x0000_t75" style="height:20pt;width:16pt;" o:ole="t" filled="f" o:preferrelative="t" stroked="f" coordsize="21600,21600">
            <v:path/>
            <v:fill on="f" focussize="0,0"/>
            <v:stroke on="f" joinstyle="miter"/>
            <v:imagedata r:id="rId78" o:title=""/>
            <o:lock v:ext="edit" aspectratio="t"/>
            <w10:wrap type="none"/>
            <w10:anchorlock/>
          </v:shape>
          <o:OLEObject Type="Embed" ProgID="Equation.3" ShapeID="_x0000_i1040" DrawAspect="Content" ObjectID="_1468075740" r:id="rId77">
            <o:LockedField>false</o:LockedField>
          </o:OLEObject>
        </w:object>
      </w:r>
      <w:r>
        <w:rPr>
          <w:rFonts w:hint="eastAsia"/>
          <w:bCs/>
          <w:color w:val="000000" w:themeColor="text1"/>
          <w:szCs w:val="21"/>
          <w14:textFill>
            <w14:solidFill>
              <w14:schemeClr w14:val="tx1"/>
            </w14:solidFill>
          </w14:textFill>
        </w:rPr>
        <w:t>计算可按下式进行：</w:t>
      </w:r>
    </w:p>
    <w:p>
      <w:pPr>
        <w:autoSpaceDE w:val="0"/>
        <w:autoSpaceDN w:val="0"/>
        <w:spacing w:line="360" w:lineRule="auto"/>
        <w:ind w:firstLine="42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当</w:t>
      </w:r>
      <w:r>
        <w:rPr>
          <w:bCs/>
          <w:color w:val="000000" w:themeColor="text1"/>
          <w:szCs w:val="21"/>
          <w14:textFill>
            <w14:solidFill>
              <w14:schemeClr w14:val="tx1"/>
            </w14:solidFill>
          </w14:textFill>
        </w:rPr>
        <w:object>
          <v:shape id="_x0000_i1041" o:spt="75" type="#_x0000_t75" style="height:19pt;width:42pt;" o:ole="t" filled="f" o:preferrelative="t" stroked="f" coordsize="21600,21600">
            <v:path/>
            <v:fill on="f" focussize="0,0"/>
            <v:stroke on="f" joinstyle="miter"/>
            <v:imagedata r:id="rId80" o:title=""/>
            <o:lock v:ext="edit" aspectratio="t"/>
            <w10:wrap type="none"/>
            <w10:anchorlock/>
          </v:shape>
          <o:OLEObject Type="Embed" ProgID="Equation.KSEE3" ShapeID="_x0000_i1041" DrawAspect="Content" ObjectID="_1468075741" r:id="rId79">
            <o:LockedField>false</o:LockedField>
          </o:OLEObject>
        </w:object>
      </w:r>
      <w:r>
        <w:rPr>
          <w:rFonts w:hint="eastAsia"/>
          <w:bCs/>
          <w:color w:val="000000" w:themeColor="text1"/>
          <w:szCs w:val="21"/>
          <w14:textFill>
            <w14:solidFill>
              <w14:schemeClr w14:val="tx1"/>
            </w14:solidFill>
          </w14:textFill>
        </w:rPr>
        <w:t>时，</w:t>
      </w:r>
    </w:p>
    <w:p>
      <w:pPr>
        <w:ind w:firstLine="420"/>
        <w:jc w:val="righ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3498850" cy="40386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3558013" cy="411149"/>
                    </a:xfrm>
                    <a:prstGeom prst="rect">
                      <a:avLst/>
                    </a:prstGeom>
                    <a:noFill/>
                    <a:ln>
                      <a:noFill/>
                    </a:ln>
                  </pic:spPr>
                </pic:pic>
              </a:graphicData>
            </a:graphic>
          </wp:inline>
        </w:drawing>
      </w:r>
      <w:r>
        <w:rPr>
          <w:rFonts w:hint="eastAsia"/>
          <w:color w:val="000000" w:themeColor="text1"/>
          <w14:textFill>
            <w14:solidFill>
              <w14:schemeClr w14:val="tx1"/>
            </w14:solidFill>
          </w14:textFill>
        </w:rPr>
        <w:t>（9</w:t>
      </w:r>
      <w:r>
        <w:rPr>
          <w:color w:val="000000" w:themeColor="text1"/>
          <w14:textFill>
            <w14:solidFill>
              <w14:schemeClr w14:val="tx1"/>
            </w14:solidFill>
          </w14:textFill>
        </w:rPr>
        <w:t>.2.8-1</w:t>
      </w:r>
      <w:r>
        <w:rPr>
          <w:rFonts w:hint="eastAsia"/>
          <w:color w:val="000000" w:themeColor="text1"/>
          <w14:textFill>
            <w14:solidFill>
              <w14:schemeClr w14:val="tx1"/>
            </w14:solidFill>
          </w14:textFill>
        </w:rPr>
        <w:t>）</w:t>
      </w:r>
    </w:p>
    <w:p>
      <w:pPr>
        <w:autoSpaceDE w:val="0"/>
        <w:autoSpaceDN w:val="0"/>
        <w:spacing w:line="360" w:lineRule="auto"/>
        <w:ind w:firstLine="42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当</w:t>
      </w:r>
      <w:r>
        <w:rPr>
          <w:bCs/>
          <w:color w:val="000000" w:themeColor="text1"/>
          <w:szCs w:val="21"/>
          <w14:textFill>
            <w14:solidFill>
              <w14:schemeClr w14:val="tx1"/>
            </w14:solidFill>
          </w14:textFill>
        </w:rPr>
        <w:object>
          <v:shape id="_x0000_i1042" o:spt="75" type="#_x0000_t75" style="height:19pt;width:42pt;" o:ole="t" filled="f" o:preferrelative="t" stroked="f" coordsize="21600,21600">
            <v:path/>
            <v:fill on="f" focussize="0,0"/>
            <v:stroke on="f" joinstyle="miter"/>
            <v:imagedata r:id="rId83" o:title=""/>
            <o:lock v:ext="edit" aspectratio="t"/>
            <w10:wrap type="none"/>
            <w10:anchorlock/>
          </v:shape>
          <o:OLEObject Type="Embed" ProgID="Equation.KSEE3" ShapeID="_x0000_i1042" DrawAspect="Content" ObjectID="_1468075742" r:id="rId82">
            <o:LockedField>false</o:LockedField>
          </o:OLEObject>
        </w:object>
      </w:r>
      <w:r>
        <w:rPr>
          <w:rFonts w:hint="eastAsia"/>
          <w:bCs/>
          <w:color w:val="000000" w:themeColor="text1"/>
          <w:szCs w:val="21"/>
          <w14:textFill>
            <w14:solidFill>
              <w14:schemeClr w14:val="tx1"/>
            </w14:solidFill>
          </w14:textFill>
        </w:rPr>
        <w:t>时，</w:t>
      </w:r>
    </w:p>
    <w:p>
      <w:pPr>
        <w:autoSpaceDE w:val="0"/>
        <w:autoSpaceDN w:val="0"/>
        <w:spacing w:line="360" w:lineRule="auto"/>
        <w:ind w:firstLine="420"/>
        <w:jc w:val="righ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inline distT="0" distB="0" distL="0" distR="0">
            <wp:extent cx="3683000" cy="342900"/>
            <wp:effectExtent l="0" t="0" r="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3722977" cy="346925"/>
                    </a:xfrm>
                    <a:prstGeom prst="rect">
                      <a:avLst/>
                    </a:prstGeom>
                    <a:noFill/>
                    <a:ln>
                      <a:noFill/>
                    </a:ln>
                  </pic:spPr>
                </pic:pic>
              </a:graphicData>
            </a:graphic>
          </wp:inline>
        </w:drawing>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.2.8-2</w:t>
      </w:r>
      <w:r>
        <w:rPr>
          <w:rFonts w:hint="eastAsia"/>
          <w:bCs/>
          <w:color w:val="000000" w:themeColor="text1"/>
          <w:szCs w:val="21"/>
          <w14:textFill>
            <w14:solidFill>
              <w14:schemeClr w14:val="tx1"/>
            </w14:solidFill>
          </w14:textFill>
        </w:rPr>
        <w:t>）</w:t>
      </w:r>
    </w:p>
    <w:p>
      <w:pPr>
        <w:autoSpaceDE w:val="0"/>
        <w:autoSpaceDN w:val="0"/>
        <w:spacing w:line="360" w:lineRule="auto"/>
        <w:ind w:firstLine="197" w:firstLineChars="94"/>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式中：</w:t>
      </w:r>
      <w:r>
        <w:rPr>
          <w:bCs/>
          <w:color w:val="000000" w:themeColor="text1"/>
          <w:szCs w:val="21"/>
          <w14:textFill>
            <w14:solidFill>
              <w14:schemeClr w14:val="tx1"/>
            </w14:solidFill>
          </w14:textFill>
        </w:rPr>
        <w:object>
          <v:shape id="_x0000_i1043" o:spt="75" type="#_x0000_t75" style="height:19pt;width:17pt;" o:ole="t" filled="f" o:preferrelative="t" stroked="f" coordsize="21600,21600">
            <v:path/>
            <v:fill on="f" focussize="0,0"/>
            <v:stroke on="f" joinstyle="miter"/>
            <v:imagedata r:id="rId86" o:title=""/>
            <o:lock v:ext="edit" aspectratio="t"/>
            <w10:wrap type="none"/>
            <w10:anchorlock/>
          </v:shape>
          <o:OLEObject Type="Embed" ProgID="Equation.KSEE3" ShapeID="_x0000_i1043" DrawAspect="Content" ObjectID="_1468075743" r:id="rId85">
            <o:LockedField>false</o:LockedField>
          </o:OLEObject>
        </w:objec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核心区钢管内混凝土抗压强度设计值；</w:t>
      </w:r>
    </w:p>
    <w:p>
      <w:pPr>
        <w:autoSpaceDE w:val="0"/>
        <w:autoSpaceDN w:val="0"/>
        <w:spacing w:line="360" w:lineRule="auto"/>
        <w:ind w:firstLine="840" w:firstLineChars="40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object>
          <v:shape id="_x0000_i1044" o:spt="75" type="#_x0000_t75" style="height:19pt;width:14pt;" o:ole="t" filled="f" o:preferrelative="t" stroked="f" coordsize="21600,21600">
            <v:path/>
            <v:fill on="f" focussize="0,0"/>
            <v:stroke on="f" joinstyle="miter"/>
            <v:imagedata r:id="rId88" o:title=""/>
            <o:lock v:ext="edit" aspectratio="t"/>
            <w10:wrap type="none"/>
            <w10:anchorlock/>
          </v:shape>
          <o:OLEObject Type="Embed" ProgID="Equation.KSEE3" ShapeID="_x0000_i1044" DrawAspect="Content" ObjectID="_1468075744" r:id="rId87">
            <o:LockedField>false</o:LockedField>
          </o:OLEObject>
        </w:objec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钢管混凝土构件核心区套箍系数；</w:t>
      </w:r>
    </w:p>
    <w:p>
      <w:pPr>
        <w:autoSpaceDE w:val="0"/>
        <w:autoSpaceDN w:val="0"/>
        <w:spacing w:line="360" w:lineRule="auto"/>
        <w:ind w:firstLine="840" w:firstLineChars="40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object>
          <v:shape id="_x0000_i1045" o:spt="75" type="#_x0000_t75" style="height:19pt;width:14pt;" o:ole="t" filled="f" o:preferrelative="t" stroked="f" coordsize="21600,21600">
            <v:path/>
            <v:fill on="f" focussize="0,0"/>
            <v:stroke on="f" joinstyle="miter"/>
            <v:imagedata r:id="rId90" o:title=""/>
            <o:lock v:ext="edit" aspectratio="t"/>
            <w10:wrap type="none"/>
            <w10:anchorlock/>
          </v:shape>
          <o:OLEObject Type="Embed" ProgID="Equation.KSEE3" ShapeID="_x0000_i1045" DrawAspect="Content" ObjectID="_1468075745" r:id="rId89">
            <o:LockedField>false</o:LockedField>
          </o:OLEObject>
        </w:objec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钢管混凝土构件节点核心区轴压比；</w:t>
      </w:r>
    </w:p>
    <w:p>
      <w:pPr>
        <w:autoSpaceDE w:val="0"/>
        <w:autoSpaceDN w:val="0"/>
        <w:spacing w:line="360" w:lineRule="auto"/>
        <w:ind w:firstLine="827" w:firstLineChars="394"/>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object>
          <v:shape id="_x0000_i1046" o:spt="75" type="#_x0000_t75" style="height:19pt;width:18pt;" o:ole="t" filled="f" o:preferrelative="t" stroked="f" coordsize="21600,21600">
            <v:path/>
            <v:fill on="f" focussize="0,0"/>
            <v:stroke on="f" joinstyle="miter"/>
            <v:imagedata r:id="rId92" o:title=""/>
            <o:lock v:ext="edit" aspectratio="t"/>
            <w10:wrap type="none"/>
            <w10:anchorlock/>
          </v:shape>
          <o:OLEObject Type="Embed" ProgID="Equation.KSEE3" ShapeID="_x0000_i1046" DrawAspect="Content" ObjectID="_1468075746" r:id="rId91">
            <o:LockedField>false</o:LockedField>
          </o:OLEObject>
        </w:objec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核心区钢管材料屈服强度设计值；</w:t>
      </w:r>
    </w:p>
    <w:p>
      <w:pPr>
        <w:autoSpaceDE w:val="0"/>
        <w:autoSpaceDN w:val="0"/>
        <w:spacing w:line="360" w:lineRule="auto"/>
        <w:ind w:firstLine="827" w:firstLineChars="394"/>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object>
          <v:shape id="_x0000_i1047" o:spt="75" type="#_x0000_t75" style="height:19pt;width:18pt;" o:ole="t" filled="f" o:preferrelative="t" stroked="f" coordsize="21600,21600">
            <v:path/>
            <v:fill on="f" focussize="0,0"/>
            <v:stroke on="f" joinstyle="miter"/>
            <v:imagedata r:id="rId94" o:title=""/>
            <o:lock v:ext="edit" aspectratio="t"/>
            <w10:wrap type="none"/>
            <w10:anchorlock/>
          </v:shape>
          <o:OLEObject Type="Embed" ProgID="Equation.KSEE3" ShapeID="_x0000_i1047" DrawAspect="Content" ObjectID="_1468075747" r:id="rId93">
            <o:LockedField>false</o:LockedField>
          </o:OLEObject>
        </w:objec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节点核心区混凝土截面面积；</w:t>
      </w:r>
    </w:p>
    <w:p>
      <w:pPr>
        <w:autoSpaceDE w:val="0"/>
        <w:autoSpaceDN w:val="0"/>
        <w:spacing w:line="360" w:lineRule="auto"/>
        <w:ind w:left="1632" w:leftChars="377" w:hanging="840" w:hangingChars="40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object>
          <v:shape id="_x0000_i1048" o:spt="75" type="#_x0000_t75" style="height:19pt;width:18pt;" o:ole="t" filled="f" o:preferrelative="t" stroked="f" coordsize="21600,21600">
            <v:path/>
            <v:fill on="f" focussize="0,0"/>
            <v:stroke on="f" joinstyle="miter"/>
            <v:imagedata r:id="rId96" o:title=""/>
            <o:lock v:ext="edit" aspectratio="t"/>
            <w10:wrap type="none"/>
            <w10:anchorlock/>
          </v:shape>
          <o:OLEObject Type="Embed" ProgID="Equation.KSEE3" ShapeID="_x0000_i1048" DrawAspect="Content" ObjectID="_1468075748" r:id="rId95">
            <o:LockedField>false</o:LockedField>
          </o:OLEObject>
        </w:objec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节点核心区钢管的剪切面积，</w:t>
      </w:r>
      <w:r>
        <w:rPr>
          <w:bCs/>
          <w:color w:val="000000" w:themeColor="text1"/>
          <w:szCs w:val="21"/>
          <w14:textFill>
            <w14:solidFill>
              <w14:schemeClr w14:val="tx1"/>
            </w14:solidFill>
          </w14:textFill>
        </w:rPr>
        <w:object>
          <v:shape id="_x0000_i1049" o:spt="75" type="#_x0000_t75" style="height:19pt;width:81pt;" o:ole="t" filled="f" o:preferrelative="t" stroked="f" coordsize="21600,21600">
            <v:path/>
            <v:fill on="f" focussize="0,0"/>
            <v:stroke on="f" joinstyle="miter"/>
            <v:imagedata r:id="rId98" o:title=""/>
            <o:lock v:ext="edit" aspectratio="t"/>
            <w10:wrap type="none"/>
            <w10:anchorlock/>
          </v:shape>
          <o:OLEObject Type="Embed" ProgID="Equation.KSEE3" ShapeID="_x0000_i1049" DrawAspect="Content" ObjectID="_1468075749" r:id="rId97">
            <o:LockedField>false</o:LockedField>
          </o:OLEObject>
        </w:objec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object>
          <v:shape id="_x0000_i1050" o:spt="75" type="#_x0000_t75" style="height:19pt;width:18pt;" o:ole="t" filled="f" o:preferrelative="t" stroked="f" coordsize="21600,21600">
            <v:path/>
            <v:fill on="f" focussize="0,0"/>
            <v:stroke on="f" joinstyle="miter"/>
            <v:imagedata r:id="rId100" o:title=""/>
            <o:lock v:ext="edit" aspectratio="t"/>
            <w10:wrap type="none"/>
            <w10:anchorlock/>
          </v:shape>
          <o:OLEObject Type="Embed" ProgID="Equation.KSEE3" ShapeID="_x0000_i1050" DrawAspect="Content" ObjectID="_1468075750" r:id="rId99">
            <o:LockedField>false</o:LockedField>
          </o:OLEObject>
        </w:object>
      </w:r>
      <w:r>
        <w:rPr>
          <w:rFonts w:hint="eastAsia"/>
          <w:bCs/>
          <w:color w:val="000000" w:themeColor="text1"/>
          <w:szCs w:val="21"/>
          <w14:textFill>
            <w14:solidFill>
              <w14:schemeClr w14:val="tx1"/>
            </w14:solidFill>
          </w14:textFill>
        </w:rPr>
        <w:t>为核心区钢管截面面积；</w:t>
      </w:r>
    </w:p>
    <w:p>
      <w:pPr>
        <w:spacing w:line="360" w:lineRule="auto"/>
        <w:ind w:firstLine="630" w:firstLineChars="3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object>
          <v:shape id="_x0000_i1051" o:spt="75" type="#_x0000_t75" style="height:19pt;width:16pt;" o:ole="t" filled="f" o:preferrelative="t" stroked="f" coordsize="21600,21600">
            <v:path/>
            <v:fill on="f" focussize="0,0"/>
            <v:stroke on="f" joinstyle="miter"/>
            <v:imagedata r:id="rId102" o:title=""/>
            <o:lock v:ext="edit" aspectratio="t"/>
            <w10:wrap type="none"/>
            <w10:anchorlock/>
          </v:shape>
          <o:OLEObject Type="Embed" ProgID="Equation.KSEE3" ShapeID="_x0000_i1051" DrawAspect="Content" ObjectID="_1468075751" r:id="rId101">
            <o:LockedField>false</o:LockedField>
          </o:OLEObject>
        </w:objec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节点核心区对角线与水平线的夹角。</w:t>
      </w:r>
    </w:p>
    <w:p>
      <w:pPr>
        <w:autoSpaceDE w:val="0"/>
        <w:autoSpaceDN w:val="0"/>
        <w:spacing w:line="400" w:lineRule="exact"/>
        <w:ind w:firstLine="0" w:firstLineChars="0"/>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9</w:t>
      </w:r>
      <w:r>
        <w:rPr>
          <w:rFonts w:eastAsia="MS Mincho"/>
          <w:bCs/>
          <w:color w:val="000000" w:themeColor="text1"/>
          <w:kern w:val="0"/>
          <w:szCs w:val="21"/>
          <w:lang w:eastAsia="ja-JP"/>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框架梁柱</w:t>
      </w:r>
      <w:r>
        <w:rPr>
          <w:rFonts w:hint="eastAsia"/>
          <w:bCs/>
          <w:color w:val="000000" w:themeColor="text1"/>
          <w:szCs w:val="21"/>
          <w14:textFill>
            <w14:solidFill>
              <w14:schemeClr w14:val="tx1"/>
            </w14:solidFill>
          </w14:textFill>
        </w:rPr>
        <w:t>宜采用柱预留悬臂梁段拼接，也可采用梁与柱直接连接。梁柱刚性连接</w:t>
      </w:r>
      <w:r>
        <w:rPr>
          <w:rFonts w:hint="eastAsia"/>
          <w:bCs/>
          <w:color w:val="000000" w:themeColor="text1"/>
          <w:kern w:val="0"/>
          <w:szCs w:val="21"/>
          <w14:textFill>
            <w14:solidFill>
              <w14:schemeClr w14:val="tx1"/>
            </w14:solidFill>
          </w14:textFill>
        </w:rPr>
        <w:t>可采用焊接连接、高强度螺栓摩擦型连接、栓焊混合连接，其承载力设计应符合下列要求：</w:t>
      </w:r>
    </w:p>
    <w:p>
      <w:pPr>
        <w:autoSpaceDE w:val="0"/>
        <w:autoSpaceDN w:val="0"/>
        <w:spacing w:line="400" w:lineRule="exact"/>
        <w:ind w:firstLine="420"/>
        <w:rPr>
          <w:bCs/>
          <w:color w:val="000000" w:themeColor="text1"/>
          <w:kern w:val="0"/>
          <w:szCs w:val="21"/>
          <w:vertAlign w:val="subscript"/>
          <w14:textFill>
            <w14:solidFill>
              <w14:schemeClr w14:val="tx1"/>
            </w14:solidFill>
          </w14:textFill>
        </w:rPr>
      </w:pPr>
      <w:r>
        <w:rPr>
          <w:bCs/>
          <w:color w:val="000000" w:themeColor="text1"/>
          <w:kern w:val="0"/>
          <w:szCs w:val="21"/>
          <w14:textFill>
            <w14:solidFill>
              <w14:schemeClr w14:val="tx1"/>
            </w14:solidFill>
          </w14:textFill>
        </w:rPr>
        <w:t xml:space="preserve">1 </w:t>
      </w:r>
      <w:r>
        <w:rPr>
          <w:rFonts w:hint="eastAsia"/>
          <w:bCs/>
          <w:color w:val="000000" w:themeColor="text1"/>
          <w:kern w:val="0"/>
          <w:szCs w:val="21"/>
          <w14:textFill>
            <w14:solidFill>
              <w14:schemeClr w14:val="tx1"/>
            </w14:solidFill>
          </w14:textFill>
        </w:rPr>
        <w:t>当框架梁端塑性铰区（或最大应力区）采用高强度螺栓摩擦型连接时，弹性设计弯矩不得小于</w:t>
      </w:r>
      <w:r>
        <w:rPr>
          <w:bCs/>
          <w:color w:val="000000" w:themeColor="text1"/>
          <w:kern w:val="0"/>
          <w:szCs w:val="21"/>
          <w14:textFill>
            <w14:solidFill>
              <w14:schemeClr w14:val="tx1"/>
            </w14:solidFill>
          </w14:textFill>
        </w:rPr>
        <w:t>0.6M</w:t>
      </w:r>
      <w:r>
        <w:rPr>
          <w:bCs/>
          <w:color w:val="000000" w:themeColor="text1"/>
          <w:kern w:val="0"/>
          <w:szCs w:val="21"/>
          <w:vertAlign w:val="subscript"/>
          <w14:textFill>
            <w14:solidFill>
              <w14:schemeClr w14:val="tx1"/>
            </w14:solidFill>
          </w14:textFill>
        </w:rPr>
        <w:t>pb</w:t>
      </w:r>
      <w:r>
        <w:rPr>
          <w:rFonts w:hint="eastAsia"/>
          <w:bCs/>
          <w:color w:val="000000" w:themeColor="text1"/>
          <w:kern w:val="0"/>
          <w:szCs w:val="21"/>
          <w14:textFill>
            <w14:solidFill>
              <w14:schemeClr w14:val="tx1"/>
            </w14:solidFill>
          </w14:textFill>
        </w:rPr>
        <w:t>，且梁翼缘螺栓开孔截面应符合下式要求：</w:t>
      </w:r>
    </w:p>
    <w:p>
      <w:pPr>
        <w:autoSpaceDE w:val="0"/>
        <w:autoSpaceDN w:val="0"/>
        <w:spacing w:line="360" w:lineRule="auto"/>
        <w:ind w:firstLine="359" w:firstLineChars="171"/>
        <w:jc w:val="right"/>
        <w:rPr>
          <w:bCs/>
          <w:color w:val="000000" w:themeColor="text1"/>
          <w:kern w:val="0"/>
          <w:szCs w:val="21"/>
          <w14:textFill>
            <w14:solidFill>
              <w14:schemeClr w14:val="tx1"/>
            </w14:solidFill>
          </w14:textFill>
        </w:rPr>
      </w:pPr>
      <m:oMath>
        <m:sSub>
          <w:bookmarkStart w:id="174" w:name="_Hlk24010156"/>
          <m:sSubPr>
            <m:ctrlPr>
              <w:rPr>
                <w:rFonts w:ascii="Cambria Math" w:hAnsi="Cambria Math" w:eastAsia="楷体_GB2312" w:cs="HiddenHorzOCR"/>
                <w:color w:val="000000" w:themeColor="text1"/>
                <w:kern w:val="0"/>
                <w:szCs w:val="21"/>
                <w14:textFill>
                  <w14:solidFill>
                    <w14:schemeClr w14:val="tx1"/>
                  </w14:solidFill>
                </w14:textFill>
              </w:rPr>
            </m:ctrlPr>
          </m:sSubPr>
          <m:e>
            <m:r>
              <m:rPr>
                <m:sty m:val="p"/>
              </m:rPr>
              <w:rPr>
                <w:rFonts w:ascii="Cambria Math" w:hAnsi="Cambria Math" w:eastAsia="楷体_GB2312" w:cs="HiddenHorzOCR"/>
                <w:color w:val="000000" w:themeColor="text1"/>
                <w:kern w:val="0"/>
                <w:szCs w:val="21"/>
                <w14:textFill>
                  <w14:solidFill>
                    <w14:schemeClr w14:val="tx1"/>
                  </w14:solidFill>
                </w14:textFill>
              </w:rPr>
              <m:t>A</m:t>
            </m:r>
            <m:ctrlPr>
              <w:rPr>
                <w:rFonts w:ascii="Cambria Math" w:hAnsi="Cambria Math" w:eastAsia="楷体_GB2312" w:cs="HiddenHorzOCR"/>
                <w:color w:val="000000" w:themeColor="text1"/>
                <w:kern w:val="0"/>
                <w:szCs w:val="21"/>
                <w14:textFill>
                  <w14:solidFill>
                    <w14:schemeClr w14:val="tx1"/>
                  </w14:solidFill>
                </w14:textFill>
              </w:rPr>
            </m:ctrlPr>
          </m:e>
          <m:sub>
            <m:r>
              <w:rPr>
                <w:rFonts w:ascii="Cambria Math" w:hAnsi="Cambria Math" w:eastAsia="楷体_GB2312" w:cs="HiddenHorzOCR"/>
                <w:color w:val="000000" w:themeColor="text1"/>
                <w:kern w:val="0"/>
                <w:szCs w:val="21"/>
                <w14:textFill>
                  <w14:solidFill>
                    <w14:schemeClr w14:val="tx1"/>
                  </w14:solidFill>
                </w14:textFill>
              </w:rPr>
              <m:t>f</m:t>
            </m:r>
            <m:ctrlPr>
              <w:rPr>
                <w:rFonts w:ascii="Cambria Math" w:hAnsi="Cambria Math" w:eastAsia="楷体_GB2312" w:cs="HiddenHorzOCR"/>
                <w:color w:val="000000" w:themeColor="text1"/>
                <w:kern w:val="0"/>
                <w:szCs w:val="2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fn</m:t>
            </m:r>
            <m:ctrlPr>
              <w:rPr>
                <w:rFonts w:ascii="Cambria Math" w:hAnsi="Cambria Math"/>
                <w:bCs/>
                <w:i/>
                <w:color w:val="000000" w:themeColor="text1"/>
                <w:szCs w:val="2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u</m:t>
            </m:r>
            <w:bookmarkEnd w:id="174"/>
            <m:ctrlPr>
              <w:rPr>
                <w:rFonts w:ascii="Cambria Math" w:hAnsi="Cambria Math"/>
                <w:bCs/>
                <w:i/>
                <w:color w:val="000000" w:themeColor="text1"/>
                <w:szCs w:val="21"/>
                <w14:textFill>
                  <w14:solidFill>
                    <w14:schemeClr w14:val="tx1"/>
                  </w14:solidFill>
                </w14:textFill>
              </w:rPr>
            </m:ctrlPr>
          </m:sub>
        </m:sSub>
      </m:oMath>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-1</w:t>
      </w:r>
      <w:r>
        <w:rPr>
          <w:rFonts w:hint="eastAsia"/>
          <w:bCs/>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式中：</w:t>
      </w:r>
      <w:r>
        <w:rPr>
          <w:bCs/>
          <w:color w:val="000000" w:themeColor="text1"/>
          <w:kern w:val="0"/>
          <w:szCs w:val="21"/>
          <w14:textFill>
            <w14:solidFill>
              <w14:schemeClr w14:val="tx1"/>
            </w14:solidFill>
          </w14:textFill>
        </w:rPr>
        <w:t>A</w:t>
      </w:r>
      <w:r>
        <w:rPr>
          <w:bCs/>
          <w:color w:val="000000" w:themeColor="text1"/>
          <w:kern w:val="0"/>
          <w:szCs w:val="21"/>
          <w:vertAlign w:val="subscript"/>
          <w14:textFill>
            <w14:solidFill>
              <w14:schemeClr w14:val="tx1"/>
            </w14:solidFill>
          </w14:textFill>
        </w:rPr>
        <w:t>f</w:t>
      </w:r>
      <w:r>
        <w:rPr>
          <w:bCs/>
          <w:color w:val="000000" w:themeColor="text1"/>
          <w:kern w:val="0"/>
          <w:szCs w:val="21"/>
          <w14:textFill>
            <w14:solidFill>
              <w14:schemeClr w14:val="tx1"/>
            </w14:solidFill>
          </w14:textFill>
        </w:rPr>
        <w:t>——</w:t>
      </w:r>
      <w:r>
        <w:rPr>
          <w:rFonts w:hint="eastAsia"/>
          <w:bCs/>
          <w:color w:val="000000" w:themeColor="text1"/>
          <w:kern w:val="0"/>
          <w:szCs w:val="21"/>
          <w14:textFill>
            <w14:solidFill>
              <w14:schemeClr w14:val="tx1"/>
            </w14:solidFill>
          </w14:textFill>
        </w:rPr>
        <w:t>梁翼缘截面面积；</w:t>
      </w:r>
    </w:p>
    <w:p>
      <w:pPr>
        <w:autoSpaceDE w:val="0"/>
        <w:autoSpaceDN w:val="0"/>
        <w:spacing w:line="360" w:lineRule="auto"/>
        <w:ind w:firstLine="638" w:firstLineChars="304"/>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A</w:t>
      </w:r>
      <w:r>
        <w:rPr>
          <w:bCs/>
          <w:color w:val="000000" w:themeColor="text1"/>
          <w:kern w:val="0"/>
          <w:szCs w:val="21"/>
          <w:vertAlign w:val="subscript"/>
          <w14:textFill>
            <w14:solidFill>
              <w14:schemeClr w14:val="tx1"/>
            </w14:solidFill>
          </w14:textFill>
        </w:rPr>
        <w:t>f</w:t>
      </w:r>
      <w:r>
        <w:rPr>
          <w:rFonts w:hint="eastAsia"/>
          <w:bCs/>
          <w:color w:val="000000" w:themeColor="text1"/>
          <w:kern w:val="0"/>
          <w:szCs w:val="21"/>
          <w:vertAlign w:val="subscript"/>
          <w14:textFill>
            <w14:solidFill>
              <w14:schemeClr w14:val="tx1"/>
            </w14:solidFill>
          </w14:textFill>
        </w:rPr>
        <w:t>n</w:t>
      </w:r>
      <w:r>
        <w:rPr>
          <w:bCs/>
          <w:color w:val="000000" w:themeColor="text1"/>
          <w:kern w:val="0"/>
          <w:szCs w:val="21"/>
          <w14:textFill>
            <w14:solidFill>
              <w14:schemeClr w14:val="tx1"/>
            </w14:solidFill>
          </w14:textFill>
        </w:rPr>
        <w:t>——</w:t>
      </w:r>
      <w:r>
        <w:rPr>
          <w:rFonts w:hint="eastAsia"/>
          <w:bCs/>
          <w:color w:val="000000" w:themeColor="text1"/>
          <w:kern w:val="0"/>
          <w:szCs w:val="21"/>
          <w14:textFill>
            <w14:solidFill>
              <w14:schemeClr w14:val="tx1"/>
            </w14:solidFill>
          </w14:textFill>
        </w:rPr>
        <w:t>梁翼缘开孔截面净面积。</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2  PS1</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PS2</w:t>
      </w:r>
      <w:r>
        <w:rPr>
          <w:rFonts w:hint="eastAsia"/>
          <w:bCs/>
          <w:color w:val="000000" w:themeColor="text1"/>
          <w:kern w:val="0"/>
          <w:szCs w:val="21"/>
          <w14:textFill>
            <w14:solidFill>
              <w14:schemeClr w14:val="tx1"/>
            </w14:solidFill>
          </w14:textFill>
        </w:rPr>
        <w:t>和</w:t>
      </w:r>
      <w:r>
        <w:rPr>
          <w:bCs/>
          <w:color w:val="000000" w:themeColor="text1"/>
          <w:kern w:val="0"/>
          <w:szCs w:val="21"/>
          <w14:textFill>
            <w14:solidFill>
              <w14:schemeClr w14:val="tx1"/>
            </w14:solidFill>
          </w14:textFill>
        </w:rPr>
        <w:t>PES</w:t>
      </w:r>
      <w:r>
        <w:rPr>
          <w:rFonts w:hint="eastAsia"/>
          <w:bCs/>
          <w:color w:val="000000" w:themeColor="text1"/>
          <w:kern w:val="0"/>
          <w:szCs w:val="21"/>
          <w14:textFill>
            <w14:solidFill>
              <w14:schemeClr w14:val="tx1"/>
            </w14:solidFill>
          </w14:textFill>
        </w:rPr>
        <w:t>的梁柱刚性连接的极限承载力，应按下列公式进行验算：</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中间楼层的连接：</w:t>
      </w:r>
    </w:p>
    <w:p>
      <w:pPr>
        <w:autoSpaceDE w:val="0"/>
        <w:autoSpaceDN w:val="0"/>
        <w:spacing w:line="360" w:lineRule="auto"/>
        <w:ind w:firstLine="420"/>
        <w:jc w:val="right"/>
        <w:rPr>
          <w:bCs/>
          <w:color w:val="000000" w:themeColor="text1"/>
          <w:kern w:val="0"/>
          <w:szCs w:val="21"/>
          <w14:textFill>
            <w14:solidFill>
              <w14:schemeClr w14:val="tx1"/>
            </w14:solidFill>
          </w14:textFill>
        </w:rPr>
      </w:pPr>
      <m:oMath>
        <m:sSub>
          <m:sSubPr>
            <m:ctrlPr>
              <w:rPr>
                <w:rFonts w:ascii="Cambria Math" w:hAnsi="Cambria Math"/>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M</m:t>
            </m:r>
            <m:ctrlPr>
              <w:rPr>
                <w:rFonts w:ascii="Cambria Math" w:hAnsi="Cambria Math"/>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ju</m:t>
            </m:r>
            <m:ctrlPr>
              <w:rPr>
                <w:rFonts w:ascii="Cambria Math" w:hAnsi="Cambria Math"/>
                <w:bCs/>
                <w:i/>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m:t>
        </m:r>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j</m:t>
            </m:r>
            <m:ctrlPr>
              <w:rPr>
                <w:rFonts w:ascii="Cambria Math" w:hAnsi="Cambria Math" w:cs="宋体"/>
                <w:bCs/>
                <w:iCs/>
                <w:snapToGrid w:val="0"/>
                <w:color w:val="000000" w:themeColor="text1"/>
                <w14:textFill>
                  <w14:solidFill>
                    <w14:schemeClr w14:val="tx1"/>
                  </w14:solidFill>
                </w14:textFill>
              </w:rPr>
            </m:ctrlPr>
          </m:sub>
        </m:sSub>
        <m:sSub>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M</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pc</m:t>
            </m:r>
            <m:ctrlPr>
              <w:rPr>
                <w:rFonts w:ascii="Cambria Math" w:hAnsi="Cambria Math" w:cs="宋体"/>
                <w:bCs/>
                <w:i/>
                <w:iCs/>
                <w:snapToGrid w:val="0"/>
                <w:color w:val="000000" w:themeColor="text1"/>
                <w14:textFill>
                  <w14:solidFill>
                    <w14:schemeClr w14:val="tx1"/>
                  </w14:solidFill>
                </w14:textFill>
              </w:rPr>
            </m:ctrlPr>
          </m:sub>
        </m:sSub>
      </m:oMath>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多层结构顶层和单层结构的连接：</w:t>
      </w:r>
    </w:p>
    <w:p>
      <w:pPr>
        <w:autoSpaceDE w:val="0"/>
        <w:autoSpaceDN w:val="0"/>
        <w:spacing w:line="360" w:lineRule="auto"/>
        <w:ind w:firstLine="420"/>
        <w:jc w:val="right"/>
        <w:rPr>
          <w:bCs/>
          <w:iCs/>
          <w:color w:val="000000" w:themeColor="text1"/>
          <w:kern w:val="0"/>
          <w:szCs w:val="21"/>
          <w14:textFill>
            <w14:solidFill>
              <w14:schemeClr w14:val="tx1"/>
            </w14:solidFill>
          </w14:textFill>
        </w:rPr>
      </w:pPr>
      <m:oMath>
        <m:sSub>
          <w:bookmarkStart w:id="175" w:name="_Hlk24010470"/>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M</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ju</m:t>
            </m:r>
            <m:ctrlPr>
              <w:rPr>
                <w:rFonts w:ascii="Cambria Math" w:hAnsi="Cambria Math"/>
                <w:bCs/>
                <w:iCs/>
                <w:color w:val="000000" w:themeColor="text1"/>
                <w:kern w:val="0"/>
                <w:szCs w:val="21"/>
                <w14:textFill>
                  <w14:solidFill>
                    <w14:schemeClr w14:val="tx1"/>
                  </w14:solidFill>
                </w14:textFill>
              </w:rPr>
            </m:ctrlPr>
          </m:sub>
        </m:sSub>
        <m:r>
          <m:rPr>
            <m:sty m:val="p"/>
          </m:rPr>
          <w:rPr>
            <w:rFonts w:ascii="Cambria Math" w:hAnsi="Cambria Math"/>
            <w:color w:val="000000" w:themeColor="text1"/>
            <w:kern w:val="0"/>
            <w:szCs w:val="21"/>
            <w14:textFill>
              <w14:solidFill>
                <w14:schemeClr w14:val="tx1"/>
              </w14:solidFill>
            </w14:textFill>
          </w:rPr>
          <m:t>≥</m:t>
        </m:r>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m:rPr>
                <m:sty m:val="p"/>
              </m:rPr>
              <w:rPr>
                <w:rFonts w:ascii="Cambria Math" w:hAnsi="Cambria Math" w:cs="宋体"/>
                <w:snapToGrid w:val="0"/>
                <w:color w:val="000000" w:themeColor="text1"/>
                <w14:textFill>
                  <w14:solidFill>
                    <w14:schemeClr w14:val="tx1"/>
                  </w14:solidFill>
                </w14:textFill>
              </w:rPr>
              <m:t>j</m:t>
            </m:r>
            <m:ctrlPr>
              <w:rPr>
                <w:rFonts w:ascii="Cambria Math" w:hAnsi="Cambria Math" w:cs="宋体"/>
                <w:bCs/>
                <w:iCs/>
                <w:snapToGrid w:val="0"/>
                <w:color w:val="000000" w:themeColor="text1"/>
                <w14:textFill>
                  <w14:solidFill>
                    <w14:schemeClr w14:val="tx1"/>
                  </w14:solidFill>
                </w14:textFill>
              </w:rPr>
            </m:ctrlPr>
          </m:sub>
        </m:sSub>
        <m:r>
          <m:rPr>
            <m:sty m:val="p"/>
          </m:rPr>
          <w:rPr>
            <w:rFonts w:ascii="Cambria Math" w:hAnsi="Cambria Math" w:cs="宋体"/>
            <w:snapToGrid w:val="0"/>
            <w:color w:val="000000" w:themeColor="text1"/>
            <w14:textFill>
              <w14:solidFill>
                <w14:schemeClr w14:val="tx1"/>
              </w14:solidFill>
            </w14:textFill>
          </w:rPr>
          <m:t>min</m:t>
        </m:r>
        <m:r>
          <m:rPr>
            <m:sty m:val="p"/>
          </m:rPr>
          <w:rPr>
            <w:rFonts w:hint="eastAsia" w:ascii="Cambria Math" w:hAnsi="Cambria Math" w:cs="宋体"/>
            <w:snapToGrid w:val="0"/>
            <w:color w:val="000000" w:themeColor="text1"/>
            <w14:textFill>
              <w14:solidFill>
                <w14:schemeClr w14:val="tx1"/>
              </w14:solidFill>
            </w14:textFill>
          </w:rPr>
          <m:t>（</m:t>
        </m:r>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M</m:t>
            </m:r>
            <m:ctrlPr>
              <w:rPr>
                <w:rFonts w:ascii="Cambria Math" w:hAnsi="Cambria Math" w:cs="宋体"/>
                <w:bCs/>
                <w:iCs/>
                <w:snapToGrid w:val="0"/>
                <w:color w:val="000000" w:themeColor="text1"/>
                <w14:textFill>
                  <w14:solidFill>
                    <w14:schemeClr w14:val="tx1"/>
                  </w14:solidFill>
                </w14:textFill>
              </w:rPr>
            </m:ctrlPr>
          </m:e>
          <m:sub>
            <m:r>
              <m:rPr>
                <m:sty m:val="p"/>
              </m:rPr>
              <w:rPr>
                <w:rFonts w:ascii="Cambria Math" w:hAnsi="Cambria Math" w:cs="宋体"/>
                <w:snapToGrid w:val="0"/>
                <w:color w:val="000000" w:themeColor="text1"/>
                <w14:textFill>
                  <w14:solidFill>
                    <w14:schemeClr w14:val="tx1"/>
                  </w14:solidFill>
                </w14:textFill>
              </w:rPr>
              <m:t>ju</m:t>
            </m:r>
            <m:ctrlPr>
              <w:rPr>
                <w:rFonts w:ascii="Cambria Math" w:hAnsi="Cambria Math" w:cs="宋体"/>
                <w:bCs/>
                <w:iCs/>
                <w:snapToGrid w:val="0"/>
                <w:color w:val="000000" w:themeColor="text1"/>
                <w14:textFill>
                  <w14:solidFill>
                    <w14:schemeClr w14:val="tx1"/>
                  </w14:solidFill>
                </w14:textFill>
              </w:rPr>
            </m:ctrlPr>
          </m:sub>
        </m:sSub>
        <m:r>
          <m:rPr>
            <m:sty m:val="p"/>
          </m:rPr>
          <w:rPr>
            <w:rFonts w:ascii="Cambria Math" w:hAnsi="Cambria Math" w:cs="宋体"/>
            <w:snapToGrid w:val="0"/>
            <w:color w:val="000000" w:themeColor="text1"/>
            <w14:textFill>
              <w14:solidFill>
                <w14:schemeClr w14:val="tx1"/>
              </w14:solidFill>
            </w14:textFill>
          </w:rPr>
          <m:t>,</m:t>
        </m:r>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M</m:t>
            </m:r>
            <m:ctrlPr>
              <w:rPr>
                <w:rFonts w:ascii="Cambria Math" w:hAnsi="Cambria Math" w:cs="宋体"/>
                <w:bCs/>
                <w:iCs/>
                <w:snapToGrid w:val="0"/>
                <w:color w:val="000000" w:themeColor="text1"/>
                <w14:textFill>
                  <w14:solidFill>
                    <w14:schemeClr w14:val="tx1"/>
                  </w14:solidFill>
                </w14:textFill>
              </w:rPr>
            </m:ctrlPr>
          </m:e>
          <m:sub>
            <m:r>
              <m:rPr>
                <m:sty m:val="p"/>
              </m:rPr>
              <w:rPr>
                <w:rFonts w:ascii="Cambria Math" w:hAnsi="Cambria Math" w:cs="宋体"/>
                <w:snapToGrid w:val="0"/>
                <w:color w:val="000000" w:themeColor="text1"/>
                <w14:textFill>
                  <w14:solidFill>
                    <w14:schemeClr w14:val="tx1"/>
                  </w14:solidFill>
                </w14:textFill>
              </w:rPr>
              <m:t>pc</m:t>
            </m:r>
            <m:r>
              <m:rPr>
                <m:sty m:val="p"/>
              </m:rPr>
              <w:rPr>
                <w:rFonts w:hint="eastAsia" w:ascii="Cambria Math" w:hAnsi="Cambria Math" w:cs="宋体"/>
                <w:snapToGrid w:val="0"/>
                <w:color w:val="000000" w:themeColor="text1"/>
                <w14:textFill>
                  <w14:solidFill>
                    <w14:schemeClr w14:val="tx1"/>
                  </w14:solidFill>
                </w14:textFill>
              </w:rPr>
              <m:t>，</m:t>
            </m:r>
            <m:r>
              <m:rPr>
                <m:sty m:val="p"/>
              </m:rPr>
              <w:rPr>
                <w:rFonts w:ascii="Cambria Math" w:hAnsi="Cambria Math" w:cs="宋体"/>
                <w:snapToGrid w:val="0"/>
                <w:color w:val="000000" w:themeColor="text1"/>
                <w14:textFill>
                  <w14:solidFill>
                    <w14:schemeClr w14:val="tx1"/>
                  </w14:solidFill>
                </w14:textFill>
              </w:rPr>
              <m:t>N</m:t>
            </m:r>
            <m:ctrlPr>
              <w:rPr>
                <w:rFonts w:ascii="Cambria Math" w:hAnsi="Cambria Math" w:cs="宋体"/>
                <w:bCs/>
                <w:iCs/>
                <w:snapToGrid w:val="0"/>
                <w:color w:val="000000" w:themeColor="text1"/>
                <w14:textFill>
                  <w14:solidFill>
                    <w14:schemeClr w14:val="tx1"/>
                  </w14:solidFill>
                </w14:textFill>
              </w:rPr>
            </m:ctrlPr>
          </m:sub>
        </m:sSub>
        <m:r>
          <m:rPr>
            <m:sty m:val="p"/>
          </m:rPr>
          <w:rPr>
            <w:rFonts w:hint="eastAsia" w:ascii="Cambria Math" w:hAnsi="Cambria Math" w:cs="宋体"/>
            <w:snapToGrid w:val="0"/>
            <w:color w:val="000000" w:themeColor="text1"/>
            <w14:textFill>
              <w14:solidFill>
                <w14:schemeClr w14:val="tx1"/>
              </w14:solidFill>
            </w14:textFill>
          </w:rPr>
          <m:t>）</m:t>
        </m:r>
        <w:bookmarkEnd w:id="175"/>
      </m:oMath>
      <w:r>
        <w:rPr>
          <w:bCs/>
          <w:iCs/>
          <w:color w:val="000000" w:themeColor="text1"/>
          <w:kern w:val="0"/>
          <w:szCs w:val="21"/>
          <w14:textFill>
            <w14:solidFill>
              <w14:schemeClr w14:val="tx1"/>
            </w14:solidFill>
          </w14:textFill>
        </w:rPr>
        <w:t xml:space="preserve">                  </w:t>
      </w:r>
      <w:r>
        <w:rPr>
          <w:rFonts w:hint="eastAsia"/>
          <w:bCs/>
          <w:iCs/>
          <w:color w:val="000000" w:themeColor="text1"/>
          <w:kern w:val="0"/>
          <w:szCs w:val="21"/>
          <w14:textFill>
            <w14:solidFill>
              <w14:schemeClr w14:val="tx1"/>
            </w14:solidFill>
          </w14:textFill>
        </w:rPr>
        <w:t>（9</w:t>
      </w:r>
      <w:r>
        <w:rPr>
          <w:bCs/>
          <w:iCs/>
          <w:color w:val="000000" w:themeColor="text1"/>
          <w:kern w:val="0"/>
          <w:szCs w:val="21"/>
          <w14:textFill>
            <w14:solidFill>
              <w14:schemeClr w14:val="tx1"/>
            </w14:solidFill>
          </w14:textFill>
        </w:rPr>
        <w:t>.2.</w:t>
      </w:r>
      <w:r>
        <w:rPr>
          <w:rFonts w:hint="eastAsia"/>
          <w:bCs/>
          <w:iCs/>
          <w:color w:val="000000" w:themeColor="text1"/>
          <w:kern w:val="0"/>
          <w:szCs w:val="21"/>
          <w14:textFill>
            <w14:solidFill>
              <w14:schemeClr w14:val="tx1"/>
            </w14:solidFill>
          </w14:textFill>
        </w:rPr>
        <w:t>9</w:t>
      </w:r>
      <w:r>
        <w:rPr>
          <w:bCs/>
          <w:iCs/>
          <w:color w:val="000000" w:themeColor="text1"/>
          <w:kern w:val="0"/>
          <w:szCs w:val="21"/>
          <w14:textFill>
            <w14:solidFill>
              <w14:schemeClr w14:val="tx1"/>
            </w14:solidFill>
          </w14:textFill>
        </w:rPr>
        <w:t>-3</w:t>
      </w:r>
      <w:r>
        <w:rPr>
          <w:rFonts w:hint="eastAsia"/>
          <w:bCs/>
          <w:iCs/>
          <w:color w:val="000000" w:themeColor="text1"/>
          <w:kern w:val="0"/>
          <w:szCs w:val="21"/>
          <w14:textFill>
            <w14:solidFill>
              <w14:schemeClr w14:val="tx1"/>
            </w14:solidFill>
          </w14:textFill>
        </w:rPr>
        <w:t>）</w:t>
      </w:r>
    </w:p>
    <w:p>
      <w:pPr>
        <w:autoSpaceDE w:val="0"/>
        <w:autoSpaceDN w:val="0"/>
        <w:spacing w:line="360" w:lineRule="auto"/>
        <w:ind w:firstLine="420"/>
        <w:jc w:val="right"/>
        <w:rPr>
          <w:bCs/>
          <w:color w:val="000000" w:themeColor="text1"/>
          <w:kern w:val="0"/>
          <w:szCs w:val="21"/>
          <w14:textFill>
            <w14:solidFill>
              <w14:schemeClr w14:val="tx1"/>
            </w14:solidFill>
          </w14:textFill>
        </w:rPr>
      </w:pPr>
      <m:oMath>
        <m:sSub>
          <w:bookmarkStart w:id="176" w:name="_Hlk24010619"/>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V</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ju</m:t>
            </m:r>
            <m:ctrlPr>
              <w:rPr>
                <w:rFonts w:ascii="Cambria Math" w:hAnsi="Cambria Math"/>
                <w:bCs/>
                <w:iCs/>
                <w:color w:val="000000" w:themeColor="text1"/>
                <w:kern w:val="0"/>
                <w:szCs w:val="21"/>
                <w14:textFill>
                  <w14:solidFill>
                    <w14:schemeClr w14:val="tx1"/>
                  </w14:solidFill>
                </w14:textFill>
              </w:rPr>
            </m:ctrlPr>
          </m:sub>
        </m:sSub>
        <m:r>
          <m:rPr>
            <m:sty m:val="p"/>
          </m:rPr>
          <w:rPr>
            <w:rFonts w:ascii="Cambria Math" w:hAnsi="Cambria Math"/>
            <w:color w:val="000000" w:themeColor="text1"/>
            <w:kern w:val="0"/>
            <w:szCs w:val="21"/>
            <w14:textFill>
              <w14:solidFill>
                <w14:schemeClr w14:val="tx1"/>
              </w14:solidFill>
            </w14:textFill>
          </w:rPr>
          <m:t>≥1.2</m:t>
        </m:r>
        <m:r>
          <m:rPr>
            <m:sty m:val="p"/>
          </m:rPr>
          <w:rPr>
            <w:rFonts w:hint="eastAsia" w:ascii="Cambria Math" w:hAnsi="Cambria Math"/>
            <w:color w:val="000000" w:themeColor="text1"/>
            <w:kern w:val="0"/>
            <w:szCs w:val="21"/>
            <w14:textFill>
              <w14:solidFill>
                <w14:schemeClr w14:val="tx1"/>
              </w14:solidFill>
            </w14:textFill>
          </w:rPr>
          <m:t>（</m:t>
        </m:r>
        <m:r>
          <m:rPr>
            <m:sty m:val="p"/>
          </m:rPr>
          <w:rPr>
            <w:rFonts w:ascii="Cambria Math" w:hAnsi="Cambria Math"/>
            <w:color w:val="000000" w:themeColor="text1"/>
            <w:kern w:val="0"/>
            <w:szCs w:val="21"/>
            <w14:textFill>
              <w14:solidFill>
                <w14:schemeClr w14:val="tx1"/>
              </w14:solidFill>
            </w14:textFill>
          </w:rPr>
          <m:t>2</m:t>
        </m:r>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M</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pb</m:t>
            </m:r>
            <m:ctrlPr>
              <w:rPr>
                <w:rFonts w:ascii="Cambria Math" w:hAnsi="Cambria Math"/>
                <w:bCs/>
                <w:iCs/>
                <w:color w:val="000000" w:themeColor="text1"/>
                <w:kern w:val="0"/>
                <w:szCs w:val="21"/>
                <w14:textFill>
                  <w14:solidFill>
                    <w14:schemeClr w14:val="tx1"/>
                  </w14:solidFill>
                </w14:textFill>
              </w:rPr>
            </m:ctrlPr>
          </m:sub>
        </m:sSub>
        <m:r>
          <m:rPr>
            <m:sty m:val="p"/>
          </m:rPr>
          <w:rPr>
            <w:rFonts w:ascii="Cambria Math" w:hAnsi="Cambria Math"/>
            <w:color w:val="000000" w:themeColor="text1"/>
            <w:kern w:val="0"/>
            <w:szCs w:val="21"/>
            <w14:textFill>
              <w14:solidFill>
                <w14:schemeClr w14:val="tx1"/>
              </w14:solidFill>
            </w14:textFill>
          </w:rPr>
          <m:t>/</m:t>
        </m:r>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L</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n</m:t>
            </m:r>
            <m:ctrlPr>
              <w:rPr>
                <w:rFonts w:ascii="Cambria Math" w:hAnsi="Cambria Math"/>
                <w:bCs/>
                <w:iCs/>
                <w:color w:val="000000" w:themeColor="text1"/>
                <w:kern w:val="0"/>
                <w:szCs w:val="21"/>
                <w14:textFill>
                  <w14:solidFill>
                    <w14:schemeClr w14:val="tx1"/>
                  </w14:solidFill>
                </w14:textFill>
              </w:rPr>
            </m:ctrlPr>
          </m:sub>
        </m:sSub>
        <m:r>
          <m:rPr>
            <m:sty m:val="p"/>
          </m:rPr>
          <w:rPr>
            <w:rFonts w:hint="eastAsia" w:ascii="Cambria Math" w:hAnsi="Cambria Math"/>
            <w:color w:val="000000" w:themeColor="text1"/>
            <w:kern w:val="0"/>
            <w:szCs w:val="21"/>
            <w14:textFill>
              <w14:solidFill>
                <w14:schemeClr w14:val="tx1"/>
              </w14:solidFill>
            </w14:textFill>
          </w:rPr>
          <m:t>）</m:t>
        </m:r>
        <m:r>
          <m:rPr>
            <m:sty m:val="p"/>
          </m:rPr>
          <w:rPr>
            <w:rFonts w:ascii="Cambria Math" w:hAnsi="Cambria Math"/>
            <w:color w:val="000000" w:themeColor="text1"/>
            <w:kern w:val="0"/>
            <w:szCs w:val="21"/>
            <w14:textFill>
              <w14:solidFill>
                <w14:schemeClr w14:val="tx1"/>
              </w14:solidFill>
            </w14:textFill>
          </w:rPr>
          <m:t>+</m:t>
        </m:r>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V</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Gb</m:t>
            </m:r>
            <w:bookmarkEnd w:id="176"/>
            <m:ctrlPr>
              <w:rPr>
                <w:rFonts w:ascii="Cambria Math" w:hAnsi="Cambria Math"/>
                <w:bCs/>
                <w:iCs/>
                <w:color w:val="000000" w:themeColor="text1"/>
                <w:kern w:val="0"/>
                <w:szCs w:val="21"/>
                <w14:textFill>
                  <w14:solidFill>
                    <w14:schemeClr w14:val="tx1"/>
                  </w14:solidFill>
                </w14:textFill>
              </w:rPr>
            </m:ctrlPr>
          </m:sub>
        </m:sSub>
      </m:oMath>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-4</w:t>
      </w:r>
      <w:r>
        <w:rPr>
          <w:rFonts w:hint="eastAsia"/>
          <w:bCs/>
          <w:color w:val="000000" w:themeColor="text1"/>
          <w:kern w:val="0"/>
          <w:szCs w:val="21"/>
          <w14:textFill>
            <w14:solidFill>
              <w14:schemeClr w14:val="tx1"/>
            </w14:solidFill>
          </w14:textFill>
        </w:rPr>
        <w:t>）</w:t>
      </w:r>
    </w:p>
    <w:p>
      <w:pPr>
        <w:spacing w:line="400" w:lineRule="exac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式中：</w:t>
      </w:r>
      <m:oMath>
        <m:sSub>
          <m:sSubPr>
            <m:ctrlPr>
              <w:rPr>
                <w:rFonts w:ascii="Cambria Math" w:hAnsi="Cambria Math"/>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M</m:t>
            </m:r>
            <m:ctrlPr>
              <w:rPr>
                <w:rFonts w:ascii="Cambria Math" w:hAnsi="Cambria Math"/>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ju</m:t>
            </m:r>
            <m:ctrlPr>
              <w:rPr>
                <w:rFonts w:ascii="Cambria Math" w:hAnsi="Cambria Math"/>
                <w:bCs/>
                <w:i/>
                <w:color w:val="000000" w:themeColor="text1"/>
                <w:kern w:val="0"/>
                <w:szCs w:val="21"/>
                <w14:textFill>
                  <w14:solidFill>
                    <w14:schemeClr w14:val="tx1"/>
                  </w14:solidFill>
                </w14:textFill>
              </w:rPr>
            </m:ctrlPr>
          </m:sub>
        </m:sSub>
      </m:oMath>
      <w:r>
        <w:rPr>
          <w:rFonts w:hint="eastAsia"/>
          <w:bCs/>
          <w:color w:val="000000" w:themeColor="text1"/>
          <w:szCs w:val="21"/>
          <w14:textFill>
            <w14:solidFill>
              <w14:schemeClr w14:val="tx1"/>
            </w14:solidFill>
          </w14:textFill>
        </w:rPr>
        <w:t>、</w:t>
      </w:r>
      <m:oMath>
        <m:sSub>
          <m:sSubPr>
            <m:ctrlPr>
              <w:rPr>
                <w:rFonts w:ascii="Cambria Math" w:hAnsi="Cambria Math"/>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V</m:t>
            </m:r>
            <m:ctrlPr>
              <w:rPr>
                <w:rFonts w:ascii="Cambria Math" w:hAnsi="Cambria Math"/>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ju</m:t>
            </m:r>
            <m:ctrlPr>
              <w:rPr>
                <w:rFonts w:ascii="Cambria Math" w:hAnsi="Cambria Math"/>
                <w:bCs/>
                <w:i/>
                <w:color w:val="000000" w:themeColor="text1"/>
                <w:kern w:val="0"/>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梁柱刚性连接的极限受弯和受剪承载力；</w:t>
      </w:r>
    </w:p>
    <w:p>
      <w:pPr>
        <w:spacing w:line="400" w:lineRule="exact"/>
        <w:ind w:firstLine="409" w:firstLineChars="195"/>
        <w:rPr>
          <w:bCs/>
          <w:color w:val="000000" w:themeColor="text1"/>
          <w:szCs w:val="21"/>
          <w14:textFill>
            <w14:solidFill>
              <w14:schemeClr w14:val="tx1"/>
            </w14:solidFill>
          </w14:textFill>
        </w:rPr>
      </w:pPr>
      <m:oMath>
        <m:r>
          <w:rPr>
            <w:rFonts w:ascii="Cambria Math" w:hAnsi="Cambria Math"/>
            <w:color w:val="000000" w:themeColor="text1"/>
            <w:kern w:val="0"/>
            <w:szCs w:val="21"/>
            <w14:textFill>
              <w14:solidFill>
                <w14:schemeClr w14:val="tx1"/>
              </w14:solidFill>
            </w14:textFill>
          </w:rPr>
          <m:t xml:space="preserve">    </m:t>
        </m:r>
        <m:sSub>
          <m:sSubPr>
            <m:ctrlPr>
              <w:rPr>
                <w:rFonts w:ascii="Cambria Math" w:hAnsi="Cambria Math"/>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M</m:t>
            </m:r>
            <m:ctrlPr>
              <w:rPr>
                <w:rFonts w:ascii="Cambria Math" w:hAnsi="Cambria Math"/>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pb</m:t>
            </m:r>
            <m:ctrlPr>
              <w:rPr>
                <w:rFonts w:ascii="Cambria Math" w:hAnsi="Cambria Math"/>
                <w:bCs/>
                <w:i/>
                <w:color w:val="000000" w:themeColor="text1"/>
                <w:kern w:val="0"/>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梁的全截面塑性弯矩；</w:t>
      </w:r>
    </w:p>
    <w:p>
      <w:pPr>
        <w:spacing w:line="400" w:lineRule="exact"/>
        <w:ind w:firstLine="619" w:firstLineChars="295"/>
        <w:rPr>
          <w:bCs/>
          <w:color w:val="000000" w:themeColor="text1"/>
          <w:szCs w:val="21"/>
          <w14:textFill>
            <w14:solidFill>
              <w14:schemeClr w14:val="tx1"/>
            </w14:solidFill>
          </w14:textFill>
        </w:rPr>
      </w:pPr>
      <m:oMath>
        <m:sSub>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M</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pc</m:t>
            </m:r>
            <m:r>
              <w:rPr>
                <w:rFonts w:hint="eastAsia" w:ascii="Cambria Math" w:hAnsi="Cambria Math" w:cs="宋体"/>
                <w:snapToGrid w:val="0"/>
                <w:color w:val="000000" w:themeColor="text1"/>
                <w14:textFill>
                  <w14:solidFill>
                    <w14:schemeClr w14:val="tx1"/>
                  </w14:solidFill>
                </w14:textFill>
              </w:rPr>
              <m:t>，</m:t>
            </m:r>
            <m:r>
              <w:rPr>
                <w:rFonts w:ascii="Cambria Math" w:hAnsi="Cambria Math" w:cs="宋体"/>
                <w:snapToGrid w:val="0"/>
                <w:color w:val="000000" w:themeColor="text1"/>
                <w14:textFill>
                  <w14:solidFill>
                    <w14:schemeClr w14:val="tx1"/>
                  </w14:solidFill>
                </w14:textFill>
              </w:rPr>
              <m:t>N</m:t>
            </m:r>
            <m:ctrlPr>
              <w:rPr>
                <w:rFonts w:ascii="Cambria Math" w:hAnsi="Cambria Math" w:cs="宋体"/>
                <w:bCs/>
                <w:i/>
                <w:iCs/>
                <w:snapToGrid w:val="0"/>
                <w:color w:val="000000" w:themeColor="text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考虑轴力影响的柱全截面塑性弯矩；</w:t>
      </w:r>
    </w:p>
    <w:p>
      <w:pPr>
        <w:spacing w:line="400" w:lineRule="exact"/>
        <w:ind w:firstLine="619" w:firstLineChars="2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L</w:t>
      </w:r>
      <w:r>
        <w:rPr>
          <w:bCs/>
          <w:color w:val="000000" w:themeColor="text1"/>
          <w:szCs w:val="21"/>
          <w:vertAlign w:val="subscript"/>
          <w14:textFill>
            <w14:solidFill>
              <w14:schemeClr w14:val="tx1"/>
            </w14:solidFill>
          </w14:textFill>
        </w:rPr>
        <w:t>n</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梁的净跨；</w:t>
      </w:r>
    </w:p>
    <w:p>
      <w:pPr>
        <w:spacing w:line="400" w:lineRule="exact"/>
        <w:ind w:left="1260" w:leftChars="300" w:hanging="630" w:hangingChars="3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sym w:font="Symbol" w:char="F068"/>
      </w:r>
      <w:r>
        <w:rPr>
          <w:bCs/>
          <w:color w:val="000000" w:themeColor="text1"/>
          <w:szCs w:val="21"/>
          <w:vertAlign w:val="subscript"/>
          <w14:textFill>
            <w14:solidFill>
              <w14:schemeClr w14:val="tx1"/>
            </w14:solidFill>
          </w14:textFill>
        </w:rPr>
        <w:t>j</w:t>
      </w:r>
      <w:r>
        <w:rPr>
          <w:bCs/>
          <w:color w:val="000000" w:themeColor="text1"/>
          <w:szCs w:val="21"/>
          <w14:textFill>
            <w14:solidFill>
              <w14:schemeClr w14:val="tx1"/>
            </w14:solidFill>
          </w14:textFill>
        </w:rPr>
        <w:t>——PS1</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PS2</w:t>
      </w:r>
      <w:r>
        <w:rPr>
          <w:rFonts w:hint="eastAsia"/>
          <w:bCs/>
          <w:color w:val="000000" w:themeColor="text1"/>
          <w:szCs w:val="21"/>
          <w14:textFill>
            <w14:solidFill>
              <w14:schemeClr w14:val="tx1"/>
            </w14:solidFill>
          </w14:textFill>
        </w:rPr>
        <w:t>的梁柱刚性连接的连接系数，按表9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9-1采用；</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的梁柱直接连接可取</w:t>
      </w:r>
      <w:r>
        <w:rPr>
          <w:bCs/>
          <w:color w:val="000000" w:themeColor="text1"/>
          <w:szCs w:val="21"/>
          <w14:textFill>
            <w14:solidFill>
              <w14:schemeClr w14:val="tx1"/>
            </w14:solidFill>
          </w14:textFill>
        </w:rPr>
        <w:t>1.2</w:t>
      </w:r>
      <w:r>
        <w:rPr>
          <w:rFonts w:hint="eastAsia"/>
          <w:bCs/>
          <w:color w:val="000000" w:themeColor="text1"/>
          <w:szCs w:val="21"/>
          <w14:textFill>
            <w14:solidFill>
              <w14:schemeClr w14:val="tx1"/>
            </w14:solidFill>
          </w14:textFill>
        </w:rPr>
        <w:t>，梁端最大应力区拼接可取</w:t>
      </w:r>
      <w:r>
        <w:rPr>
          <w:bCs/>
          <w:color w:val="000000" w:themeColor="text1"/>
          <w:szCs w:val="21"/>
          <w14:textFill>
            <w14:solidFill>
              <w14:schemeClr w14:val="tx1"/>
            </w14:solidFill>
          </w14:textFill>
        </w:rPr>
        <w:t>1.10</w:t>
      </w:r>
      <w:r>
        <w:rPr>
          <w:rFonts w:hint="eastAsia"/>
          <w:bCs/>
          <w:color w:val="000000" w:themeColor="text1"/>
          <w:szCs w:val="21"/>
          <w14:textFill>
            <w14:solidFill>
              <w14:schemeClr w14:val="tx1"/>
            </w14:solidFill>
          </w14:textFill>
        </w:rPr>
        <w:t>。</w:t>
      </w:r>
    </w:p>
    <w:p>
      <w:pPr>
        <w:spacing w:line="400" w:lineRule="exact"/>
        <w:ind w:firstLine="420"/>
        <w:rPr>
          <w:bCs/>
          <w:color w:val="000000" w:themeColor="text1"/>
          <w:szCs w:val="21"/>
          <w14:textFill>
            <w14:solidFill>
              <w14:schemeClr w14:val="tx1"/>
            </w14:solidFill>
          </w14:textFill>
        </w:rPr>
      </w:pPr>
    </w:p>
    <w:p>
      <w:pPr>
        <w:spacing w:line="360" w:lineRule="auto"/>
        <w:ind w:firstLine="420"/>
        <w:jc w:val="center"/>
        <w:rPr>
          <w:bCs/>
          <w:color w:val="000000" w:themeColor="text1"/>
          <w:szCs w:val="21"/>
          <w:vertAlign w:val="subscript"/>
          <w14:textFill>
            <w14:solidFill>
              <w14:schemeClr w14:val="tx1"/>
            </w14:solidFill>
          </w14:textFill>
        </w:rPr>
      </w:pPr>
      <w:r>
        <w:rPr>
          <w:rFonts w:hint="eastAsia"/>
          <w:bCs/>
          <w:color w:val="000000" w:themeColor="text1"/>
          <w:szCs w:val="21"/>
          <w14:textFill>
            <w14:solidFill>
              <w14:schemeClr w14:val="tx1"/>
            </w14:solidFill>
          </w14:textFill>
        </w:rPr>
        <w:t>表9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9-1</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梁柱刚性连接、塑性铰区拼接的连接系数</w:t>
      </w:r>
    </w:p>
    <w:tbl>
      <w:tblPr>
        <w:tblStyle w:val="32"/>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6"/>
        <w:gridCol w:w="1736"/>
        <w:gridCol w:w="1501"/>
        <w:gridCol w:w="1501"/>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2" w:type="dxa"/>
            <w:gridSpan w:val="2"/>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钢材牌号</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Q235</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Q3</w:t>
            </w:r>
            <w:r>
              <w:rPr>
                <w:rFonts w:hint="eastAsia"/>
                <w:bCs/>
                <w:color w:val="000000" w:themeColor="text1"/>
                <w:kern w:val="0"/>
                <w:sz w:val="18"/>
                <w:szCs w:val="18"/>
                <w14:textFill>
                  <w14:solidFill>
                    <w14:schemeClr w14:val="tx1"/>
                  </w14:solidFill>
                </w14:textFill>
              </w:rPr>
              <w:t>5</w:t>
            </w:r>
            <w:r>
              <w:rPr>
                <w:bCs/>
                <w:color w:val="000000" w:themeColor="text1"/>
                <w:kern w:val="0"/>
                <w:sz w:val="18"/>
                <w:szCs w:val="18"/>
                <w14:textFill>
                  <w14:solidFill>
                    <w14:schemeClr w14:val="tx1"/>
                  </w14:solidFill>
                </w14:textFill>
              </w:rPr>
              <w:t>5</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Q345GJ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6"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梁柱对</w:t>
            </w:r>
            <w:r>
              <w:rPr>
                <w:rFonts w:hint="eastAsia"/>
                <w:bCs/>
                <w:color w:val="000000" w:themeColor="text1"/>
                <w:kern w:val="0"/>
                <w:sz w:val="18"/>
                <w:szCs w:val="18"/>
                <w14:textFill>
                  <w14:solidFill>
                    <w14:schemeClr w14:val="tx1"/>
                  </w14:solidFill>
                </w14:textFill>
              </w:rPr>
              <w:t>接</w:t>
            </w:r>
          </w:p>
        </w:tc>
        <w:tc>
          <w:tcPr>
            <w:tcW w:w="1736"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母材、连接板破坏</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1.40</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1.35</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2"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18"/>
                <w14:textFill>
                  <w14:solidFill>
                    <w14:schemeClr w14:val="tx1"/>
                  </w14:solidFill>
                </w14:textFill>
              </w:rPr>
            </w:pPr>
          </w:p>
        </w:tc>
        <w:tc>
          <w:tcPr>
            <w:tcW w:w="1736"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高强度螺栓破坏</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1.45</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1.40</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6"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塑性铰区内的拼接</w:t>
            </w:r>
          </w:p>
          <w:p>
            <w:pPr>
              <w:spacing w:line="300" w:lineRule="auto"/>
              <w:ind w:firstLine="0" w:firstLineChars="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支撑的连接、拼接</w:t>
            </w:r>
          </w:p>
        </w:tc>
        <w:tc>
          <w:tcPr>
            <w:tcW w:w="1736"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母材、连接板破坏</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1.25</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1.20</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2"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18"/>
                <w14:textFill>
                  <w14:solidFill>
                    <w14:schemeClr w14:val="tx1"/>
                  </w14:solidFill>
                </w14:textFill>
              </w:rPr>
            </w:pPr>
          </w:p>
        </w:tc>
        <w:tc>
          <w:tcPr>
            <w:tcW w:w="1736"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高强度螺栓破坏</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1.30</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1.25</w:t>
            </w:r>
          </w:p>
        </w:tc>
        <w:tc>
          <w:tcPr>
            <w:tcW w:w="1501"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1.15</w:t>
            </w:r>
          </w:p>
        </w:tc>
      </w:tr>
    </w:tbl>
    <w:p>
      <w:pPr>
        <w:spacing w:before="156" w:beforeLines="50" w:line="400" w:lineRule="exact"/>
        <w:ind w:firstLine="420"/>
        <w:rPr>
          <w:rFonts w:cs="Times New Roman"/>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3 ES1</w:t>
      </w:r>
      <w:r>
        <w:rPr>
          <w:rFonts w:hint="eastAsia"/>
          <w:bCs/>
          <w:color w:val="000000" w:themeColor="text1"/>
          <w:kern w:val="0"/>
          <w:szCs w:val="21"/>
          <w14:textFill>
            <w14:solidFill>
              <w14:schemeClr w14:val="tx1"/>
            </w14:solidFill>
          </w14:textFill>
        </w:rPr>
        <w:t>的梁柱直接连接、梁端最大应力区内拼接，可取连接系数为</w:t>
      </w:r>
      <w:r>
        <w:rPr>
          <w:bCs/>
          <w:color w:val="000000" w:themeColor="text1"/>
          <w:kern w:val="0"/>
          <w:szCs w:val="21"/>
          <w14:textFill>
            <w14:solidFill>
              <w14:schemeClr w14:val="tx1"/>
            </w14:solidFill>
          </w14:textFill>
        </w:rPr>
        <w:t>1.10</w:t>
      </w:r>
      <w:r>
        <w:rPr>
          <w:rFonts w:hint="eastAsia"/>
          <w:bCs/>
          <w:color w:val="000000" w:themeColor="text1"/>
          <w:kern w:val="0"/>
          <w:szCs w:val="21"/>
          <w14:textFill>
            <w14:solidFill>
              <w14:schemeClr w14:val="tx1"/>
            </w14:solidFill>
          </w14:textFill>
        </w:rPr>
        <w:t>进行极限承载力验算，也可按设防烈度地震作用下的最大内力进行连接的弹性设计。</w:t>
      </w:r>
    </w:p>
    <w:p>
      <w:pPr>
        <w:spacing w:line="400" w:lineRule="exact"/>
        <w:ind w:firstLine="42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4 ES2</w:t>
      </w:r>
      <w:r>
        <w:rPr>
          <w:rFonts w:hint="eastAsia"/>
          <w:bCs/>
          <w:color w:val="000000" w:themeColor="text1"/>
          <w:kern w:val="0"/>
          <w:szCs w:val="21"/>
          <w14:textFill>
            <w14:solidFill>
              <w14:schemeClr w14:val="tx1"/>
            </w14:solidFill>
          </w14:textFill>
        </w:rPr>
        <w:t>的梁柱刚性连接，可按设防烈度地震作用下的最大内力进行连接的弹性设计。</w:t>
      </w:r>
    </w:p>
    <w:p>
      <w:pPr>
        <w:spacing w:line="400" w:lineRule="exact"/>
        <w:ind w:firstLine="420"/>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 xml:space="preserve">5 </w:t>
      </w:r>
      <w:r>
        <w:rPr>
          <w:rFonts w:hint="eastAsia"/>
          <w:bCs/>
          <w:color w:val="000000" w:themeColor="text1"/>
          <w:szCs w:val="21"/>
          <w14:textFill>
            <w14:solidFill>
              <w14:schemeClr w14:val="tx1"/>
            </w14:solidFill>
          </w14:textFill>
        </w:rPr>
        <w:t>梁柱刚性连接的构造应</w:t>
      </w:r>
      <w:r>
        <w:rPr>
          <w:rFonts w:hint="eastAsia"/>
          <w:bCs/>
          <w:color w:val="000000" w:themeColor="text1"/>
          <w:kern w:val="0"/>
          <w:szCs w:val="21"/>
          <w14:textFill>
            <w14:solidFill>
              <w14:schemeClr w14:val="tx1"/>
            </w14:solidFill>
          </w14:textFill>
        </w:rPr>
        <w:t>符合</w:t>
      </w:r>
      <w:r>
        <w:rPr>
          <w:rFonts w:hint="eastAsia"/>
          <w:bCs/>
          <w:color w:val="000000" w:themeColor="text1"/>
          <w:szCs w:val="21"/>
          <w14:textFill>
            <w14:solidFill>
              <w14:schemeClr w14:val="tx1"/>
            </w14:solidFill>
          </w14:textFill>
        </w:rPr>
        <w:t>下列要求：</w:t>
      </w:r>
    </w:p>
    <w:p>
      <w:pPr>
        <w:spacing w:line="400" w:lineRule="exact"/>
        <w:ind w:firstLine="840" w:firstLineChars="400"/>
        <w:rPr>
          <w:bCs/>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w:t>
      </w:r>
      <w:r>
        <w:rPr>
          <w:rFonts w:hint="eastAsia"/>
          <w:bCs/>
          <w:color w:val="000000" w:themeColor="text1"/>
          <w:kern w:val="0"/>
          <w:szCs w:val="21"/>
          <w14:textFill>
            <w14:solidFill>
              <w14:schemeClr w14:val="tx1"/>
            </w14:solidFill>
          </w14:textFill>
        </w:rPr>
        <w:t>宜采用柱贯通型，必要时也可采用梁贯通型；</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PS</w:t>
      </w:r>
      <w:r>
        <w:rPr>
          <w:bCs/>
          <w:color w:val="000000" w:themeColor="text1"/>
          <w:szCs w:val="21"/>
          <w14:textFill>
            <w14:solidFill>
              <w14:schemeClr w14:val="tx1"/>
            </w14:solidFill>
          </w14:textFill>
        </w:rPr>
        <w:t>1</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PS</w:t>
      </w:r>
      <w:r>
        <w:rPr>
          <w:bCs/>
          <w:color w:val="000000" w:themeColor="text1"/>
          <w:szCs w:val="21"/>
          <w14:textFill>
            <w14:solidFill>
              <w14:schemeClr w14:val="tx1"/>
            </w14:solidFill>
          </w14:textFill>
        </w:rPr>
        <w:t>1</w:t>
      </w:r>
      <w:r>
        <w:rPr>
          <w:rFonts w:hint="eastAsia"/>
          <w:bCs/>
          <w:color w:val="000000" w:themeColor="text1"/>
          <w:kern w:val="0"/>
          <w:szCs w:val="21"/>
          <w14:textFill>
            <w14:solidFill>
              <w14:schemeClr w14:val="tx1"/>
            </w14:solidFill>
          </w14:textFill>
        </w:rPr>
        <w:t>框架</w:t>
      </w:r>
      <w:r>
        <w:rPr>
          <w:rFonts w:hint="eastAsia"/>
          <w:bCs/>
          <w:color w:val="000000" w:themeColor="text1"/>
          <w:szCs w:val="21"/>
          <w14:textFill>
            <w14:solidFill>
              <w14:schemeClr w14:val="tx1"/>
            </w14:solidFill>
          </w14:textFill>
        </w:rPr>
        <w:t>可据需采用梁端扩大式（翼缘扩大或加腋）、盖板式、狗骨式等改进型连接；</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框架可据需采用梁端扩大式等改进型连接；</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）连接节点</w:t>
      </w:r>
      <w:r>
        <w:rPr>
          <w:rFonts w:hint="eastAsia"/>
          <w:bCs/>
          <w:color w:val="000000" w:themeColor="text1"/>
          <w:kern w:val="0"/>
          <w:szCs w:val="21"/>
          <w14:textFill>
            <w14:solidFill>
              <w14:schemeClr w14:val="tx1"/>
            </w14:solidFill>
          </w14:textFill>
        </w:rPr>
        <w:t>的</w:t>
      </w:r>
      <w:r>
        <w:rPr>
          <w:rFonts w:hint="eastAsia"/>
          <w:bCs/>
          <w:color w:val="000000" w:themeColor="text1"/>
          <w:szCs w:val="21"/>
          <w14:textFill>
            <w14:solidFill>
              <w14:schemeClr w14:val="tx1"/>
            </w14:solidFill>
          </w14:textFill>
        </w:rPr>
        <w:t>过焊孔宜采用改进型过焊孔（图9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），也可采用传统型过焊孔（图9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）；有条件时，</w:t>
      </w:r>
      <w:r>
        <w:rPr>
          <w:bCs/>
          <w:color w:val="000000" w:themeColor="text1"/>
          <w:szCs w:val="21"/>
          <w14:textFill>
            <w14:solidFill>
              <w14:schemeClr w14:val="tx1"/>
            </w14:solidFill>
          </w14:textFill>
        </w:rPr>
        <w:t>PS1</w:t>
      </w:r>
      <w:r>
        <w:rPr>
          <w:rFonts w:hint="eastAsia"/>
          <w:bCs/>
          <w:color w:val="000000" w:themeColor="text1"/>
          <w:szCs w:val="21"/>
          <w14:textFill>
            <w14:solidFill>
              <w14:schemeClr w14:val="tx1"/>
            </w14:solidFill>
          </w14:textFill>
        </w:rPr>
        <w:t>优先采用无过焊孔（图9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w:t>
      </w:r>
    </w:p>
    <w:p>
      <w:pPr>
        <w:autoSpaceDE w:val="0"/>
        <w:autoSpaceDN w:val="0"/>
        <w:spacing w:line="400" w:lineRule="exact"/>
        <w:ind w:left="1050" w:leftChars="400" w:hanging="210" w:hangingChars="100"/>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4）柱应在梁翼缘平齐位置设置的横向加劲肋或隔板，其厚度不应小于梁翼缘厚度，钢材牌号应与梁翼缘的相同。</w:t>
      </w:r>
    </w:p>
    <w:p>
      <w:pPr>
        <w:spacing w:line="400" w:lineRule="exact"/>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6</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梁柱刚性连接的焊接应符合下列要求：</w:t>
      </w:r>
    </w:p>
    <w:p>
      <w:pPr>
        <w:autoSpaceDE w:val="0"/>
        <w:autoSpaceDN w:val="0"/>
        <w:spacing w:line="400" w:lineRule="exact"/>
        <w:ind w:left="1050" w:leftChars="400" w:hanging="210" w:hangingChars="10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1</w:t>
      </w:r>
      <w:r>
        <w:rPr>
          <w:rFonts w:hint="eastAsia"/>
          <w:bCs/>
          <w:color w:val="000000" w:themeColor="text1"/>
          <w:kern w:val="0"/>
          <w:szCs w:val="21"/>
          <w14:textFill>
            <w14:solidFill>
              <w14:schemeClr w14:val="tx1"/>
            </w14:solidFill>
          </w14:textFill>
        </w:rPr>
        <w:t>）梁翼缘与柱翼缘间应采用带引弧板的坡口全熔透焊缝</w:t>
      </w:r>
      <w:r>
        <w:rPr>
          <w:rFonts w:hint="eastAsia" w:eastAsia="MS Mincho"/>
          <w:bCs/>
          <w:color w:val="000000" w:themeColor="text1"/>
          <w:kern w:val="0"/>
          <w:szCs w:val="21"/>
          <w:lang w:eastAsia="ja-JP"/>
          <w14:textFill>
            <w14:solidFill>
              <w14:schemeClr w14:val="tx1"/>
            </w14:solidFill>
          </w14:textFill>
        </w:rPr>
        <w:t>。</w:t>
      </w:r>
      <w:r>
        <w:rPr>
          <w:rFonts w:hint="eastAsia"/>
          <w:bCs/>
          <w:color w:val="000000" w:themeColor="text1"/>
          <w:kern w:val="0"/>
          <w:szCs w:val="21"/>
          <w14:textFill>
            <w14:solidFill>
              <w14:schemeClr w14:val="tx1"/>
            </w14:solidFill>
          </w14:textFill>
        </w:rPr>
        <w:t>工字形柱横向加劲肋与柱翼缘间应采用全熔透对接焊缝连接，与腹板可采用角焊缝连接。箱形柱隔板应采用全熔透对接焊缝与壁板连接。隔板采用电渣焊时，柱壁板厚度不宜小于</w:t>
      </w:r>
      <w:r>
        <w:rPr>
          <w:bCs/>
          <w:color w:val="000000" w:themeColor="text1"/>
          <w:kern w:val="0"/>
          <w:szCs w:val="21"/>
          <w14:textFill>
            <w14:solidFill>
              <w14:schemeClr w14:val="tx1"/>
            </w14:solidFill>
          </w14:textFill>
        </w:rPr>
        <w:t>16mm</w:t>
      </w:r>
      <w:r>
        <w:rPr>
          <w:rFonts w:hint="eastAsia"/>
          <w:bCs/>
          <w:color w:val="000000" w:themeColor="text1"/>
          <w:kern w:val="0"/>
          <w:szCs w:val="21"/>
          <w14:textFill>
            <w14:solidFill>
              <w14:schemeClr w14:val="tx1"/>
            </w14:solidFill>
          </w14:textFill>
        </w:rPr>
        <w:t>；</w:t>
      </w:r>
    </w:p>
    <w:p>
      <w:pPr>
        <w:autoSpaceDE w:val="0"/>
        <w:autoSpaceDN w:val="0"/>
        <w:spacing w:line="400" w:lineRule="exact"/>
        <w:ind w:firstLine="420"/>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采用</w:t>
      </w:r>
      <w:r>
        <w:rPr>
          <w:bCs/>
          <w:color w:val="000000" w:themeColor="text1"/>
          <w:kern w:val="0"/>
          <w:szCs w:val="21"/>
          <w14:textFill>
            <w14:solidFill>
              <w14:schemeClr w14:val="tx1"/>
            </w14:solidFill>
          </w14:textFill>
        </w:rPr>
        <w:t>PS1</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PS2</w:t>
      </w:r>
      <w:r>
        <w:rPr>
          <w:rFonts w:hint="eastAsia"/>
          <w:bCs/>
          <w:color w:val="000000" w:themeColor="text1"/>
          <w:kern w:val="0"/>
          <w:szCs w:val="21"/>
          <w14:textFill>
            <w14:solidFill>
              <w14:schemeClr w14:val="tx1"/>
            </w14:solidFill>
          </w14:textFill>
        </w:rPr>
        <w:t>时，对接焊缝应检验焊缝的</w:t>
      </w:r>
      <w:r>
        <w:rPr>
          <w:bCs/>
          <w:color w:val="000000" w:themeColor="text1"/>
          <w:kern w:val="0"/>
          <w:szCs w:val="21"/>
          <w14:textFill>
            <w14:solidFill>
              <w14:schemeClr w14:val="tx1"/>
            </w14:solidFill>
          </w14:textFill>
        </w:rPr>
        <w:t>V</w:t>
      </w:r>
      <w:r>
        <w:rPr>
          <w:rFonts w:hint="eastAsia"/>
          <w:bCs/>
          <w:color w:val="000000" w:themeColor="text1"/>
          <w:kern w:val="0"/>
          <w:szCs w:val="21"/>
          <w14:textFill>
            <w14:solidFill>
              <w14:schemeClr w14:val="tx1"/>
            </w14:solidFill>
          </w14:textFill>
        </w:rPr>
        <w:t>形切口冲击韧性，其夏比冲击韧性在</w:t>
      </w:r>
      <w:r>
        <w:rPr>
          <w:bCs/>
          <w:color w:val="000000" w:themeColor="text1"/>
          <w:kern w:val="0"/>
          <w:szCs w:val="21"/>
          <w14:textFill>
            <w14:solidFill>
              <w14:schemeClr w14:val="tx1"/>
            </w14:solidFill>
          </w14:textFill>
        </w:rPr>
        <w:t>-20</w:t>
      </w:r>
      <w:r>
        <w:rPr>
          <w:rFonts w:hint="eastAsia" w:ascii="微软雅黑" w:hAnsi="微软雅黑" w:eastAsia="微软雅黑" w:cs="微软雅黑"/>
          <w:bCs/>
          <w:color w:val="000000" w:themeColor="text1"/>
          <w:kern w:val="0"/>
          <w:szCs w:val="21"/>
          <w14:textFill>
            <w14:solidFill>
              <w14:schemeClr w14:val="tx1"/>
            </w14:solidFill>
          </w14:textFill>
        </w:rPr>
        <w:t>℃</w:t>
      </w:r>
      <w:r>
        <w:rPr>
          <w:rFonts w:hint="eastAsia"/>
          <w:bCs/>
          <w:color w:val="000000" w:themeColor="text1"/>
          <w:kern w:val="0"/>
          <w:szCs w:val="21"/>
          <w14:textFill>
            <w14:solidFill>
              <w14:schemeClr w14:val="tx1"/>
            </w14:solidFill>
          </w14:textFill>
        </w:rPr>
        <w:t>时不得低于</w:t>
      </w:r>
      <w:r>
        <w:rPr>
          <w:bCs/>
          <w:color w:val="000000" w:themeColor="text1"/>
          <w:kern w:val="0"/>
          <w:szCs w:val="21"/>
          <w14:textFill>
            <w14:solidFill>
              <w14:schemeClr w14:val="tx1"/>
            </w14:solidFill>
          </w14:textFill>
        </w:rPr>
        <w:t>27J</w:t>
      </w:r>
      <w:r>
        <w:rPr>
          <w:rFonts w:hint="eastAsia"/>
          <w:bCs/>
          <w:color w:val="000000" w:themeColor="text1"/>
          <w:kern w:val="0"/>
          <w:szCs w:val="21"/>
          <w14:textFill>
            <w14:solidFill>
              <w14:schemeClr w14:val="tx1"/>
            </w14:solidFill>
          </w14:textFill>
        </w:rPr>
        <w:t>。</w:t>
      </w:r>
    </w:p>
    <w:p>
      <w:pPr>
        <w:autoSpaceDE w:val="0"/>
        <w:autoSpaceDN w:val="0"/>
        <w:spacing w:line="400" w:lineRule="exact"/>
        <w:ind w:left="1050" w:leftChars="400" w:hanging="210" w:hangingChars="10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）腹板连接板与柱的焊接，当板厚不大于</w:t>
      </w:r>
      <w:r>
        <w:rPr>
          <w:bCs/>
          <w:color w:val="000000" w:themeColor="text1"/>
          <w:kern w:val="0"/>
          <w:szCs w:val="21"/>
          <w14:textFill>
            <w14:solidFill>
              <w14:schemeClr w14:val="tx1"/>
            </w14:solidFill>
          </w14:textFill>
        </w:rPr>
        <w:t>16mm</w:t>
      </w:r>
      <w:r>
        <w:rPr>
          <w:rFonts w:hint="eastAsia"/>
          <w:bCs/>
          <w:color w:val="000000" w:themeColor="text1"/>
          <w:kern w:val="0"/>
          <w:szCs w:val="21"/>
          <w14:textFill>
            <w14:solidFill>
              <w14:schemeClr w14:val="tx1"/>
            </w14:solidFill>
          </w14:textFill>
        </w:rPr>
        <w:t>时应采用双面角焊缝；板厚大于</w:t>
      </w:r>
      <w:r>
        <w:rPr>
          <w:bCs/>
          <w:color w:val="000000" w:themeColor="text1"/>
          <w:kern w:val="0"/>
          <w:szCs w:val="21"/>
          <w14:textFill>
            <w14:solidFill>
              <w14:schemeClr w14:val="tx1"/>
            </w14:solidFill>
          </w14:textFill>
        </w:rPr>
        <w:t>16mm</w:t>
      </w:r>
      <w:r>
        <w:rPr>
          <w:rFonts w:hint="eastAsia"/>
          <w:bCs/>
          <w:color w:val="000000" w:themeColor="text1"/>
          <w:kern w:val="0"/>
          <w:szCs w:val="21"/>
          <w14:textFill>
            <w14:solidFill>
              <w14:schemeClr w14:val="tx1"/>
            </w14:solidFill>
          </w14:textFill>
        </w:rPr>
        <w:t>时采用</w:t>
      </w:r>
      <w:r>
        <w:rPr>
          <w:bCs/>
          <w:color w:val="000000" w:themeColor="text1"/>
          <w:kern w:val="0"/>
          <w:szCs w:val="21"/>
          <w14:textFill>
            <w14:solidFill>
              <w14:schemeClr w14:val="tx1"/>
            </w14:solidFill>
          </w14:textFill>
        </w:rPr>
        <w:t>K</w:t>
      </w:r>
      <w:r>
        <w:rPr>
          <w:rFonts w:hint="eastAsia"/>
          <w:bCs/>
          <w:color w:val="000000" w:themeColor="text1"/>
          <w:kern w:val="0"/>
          <w:szCs w:val="21"/>
          <w14:textFill>
            <w14:solidFill>
              <w14:schemeClr w14:val="tx1"/>
            </w14:solidFill>
          </w14:textFill>
        </w:rPr>
        <w:t>形坡口对接焊缝。焊缝宜采用气体保护焊，且板端应绕焊；</w:t>
      </w:r>
    </w:p>
    <w:p>
      <w:pPr>
        <w:autoSpaceDE w:val="0"/>
        <w:autoSpaceDN w:val="0"/>
        <w:spacing w:line="400" w:lineRule="exact"/>
        <w:ind w:left="1050" w:leftChars="400" w:hanging="210" w:hangingChars="10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3</w:t>
      </w:r>
      <w:r>
        <w:rPr>
          <w:rFonts w:hint="eastAsia"/>
          <w:bCs/>
          <w:color w:val="000000" w:themeColor="text1"/>
          <w:kern w:val="0"/>
          <w:szCs w:val="21"/>
          <w14:textFill>
            <w14:solidFill>
              <w14:schemeClr w14:val="tx1"/>
            </w14:solidFill>
          </w14:textFill>
        </w:rPr>
        <w:t>）梁端下翼缘焊接衬板底面与柱翼缘相接处的缝隙，应沿衬板全长用角焊缝补焊封闭；</w:t>
      </w:r>
    </w:p>
    <w:p>
      <w:pPr>
        <w:autoSpaceDE w:val="0"/>
        <w:autoSpaceDN w:val="0"/>
        <w:spacing w:line="400" w:lineRule="exact"/>
        <w:ind w:left="1050" w:leftChars="400" w:hanging="210" w:hangingChars="10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4</w:t>
      </w:r>
      <w:r>
        <w:rPr>
          <w:rFonts w:hint="eastAsia"/>
          <w:bCs/>
          <w:color w:val="000000" w:themeColor="text1"/>
          <w:kern w:val="0"/>
          <w:szCs w:val="21"/>
          <w14:textFill>
            <w14:solidFill>
              <w14:schemeClr w14:val="tx1"/>
            </w14:solidFill>
          </w14:textFill>
        </w:rPr>
        <w:t>）梁与柱刚性连接时，柱在梁翼缘上下各</w:t>
      </w:r>
      <w:r>
        <w:rPr>
          <w:bCs/>
          <w:color w:val="000000" w:themeColor="text1"/>
          <w:kern w:val="0"/>
          <w:szCs w:val="21"/>
          <w14:textFill>
            <w14:solidFill>
              <w14:schemeClr w14:val="tx1"/>
            </w14:solidFill>
          </w14:textFill>
        </w:rPr>
        <w:t>500mm</w:t>
      </w:r>
      <w:r>
        <w:rPr>
          <w:rFonts w:hint="eastAsia"/>
          <w:bCs/>
          <w:color w:val="000000" w:themeColor="text1"/>
          <w:kern w:val="0"/>
          <w:szCs w:val="21"/>
          <w14:textFill>
            <w14:solidFill>
              <w14:schemeClr w14:val="tx1"/>
            </w14:solidFill>
          </w14:textFill>
        </w:rPr>
        <w:t>的范围内，柱翼缘与柱腹板间或箱形柱壁板间的连接焊缝应采用全熔透坡口焊缝；</w:t>
      </w:r>
    </w:p>
    <w:p>
      <w:pPr>
        <w:spacing w:line="400" w:lineRule="exact"/>
        <w:ind w:left="1050" w:leftChars="400" w:hanging="210" w:hangingChars="10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5</w:t>
      </w:r>
      <w:r>
        <w:rPr>
          <w:rFonts w:hint="eastAsia"/>
          <w:bCs/>
          <w:color w:val="000000" w:themeColor="text1"/>
          <w:kern w:val="0"/>
          <w:szCs w:val="21"/>
          <w14:textFill>
            <w14:solidFill>
              <w14:schemeClr w14:val="tx1"/>
            </w14:solidFill>
          </w14:textFill>
        </w:rPr>
        <w:t>）设计要求全熔透的一、二级焊缝，应采用超声波探伤进行内部缺陷的检验，并应符合现行国家标准《钢焊缝手工超声波探伤方法和探伤结果分级》</w:t>
      </w:r>
      <w:r>
        <w:rPr>
          <w:bCs/>
          <w:color w:val="000000" w:themeColor="text1"/>
          <w:kern w:val="0"/>
          <w:szCs w:val="21"/>
          <w14:textFill>
            <w14:solidFill>
              <w14:schemeClr w14:val="tx1"/>
            </w14:solidFill>
          </w14:textFill>
        </w:rPr>
        <w:t>GB 11345</w:t>
      </w:r>
      <w:r>
        <w:rPr>
          <w:rFonts w:hint="eastAsia"/>
          <w:bCs/>
          <w:color w:val="000000" w:themeColor="text1"/>
          <w:kern w:val="0"/>
          <w:szCs w:val="21"/>
          <w14:textFill>
            <w14:solidFill>
              <w14:schemeClr w14:val="tx1"/>
            </w14:solidFill>
          </w14:textFill>
        </w:rPr>
        <w:t>的规定。</w:t>
      </w:r>
    </w:p>
    <w:p>
      <w:pPr>
        <w:spacing w:line="300" w:lineRule="auto"/>
        <w:ind w:firstLine="420"/>
        <w:jc w:val="center"/>
        <w:rPr>
          <w:rFonts w:cs="Times New Roman"/>
          <w:bCs/>
          <w:color w:val="000000" w:themeColor="text1"/>
          <w:szCs w:val="20"/>
          <w14:textFill>
            <w14:solidFill>
              <w14:schemeClr w14:val="tx1"/>
            </w14:solidFill>
          </w14:textFill>
        </w:rPr>
      </w:pPr>
      <w:r>
        <w:rPr>
          <w:rFonts w:cs="Times New Roman"/>
          <w:bCs/>
          <w:color w:val="000000" w:themeColor="text1"/>
          <w:szCs w:val="20"/>
          <w14:textFill>
            <w14:solidFill>
              <w14:schemeClr w14:val="tx1"/>
            </w14:solidFill>
          </w14:textFill>
        </w:rPr>
        <w:drawing>
          <wp:inline distT="0" distB="0" distL="0" distR="0">
            <wp:extent cx="3333750" cy="1689100"/>
            <wp:effectExtent l="0" t="0" r="0" b="635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3333750" cy="1689100"/>
                    </a:xfrm>
                    <a:prstGeom prst="rect">
                      <a:avLst/>
                    </a:prstGeom>
                    <a:noFill/>
                    <a:ln>
                      <a:noFill/>
                    </a:ln>
                  </pic:spPr>
                </pic:pic>
              </a:graphicData>
            </a:graphic>
          </wp:inline>
        </w:drawing>
      </w:r>
    </w:p>
    <w:p>
      <w:pPr>
        <w:spacing w:line="300" w:lineRule="auto"/>
        <w:ind w:firstLine="360"/>
        <w:jc w:val="left"/>
        <w:rPr>
          <w:bCs/>
          <w:color w:val="000000" w:themeColor="text1"/>
          <w:sz w:val="18"/>
          <w:szCs w:val="18"/>
          <w14:textFill>
            <w14:solidFill>
              <w14:schemeClr w14:val="tx1"/>
            </w14:solidFill>
          </w14:textFill>
        </w:rPr>
      </w:pPr>
      <w:r>
        <w:rPr>
          <w:bCs/>
          <w:snapToGrid w:val="0"/>
          <w:color w:val="000000" w:themeColor="text1"/>
          <w:kern w:val="0"/>
          <w:sz w:val="18"/>
          <w:szCs w:val="18"/>
          <w14:textFill>
            <w14:solidFill>
              <w14:schemeClr w14:val="tx1"/>
            </w14:solidFill>
          </w14:textFill>
        </w:rPr>
        <w:t xml:space="preserve">                    </w:t>
      </w:r>
      <w:r>
        <w:rPr>
          <w:rFonts w:hint="eastAsia"/>
          <w:bCs/>
          <w:snapToGrid w:val="0"/>
          <w:color w:val="000000" w:themeColor="text1"/>
          <w:kern w:val="0"/>
          <w:sz w:val="18"/>
          <w:szCs w:val="18"/>
          <w14:textFill>
            <w14:solidFill>
              <w14:schemeClr w14:val="tx1"/>
            </w14:solidFill>
          </w14:textFill>
        </w:rPr>
        <w:t>（</w:t>
      </w:r>
      <w:r>
        <w:rPr>
          <w:bCs/>
          <w:snapToGrid w:val="0"/>
          <w:color w:val="000000" w:themeColor="text1"/>
          <w:kern w:val="0"/>
          <w:sz w:val="18"/>
          <w:szCs w:val="18"/>
          <w14:textFill>
            <w14:solidFill>
              <w14:schemeClr w14:val="tx1"/>
            </w14:solidFill>
          </w14:textFill>
        </w:rPr>
        <w:t>a</w:t>
      </w:r>
      <w:r>
        <w:rPr>
          <w:rFonts w:hint="eastAsia"/>
          <w:bCs/>
          <w:snapToGrid w:val="0"/>
          <w:color w:val="000000" w:themeColor="text1"/>
          <w:kern w:val="0"/>
          <w:sz w:val="18"/>
          <w:szCs w:val="18"/>
          <w14:textFill>
            <w14:solidFill>
              <w14:schemeClr w14:val="tx1"/>
            </w14:solidFill>
          </w14:textFill>
        </w:rPr>
        <w:t>）柱贯通</w:t>
      </w:r>
      <w:r>
        <w:rPr>
          <w:bCs/>
          <w:snapToGrid w:val="0"/>
          <w:color w:val="000000" w:themeColor="text1"/>
          <w:kern w:val="0"/>
          <w:sz w:val="18"/>
          <w:szCs w:val="18"/>
          <w14:textFill>
            <w14:solidFill>
              <w14:schemeClr w14:val="tx1"/>
            </w14:solidFill>
          </w14:textFill>
        </w:rPr>
        <w:t xml:space="preserve">                          </w:t>
      </w:r>
      <w:r>
        <w:rPr>
          <w:rFonts w:hint="eastAsia"/>
          <w:bCs/>
          <w:snapToGrid w:val="0"/>
          <w:color w:val="000000" w:themeColor="text1"/>
          <w:kern w:val="0"/>
          <w:sz w:val="18"/>
          <w:szCs w:val="18"/>
          <w14:textFill>
            <w14:solidFill>
              <w14:schemeClr w14:val="tx1"/>
            </w14:solidFill>
          </w14:textFill>
        </w:rPr>
        <w:t>（</w:t>
      </w:r>
      <w:r>
        <w:rPr>
          <w:bCs/>
          <w:snapToGrid w:val="0"/>
          <w:color w:val="000000" w:themeColor="text1"/>
          <w:kern w:val="0"/>
          <w:sz w:val="18"/>
          <w:szCs w:val="18"/>
          <w14:textFill>
            <w14:solidFill>
              <w14:schemeClr w14:val="tx1"/>
            </w14:solidFill>
          </w14:textFill>
        </w:rPr>
        <w:t>b</w:t>
      </w:r>
      <w:r>
        <w:rPr>
          <w:rFonts w:hint="eastAsia"/>
          <w:bCs/>
          <w:snapToGrid w:val="0"/>
          <w:color w:val="000000" w:themeColor="text1"/>
          <w:kern w:val="0"/>
          <w:sz w:val="18"/>
          <w:szCs w:val="18"/>
          <w14:textFill>
            <w14:solidFill>
              <w14:schemeClr w14:val="tx1"/>
            </w14:solidFill>
          </w14:textFill>
        </w:rPr>
        <w:t>）隔板贯通</w:t>
      </w:r>
    </w:p>
    <w:p>
      <w:pPr>
        <w:spacing w:line="300" w:lineRule="auto"/>
        <w:ind w:firstLine="360"/>
        <w:jc w:val="center"/>
        <w:rPr>
          <w:rFonts w:cs="Times New Roman"/>
          <w:bCs/>
          <w:color w:val="000000" w:themeColor="text1"/>
          <w:sz w:val="18"/>
          <w:szCs w:val="20"/>
          <w14:textFill>
            <w14:solidFill>
              <w14:schemeClr w14:val="tx1"/>
            </w14:solidFill>
          </w14:textFill>
        </w:rPr>
      </w:pPr>
      <w:r>
        <w:rPr>
          <w:rFonts w:hint="eastAsia" w:cs="Times New Roman"/>
          <w:bCs/>
          <w:color w:val="000000" w:themeColor="text1"/>
          <w:sz w:val="18"/>
          <w:szCs w:val="20"/>
          <w14:textFill>
            <w14:solidFill>
              <w14:schemeClr w14:val="tx1"/>
            </w14:solidFill>
          </w14:textFill>
        </w:rPr>
        <w:t>（</w:t>
      </w:r>
      <w:r>
        <w:rPr>
          <w:rFonts w:cs="Times New Roman"/>
          <w:bCs/>
          <w:color w:val="000000" w:themeColor="text1"/>
          <w:sz w:val="18"/>
          <w:szCs w:val="20"/>
          <w14:textFill>
            <w14:solidFill>
              <w14:schemeClr w14:val="tx1"/>
            </w14:solidFill>
          </w14:textFill>
        </w:rPr>
        <w:t>r</w:t>
      </w:r>
      <w:r>
        <w:rPr>
          <w:rFonts w:cs="Times New Roman"/>
          <w:bCs/>
          <w:color w:val="000000" w:themeColor="text1"/>
          <w:sz w:val="18"/>
          <w:szCs w:val="20"/>
          <w:vertAlign w:val="subscript"/>
          <w14:textFill>
            <w14:solidFill>
              <w14:schemeClr w14:val="tx1"/>
            </w14:solidFill>
          </w14:textFill>
        </w:rPr>
        <w:t xml:space="preserve">1 </w:t>
      </w:r>
      <w:r>
        <w:rPr>
          <w:rFonts w:cs="Times New Roman"/>
          <w:bCs/>
          <w:color w:val="000000" w:themeColor="text1"/>
          <w:sz w:val="18"/>
          <w:szCs w:val="20"/>
          <w14:textFill>
            <w14:solidFill>
              <w14:schemeClr w14:val="tx1"/>
            </w14:solidFill>
          </w14:textFill>
        </w:rPr>
        <w:t>= 35mm</w:t>
      </w:r>
      <w:r>
        <w:rPr>
          <w:rFonts w:hint="eastAsia" w:cs="Times New Roman"/>
          <w:bCs/>
          <w:color w:val="000000" w:themeColor="text1"/>
          <w:sz w:val="18"/>
          <w:szCs w:val="20"/>
          <w14:textFill>
            <w14:solidFill>
              <w14:schemeClr w14:val="tx1"/>
            </w14:solidFill>
          </w14:textFill>
        </w:rPr>
        <w:t>，</w:t>
      </w:r>
      <w:r>
        <w:rPr>
          <w:rFonts w:cs="Times New Roman"/>
          <w:bCs/>
          <w:color w:val="000000" w:themeColor="text1"/>
          <w:sz w:val="18"/>
          <w:szCs w:val="20"/>
          <w14:textFill>
            <w14:solidFill>
              <w14:schemeClr w14:val="tx1"/>
            </w14:solidFill>
          </w14:textFill>
        </w:rPr>
        <w:t>r</w:t>
      </w:r>
      <w:r>
        <w:rPr>
          <w:rFonts w:cs="Times New Roman"/>
          <w:bCs/>
          <w:color w:val="000000" w:themeColor="text1"/>
          <w:sz w:val="18"/>
          <w:szCs w:val="20"/>
          <w:vertAlign w:val="subscript"/>
          <w14:textFill>
            <w14:solidFill>
              <w14:schemeClr w14:val="tx1"/>
            </w14:solidFill>
          </w14:textFill>
        </w:rPr>
        <w:t xml:space="preserve">2 </w:t>
      </w:r>
      <w:r>
        <w:rPr>
          <w:rFonts w:cs="Times New Roman"/>
          <w:bCs/>
          <w:color w:val="000000" w:themeColor="text1"/>
          <w:sz w:val="18"/>
          <w:szCs w:val="20"/>
          <w14:textFill>
            <w14:solidFill>
              <w14:schemeClr w14:val="tx1"/>
            </w14:solidFill>
          </w14:textFill>
        </w:rPr>
        <w:t>≥ 10mm</w:t>
      </w:r>
      <w:r>
        <w:rPr>
          <w:rFonts w:hint="eastAsia" w:cs="Times New Roman"/>
          <w:bCs/>
          <w:color w:val="000000" w:themeColor="text1"/>
          <w:sz w:val="18"/>
          <w:szCs w:val="20"/>
          <w14:textFill>
            <w14:solidFill>
              <w14:schemeClr w14:val="tx1"/>
            </w14:solidFill>
          </w14:textFill>
        </w:rPr>
        <w:t>）</w:t>
      </w:r>
    </w:p>
    <w:p>
      <w:pPr>
        <w:spacing w:line="360" w:lineRule="auto"/>
        <w:ind w:firstLine="36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图9</w:t>
      </w:r>
      <w:r>
        <w:rPr>
          <w:bCs/>
          <w:snapToGrid w:val="0"/>
          <w:color w:val="000000" w:themeColor="text1"/>
          <w:kern w:val="0"/>
          <w:sz w:val="18"/>
          <w:szCs w:val="21"/>
          <w14:textFill>
            <w14:solidFill>
              <w14:schemeClr w14:val="tx1"/>
            </w14:solidFill>
          </w14:textFill>
        </w:rPr>
        <w:t>.2.</w:t>
      </w:r>
      <w:r>
        <w:rPr>
          <w:rFonts w:hint="eastAsia"/>
          <w:bCs/>
          <w:snapToGrid w:val="0"/>
          <w:color w:val="000000" w:themeColor="text1"/>
          <w:kern w:val="0"/>
          <w:sz w:val="18"/>
          <w:szCs w:val="21"/>
          <w14:textFill>
            <w14:solidFill>
              <w14:schemeClr w14:val="tx1"/>
            </w14:solidFill>
          </w14:textFill>
        </w:rPr>
        <w:t>9</w:t>
      </w:r>
      <w:r>
        <w:rPr>
          <w:bCs/>
          <w:snapToGrid w:val="0"/>
          <w:color w:val="000000" w:themeColor="text1"/>
          <w:kern w:val="0"/>
          <w:sz w:val="18"/>
          <w:szCs w:val="21"/>
          <w:lang w:eastAsia="ja-JP"/>
          <w14:textFill>
            <w14:solidFill>
              <w14:schemeClr w14:val="tx1"/>
            </w14:solidFill>
          </w14:textFill>
        </w:rPr>
        <w:t>-</w:t>
      </w:r>
      <w:r>
        <w:rPr>
          <w:bCs/>
          <w:snapToGrid w:val="0"/>
          <w:color w:val="000000" w:themeColor="text1"/>
          <w:kern w:val="0"/>
          <w:sz w:val="18"/>
          <w:szCs w:val="21"/>
          <w14:textFill>
            <w14:solidFill>
              <w14:schemeClr w14:val="tx1"/>
            </w14:solidFill>
          </w14:textFill>
        </w:rPr>
        <w:t xml:space="preserve">1  </w:t>
      </w:r>
      <w:r>
        <w:rPr>
          <w:rFonts w:hint="eastAsia"/>
          <w:bCs/>
          <w:snapToGrid w:val="0"/>
          <w:color w:val="000000" w:themeColor="text1"/>
          <w:kern w:val="0"/>
          <w:sz w:val="18"/>
          <w:szCs w:val="21"/>
          <w14:textFill>
            <w14:solidFill>
              <w14:schemeClr w14:val="tx1"/>
            </w14:solidFill>
          </w14:textFill>
        </w:rPr>
        <w:t>改进型过焊孔构造</w:t>
      </w:r>
    </w:p>
    <w:p>
      <w:pPr>
        <w:spacing w:line="360" w:lineRule="auto"/>
        <w:ind w:firstLine="420"/>
        <w:jc w:val="center"/>
        <w:rPr>
          <w:bCs/>
          <w:color w:val="000000" w:themeColor="text1"/>
          <w:szCs w:val="20"/>
          <w14:textFill>
            <w14:solidFill>
              <w14:schemeClr w14:val="tx1"/>
            </w14:solidFill>
          </w14:textFill>
        </w:rPr>
      </w:pPr>
      <w:r>
        <w:rPr>
          <w:bCs/>
          <w:color w:val="000000" w:themeColor="text1"/>
          <w14:textFill>
            <w14:solidFill>
              <w14:schemeClr w14:val="tx1"/>
            </w14:solidFill>
          </w14:textFill>
        </w:rPr>
        <w:drawing>
          <wp:inline distT="0" distB="0" distL="0" distR="0">
            <wp:extent cx="3644900" cy="179705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3644900" cy="1797050"/>
                    </a:xfrm>
                    <a:prstGeom prst="rect">
                      <a:avLst/>
                    </a:prstGeom>
                    <a:noFill/>
                    <a:ln>
                      <a:noFill/>
                    </a:ln>
                  </pic:spPr>
                </pic:pic>
              </a:graphicData>
            </a:graphic>
          </wp:inline>
        </w:drawing>
      </w:r>
    </w:p>
    <w:p>
      <w:pPr>
        <w:spacing w:line="300" w:lineRule="auto"/>
        <w:ind w:firstLine="360"/>
        <w:jc w:val="left"/>
        <w:rPr>
          <w:bCs/>
          <w:snapToGrid w:val="0"/>
          <w:color w:val="000000" w:themeColor="text1"/>
          <w:kern w:val="0"/>
          <w:sz w:val="18"/>
          <w:szCs w:val="18"/>
          <w14:textFill>
            <w14:solidFill>
              <w14:schemeClr w14:val="tx1"/>
            </w14:solidFill>
          </w14:textFill>
        </w:rPr>
      </w:pPr>
      <w:r>
        <w:rPr>
          <w:bCs/>
          <w:snapToGrid w:val="0"/>
          <w:color w:val="000000" w:themeColor="text1"/>
          <w:kern w:val="0"/>
          <w:sz w:val="18"/>
          <w:szCs w:val="18"/>
          <w14:textFill>
            <w14:solidFill>
              <w14:schemeClr w14:val="tx1"/>
            </w14:solidFill>
          </w14:textFill>
        </w:rPr>
        <w:t xml:space="preserve">                    </w:t>
      </w:r>
      <w:r>
        <w:rPr>
          <w:rFonts w:hint="eastAsia"/>
          <w:bCs/>
          <w:snapToGrid w:val="0"/>
          <w:color w:val="000000" w:themeColor="text1"/>
          <w:kern w:val="0"/>
          <w:sz w:val="18"/>
          <w:szCs w:val="18"/>
          <w14:textFill>
            <w14:solidFill>
              <w14:schemeClr w14:val="tx1"/>
            </w14:solidFill>
          </w14:textFill>
        </w:rPr>
        <w:t>（</w:t>
      </w:r>
      <w:r>
        <w:rPr>
          <w:bCs/>
          <w:snapToGrid w:val="0"/>
          <w:color w:val="000000" w:themeColor="text1"/>
          <w:kern w:val="0"/>
          <w:sz w:val="18"/>
          <w:szCs w:val="18"/>
          <w14:textFill>
            <w14:solidFill>
              <w14:schemeClr w14:val="tx1"/>
            </w14:solidFill>
          </w14:textFill>
        </w:rPr>
        <w:t>a</w:t>
      </w:r>
      <w:r>
        <w:rPr>
          <w:rFonts w:hint="eastAsia"/>
          <w:bCs/>
          <w:snapToGrid w:val="0"/>
          <w:color w:val="000000" w:themeColor="text1"/>
          <w:kern w:val="0"/>
          <w:sz w:val="18"/>
          <w:szCs w:val="18"/>
          <w14:textFill>
            <w14:solidFill>
              <w14:schemeClr w14:val="tx1"/>
            </w14:solidFill>
          </w14:textFill>
        </w:rPr>
        <w:t>）上翼缘</w:t>
      </w:r>
      <w:r>
        <w:rPr>
          <w:bCs/>
          <w:snapToGrid w:val="0"/>
          <w:color w:val="000000" w:themeColor="text1"/>
          <w:kern w:val="0"/>
          <w:sz w:val="18"/>
          <w:szCs w:val="18"/>
          <w14:textFill>
            <w14:solidFill>
              <w14:schemeClr w14:val="tx1"/>
            </w14:solidFill>
          </w14:textFill>
        </w:rPr>
        <w:t xml:space="preserve">                          </w:t>
      </w:r>
      <w:r>
        <w:rPr>
          <w:rFonts w:hint="eastAsia"/>
          <w:bCs/>
          <w:snapToGrid w:val="0"/>
          <w:color w:val="000000" w:themeColor="text1"/>
          <w:kern w:val="0"/>
          <w:sz w:val="18"/>
          <w:szCs w:val="18"/>
          <w14:textFill>
            <w14:solidFill>
              <w14:schemeClr w14:val="tx1"/>
            </w14:solidFill>
          </w14:textFill>
        </w:rPr>
        <w:t>（</w:t>
      </w:r>
      <w:r>
        <w:rPr>
          <w:bCs/>
          <w:snapToGrid w:val="0"/>
          <w:color w:val="000000" w:themeColor="text1"/>
          <w:kern w:val="0"/>
          <w:sz w:val="18"/>
          <w:szCs w:val="18"/>
          <w14:textFill>
            <w14:solidFill>
              <w14:schemeClr w14:val="tx1"/>
            </w14:solidFill>
          </w14:textFill>
        </w:rPr>
        <w:t>b</w:t>
      </w:r>
      <w:r>
        <w:rPr>
          <w:rFonts w:hint="eastAsia"/>
          <w:bCs/>
          <w:snapToGrid w:val="0"/>
          <w:color w:val="000000" w:themeColor="text1"/>
          <w:kern w:val="0"/>
          <w:sz w:val="18"/>
          <w:szCs w:val="18"/>
          <w14:textFill>
            <w14:solidFill>
              <w14:schemeClr w14:val="tx1"/>
            </w14:solidFill>
          </w14:textFill>
        </w:rPr>
        <w:t>）下翼缘</w:t>
      </w:r>
    </w:p>
    <w:p>
      <w:pPr>
        <w:spacing w:line="300" w:lineRule="auto"/>
        <w:ind w:firstLine="36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图9</w:t>
      </w:r>
      <w:r>
        <w:rPr>
          <w:bCs/>
          <w:snapToGrid w:val="0"/>
          <w:color w:val="000000" w:themeColor="text1"/>
          <w:kern w:val="0"/>
          <w:sz w:val="18"/>
          <w:szCs w:val="21"/>
          <w14:textFill>
            <w14:solidFill>
              <w14:schemeClr w14:val="tx1"/>
            </w14:solidFill>
          </w14:textFill>
        </w:rPr>
        <w:t>.2.</w:t>
      </w:r>
      <w:r>
        <w:rPr>
          <w:rFonts w:hint="eastAsia"/>
          <w:bCs/>
          <w:snapToGrid w:val="0"/>
          <w:color w:val="000000" w:themeColor="text1"/>
          <w:kern w:val="0"/>
          <w:sz w:val="18"/>
          <w:szCs w:val="21"/>
          <w14:textFill>
            <w14:solidFill>
              <w14:schemeClr w14:val="tx1"/>
            </w14:solidFill>
          </w14:textFill>
        </w:rPr>
        <w:t>9</w:t>
      </w:r>
      <w:r>
        <w:rPr>
          <w:bCs/>
          <w:snapToGrid w:val="0"/>
          <w:color w:val="000000" w:themeColor="text1"/>
          <w:kern w:val="0"/>
          <w:sz w:val="18"/>
          <w:szCs w:val="21"/>
          <w:lang w:eastAsia="ja-JP"/>
          <w14:textFill>
            <w14:solidFill>
              <w14:schemeClr w14:val="tx1"/>
            </w14:solidFill>
          </w14:textFill>
        </w:rPr>
        <w:t>-</w:t>
      </w:r>
      <w:r>
        <w:rPr>
          <w:bCs/>
          <w:snapToGrid w:val="0"/>
          <w:color w:val="000000" w:themeColor="text1"/>
          <w:kern w:val="0"/>
          <w:sz w:val="18"/>
          <w:szCs w:val="21"/>
          <w14:textFill>
            <w14:solidFill>
              <w14:schemeClr w14:val="tx1"/>
            </w14:solidFill>
          </w14:textFill>
        </w:rPr>
        <w:t xml:space="preserve">2  </w:t>
      </w:r>
      <w:r>
        <w:rPr>
          <w:rFonts w:hint="eastAsia"/>
          <w:bCs/>
          <w:snapToGrid w:val="0"/>
          <w:color w:val="000000" w:themeColor="text1"/>
          <w:kern w:val="0"/>
          <w:sz w:val="18"/>
          <w:szCs w:val="21"/>
          <w14:textFill>
            <w14:solidFill>
              <w14:schemeClr w14:val="tx1"/>
            </w14:solidFill>
          </w14:textFill>
        </w:rPr>
        <w:t>传统型过焊孔构造</w:t>
      </w:r>
    </w:p>
    <w:p>
      <w:pPr>
        <w:spacing w:line="300" w:lineRule="auto"/>
        <w:ind w:firstLine="420"/>
        <w:rPr>
          <w:rFonts w:cs="Times New Roman"/>
          <w:bCs/>
          <w:color w:val="000000" w:themeColor="text1"/>
          <w:szCs w:val="20"/>
          <w14:textFill>
            <w14:solidFill>
              <w14:schemeClr w14:val="tx1"/>
            </w14:solidFill>
          </w14:textFill>
        </w:rPr>
      </w:pPr>
      <w:r>
        <w:rPr>
          <w:rFonts w:cs="Times New Roman"/>
          <w:bCs/>
          <w:color w:val="000000" w:themeColor="text1"/>
          <w:szCs w:val="20"/>
          <w14:textFill>
            <w14:solidFill>
              <w14:schemeClr w14:val="tx1"/>
            </w14:solidFill>
          </w14:textFill>
        </w:rPr>
        <w:drawing>
          <wp:inline distT="0" distB="0" distL="0" distR="0">
            <wp:extent cx="5270500" cy="1708150"/>
            <wp:effectExtent l="0" t="0" r="6350" b="635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270500" cy="1708150"/>
                    </a:xfrm>
                    <a:prstGeom prst="rect">
                      <a:avLst/>
                    </a:prstGeom>
                    <a:noFill/>
                    <a:ln>
                      <a:noFill/>
                    </a:ln>
                  </pic:spPr>
                </pic:pic>
              </a:graphicData>
            </a:graphic>
          </wp:inline>
        </w:drawing>
      </w:r>
    </w:p>
    <w:p>
      <w:pPr>
        <w:spacing w:line="300" w:lineRule="auto"/>
        <w:ind w:firstLine="360"/>
        <w:jc w:val="left"/>
        <w:rPr>
          <w:bCs/>
          <w:snapToGrid w:val="0"/>
          <w:color w:val="000000" w:themeColor="text1"/>
          <w:kern w:val="0"/>
          <w:sz w:val="18"/>
          <w:szCs w:val="18"/>
          <w14:textFill>
            <w14:solidFill>
              <w14:schemeClr w14:val="tx1"/>
            </w14:solidFill>
          </w14:textFill>
        </w:rPr>
      </w:pPr>
      <w:r>
        <w:rPr>
          <w:bCs/>
          <w:snapToGrid w:val="0"/>
          <w:color w:val="000000" w:themeColor="text1"/>
          <w:kern w:val="0"/>
          <w:sz w:val="18"/>
          <w:szCs w:val="18"/>
          <w14:textFill>
            <w14:solidFill>
              <w14:schemeClr w14:val="tx1"/>
            </w14:solidFill>
          </w14:textFill>
        </w:rPr>
        <w:t xml:space="preserve">              </w:t>
      </w:r>
      <w:r>
        <w:rPr>
          <w:rFonts w:hint="eastAsia"/>
          <w:bCs/>
          <w:snapToGrid w:val="0"/>
          <w:color w:val="000000" w:themeColor="text1"/>
          <w:kern w:val="0"/>
          <w:sz w:val="18"/>
          <w:szCs w:val="18"/>
          <w14:textFill>
            <w14:solidFill>
              <w14:schemeClr w14:val="tx1"/>
            </w14:solidFill>
          </w14:textFill>
        </w:rPr>
        <w:t>（</w:t>
      </w:r>
      <w:r>
        <w:rPr>
          <w:bCs/>
          <w:snapToGrid w:val="0"/>
          <w:color w:val="000000" w:themeColor="text1"/>
          <w:kern w:val="0"/>
          <w:sz w:val="18"/>
          <w:szCs w:val="18"/>
          <w14:textFill>
            <w14:solidFill>
              <w14:schemeClr w14:val="tx1"/>
            </w14:solidFill>
          </w14:textFill>
        </w:rPr>
        <w:t>a</w:t>
      </w:r>
      <w:r>
        <w:rPr>
          <w:rFonts w:hint="eastAsia"/>
          <w:bCs/>
          <w:snapToGrid w:val="0"/>
          <w:color w:val="000000" w:themeColor="text1"/>
          <w:kern w:val="0"/>
          <w:sz w:val="18"/>
          <w:szCs w:val="18"/>
          <w14:textFill>
            <w14:solidFill>
              <w14:schemeClr w14:val="tx1"/>
            </w14:solidFill>
          </w14:textFill>
        </w:rPr>
        <w:t>）柱贯通</w:t>
      </w:r>
      <w:r>
        <w:rPr>
          <w:bCs/>
          <w:snapToGrid w:val="0"/>
          <w:color w:val="000000" w:themeColor="text1"/>
          <w:kern w:val="0"/>
          <w:sz w:val="18"/>
          <w:szCs w:val="18"/>
          <w14:textFill>
            <w14:solidFill>
              <w14:schemeClr w14:val="tx1"/>
            </w14:solidFill>
          </w14:textFill>
        </w:rPr>
        <w:t xml:space="preserve">                                  </w:t>
      </w:r>
      <w:r>
        <w:rPr>
          <w:rFonts w:hint="eastAsia"/>
          <w:bCs/>
          <w:snapToGrid w:val="0"/>
          <w:color w:val="000000" w:themeColor="text1"/>
          <w:kern w:val="0"/>
          <w:sz w:val="18"/>
          <w:szCs w:val="18"/>
          <w14:textFill>
            <w14:solidFill>
              <w14:schemeClr w14:val="tx1"/>
            </w14:solidFill>
          </w14:textFill>
        </w:rPr>
        <w:t>（</w:t>
      </w:r>
      <w:r>
        <w:rPr>
          <w:bCs/>
          <w:snapToGrid w:val="0"/>
          <w:color w:val="000000" w:themeColor="text1"/>
          <w:kern w:val="0"/>
          <w:sz w:val="18"/>
          <w:szCs w:val="18"/>
          <w14:textFill>
            <w14:solidFill>
              <w14:schemeClr w14:val="tx1"/>
            </w14:solidFill>
          </w14:textFill>
        </w:rPr>
        <w:t>b</w:t>
      </w:r>
      <w:r>
        <w:rPr>
          <w:rFonts w:hint="eastAsia"/>
          <w:bCs/>
          <w:snapToGrid w:val="0"/>
          <w:color w:val="000000" w:themeColor="text1"/>
          <w:kern w:val="0"/>
          <w:sz w:val="18"/>
          <w:szCs w:val="18"/>
          <w14:textFill>
            <w14:solidFill>
              <w14:schemeClr w14:val="tx1"/>
            </w14:solidFill>
          </w14:textFill>
        </w:rPr>
        <w:t>）隔板贯通</w:t>
      </w:r>
    </w:p>
    <w:p>
      <w:pPr>
        <w:spacing w:line="360" w:lineRule="auto"/>
        <w:ind w:firstLine="36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图9</w:t>
      </w:r>
      <w:r>
        <w:rPr>
          <w:bCs/>
          <w:snapToGrid w:val="0"/>
          <w:color w:val="000000" w:themeColor="text1"/>
          <w:kern w:val="0"/>
          <w:sz w:val="18"/>
          <w:szCs w:val="21"/>
          <w14:textFill>
            <w14:solidFill>
              <w14:schemeClr w14:val="tx1"/>
            </w14:solidFill>
          </w14:textFill>
        </w:rPr>
        <w:t>.2.</w:t>
      </w:r>
      <w:r>
        <w:rPr>
          <w:rFonts w:hint="eastAsia"/>
          <w:bCs/>
          <w:snapToGrid w:val="0"/>
          <w:color w:val="000000" w:themeColor="text1"/>
          <w:kern w:val="0"/>
          <w:sz w:val="18"/>
          <w:szCs w:val="21"/>
          <w14:textFill>
            <w14:solidFill>
              <w14:schemeClr w14:val="tx1"/>
            </w14:solidFill>
          </w14:textFill>
        </w:rPr>
        <w:t>9</w:t>
      </w:r>
      <w:r>
        <w:rPr>
          <w:bCs/>
          <w:snapToGrid w:val="0"/>
          <w:color w:val="000000" w:themeColor="text1"/>
          <w:kern w:val="0"/>
          <w:sz w:val="18"/>
          <w:szCs w:val="21"/>
          <w:lang w:eastAsia="ja-JP"/>
          <w14:textFill>
            <w14:solidFill>
              <w14:schemeClr w14:val="tx1"/>
            </w14:solidFill>
          </w14:textFill>
        </w:rPr>
        <w:t>-</w:t>
      </w:r>
      <w:r>
        <w:rPr>
          <w:bCs/>
          <w:snapToGrid w:val="0"/>
          <w:color w:val="000000" w:themeColor="text1"/>
          <w:kern w:val="0"/>
          <w:sz w:val="18"/>
          <w:szCs w:val="21"/>
          <w14:textFill>
            <w14:solidFill>
              <w14:schemeClr w14:val="tx1"/>
            </w14:solidFill>
          </w14:textFill>
        </w:rPr>
        <w:t xml:space="preserve">3  </w:t>
      </w:r>
      <w:r>
        <w:rPr>
          <w:rFonts w:hint="eastAsia"/>
          <w:bCs/>
          <w:snapToGrid w:val="0"/>
          <w:color w:val="000000" w:themeColor="text1"/>
          <w:kern w:val="0"/>
          <w:sz w:val="18"/>
          <w:szCs w:val="21"/>
          <w14:textFill>
            <w14:solidFill>
              <w14:schemeClr w14:val="tx1"/>
            </w14:solidFill>
          </w14:textFill>
        </w:rPr>
        <w:t>无过焊孔构造</w:t>
      </w:r>
    </w:p>
    <w:p>
      <w:pPr>
        <w:spacing w:line="360" w:lineRule="auto"/>
        <w:ind w:firstLine="360"/>
        <w:jc w:val="center"/>
        <w:rPr>
          <w:bCs/>
          <w:snapToGrid w:val="0"/>
          <w:color w:val="000000" w:themeColor="text1"/>
          <w:kern w:val="0"/>
          <w:sz w:val="18"/>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7 </w:t>
      </w:r>
      <w:r>
        <w:rPr>
          <w:rFonts w:hint="eastAsia"/>
          <w:bCs/>
          <w:color w:val="000000" w:themeColor="text1"/>
          <w:szCs w:val="21"/>
          <w14:textFill>
            <w14:solidFill>
              <w14:schemeClr w14:val="tx1"/>
            </w14:solidFill>
          </w14:textFill>
        </w:rPr>
        <w:t>梁与钢管混凝土柱刚性连接的构造除符合上述要求外，尚应符合下列要求：</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钢管混凝土柱直径较小时，钢梁与钢管混凝土柱之间可采用外加强环连接，外加强环应为环绕钢管混凝土柱的封闭的满环。外加强环与钢管外壁应采用全熔透焊接连接，外加强环与钢梁应采用栓焊连接。外加强环的厚度不小于钢梁翼缘的厚度、宽度</w:t>
      </w:r>
      <w:r>
        <w:rPr>
          <w:bCs/>
          <w:color w:val="000000" w:themeColor="text1"/>
          <w:szCs w:val="21"/>
          <w14:textFill>
            <w14:solidFill>
              <w14:schemeClr w14:val="tx1"/>
            </w14:solidFill>
          </w14:textFill>
        </w:rPr>
        <w:t>c</w:t>
      </w:r>
      <w:r>
        <w:rPr>
          <w:rFonts w:hint="eastAsia"/>
          <w:bCs/>
          <w:color w:val="000000" w:themeColor="text1"/>
          <w:szCs w:val="21"/>
          <w14:textFill>
            <w14:solidFill>
              <w14:schemeClr w14:val="tx1"/>
            </w14:solidFill>
          </w14:textFill>
        </w:rPr>
        <w:t>不宜小于钢梁翼缘宽度的</w:t>
      </w:r>
      <w:r>
        <w:rPr>
          <w:bCs/>
          <w:color w:val="000000" w:themeColor="text1"/>
          <w:szCs w:val="21"/>
          <w14:textFill>
            <w14:solidFill>
              <w14:schemeClr w14:val="tx1"/>
            </w14:solidFill>
          </w14:textFill>
        </w:rPr>
        <w:t>0.7</w:t>
      </w:r>
      <w:r>
        <w:rPr>
          <w:rFonts w:hint="eastAsia"/>
          <w:bCs/>
          <w:color w:val="000000" w:themeColor="text1"/>
          <w:szCs w:val="21"/>
          <w14:textFill>
            <w14:solidFill>
              <w14:schemeClr w14:val="tx1"/>
            </w14:solidFill>
          </w14:textFill>
        </w:rPr>
        <w:t>倍（图9</w:t>
      </w:r>
      <w:r>
        <w:rPr>
          <w:bCs/>
          <w:color w:val="000000" w:themeColor="text1"/>
          <w:szCs w:val="21"/>
          <w14:textFill>
            <w14:solidFill>
              <w14:schemeClr w14:val="tx1"/>
            </w14:solidFill>
          </w14:textFill>
        </w:rPr>
        <w:t>.2.9-4</w:t>
      </w:r>
      <w:r>
        <w:rPr>
          <w:rFonts w:hint="eastAsia"/>
          <w:bCs/>
          <w:color w:val="000000" w:themeColor="text1"/>
          <w:szCs w:val="21"/>
          <w14:textFill>
            <w14:solidFill>
              <w14:schemeClr w14:val="tx1"/>
            </w14:solidFill>
          </w14:textFill>
        </w:rPr>
        <w:t>）；</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钢管混凝土柱的直径较大时，钢梁与钢管混凝土柱之间可采用内加强环连接。内加强环与钢管内壁应采用全熔透坡口焊缝连接。梁与柱可采用带有悬臂梁段的柱在现场进行梁的拼接。悬臂梁段可采用等截面悬臂梁段，也可采用不等截面悬臂梁段，当悬臂梁段的截面高度变化时，其坡度不宜大于</w:t>
      </w:r>
      <w:r>
        <w:rPr>
          <w:bCs/>
          <w:color w:val="000000" w:themeColor="text1"/>
          <w:szCs w:val="21"/>
          <w14:textFill>
            <w14:solidFill>
              <w14:schemeClr w14:val="tx1"/>
            </w14:solidFill>
          </w14:textFill>
        </w:rPr>
        <w:t>1:6</w:t>
      </w:r>
      <w:r>
        <w:rPr>
          <w:rFonts w:hint="eastAsia"/>
          <w:bCs/>
          <w:color w:val="000000" w:themeColor="text1"/>
          <w:szCs w:val="21"/>
          <w14:textFill>
            <w14:solidFill>
              <w14:schemeClr w14:val="tx1"/>
            </w14:solidFill>
          </w14:textFill>
        </w:rPr>
        <w:t>（图9</w:t>
      </w:r>
      <w:r>
        <w:rPr>
          <w:bCs/>
          <w:color w:val="000000" w:themeColor="text1"/>
          <w:szCs w:val="21"/>
          <w14:textFill>
            <w14:solidFill>
              <w14:schemeClr w14:val="tx1"/>
            </w14:solidFill>
          </w14:textFill>
        </w:rPr>
        <w:t>.2.9-5</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6</w:t>
      </w:r>
      <w:r>
        <w:rPr>
          <w:rFonts w:hint="eastAsia"/>
          <w:bCs/>
          <w:color w:val="000000" w:themeColor="text1"/>
          <w:szCs w:val="21"/>
          <w14:textFill>
            <w14:solidFill>
              <w14:schemeClr w14:val="tx1"/>
            </w14:solidFill>
          </w14:textFill>
        </w:rPr>
        <w:t>）；</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）当钢管混凝土柱的直径较大且钢梁翼缘较窄时，可采用钢梁穿过钢管混凝土柱的连接方式，钢管壁与钢梁翼缘应采用全熔透坡口焊，钢管壁与钢梁腹板可采用角焊缝；</w:t>
      </w:r>
    </w:p>
    <w:p>
      <w:pPr>
        <w:spacing w:line="400" w:lineRule="exact"/>
        <w:ind w:firstLine="840" w:firstLineChars="4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）采用钢筋混凝土楼盖时，楼盖受力钢筋不应直接焊接在钢管壁上；</w:t>
      </w:r>
    </w:p>
    <w:p>
      <w:pPr>
        <w:spacing w:line="400" w:lineRule="exact"/>
        <w:ind w:firstLine="840" w:firstLineChars="4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5</w:t>
      </w:r>
      <w:r>
        <w:rPr>
          <w:rFonts w:hint="eastAsia"/>
          <w:bCs/>
          <w:color w:val="000000" w:themeColor="text1"/>
          <w:szCs w:val="21"/>
          <w14:textFill>
            <w14:solidFill>
              <w14:schemeClr w14:val="tx1"/>
            </w14:solidFill>
          </w14:textFill>
        </w:rPr>
        <w:t>）钢管混凝土柱分段接头位置应在楼面标高以上</w:t>
      </w:r>
      <w:r>
        <w:rPr>
          <w:bCs/>
          <w:color w:val="000000" w:themeColor="text1"/>
          <w:szCs w:val="21"/>
          <w14:textFill>
            <w14:solidFill>
              <w14:schemeClr w14:val="tx1"/>
            </w14:solidFill>
          </w14:textFill>
        </w:rPr>
        <w:t>1.2~1.3m</w:t>
      </w:r>
      <w:r>
        <w:rPr>
          <w:rFonts w:hint="eastAsia"/>
          <w:bCs/>
          <w:color w:val="000000" w:themeColor="text1"/>
          <w:szCs w:val="21"/>
          <w14:textFill>
            <w14:solidFill>
              <w14:schemeClr w14:val="tx1"/>
            </w14:solidFill>
          </w14:textFill>
        </w:rPr>
        <w:t>。</w:t>
      </w:r>
    </w:p>
    <w:p>
      <w:pPr>
        <w:spacing w:line="400" w:lineRule="exact"/>
        <w:ind w:firstLine="840" w:firstLineChars="400"/>
        <w:rPr>
          <w:bCs/>
          <w:color w:val="000000" w:themeColor="text1"/>
          <w:szCs w:val="21"/>
          <w14:textFill>
            <w14:solidFill>
              <w14:schemeClr w14:val="tx1"/>
            </w14:solidFill>
          </w14:textFill>
        </w:rPr>
      </w:pPr>
    </w:p>
    <w:p>
      <w:pPr>
        <w:spacing w:line="400" w:lineRule="exact"/>
        <w:ind w:firstLine="840" w:firstLineChars="4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anchor distT="0" distB="0" distL="114300" distR="114300" simplePos="0" relativeHeight="251661312" behindDoc="0" locked="0" layoutInCell="1" allowOverlap="1">
            <wp:simplePos x="0" y="0"/>
            <wp:positionH relativeFrom="column">
              <wp:posOffset>1181100</wp:posOffset>
            </wp:positionH>
            <wp:positionV relativeFrom="paragraph">
              <wp:posOffset>210185</wp:posOffset>
            </wp:positionV>
            <wp:extent cx="3196590" cy="1695450"/>
            <wp:effectExtent l="0" t="0" r="3810" b="0"/>
            <wp:wrapSquare wrapText="bothSides"/>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3196590" cy="1695450"/>
                    </a:xfrm>
                    <a:prstGeom prst="rect">
                      <a:avLst/>
                    </a:prstGeom>
                    <a:noFill/>
                  </pic:spPr>
                </pic:pic>
              </a:graphicData>
            </a:graphic>
          </wp:anchor>
        </w:drawing>
      </w:r>
    </w:p>
    <w:p>
      <w:pPr>
        <w:widowControl/>
        <w:spacing w:line="360" w:lineRule="auto"/>
        <w:ind w:firstLine="0" w:firstLineChars="0"/>
        <w:jc w:val="center"/>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p>
    <w:p>
      <w:pPr>
        <w:widowControl/>
        <w:spacing w:line="360" w:lineRule="auto"/>
        <w:ind w:firstLine="42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anchor distT="0" distB="0" distL="114300" distR="114300" simplePos="0" relativeHeight="251639808" behindDoc="0" locked="0" layoutInCell="1" allowOverlap="1">
            <wp:simplePos x="0" y="0"/>
            <wp:positionH relativeFrom="column">
              <wp:posOffset>1485265</wp:posOffset>
            </wp:positionH>
            <wp:positionV relativeFrom="paragraph">
              <wp:posOffset>363855</wp:posOffset>
            </wp:positionV>
            <wp:extent cx="2472690" cy="2578735"/>
            <wp:effectExtent l="0" t="0" r="3810" b="0"/>
            <wp:wrapSquare wrapText="bothSides"/>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2472690" cy="2578735"/>
                    </a:xfrm>
                    <a:prstGeom prst="rect">
                      <a:avLst/>
                    </a:prstGeom>
                    <a:noFill/>
                  </pic:spPr>
                </pic:pic>
              </a:graphicData>
            </a:graphic>
          </wp:anchor>
        </w:drawing>
      </w:r>
      <w:r>
        <w:rPr>
          <w:rFonts w:hint="eastAsia"/>
          <w:bCs/>
          <w:color w:val="000000" w:themeColor="text1"/>
          <w:szCs w:val="21"/>
          <w14:textFill>
            <w14:solidFill>
              <w14:schemeClr w14:val="tx1"/>
            </w14:solidFill>
          </w14:textFill>
        </w:rPr>
        <w:t>图9</w:t>
      </w:r>
      <w:r>
        <w:rPr>
          <w:bCs/>
          <w:color w:val="000000" w:themeColor="text1"/>
          <w:szCs w:val="21"/>
          <w14:textFill>
            <w14:solidFill>
              <w14:schemeClr w14:val="tx1"/>
            </w14:solidFill>
          </w14:textFill>
        </w:rPr>
        <w:t xml:space="preserve">.2.9-4  </w:t>
      </w:r>
      <w:r>
        <w:rPr>
          <w:rFonts w:hint="eastAsia"/>
          <w:bCs/>
          <w:color w:val="000000" w:themeColor="text1"/>
          <w:szCs w:val="21"/>
          <w14:textFill>
            <w14:solidFill>
              <w14:schemeClr w14:val="tx1"/>
            </w14:solidFill>
          </w14:textFill>
        </w:rPr>
        <w:t>钢梁与钢管混凝土柱刚性连接示意图</w:t>
      </w: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jc w:val="center"/>
        <w:rPr>
          <w:bCs/>
          <w:color w:val="000000" w:themeColor="text1"/>
          <w:szCs w:val="21"/>
          <w14:textFill>
            <w14:solidFill>
              <w14:schemeClr w14:val="tx1"/>
            </w14:solidFill>
          </w14:textFill>
        </w:rPr>
      </w:pPr>
    </w:p>
    <w:p>
      <w:pPr>
        <w:widowControl/>
        <w:spacing w:line="360" w:lineRule="exact"/>
        <w:ind w:firstLine="0" w:firstLineChars="0"/>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图9</w:t>
      </w:r>
      <w:r>
        <w:rPr>
          <w:bCs/>
          <w:color w:val="000000" w:themeColor="text1"/>
          <w:szCs w:val="21"/>
          <w14:textFill>
            <w14:solidFill>
              <w14:schemeClr w14:val="tx1"/>
            </w14:solidFill>
          </w14:textFill>
        </w:rPr>
        <w:t xml:space="preserve">.2.9-5  </w:t>
      </w:r>
      <w:r>
        <w:rPr>
          <w:rFonts w:hint="eastAsia"/>
          <w:bCs/>
          <w:color w:val="000000" w:themeColor="text1"/>
          <w:szCs w:val="21"/>
          <w14:textFill>
            <w14:solidFill>
              <w14:schemeClr w14:val="tx1"/>
            </w14:solidFill>
          </w14:textFill>
        </w:rPr>
        <w:t>翼缘加宽的悬臂梁段与钢管混凝土柱刚性连接示意图</w:t>
      </w:r>
    </w:p>
    <w:p>
      <w:pPr>
        <w:widowControl/>
        <w:spacing w:line="360" w:lineRule="exact"/>
        <w:ind w:firstLine="0" w:firstLineChars="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drawing>
          <wp:anchor distT="0" distB="0" distL="114300" distR="114300" simplePos="0" relativeHeight="251640832" behindDoc="0" locked="0" layoutInCell="1" allowOverlap="1">
            <wp:simplePos x="0" y="0"/>
            <wp:positionH relativeFrom="column">
              <wp:posOffset>1454150</wp:posOffset>
            </wp:positionH>
            <wp:positionV relativeFrom="paragraph">
              <wp:posOffset>106680</wp:posOffset>
            </wp:positionV>
            <wp:extent cx="2578100" cy="2560320"/>
            <wp:effectExtent l="0" t="0" r="0" b="0"/>
            <wp:wrapSquare wrapText="bothSides"/>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2578100" cy="2560320"/>
                    </a:xfrm>
                    <a:prstGeom prst="rect">
                      <a:avLst/>
                    </a:prstGeom>
                    <a:noFill/>
                  </pic:spPr>
                </pic:pic>
              </a:graphicData>
            </a:graphic>
          </wp:anchor>
        </w:drawing>
      </w: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spacing w:line="400" w:lineRule="exact"/>
        <w:ind w:firstLine="420"/>
        <w:rPr>
          <w:bCs/>
          <w:color w:val="000000" w:themeColor="text1"/>
          <w:szCs w:val="21"/>
          <w14:textFill>
            <w14:solidFill>
              <w14:schemeClr w14:val="tx1"/>
            </w14:solidFill>
          </w14:textFill>
        </w:rPr>
      </w:pPr>
    </w:p>
    <w:p>
      <w:pPr>
        <w:widowControl/>
        <w:spacing w:line="360" w:lineRule="auto"/>
        <w:ind w:firstLine="0" w:firstLineChars="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图9</w:t>
      </w:r>
      <w:r>
        <w:rPr>
          <w:bCs/>
          <w:color w:val="000000" w:themeColor="text1"/>
          <w:szCs w:val="21"/>
          <w14:textFill>
            <w14:solidFill>
              <w14:schemeClr w14:val="tx1"/>
            </w14:solidFill>
          </w14:textFill>
        </w:rPr>
        <w:t xml:space="preserve">.2.9-6  </w:t>
      </w:r>
      <w:r>
        <w:rPr>
          <w:rFonts w:hint="eastAsia"/>
          <w:bCs/>
          <w:color w:val="000000" w:themeColor="text1"/>
          <w:szCs w:val="21"/>
          <w14:textFill>
            <w14:solidFill>
              <w14:schemeClr w14:val="tx1"/>
            </w14:solidFill>
          </w14:textFill>
        </w:rPr>
        <w:t>变截面的悬臂梁段与钢管混凝土柱刚性连接示意图</w:t>
      </w:r>
    </w:p>
    <w:p>
      <w:pPr>
        <w:spacing w:line="400" w:lineRule="exact"/>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8</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框架柱的拼接接长应符合下列要求：</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）拼接位置可取距楼面</w:t>
      </w:r>
      <w:r>
        <w:rPr>
          <w:bCs/>
          <w:color w:val="000000" w:themeColor="text1"/>
          <w:szCs w:val="21"/>
          <w14:textFill>
            <w14:solidFill>
              <w14:schemeClr w14:val="tx1"/>
            </w14:solidFill>
          </w14:textFill>
        </w:rPr>
        <w:t>1.2m~1.3m</w:t>
      </w:r>
      <w:r>
        <w:rPr>
          <w:rFonts w:hint="eastAsia"/>
          <w:bCs/>
          <w:color w:val="000000" w:themeColor="text1"/>
          <w:szCs w:val="21"/>
          <w14:textFill>
            <w14:solidFill>
              <w14:schemeClr w14:val="tx1"/>
            </w14:solidFill>
          </w14:textFill>
        </w:rPr>
        <w:t>；当</w:t>
      </w:r>
      <w:r>
        <w:rPr>
          <w:bCs/>
          <w:color w:val="000000" w:themeColor="text1"/>
          <w:szCs w:val="21"/>
          <w14:textFill>
            <w14:solidFill>
              <w14:schemeClr w14:val="tx1"/>
            </w14:solidFill>
          </w14:textFill>
        </w:rPr>
        <w:t>1/2</w:t>
      </w:r>
      <w:r>
        <w:rPr>
          <w:rFonts w:hint="eastAsia"/>
          <w:bCs/>
          <w:color w:val="000000" w:themeColor="text1"/>
          <w:szCs w:val="21"/>
          <w14:textFill>
            <w14:solidFill>
              <w14:schemeClr w14:val="tx1"/>
            </w14:solidFill>
          </w14:textFill>
        </w:rPr>
        <w:t>柱净高不大于</w:t>
      </w:r>
      <w:r>
        <w:rPr>
          <w:bCs/>
          <w:color w:val="000000" w:themeColor="text1"/>
          <w:szCs w:val="21"/>
          <w14:textFill>
            <w14:solidFill>
              <w14:schemeClr w14:val="tx1"/>
            </w14:solidFill>
          </w14:textFill>
        </w:rPr>
        <w:t>1.5m</w:t>
      </w:r>
      <w:r>
        <w:rPr>
          <w:rFonts w:hint="eastAsia"/>
          <w:bCs/>
          <w:color w:val="000000" w:themeColor="text1"/>
          <w:szCs w:val="21"/>
          <w14:textFill>
            <w14:solidFill>
              <w14:schemeClr w14:val="tx1"/>
            </w14:solidFill>
          </w14:textFill>
        </w:rPr>
        <w:t>时，宜取</w:t>
      </w:r>
      <w:r>
        <w:rPr>
          <w:bCs/>
          <w:color w:val="000000" w:themeColor="text1"/>
          <w:szCs w:val="21"/>
          <w14:textFill>
            <w14:solidFill>
              <w14:schemeClr w14:val="tx1"/>
            </w14:solidFill>
          </w14:textFill>
        </w:rPr>
        <w:t>1/2</w:t>
      </w:r>
      <w:r>
        <w:rPr>
          <w:rFonts w:hint="eastAsia"/>
          <w:bCs/>
          <w:color w:val="000000" w:themeColor="text1"/>
          <w:szCs w:val="21"/>
          <w14:textFill>
            <w14:solidFill>
              <w14:schemeClr w14:val="tx1"/>
            </w14:solidFill>
          </w14:textFill>
        </w:rPr>
        <w:t>柱净高。</w:t>
      </w:r>
    </w:p>
    <w:p>
      <w:pPr>
        <w:spacing w:line="400" w:lineRule="exact"/>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）拼接宜采用全熔透焊，拼接上下</w:t>
      </w:r>
      <w:r>
        <w:rPr>
          <w:bCs/>
          <w:color w:val="000000" w:themeColor="text1"/>
          <w:szCs w:val="21"/>
          <w14:textFill>
            <w14:solidFill>
              <w14:schemeClr w14:val="tx1"/>
            </w14:solidFill>
          </w14:textFill>
        </w:rPr>
        <w:t>100mm</w:t>
      </w:r>
      <w:r>
        <w:rPr>
          <w:rFonts w:hint="eastAsia"/>
          <w:bCs/>
          <w:color w:val="000000" w:themeColor="text1"/>
          <w:szCs w:val="21"/>
          <w14:textFill>
            <w14:solidFill>
              <w14:schemeClr w14:val="tx1"/>
            </w14:solidFill>
          </w14:textFill>
        </w:rPr>
        <w:t>范围内，</w:t>
      </w:r>
      <w:r>
        <w:rPr>
          <w:bCs/>
          <w:color w:val="000000" w:themeColor="text1"/>
          <w:szCs w:val="21"/>
          <w14:textFill>
            <w14:solidFill>
              <w14:schemeClr w14:val="tx1"/>
            </w14:solidFill>
          </w14:textFill>
        </w:rPr>
        <w:t>H</w:t>
      </w:r>
      <w:r>
        <w:rPr>
          <w:rFonts w:hint="eastAsia"/>
          <w:bCs/>
          <w:color w:val="000000" w:themeColor="text1"/>
          <w:szCs w:val="21"/>
          <w14:textFill>
            <w14:solidFill>
              <w14:schemeClr w14:val="tx1"/>
            </w14:solidFill>
          </w14:textFill>
        </w:rPr>
        <w:t>形柱翼缘与腹板、箱型柱壁板之间也宜采用全熔透焊。</w:t>
      </w:r>
    </w:p>
    <w:p>
      <w:pPr>
        <w:spacing w:line="400" w:lineRule="exact"/>
        <w:ind w:firstLine="0" w:firstLineChars="0"/>
        <w:rPr>
          <w:bCs/>
          <w:color w:val="000000" w:themeColor="text1"/>
          <w:szCs w:val="20"/>
          <w14:textFill>
            <w14:solidFill>
              <w14:schemeClr w14:val="tx1"/>
            </w14:solidFill>
          </w14:textFill>
        </w:rPr>
      </w:pP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10</w:t>
      </w:r>
      <w:r>
        <w:rPr>
          <w:rFonts w:eastAsia="MS Mincho"/>
          <w:bCs/>
          <w:color w:val="000000" w:themeColor="text1"/>
          <w:kern w:val="0"/>
          <w:szCs w:val="21"/>
          <w:lang w:eastAsia="ja-JP"/>
          <w14:textFill>
            <w14:solidFill>
              <w14:schemeClr w14:val="tx1"/>
            </w14:solidFill>
          </w14:textFill>
        </w:rPr>
        <w:t xml:space="preserve"> </w:t>
      </w:r>
      <w:r>
        <w:rPr>
          <w:rFonts w:hint="eastAsia"/>
          <w:bCs/>
          <w:color w:val="000000" w:themeColor="text1"/>
          <w14:textFill>
            <w14:solidFill>
              <w14:schemeClr w14:val="tx1"/>
            </w14:solidFill>
          </w14:textFill>
        </w:rPr>
        <w:t>中心支撑框架可采用屈曲约束支撑（</w:t>
      </w:r>
      <w:r>
        <w:rPr>
          <w:bCs/>
          <w:color w:val="000000" w:themeColor="text1"/>
          <w14:textFill>
            <w14:solidFill>
              <w14:schemeClr w14:val="tx1"/>
            </w14:solidFill>
          </w14:textFill>
        </w:rPr>
        <w:t>BRB</w:t>
      </w:r>
      <w:r>
        <w:rPr>
          <w:rFonts w:hint="eastAsia"/>
          <w:bCs/>
          <w:color w:val="000000" w:themeColor="text1"/>
          <w14:textFill>
            <w14:solidFill>
              <w14:schemeClr w14:val="tx1"/>
            </w14:solidFill>
          </w14:textFill>
        </w:rPr>
        <w:t>），也可按表9</w:t>
      </w:r>
      <w:r>
        <w:rPr>
          <w:bCs/>
          <w:color w:val="000000" w:themeColor="text1"/>
          <w14:textFill>
            <w14:solidFill>
              <w14:schemeClr w14:val="tx1"/>
            </w14:solidFill>
          </w14:textFill>
        </w:rPr>
        <w:t>.2.2-3</w:t>
      </w:r>
      <w:r>
        <w:rPr>
          <w:rFonts w:hint="eastAsia"/>
          <w:bCs/>
          <w:color w:val="000000" w:themeColor="text1"/>
          <w14:textFill>
            <w14:solidFill>
              <w14:schemeClr w14:val="tx1"/>
            </w14:solidFill>
          </w14:textFill>
        </w:rPr>
        <w:t>选用型钢支撑，并应符合表9</w:t>
      </w:r>
      <w:r>
        <w:rPr>
          <w:bCs/>
          <w:color w:val="000000" w:themeColor="text1"/>
          <w14:textFill>
            <w14:solidFill>
              <w14:schemeClr w14:val="tx1"/>
            </w14:solidFill>
          </w14:textFill>
        </w:rPr>
        <w:t>.2.2-1</w:t>
      </w:r>
      <w:r>
        <w:rPr>
          <w:rFonts w:hint="eastAsia"/>
          <w:bCs/>
          <w:color w:val="000000" w:themeColor="text1"/>
          <w14:textFill>
            <w14:solidFill>
              <w14:schemeClr w14:val="tx1"/>
            </w14:solidFill>
          </w14:textFill>
        </w:rPr>
        <w:t>的相应要求。中心支撑框架，采用屈曲约束支撑时应按附录K的规定进行设计；采用型钢支撑时，应符合下列规定：</w:t>
      </w:r>
    </w:p>
    <w:p>
      <w:pPr>
        <w:spacing w:before="156" w:beforeLines="50" w:line="400" w:lineRule="exact"/>
        <w:ind w:firstLine="420"/>
        <w:rPr>
          <w:bCs/>
          <w:color w:val="000000" w:themeColor="text1"/>
          <w14:textFill>
            <w14:solidFill>
              <w14:schemeClr w14:val="tx1"/>
            </w14:solidFill>
          </w14:textFill>
        </w:rPr>
      </w:pPr>
      <w:r>
        <w:rPr>
          <w:bCs/>
          <w:color w:val="000000" w:themeColor="text1"/>
          <w14:textFill>
            <w14:solidFill>
              <w14:schemeClr w14:val="tx1"/>
            </w14:solidFill>
          </w14:textFill>
        </w:rPr>
        <w:t xml:space="preserve">1 </w:t>
      </w:r>
      <w:r>
        <w:rPr>
          <w:rFonts w:hint="eastAsia"/>
          <w:bCs/>
          <w:color w:val="000000" w:themeColor="text1"/>
          <w14:textFill>
            <w14:solidFill>
              <w14:schemeClr w14:val="tx1"/>
            </w14:solidFill>
          </w14:textFill>
        </w:rPr>
        <w:t>中心支撑框架的构件设计，应符合下列规定：</w:t>
      </w:r>
    </w:p>
    <w:p>
      <w:pPr>
        <w:spacing w:line="400" w:lineRule="exact"/>
        <w:ind w:firstLine="840" w:firstLineChars="400"/>
        <w:rPr>
          <w:bCs/>
          <w:color w:val="000000" w:themeColor="text1"/>
          <w:szCs w:val="24"/>
          <w14:textFill>
            <w14:solidFill>
              <w14:schemeClr w14:val="tx1"/>
            </w14:solidFill>
          </w14:textFill>
        </w:rPr>
      </w:pPr>
      <w:r>
        <w:rPr>
          <w:bCs/>
          <w:color w:val="000000" w:themeColor="text1"/>
          <w14:textFill>
            <w14:solidFill>
              <w14:schemeClr w14:val="tx1"/>
            </w14:solidFill>
          </w14:textFill>
        </w:rPr>
        <w:t>1</w:t>
      </w:r>
      <w:r>
        <w:rPr>
          <w:rFonts w:hint="eastAsia"/>
          <w:bCs/>
          <w:color w:val="000000" w:themeColor="text1"/>
          <w14:textFill>
            <w14:solidFill>
              <w14:schemeClr w14:val="tx1"/>
            </w14:solidFill>
          </w14:textFill>
        </w:rPr>
        <w:t>）</w:t>
      </w:r>
      <w:r>
        <w:rPr>
          <w:bCs/>
          <w:color w:val="000000" w:themeColor="text1"/>
          <w:szCs w:val="24"/>
          <w14:textFill>
            <w14:solidFill>
              <w14:schemeClr w14:val="tx1"/>
            </w14:solidFill>
          </w14:textFill>
        </w:rPr>
        <w:t>X</w:t>
      </w:r>
      <w:r>
        <w:rPr>
          <w:rFonts w:hint="eastAsia"/>
          <w:bCs/>
          <w:color w:val="000000" w:themeColor="text1"/>
          <w:szCs w:val="24"/>
          <w14:textFill>
            <w14:solidFill>
              <w14:schemeClr w14:val="tx1"/>
            </w14:solidFill>
          </w14:textFill>
        </w:rPr>
        <w:t>形</w:t>
      </w:r>
      <w:r>
        <w:rPr>
          <w:rFonts w:hint="eastAsia"/>
          <w:bCs/>
          <w:color w:val="000000" w:themeColor="text1"/>
          <w14:textFill>
            <w14:solidFill>
              <w14:schemeClr w14:val="tx1"/>
            </w14:solidFill>
          </w14:textFill>
        </w:rPr>
        <w:t>支撑系统</w:t>
      </w:r>
      <w:r>
        <w:rPr>
          <w:rFonts w:hint="eastAsia"/>
          <w:bCs/>
          <w:color w:val="000000" w:themeColor="text1"/>
          <w:szCs w:val="24"/>
          <w14:textFill>
            <w14:solidFill>
              <w14:schemeClr w14:val="tx1"/>
            </w14:solidFill>
          </w14:textFill>
        </w:rPr>
        <w:t>中的横梁应按压弯构件设计，其设计轴力可按下列公式计算：</w:t>
      </w:r>
    </w:p>
    <w:p>
      <w:pPr>
        <w:spacing w:line="360" w:lineRule="auto"/>
        <w:ind w:firstLine="420"/>
        <w:jc w:val="right"/>
        <w:rPr>
          <w:bCs/>
          <w:color w:val="000000" w:themeColor="text1"/>
          <w:szCs w:val="21"/>
          <w14:textFill>
            <w14:solidFill>
              <w14:schemeClr w14:val="tx1"/>
            </w14:solidFill>
          </w14:textFill>
        </w:rPr>
      </w:pPr>
      <m:oMath>
        <m:r>
          <w:rPr>
            <w:rFonts w:ascii="Cambria Math" w:hAnsi="Cambria Math" w:cs="Times New Roman"/>
            <w:color w:val="000000" w:themeColor="text1"/>
            <w:szCs w:val="21"/>
            <w14:textFill>
              <w14:solidFill>
                <w14:schemeClr w14:val="tx1"/>
              </w14:solidFill>
            </w14:textFill>
          </w:rPr>
          <m:t>N=</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br1</m:t>
            </m:r>
            <m:ctrlPr>
              <w:rPr>
                <w:rFonts w:ascii="Cambria Math" w:hAnsi="Cambria Math" w:cs="Times New Roman"/>
                <w:bCs/>
                <w:i/>
                <w:color w:val="000000" w:themeColor="text1"/>
                <w:szCs w:val="21"/>
                <w14:textFill>
                  <w14:solidFill>
                    <w14:schemeClr w14:val="tx1"/>
                  </w14:solidFill>
                </w14:textFill>
              </w:rPr>
            </m:ctrlPr>
          </m:sub>
        </m:sSub>
        <m:sSub>
          <w:bookmarkStart w:id="177" w:name="_Hlk24010290"/>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w:bookmarkEnd w:id="177"/>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cos</m:t>
        </m:r>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α</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1</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m:t>
            </m:r>
            <m:ctrlPr>
              <w:rPr>
                <w:rFonts w:ascii="Cambria Math" w:hAnsi="Cambria Math" w:cs="宋体"/>
                <w:bCs/>
                <w:iCs/>
                <w:snapToGrid w:val="0"/>
                <w:color w:val="000000" w:themeColor="text1"/>
                <w14:textFill>
                  <w14:solidFill>
                    <w14:schemeClr w14:val="tx1"/>
                  </w14:solidFill>
                </w14:textFill>
              </w:rPr>
            </m:ctrlPr>
          </m:sub>
        </m:sSub>
        <m:r>
          <w:rPr>
            <w:rFonts w:ascii="Cambria Math" w:hAnsi="Cambria Math" w:cs="宋体"/>
            <w:snapToGrid w:val="0"/>
            <w:color w:val="000000" w:themeColor="text1"/>
            <w14:textFill>
              <w14:solidFill>
                <w14:schemeClr w14:val="tx1"/>
              </w14:solidFill>
            </w14:textFill>
          </w:rPr>
          <m:t>φ</m:t>
        </m:r>
        <m:sSub>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A</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br2</m:t>
            </m:r>
            <m:ctrlPr>
              <w:rPr>
                <w:rFonts w:ascii="Cambria Math" w:hAnsi="Cambria Math" w:cs="宋体"/>
                <w:bCs/>
                <w:i/>
                <w:iCs/>
                <w:snapToGrid w:val="0"/>
                <w:color w:val="000000" w:themeColor="text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cos</m:t>
        </m:r>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α</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2</m:t>
            </m:r>
            <m:ctrlPr>
              <w:rPr>
                <w:rFonts w:ascii="Cambria Math" w:hAnsi="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w:t>
      </w:r>
    </w:p>
    <w:p>
      <w:pPr>
        <w:spacing w:line="360" w:lineRule="auto"/>
        <w:ind w:firstLine="420"/>
        <w:rPr>
          <w:bCs/>
          <w:color w:val="000000" w:themeColor="text1"/>
          <w:szCs w:val="20"/>
          <w14:textFill>
            <w14:solidFill>
              <w14:schemeClr w14:val="tx1"/>
            </w14:solidFill>
          </w14:textFill>
        </w:rPr>
      </w:pPr>
      <w:r>
        <w:rPr>
          <w:rFonts w:hint="eastAsia"/>
          <w:bCs/>
          <w:color w:val="000000" w:themeColor="text1"/>
          <w:szCs w:val="21"/>
          <w14:textFill>
            <w14:solidFill>
              <w14:schemeClr w14:val="tx1"/>
            </w14:solidFill>
          </w14:textFill>
        </w:rPr>
        <w:t>当</w:t>
      </w:r>
      <w:r>
        <w:rPr>
          <w:rFonts w:cs="Times New Roman"/>
          <w:bCs/>
          <w:color w:val="000000" w:themeColor="text1"/>
          <w:position w:val="-12"/>
          <w:szCs w:val="21"/>
          <w14:textFill>
            <w14:solidFill>
              <w14:schemeClr w14:val="tx1"/>
            </w14:solidFill>
          </w14:textFill>
        </w:rPr>
        <w:object>
          <v:shape id="_x0000_i1052" o:spt="75" type="#_x0000_t75" style="height:20.5pt;width:47pt;" o:ole="t" filled="f" o:preferrelative="t" stroked="f" coordsize="21600,21600">
            <v:path/>
            <v:fill on="f" focussize="0,0"/>
            <v:stroke on="f" joinstyle="miter"/>
            <v:imagedata r:id="rId110" o:title=""/>
            <o:lock v:ext="edit" aspectratio="t"/>
            <w10:wrap type="none"/>
            <w10:anchorlock/>
          </v:shape>
          <o:OLEObject Type="Embed" ProgID="Equation.KSEE3" ShapeID="_x0000_i1052" DrawAspect="Content" ObjectID="_1468075752" r:id="rId109">
            <o:LockedField>false</o:LockedField>
          </o:OLEObject>
        </w:object>
      </w:r>
      <w:r>
        <w:rPr>
          <w:rFonts w:hint="eastAsia"/>
          <w:bCs/>
          <w:color w:val="000000" w:themeColor="text1"/>
          <w:szCs w:val="21"/>
          <w14:textFill>
            <w14:solidFill>
              <w14:schemeClr w14:val="tx1"/>
            </w14:solidFill>
          </w14:textFill>
        </w:rPr>
        <w:t>时，或当</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在设防烈度地震作用下支撑杆不屈曲时：</w:t>
      </w:r>
    </w:p>
    <w:p>
      <w:pPr>
        <w:spacing w:line="360" w:lineRule="auto"/>
        <w:ind w:firstLine="420"/>
        <w:jc w:val="right"/>
        <w:rPr>
          <w:bCs/>
          <w:color w:val="000000" w:themeColor="text1"/>
          <w:szCs w:val="21"/>
          <w14:textFill>
            <w14:solidFill>
              <w14:schemeClr w14:val="tx1"/>
            </w14:solidFill>
          </w14:textFill>
        </w:rPr>
      </w:pPr>
      <m:oMath>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m:t>
            </m:r>
            <m:ctrlPr>
              <w:rPr>
                <w:rFonts w:ascii="Cambria Math" w:hAnsi="Cambria Math" w:cs="宋体"/>
                <w:bCs/>
                <w:iCs/>
                <w:snapToGrid w:val="0"/>
                <w:color w:val="000000" w:themeColor="text1"/>
                <w14:textFill>
                  <w14:solidFill>
                    <w14:schemeClr w14:val="tx1"/>
                  </w14:solidFill>
                </w14:textFill>
              </w:rPr>
            </m:ctrlPr>
          </m:sub>
        </m:sSub>
        <m:r>
          <w:rPr>
            <w:rFonts w:ascii="Cambria Math" w:hAnsi="Cambria Math" w:cs="宋体"/>
            <w:snapToGrid w:val="0"/>
            <w:color w:val="000000" w:themeColor="text1"/>
            <w14:textFill>
              <w14:solidFill>
                <w14:schemeClr w14:val="tx1"/>
              </w14:solidFill>
            </w14:textFill>
          </w:rPr>
          <m:t>=</m:t>
        </m:r>
      </m:oMath>
      <w:r>
        <w:rPr>
          <w:rFonts w:hint="eastAsia" w:cs="Times New Roman"/>
          <w:bCs/>
          <w:iCs/>
          <w:snapToGrid w:val="0"/>
          <w:color w:val="000000" w:themeColor="text1"/>
          <w14:textFill>
            <w14:solidFill>
              <w14:schemeClr w14:val="tx1"/>
            </w14:solidFill>
          </w14:textFill>
        </w:rPr>
        <w:t>1</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w:t>
      </w:r>
    </w:p>
    <w:p>
      <w:pPr>
        <w:spacing w:line="360" w:lineRule="auto"/>
        <w:ind w:firstLine="420"/>
        <w:rPr>
          <w:bCs/>
          <w:color w:val="000000" w:themeColor="text1"/>
          <w:szCs w:val="20"/>
          <w14:textFill>
            <w14:solidFill>
              <w14:schemeClr w14:val="tx1"/>
            </w14:solidFill>
          </w14:textFill>
        </w:rPr>
      </w:pPr>
      <w:r>
        <w:rPr>
          <w:rFonts w:hint="eastAsia"/>
          <w:bCs/>
          <w:color w:val="000000" w:themeColor="text1"/>
          <w:szCs w:val="21"/>
          <w14:textFill>
            <w14:solidFill>
              <w14:schemeClr w14:val="tx1"/>
            </w14:solidFill>
          </w14:textFill>
        </w:rPr>
        <w:t>当</w:t>
      </w:r>
      <w:r>
        <w:rPr>
          <w:rFonts w:cs="Times New Roman"/>
          <w:bCs/>
          <w:color w:val="000000" w:themeColor="text1"/>
          <w:position w:val="-12"/>
          <w:szCs w:val="21"/>
          <w14:textFill>
            <w14:solidFill>
              <w14:schemeClr w14:val="tx1"/>
            </w14:solidFill>
          </w14:textFill>
        </w:rPr>
        <w:object>
          <v:shape id="_x0000_i1053" o:spt="75" type="#_x0000_t75" style="height:20.5pt;width:47pt;" o:ole="t" filled="f" o:preferrelative="t" stroked="f" coordsize="21600,21600">
            <v:path/>
            <v:fill on="f" focussize="0,0"/>
            <v:stroke on="f" joinstyle="miter"/>
            <v:imagedata r:id="rId112" o:title=""/>
            <o:lock v:ext="edit" aspectratio="t"/>
            <w10:wrap type="none"/>
            <w10:anchorlock/>
          </v:shape>
          <o:OLEObject Type="Embed" ProgID="Equation.KSEE3" ShapeID="_x0000_i1053" DrawAspect="Content" ObjectID="_1468075753" r:id="rId111">
            <o:LockedField>false</o:LockedField>
          </o:OLEObject>
        </w:object>
      </w:r>
      <w:r>
        <w:rPr>
          <w:rFonts w:hint="eastAsia"/>
          <w:bCs/>
          <w:color w:val="000000" w:themeColor="text1"/>
          <w:szCs w:val="21"/>
          <w14:textFill>
            <w14:solidFill>
              <w14:schemeClr w14:val="tx1"/>
            </w14:solidFill>
          </w14:textFill>
        </w:rPr>
        <w:t>时：</w:t>
      </w:r>
    </w:p>
    <w:p>
      <w:pPr>
        <w:spacing w:line="360" w:lineRule="auto"/>
        <w:ind w:firstLine="420"/>
        <w:jc w:val="right"/>
        <w:rPr>
          <w:bCs/>
          <w:color w:val="000000" w:themeColor="text1"/>
          <w:szCs w:val="21"/>
          <w14:textFill>
            <w14:solidFill>
              <w14:schemeClr w14:val="tx1"/>
            </w14:solidFill>
          </w14:textFill>
        </w:rPr>
      </w:pPr>
      <m:oMath>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m:t>
            </m:r>
            <m:ctrlPr>
              <w:rPr>
                <w:rFonts w:ascii="Cambria Math" w:hAnsi="Cambria Math" w:cs="宋体"/>
                <w:bCs/>
                <w:iCs/>
                <w:snapToGrid w:val="0"/>
                <w:color w:val="000000" w:themeColor="text1"/>
                <w14:textFill>
                  <w14:solidFill>
                    <w14:schemeClr w14:val="tx1"/>
                  </w14:solidFill>
                </w14:textFill>
              </w:rPr>
            </m:ctrlPr>
          </m:sub>
        </m:sSub>
        <m:r>
          <w:rPr>
            <w:rFonts w:ascii="Cambria Math" w:hAnsi="Cambria Math" w:cs="宋体"/>
            <w:snapToGrid w:val="0"/>
            <w:color w:val="000000" w:themeColor="text1"/>
            <w14:textFill>
              <w14:solidFill>
                <w14:schemeClr w14:val="tx1"/>
              </w14:solidFill>
            </w14:textFill>
          </w:rPr>
          <m:t>=0.65+0.35</m:t>
        </m:r>
        <m:r>
          <m:rPr>
            <m:sty m:val="p"/>
          </m:rPr>
          <w:rPr>
            <w:rFonts w:ascii="Cambria Math" w:hAnsi="Cambria Math" w:cs="宋体"/>
            <w:snapToGrid w:val="0"/>
            <w:color w:val="000000" w:themeColor="text1"/>
            <w14:textFill>
              <w14:solidFill>
                <w14:schemeClr w14:val="tx1"/>
              </w14:solidFill>
            </w14:textFill>
          </w:rPr>
          <m:t>tanh</m:t>
        </m:r>
        <m:r>
          <m:rPr>
            <m:sty m:val="p"/>
          </m:rPr>
          <w:rPr>
            <w:rFonts w:hint="eastAsia" w:ascii="Cambria Math" w:hAnsi="Cambria Math" w:cs="宋体"/>
            <w:snapToGrid w:val="0"/>
            <w:color w:val="000000" w:themeColor="text1"/>
            <w14:textFill>
              <w14:solidFill>
                <w14:schemeClr w14:val="tx1"/>
              </w14:solidFill>
            </w14:textFill>
          </w:rPr>
          <m:t>（</m:t>
        </m:r>
        <m:r>
          <m:rPr>
            <m:sty m:val="p"/>
          </m:rPr>
          <w:rPr>
            <w:rFonts w:ascii="Cambria Math" w:hAnsi="Cambria Math" w:cs="宋体"/>
            <w:snapToGrid w:val="0"/>
            <w:color w:val="000000" w:themeColor="text1"/>
            <w14:textFill>
              <w14:solidFill>
                <w14:schemeClr w14:val="tx1"/>
              </w14:solidFill>
            </w14:textFill>
          </w:rPr>
          <m:t>2.45-7</m:t>
        </m:r>
        <m:sSub>
          <w:bookmarkStart w:id="178" w:name="_Hlk24008151"/>
          <m:sSubPr>
            <m:ctrlPr>
              <w:rPr>
                <w:rFonts w:ascii="Cambria Math" w:hAnsi="Cambria Math"/>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br.n</m:t>
            </m:r>
            <w:bookmarkEnd w:id="178"/>
            <m:ctrlPr>
              <w:rPr>
                <w:rFonts w:ascii="Cambria Math" w:hAnsi="Cambria Math"/>
                <w:iCs/>
                <w:color w:val="000000" w:themeColor="text1"/>
                <w:kern w:val="0"/>
                <w:szCs w:val="21"/>
                <w14:textFill>
                  <w14:solidFill>
                    <w14:schemeClr w14:val="tx1"/>
                  </w14:solidFill>
                </w14:textFill>
              </w:rPr>
            </m:ctrlPr>
          </m:sub>
        </m:sSub>
        <m:r>
          <m:rPr>
            <m:sty m:val="p"/>
          </m:rPr>
          <w:rPr>
            <w:rFonts w:hint="eastAsia" w:ascii="Cambria Math" w:hAnsi="Cambria Math" w:cs="宋体"/>
            <w:snapToGrid w:val="0"/>
            <w:color w:val="000000" w:themeColor="text1"/>
            <w14:textFill>
              <w14:solidFill>
                <w14:schemeClr w14:val="tx1"/>
              </w14:solidFill>
            </w14:textFill>
          </w:rPr>
          <m:t>）</m:t>
        </m:r>
      </m:oMath>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w:t>
      </w:r>
    </w:p>
    <w:p>
      <w:pPr>
        <w:spacing w:line="360" w:lineRule="auto"/>
        <w:ind w:firstLine="420"/>
        <w:jc w:val="right"/>
        <w:rPr>
          <w:bCs/>
          <w:color w:val="000000" w:themeColor="text1"/>
          <w:szCs w:val="21"/>
          <w14:textFill>
            <w14:solidFill>
              <w14:schemeClr w14:val="tx1"/>
            </w14:solidFill>
          </w14:textFill>
        </w:rPr>
      </w:pPr>
      <m:oMath>
        <m:sSub>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br.n</m:t>
            </m:r>
            <m:ctrlPr>
              <w:rPr>
                <w:rFonts w:ascii="Cambria Math" w:hAnsi="Cambria Math"/>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m:t>
        </m:r>
        <m:f>
          <m:fPr>
            <m:ctrlPr>
              <w:rPr>
                <w:rFonts w:ascii="Cambria Math" w:hAnsi="Cambria Math"/>
                <w:i/>
                <w:color w:val="000000" w:themeColor="text1"/>
                <w:kern w:val="0"/>
                <w:szCs w:val="21"/>
                <w14:textFill>
                  <w14:solidFill>
                    <w14:schemeClr w14:val="tx1"/>
                  </w14:solidFill>
                </w14:textFill>
              </w:rPr>
            </m:ctrlPr>
          </m:fPr>
          <m:num>
            <m:sSub>
              <m:sSubPr>
                <m:ctrlPr>
                  <w:rPr>
                    <w:rFonts w:ascii="Cambria Math" w:hAnsi="Cambria Math"/>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λ</m:t>
                </m:r>
                <m:ctrlPr>
                  <w:rPr>
                    <w:rFonts w:ascii="Cambria Math" w:hAnsi="Cambria Math"/>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br</m:t>
                </m:r>
                <m:ctrlPr>
                  <w:rPr>
                    <w:rFonts w:ascii="Cambria Math" w:hAnsi="Cambria Math"/>
                    <w:color w:val="000000" w:themeColor="text1"/>
                    <w:kern w:val="0"/>
                    <w:szCs w:val="21"/>
                    <w14:textFill>
                      <w14:solidFill>
                        <w14:schemeClr w14:val="tx1"/>
                      </w14:solidFill>
                    </w14:textFill>
                  </w:rPr>
                </m:ctrlPr>
              </m:sub>
            </m:sSub>
            <m:ctrlPr>
              <w:rPr>
                <w:rFonts w:ascii="Cambria Math" w:hAnsi="Cambria Math"/>
                <w:i/>
                <w:color w:val="000000" w:themeColor="text1"/>
                <w:kern w:val="0"/>
                <w:szCs w:val="21"/>
                <w14:textFill>
                  <w14:solidFill>
                    <w14:schemeClr w14:val="tx1"/>
                  </w14:solidFill>
                </w14:textFill>
              </w:rPr>
            </m:ctrlPr>
          </m:num>
          <m:den>
            <m:r>
              <w:rPr>
                <w:rFonts w:ascii="Cambria Math" w:hAnsi="Cambria Math"/>
                <w:color w:val="000000" w:themeColor="text1"/>
                <w:kern w:val="0"/>
                <w:szCs w:val="21"/>
                <w14:textFill>
                  <w14:solidFill>
                    <w14:schemeClr w14:val="tx1"/>
                  </w14:solidFill>
                </w14:textFill>
              </w:rPr>
              <m:t>π</m:t>
            </m:r>
            <m:ctrlPr>
              <w:rPr>
                <w:rFonts w:ascii="Cambria Math" w:hAnsi="Cambria Math"/>
                <w:i/>
                <w:color w:val="000000" w:themeColor="text1"/>
                <w:kern w:val="0"/>
                <w:szCs w:val="21"/>
                <w14:textFill>
                  <w14:solidFill>
                    <w14:schemeClr w14:val="tx1"/>
                  </w14:solidFill>
                </w14:textFill>
              </w:rPr>
            </m:ctrlPr>
          </m:den>
        </m:f>
        <m:rad>
          <m:radPr>
            <m:degHide m:val="1"/>
            <m:ctrlPr>
              <w:rPr>
                <w:rFonts w:ascii="Cambria Math" w:hAnsi="Cambria Math"/>
                <w:i/>
                <w:color w:val="000000" w:themeColor="text1"/>
                <w:kern w:val="0"/>
                <w:szCs w:val="21"/>
                <w14:textFill>
                  <w14:solidFill>
                    <w14:schemeClr w14:val="tx1"/>
                  </w14:solidFill>
                </w14:textFill>
              </w:rPr>
            </m:ctrlPr>
          </m:radPr>
          <m:deg>
            <m:ctrlPr>
              <w:rPr>
                <w:rFonts w:ascii="Cambria Math" w:hAnsi="Cambria Math"/>
                <w:i/>
                <w:color w:val="000000" w:themeColor="text1"/>
                <w:kern w:val="0"/>
                <w:szCs w:val="21"/>
                <w14:textFill>
                  <w14:solidFill>
                    <w14:schemeClr w14:val="tx1"/>
                  </w14:solidFill>
                </w14:textFill>
              </w:rPr>
            </m:ctrlPr>
          </m:deg>
          <m:e>
            <m:f>
              <m:fPr>
                <m:ctrlPr>
                  <w:rPr>
                    <w:rFonts w:ascii="Cambria Math" w:hAnsi="Cambria Math"/>
                    <w:i/>
                    <w:color w:val="000000" w:themeColor="text1"/>
                    <w:kern w:val="0"/>
                    <w:szCs w:val="21"/>
                    <w14:textFill>
                      <w14:solidFill>
                        <w14:schemeClr w14:val="tx1"/>
                      </w14:solidFill>
                    </w14:textFill>
                  </w:rPr>
                </m:ctrlPr>
              </m:fPr>
              <m:num>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ctrlPr>
                  <w:rPr>
                    <w:rFonts w:ascii="Cambria Math" w:hAnsi="Cambria Math"/>
                    <w:i/>
                    <w:color w:val="000000" w:themeColor="text1"/>
                    <w:kern w:val="0"/>
                    <w:szCs w:val="21"/>
                    <w14:textFill>
                      <w14:solidFill>
                        <w14:schemeClr w14:val="tx1"/>
                      </w14:solidFill>
                    </w14:textFill>
                  </w:rPr>
                </m:ctrlPr>
              </m:num>
              <m:den>
                <m:r>
                  <w:rPr>
                    <w:rFonts w:ascii="Cambria Math" w:hAnsi="Cambria Math"/>
                    <w:color w:val="000000" w:themeColor="text1"/>
                    <w:kern w:val="0"/>
                    <w:szCs w:val="21"/>
                    <w14:textFill>
                      <w14:solidFill>
                        <w14:schemeClr w14:val="tx1"/>
                      </w14:solidFill>
                    </w14:textFill>
                  </w:rPr>
                  <m:t>E</m:t>
                </m:r>
                <m:ctrlPr>
                  <w:rPr>
                    <w:rFonts w:ascii="Cambria Math" w:hAnsi="Cambria Math"/>
                    <w:i/>
                    <w:color w:val="000000" w:themeColor="text1"/>
                    <w:kern w:val="0"/>
                    <w:szCs w:val="21"/>
                    <w14:textFill>
                      <w14:solidFill>
                        <w14:schemeClr w14:val="tx1"/>
                      </w14:solidFill>
                    </w14:textFill>
                  </w:rPr>
                </m:ctrlPr>
              </m:den>
            </m:f>
            <m:ctrlPr>
              <w:rPr>
                <w:rFonts w:ascii="Cambria Math" w:hAnsi="Cambria Math"/>
                <w:i/>
                <w:color w:val="000000" w:themeColor="text1"/>
                <w:kern w:val="0"/>
                <w:szCs w:val="21"/>
                <w14:textFill>
                  <w14:solidFill>
                    <w14:schemeClr w14:val="tx1"/>
                  </w14:solidFill>
                </w14:textFill>
              </w:rPr>
            </m:ctrlPr>
          </m:e>
        </m:rad>
      </m:oMath>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w:t>
      </w:r>
    </w:p>
    <w:p>
      <w:pPr>
        <w:spacing w:line="400" w:lineRule="exact"/>
        <w:ind w:firstLine="0" w:firstLineChars="0"/>
        <w:rPr>
          <w:bCs/>
          <w:color w:val="000000" w:themeColor="text1"/>
          <w:kern w:val="0"/>
          <w:szCs w:val="21"/>
          <w14:textFill>
            <w14:solidFill>
              <w14:schemeClr w14:val="tx1"/>
            </w14:solidFill>
          </w14:textFill>
        </w:rPr>
      </w:pPr>
      <w:r>
        <w:rPr>
          <w:rFonts w:hint="eastAsia"/>
          <w:bCs/>
          <w:color w:val="000000" w:themeColor="text1"/>
          <w14:textFill>
            <w14:solidFill>
              <w14:schemeClr w14:val="tx1"/>
            </w14:solidFill>
          </w14:textFill>
        </w:rPr>
        <w:t>式中：</w:t>
      </w:r>
      <m:oMath>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br1</m:t>
            </m:r>
            <m:ctrlPr>
              <w:rPr>
                <w:rFonts w:ascii="Cambria Math" w:hAnsi="Cambria Math" w:cs="Times New Roman"/>
                <w:bCs/>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sSub>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A</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br2</m:t>
            </m:r>
            <m:ctrlPr>
              <w:rPr>
                <w:rFonts w:ascii="Cambria Math" w:hAnsi="Cambria Math" w:cs="宋体"/>
                <w:bCs/>
                <w:i/>
                <w:iCs/>
                <w:snapToGrid w:val="0"/>
                <w:color w:val="000000" w:themeColor="text1"/>
                <w14:textFill>
                  <w14:solidFill>
                    <w14:schemeClr w14:val="tx1"/>
                  </w14:solidFill>
                </w14:textFill>
              </w:rPr>
            </m:ctrlPr>
          </m:sub>
        </m:sSub>
      </m:oMath>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分别为上、下层支撑截面面积；</w:t>
      </w:r>
    </w:p>
    <w:p>
      <w:pPr>
        <w:spacing w:line="400" w:lineRule="exact"/>
        <w:ind w:firstLine="630" w:firstLineChars="300"/>
        <w:rPr>
          <w:rFonts w:cs="Times New Roman"/>
          <w:bCs/>
          <w:color w:val="000000" w:themeColor="text1"/>
          <w:szCs w:val="20"/>
          <w14:textFill>
            <w14:solidFill>
              <w14:schemeClr w14:val="tx1"/>
            </w14:solidFill>
          </w14:textFill>
        </w:rPr>
      </w:pPr>
      <w:r>
        <w:rPr>
          <w:rFonts w:cs="Times New Roman"/>
          <w:bCs/>
          <w:color w:val="000000" w:themeColor="text1"/>
          <w:szCs w:val="21"/>
          <w14:textFill>
            <w14:solidFill>
              <w14:schemeClr w14:val="tx1"/>
            </w14:solidFill>
          </w14:textFill>
        </w:rPr>
        <w:t>f</w:t>
      </w:r>
      <w:r>
        <w:rPr>
          <w:rFonts w:cs="Times New Roman"/>
          <w:bCs/>
          <w:color w:val="000000" w:themeColor="text1"/>
          <w:szCs w:val="21"/>
          <w:vertAlign w:val="subscript"/>
          <w14:textFill>
            <w14:solidFill>
              <w14:schemeClr w14:val="tx1"/>
            </w14:solidFill>
          </w14:textFill>
        </w:rPr>
        <w:t>y</w:t>
      </w:r>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支撑杆的屈服强度；</w:t>
      </w:r>
    </w:p>
    <w:p>
      <w:pPr>
        <w:ind w:firstLine="630" w:firstLineChars="300"/>
        <w:rPr>
          <w:bCs/>
          <w:color w:val="000000" w:themeColor="text1"/>
          <w14:textFill>
            <w14:solidFill>
              <w14:schemeClr w14:val="tx1"/>
            </w14:solidFill>
          </w14:textFill>
        </w:rPr>
      </w:pPr>
      <m:oMath>
        <m:r>
          <w:rPr>
            <w:rFonts w:ascii="Cambria Math" w:hAnsi="Cambria Math"/>
            <w:color w:val="000000" w:themeColor="text1"/>
            <w:szCs w:val="21"/>
            <w14:textFill>
              <w14:solidFill>
                <w14:schemeClr w14:val="tx1"/>
              </w14:solidFill>
            </w14:textFill>
          </w:rPr>
          <m:t xml:space="preserve"> </m:t>
        </m:r>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α</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1</m:t>
            </m:r>
            <m:ctrlPr>
              <w:rPr>
                <w:rFonts w:ascii="Cambria Math" w:hAnsi="Cambria Math"/>
                <w:bCs/>
                <w:i/>
                <w:color w:val="000000" w:themeColor="text1"/>
                <w:szCs w:val="21"/>
                <w14:textFill>
                  <w14:solidFill>
                    <w14:schemeClr w14:val="tx1"/>
                  </w14:solidFill>
                </w14:textFill>
              </w:rPr>
            </m:ctrlPr>
          </m:sub>
        </m:sSub>
      </m:oMath>
      <w:r>
        <w:rPr>
          <w:rFonts w:hint="eastAsia"/>
          <w:color w:val="000000" w:themeColor="text1"/>
          <w14:textFill>
            <w14:solidFill>
              <w14:schemeClr w14:val="tx1"/>
            </w14:solidFill>
          </w14:textFill>
        </w:rPr>
        <w:t>、</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α</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2</m:t>
            </m:r>
            <m:ctrlPr>
              <w:rPr>
                <w:rFonts w:ascii="Cambria Math" w:hAnsi="Cambria Math"/>
                <w:bCs/>
                <w:i/>
                <w:color w:val="000000" w:themeColor="text1"/>
                <w:szCs w:val="21"/>
                <w14:textFill>
                  <w14:solidFill>
                    <w14:schemeClr w14:val="tx1"/>
                  </w14:solidFill>
                </w14:textFill>
              </w:rPr>
            </m:ctrlPr>
          </m:sub>
        </m:sSub>
      </m:oMath>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分别为上、下层支撑斜杆与横梁的交角；</w:t>
      </w:r>
    </w:p>
    <w:p>
      <w:pPr>
        <w:spacing w:line="400" w:lineRule="exact"/>
        <w:ind w:firstLine="630" w:firstLineChars="300"/>
        <w:rPr>
          <w:rFonts w:cs="Times New Roman"/>
          <w:bCs/>
          <w:color w:val="000000" w:themeColor="text1"/>
          <w:szCs w:val="21"/>
          <w14:textFill>
            <w14:solidFill>
              <w14:schemeClr w14:val="tx1"/>
            </w14:solidFill>
          </w14:textFill>
        </w:rPr>
      </w:pPr>
      <m:oMath>
        <m:sSub>
          <m:sSubPr>
            <m:ctrlPr>
              <w:rPr>
                <w:rFonts w:ascii="Cambria Math" w:hAnsi="Cambria Math" w:cs="宋体" w:eastAsiaTheme="minorEastAsia"/>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szCs w:val="20"/>
                <w14:textFill>
                  <w14:solidFill>
                    <w14:schemeClr w14:val="tx1"/>
                  </w14:solidFill>
                </w14:textFill>
              </w:rPr>
              <m:t>η</m:t>
            </m:r>
            <m:ctrlPr>
              <w:rPr>
                <w:rFonts w:ascii="Cambria Math" w:hAnsi="Cambria Math" w:cs="宋体" w:eastAsiaTheme="minorEastAsia"/>
                <w:bCs/>
                <w:iCs/>
                <w:snapToGrid w:val="0"/>
                <w:color w:val="000000" w:themeColor="text1"/>
                <w14:textFill>
                  <w14:solidFill>
                    <w14:schemeClr w14:val="tx1"/>
                  </w14:solidFill>
                </w14:textFill>
              </w:rPr>
            </m:ctrlPr>
          </m:e>
          <m:sub>
            <m:r>
              <w:rPr>
                <w:rFonts w:ascii="Cambria Math" w:hAnsi="Cambria Math" w:cs="宋体"/>
                <w:snapToGrid w:val="0"/>
                <w:color w:val="000000" w:themeColor="text1"/>
                <w:szCs w:val="20"/>
                <w14:textFill>
                  <w14:solidFill>
                    <w14:schemeClr w14:val="tx1"/>
                  </w14:solidFill>
                </w14:textFill>
              </w:rPr>
              <m:t>br</m:t>
            </m:r>
            <m:ctrlPr>
              <w:rPr>
                <w:rFonts w:ascii="Cambria Math" w:hAnsi="Cambria Math" w:cs="宋体" w:eastAsiaTheme="minorEastAsia"/>
                <w:bCs/>
                <w:iCs/>
                <w:snapToGrid w:val="0"/>
                <w:color w:val="000000" w:themeColor="text1"/>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受压支撑剩余承载力系数；</w:t>
      </w:r>
    </w:p>
    <w:p>
      <w:pPr>
        <w:spacing w:line="400" w:lineRule="exact"/>
        <w:ind w:firstLine="630" w:firstLineChars="300"/>
        <w:rPr>
          <w:rFonts w:cs="Times New Roman"/>
          <w:bCs/>
          <w:color w:val="000000" w:themeColor="text1"/>
          <w:szCs w:val="21"/>
          <w14:textFill>
            <w14:solidFill>
              <w14:schemeClr w14:val="tx1"/>
            </w14:solidFill>
          </w14:textFill>
        </w:rPr>
      </w:pPr>
      <m:oMath>
        <m:r>
          <w:rPr>
            <w:rFonts w:ascii="Cambria Math" w:hAnsi="Cambria Math" w:cs="宋体"/>
            <w:snapToGrid w:val="0"/>
            <w:color w:val="000000" w:themeColor="text1"/>
            <w:szCs w:val="20"/>
            <w14:textFill>
              <w14:solidFill>
                <w14:schemeClr w14:val="tx1"/>
              </w14:solidFill>
            </w14:textFill>
          </w:rPr>
          <m:t>φ</m:t>
        </m:r>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支撑稳定系数；</w:t>
      </w:r>
    </w:p>
    <w:p>
      <w:pPr>
        <w:spacing w:line="400" w:lineRule="exact"/>
        <w:ind w:firstLine="630" w:firstLineChars="300"/>
        <w:rPr>
          <w:rFonts w:cs="Times New Roman"/>
          <w:bCs/>
          <w:color w:val="000000" w:themeColor="text1"/>
          <w:szCs w:val="21"/>
          <w14:textFill>
            <w14:solidFill>
              <w14:schemeClr w14:val="tx1"/>
            </w14:solidFill>
          </w14:textFill>
        </w:rPr>
      </w:pPr>
      <m:oMath>
        <m:sSub>
          <m:sSubPr>
            <m:ctrlPr>
              <w:rPr>
                <w:rFonts w:ascii="Cambria Math" w:hAnsi="Cambria Math" w:eastAsiaTheme="minorEastAsia"/>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λ</m:t>
            </m:r>
            <m:ctrlPr>
              <w:rPr>
                <w:rFonts w:ascii="Cambria Math" w:hAnsi="Cambria Math" w:eastAsiaTheme="minorEastAsia"/>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br.n</m:t>
            </m:r>
            <m:ctrlPr>
              <w:rPr>
                <w:rFonts w:ascii="Cambria Math" w:hAnsi="Cambria Math" w:eastAsiaTheme="minorEastAsia"/>
                <w:color w:val="000000" w:themeColor="text1"/>
                <w:kern w:val="0"/>
                <w:szCs w:val="21"/>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支撑正则化长细比；</w:t>
      </w:r>
    </w:p>
    <w:p>
      <w:pPr>
        <w:spacing w:line="400" w:lineRule="exact"/>
        <w:ind w:firstLine="630" w:firstLineChars="300"/>
        <w:rPr>
          <w:rFonts w:cs="Times New Roman"/>
          <w:bCs/>
          <w:color w:val="000000" w:themeColor="text1"/>
          <w:szCs w:val="20"/>
          <w14:textFill>
            <w14:solidFill>
              <w14:schemeClr w14:val="tx1"/>
            </w14:solidFill>
          </w14:textFill>
        </w:rPr>
      </w:pPr>
      <m:oMath>
        <m:sSub>
          <m:sSubPr>
            <m:ctrlPr>
              <w:rPr>
                <w:rFonts w:ascii="Cambria Math" w:hAnsi="Cambria Math" w:eastAsiaTheme="minorEastAsia"/>
                <w:color w:val="000000" w:themeColor="text1"/>
                <w:kern w:val="0"/>
                <w:szCs w:val="21"/>
                <w14:textFill>
                  <w14:solidFill>
                    <w14:schemeClr w14:val="tx1"/>
                  </w14:solidFill>
                </w14:textFill>
              </w:rPr>
            </m:ctrlPr>
          </m:sSubPr>
          <m:e>
            <m:r>
              <m:rPr>
                <m:sty m:val="p"/>
              </m:rPr>
              <w:rPr>
                <w:rFonts w:ascii="Cambria Math" w:hAnsi="Cambria Math" w:cs="Times New Roman"/>
                <w:color w:val="000000" w:themeColor="text1"/>
                <w:kern w:val="0"/>
                <w:szCs w:val="21"/>
                <w14:textFill>
                  <w14:solidFill>
                    <w14:schemeClr w14:val="tx1"/>
                  </w14:solidFill>
                </w14:textFill>
              </w:rPr>
              <m:t>λ</m:t>
            </m:r>
            <m:ctrlPr>
              <w:rPr>
                <w:rFonts w:ascii="Cambria Math" w:hAnsi="Cambria Math" w:eastAsiaTheme="minorEastAsia"/>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br</m:t>
            </m:r>
            <m:ctrlPr>
              <w:rPr>
                <w:rFonts w:ascii="Cambria Math" w:hAnsi="Cambria Math" w:eastAsiaTheme="minorEastAsia"/>
                <w:color w:val="000000" w:themeColor="text1"/>
                <w:kern w:val="0"/>
                <w:szCs w:val="21"/>
                <w14:textFill>
                  <w14:solidFill>
                    <w14:schemeClr w14:val="tx1"/>
                  </w14:solidFill>
                </w14:textFill>
              </w:rPr>
            </m:ctrlPr>
          </m:sub>
        </m:sSub>
      </m:oMath>
      <w:r>
        <w:rPr>
          <w:rFonts w:cs="Times New Roman"/>
          <w:bCs/>
          <w:color w:val="000000" w:themeColor="text1"/>
          <w:szCs w:val="20"/>
          <w14:textFill>
            <w14:solidFill>
              <w14:schemeClr w14:val="tx1"/>
            </w14:solidFill>
          </w14:textFill>
        </w:rPr>
        <w:t>——</w:t>
      </w:r>
      <w:r>
        <w:rPr>
          <w:rFonts w:hint="eastAsia" w:cs="Times New Roman"/>
          <w:bCs/>
          <w:color w:val="000000" w:themeColor="text1"/>
          <w:szCs w:val="20"/>
          <w14:textFill>
            <w14:solidFill>
              <w14:schemeClr w14:val="tx1"/>
            </w14:solidFill>
          </w14:textFill>
        </w:rPr>
        <w:t>支撑最小长细比；</w:t>
      </w:r>
    </w:p>
    <w:p>
      <w:pPr>
        <w:spacing w:line="400" w:lineRule="exact"/>
        <w:ind w:firstLine="630" w:firstLineChars="300"/>
        <w:rPr>
          <w:rFonts w:cs="Times New Roman"/>
          <w:bCs/>
          <w:color w:val="000000" w:themeColor="text1"/>
          <w:szCs w:val="20"/>
          <w14:textFill>
            <w14:solidFill>
              <w14:schemeClr w14:val="tx1"/>
            </w14:solidFill>
          </w14:textFill>
        </w:rPr>
      </w:pPr>
      <w:r>
        <w:rPr>
          <w:rFonts w:cs="Times New Roman"/>
          <w:bCs/>
          <w:color w:val="000000" w:themeColor="text1"/>
          <w:szCs w:val="21"/>
          <w14:textFill>
            <w14:solidFill>
              <w14:schemeClr w14:val="tx1"/>
            </w14:solidFill>
          </w14:textFill>
        </w:rPr>
        <w:t>E——</w:t>
      </w:r>
      <w:r>
        <w:rPr>
          <w:rFonts w:hint="eastAsia" w:cs="Times New Roman"/>
          <w:bCs/>
          <w:color w:val="000000" w:themeColor="text1"/>
          <w:szCs w:val="21"/>
          <w14:textFill>
            <w14:solidFill>
              <w14:schemeClr w14:val="tx1"/>
            </w14:solidFill>
          </w14:textFill>
        </w:rPr>
        <w:t>钢材弹性模量。</w:t>
      </w:r>
    </w:p>
    <w:p>
      <w:pPr>
        <w:spacing w:line="400" w:lineRule="exact"/>
        <w:ind w:left="1050" w:leftChars="400" w:hanging="210" w:hangingChars="100"/>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2</w:t>
      </w:r>
      <w:r>
        <w:rPr>
          <w:rFonts w:hint="eastAsia"/>
          <w:bCs/>
          <w:color w:val="000000" w:themeColor="text1"/>
          <w:szCs w:val="24"/>
          <w14:textFill>
            <w14:solidFill>
              <w14:schemeClr w14:val="tx1"/>
            </w14:solidFill>
          </w14:textFill>
        </w:rPr>
        <w:t>）</w:t>
      </w:r>
      <w:r>
        <w:rPr>
          <w:bCs/>
          <w:color w:val="000000" w:themeColor="text1"/>
          <w:szCs w:val="21"/>
          <w14:textFill>
            <w14:solidFill>
              <w14:schemeClr w14:val="tx1"/>
            </w14:solidFill>
          </w14:textFill>
        </w:rPr>
        <w:t>V</w:t>
      </w:r>
      <w:r>
        <w:rPr>
          <w:rFonts w:hint="eastAsia"/>
          <w:bCs/>
          <w:color w:val="000000" w:themeColor="text1"/>
          <w:szCs w:val="21"/>
          <w14:textFill>
            <w14:solidFill>
              <w14:schemeClr w14:val="tx1"/>
            </w14:solidFill>
          </w14:textFill>
        </w:rPr>
        <w:t>形、</w:t>
      </w:r>
      <w:r>
        <w:rPr>
          <w:bCs/>
          <w:color w:val="000000" w:themeColor="text1"/>
          <w:szCs w:val="21"/>
          <w14:textFill>
            <w14:solidFill>
              <w14:schemeClr w14:val="tx1"/>
            </w14:solidFill>
          </w14:textFill>
        </w:rPr>
        <w:t>Λ</w:t>
      </w:r>
      <w:r>
        <w:rPr>
          <w:rFonts w:hint="eastAsia"/>
          <w:bCs/>
          <w:color w:val="000000" w:themeColor="text1"/>
          <w:szCs w:val="21"/>
          <w14:textFill>
            <w14:solidFill>
              <w14:schemeClr w14:val="tx1"/>
            </w14:solidFill>
          </w14:textFill>
        </w:rPr>
        <w:t>形</w:t>
      </w:r>
      <w:r>
        <w:rPr>
          <w:rFonts w:hint="eastAsia"/>
          <w:bCs/>
          <w:color w:val="000000" w:themeColor="text1"/>
          <w:szCs w:val="24"/>
          <w14:textFill>
            <w14:solidFill>
              <w14:schemeClr w14:val="tx1"/>
            </w14:solidFill>
          </w14:textFill>
        </w:rPr>
        <w:t>支撑</w:t>
      </w:r>
      <w:r>
        <w:rPr>
          <w:rFonts w:hint="eastAsia"/>
          <w:bCs/>
          <w:color w:val="000000" w:themeColor="text1"/>
          <w14:textFill>
            <w14:solidFill>
              <w14:schemeClr w14:val="tx1"/>
            </w14:solidFill>
          </w14:textFill>
        </w:rPr>
        <w:t>系统中</w:t>
      </w:r>
      <w:r>
        <w:rPr>
          <w:rFonts w:hint="eastAsia"/>
          <w:bCs/>
          <w:color w:val="000000" w:themeColor="text1"/>
          <w:szCs w:val="24"/>
          <w14:textFill>
            <w14:solidFill>
              <w14:schemeClr w14:val="tx1"/>
            </w14:solidFill>
          </w14:textFill>
        </w:rPr>
        <w:t>的横梁与支撑杆连接处应保持连续，并应按压弯构件进行设计。横梁的轴力可按式（9</w:t>
      </w:r>
      <w:r>
        <w:rPr>
          <w:bCs/>
          <w:color w:val="000000" w:themeColor="text1"/>
          <w:szCs w:val="24"/>
          <w14:textFill>
            <w14:solidFill>
              <w14:schemeClr w14:val="tx1"/>
            </w14:solidFill>
          </w14:textFill>
        </w:rPr>
        <w:t>.2.9-1</w:t>
      </w:r>
      <w:r>
        <w:rPr>
          <w:rFonts w:hint="eastAsia"/>
          <w:bCs/>
          <w:color w:val="000000" w:themeColor="text1"/>
          <w:szCs w:val="24"/>
          <w14:textFill>
            <w14:solidFill>
              <w14:schemeClr w14:val="tx1"/>
            </w14:solidFill>
          </w14:textFill>
        </w:rPr>
        <w:t>）计算；横梁的弯矩，可按承受</w:t>
      </w:r>
      <w:r>
        <w:rPr>
          <w:rFonts w:hint="eastAsia"/>
          <w:bCs/>
          <w:color w:val="000000" w:themeColor="text1"/>
          <w:szCs w:val="21"/>
          <w14:textFill>
            <w14:solidFill>
              <w14:schemeClr w14:val="tx1"/>
            </w14:solidFill>
          </w14:textFill>
        </w:rPr>
        <w:t>重力荷载代表值</w:t>
      </w:r>
      <w:r>
        <w:rPr>
          <w:rFonts w:hint="eastAsia"/>
          <w:bCs/>
          <w:color w:val="000000" w:themeColor="text1"/>
          <w:szCs w:val="24"/>
          <w14:textFill>
            <w14:solidFill>
              <w14:schemeClr w14:val="tx1"/>
            </w14:solidFill>
          </w14:textFill>
        </w:rPr>
        <w:t>和作用于支撑尖顶处的竖向不平衡力进行计算，但不应计入支撑的支点作用。竖向不平衡力可按下式计算：</w:t>
      </w:r>
    </w:p>
    <w:p>
      <w:pPr>
        <w:spacing w:line="360" w:lineRule="auto"/>
        <w:ind w:firstLine="420"/>
        <w:jc w:val="right"/>
        <w:rPr>
          <w:bCs/>
          <w:color w:val="000000" w:themeColor="text1"/>
          <w:szCs w:val="21"/>
          <w14:textFill>
            <w14:solidFill>
              <w14:schemeClr w14:val="tx1"/>
            </w14:solidFill>
          </w14:textFill>
        </w:rPr>
      </w:pPr>
      <m:oMath>
        <w:bookmarkStart w:id="179" w:name="_Hlk24013082"/>
        <m:r>
          <w:rPr>
            <w:rFonts w:ascii="Cambria Math" w:hAnsi="Cambria Math" w:cs="Times New Roman"/>
            <w:color w:val="000000" w:themeColor="text1"/>
            <w:szCs w:val="21"/>
            <w14:textFill>
              <w14:solidFill>
                <w14:schemeClr w14:val="tx1"/>
              </w14:solidFill>
            </w14:textFill>
          </w:rPr>
          <m:t>V=</m:t>
        </m:r>
        <m:r>
          <m:rPr>
            <m:sty m:val="p"/>
          </m:rPr>
          <w:rPr>
            <w:rFonts w:hint="eastAsia" w:ascii="Cambria Math" w:hAnsi="Cambria Math" w:cs="Times New Roman"/>
            <w:color w:val="000000" w:themeColor="text1"/>
            <w:szCs w:val="21"/>
            <w14:textFill>
              <w14:solidFill>
                <w14:schemeClr w14:val="tx1"/>
              </w14:solidFill>
            </w14:textFill>
          </w:rPr>
          <m:t>（</m:t>
        </m:r>
        <m:r>
          <m:rPr>
            <m:sty m:val="p"/>
          </m:rPr>
          <w:rPr>
            <w:rFonts w:ascii="Cambria Math" w:hAnsi="Cambria Math" w:cs="Times New Roman"/>
            <w:color w:val="000000" w:themeColor="text1"/>
            <w:szCs w:val="21"/>
            <w14:textFill>
              <w14:solidFill>
                <w14:schemeClr w14:val="tx1"/>
              </w14:solidFill>
            </w14:textFill>
          </w:rPr>
          <m:t>1-</m:t>
        </m:r>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m:rPr>
                <m:sty m:val="p"/>
              </m:rPr>
              <w:rPr>
                <w:rFonts w:ascii="Cambria Math" w:hAnsi="Cambria Math" w:cs="宋体"/>
                <w:snapToGrid w:val="0"/>
                <w:color w:val="000000" w:themeColor="text1"/>
                <w14:textFill>
                  <w14:solidFill>
                    <w14:schemeClr w14:val="tx1"/>
                  </w14:solidFill>
                </w14:textFill>
              </w:rPr>
              <m:t>br</m:t>
            </m:r>
            <m:ctrlPr>
              <w:rPr>
                <w:rFonts w:ascii="Cambria Math" w:hAnsi="Cambria Math" w:cs="宋体"/>
                <w:bCs/>
                <w:iCs/>
                <w:snapToGrid w:val="0"/>
                <w:color w:val="000000" w:themeColor="text1"/>
                <w14:textFill>
                  <w14:solidFill>
                    <w14:schemeClr w14:val="tx1"/>
                  </w14:solidFill>
                </w14:textFill>
              </w:rPr>
            </m:ctrlPr>
          </m:sub>
        </m:sSub>
        <m:r>
          <m:rPr>
            <m:sty m:val="p"/>
          </m:rPr>
          <w:rPr>
            <w:rFonts w:ascii="Cambria Math" w:hAnsi="Cambria Math" w:cs="宋体"/>
            <w:snapToGrid w:val="0"/>
            <w:color w:val="000000" w:themeColor="text1"/>
            <w14:textFill>
              <w14:solidFill>
                <w14:schemeClr w14:val="tx1"/>
              </w14:solidFill>
            </w14:textFill>
          </w:rPr>
          <m:t>φ</m:t>
        </m:r>
        <m:r>
          <m:rPr>
            <m:sty m:val="p"/>
          </m:rPr>
          <w:rPr>
            <w:rFonts w:hint="eastAsia"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br</m:t>
            </m:r>
            <m:ctrlPr>
              <w:rPr>
                <w:rFonts w:ascii="Cambria Math" w:hAnsi="Cambria Math" w:cs="Times New Roman"/>
                <w:bCs/>
                <w:i/>
                <w:color w:val="000000" w:themeColor="text1"/>
                <w:szCs w:val="2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sinα</m:t>
        </m:r>
        <w:bookmarkEnd w:id="179"/>
      </m:oMath>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-5</w:t>
      </w:r>
      <w:r>
        <w:rPr>
          <w:rFonts w:hint="eastAsia"/>
          <w:bCs/>
          <w:color w:val="000000" w:themeColor="text1"/>
          <w:szCs w:val="21"/>
          <w14:textFill>
            <w14:solidFill>
              <w14:schemeClr w14:val="tx1"/>
            </w14:solidFill>
          </w14:textFill>
        </w:rPr>
        <w:t>）</w:t>
      </w:r>
    </w:p>
    <w:p>
      <w:pPr>
        <w:spacing w:line="400" w:lineRule="exact"/>
        <w:ind w:firstLine="0" w:firstLineChars="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式中：</w:t>
      </w:r>
      <m:oMath>
        <m:r>
          <w:rPr>
            <w:rFonts w:ascii="Cambria Math" w:hAnsi="Cambria Math" w:cs="Times New Roman"/>
            <w:color w:val="000000" w:themeColor="text1"/>
            <w:szCs w:val="21"/>
            <w14:textFill>
              <w14:solidFill>
                <w14:schemeClr w14:val="tx1"/>
              </w14:solidFill>
            </w14:textFill>
          </w:rPr>
          <m:t>α</m:t>
        </m:r>
      </m:oMath>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支撑斜杆与横梁的交角</w:t>
      </w:r>
      <w:r>
        <w:rPr>
          <w:rFonts w:hint="eastAsia"/>
          <w:bCs/>
          <w:color w:val="000000" w:themeColor="text1"/>
          <w:szCs w:val="24"/>
          <w14:textFill>
            <w14:solidFill>
              <w14:schemeClr w14:val="tx1"/>
            </w14:solidFill>
          </w14:textFill>
        </w:rPr>
        <w:t>。</w:t>
      </w:r>
    </w:p>
    <w:p>
      <w:pPr>
        <w:spacing w:before="156" w:beforeLines="50" w:line="400" w:lineRule="exact"/>
        <w:ind w:firstLine="420"/>
        <w:rPr>
          <w:bCs/>
          <w:color w:val="000000" w:themeColor="text1"/>
          <w:kern w:val="0"/>
          <w:szCs w:val="21"/>
          <w14:textFill>
            <w14:solidFill>
              <w14:schemeClr w14:val="tx1"/>
            </w14:solidFill>
          </w14:textFill>
        </w:rPr>
      </w:pPr>
      <w:r>
        <w:rPr>
          <w:rFonts w:hint="eastAsia"/>
          <w:bCs/>
          <w:color w:val="000000" w:themeColor="text1"/>
          <w14:textFill>
            <w14:solidFill>
              <w14:schemeClr w14:val="tx1"/>
            </w14:solidFill>
          </w14:textFill>
        </w:rPr>
        <w:t>2</w:t>
      </w:r>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中心支撑</w:t>
      </w:r>
      <w:r>
        <w:rPr>
          <w:rFonts w:hint="eastAsia"/>
          <w:bCs/>
          <w:color w:val="000000" w:themeColor="text1"/>
          <w:kern w:val="0"/>
          <w:szCs w:val="21"/>
          <w14:textFill>
            <w14:solidFill>
              <w14:schemeClr w14:val="tx1"/>
            </w14:solidFill>
          </w14:textFill>
        </w:rPr>
        <w:t>可采用</w:t>
      </w:r>
      <w:r>
        <w:rPr>
          <w:rFonts w:hint="eastAsia"/>
          <w:bCs/>
          <w:color w:val="000000" w:themeColor="text1"/>
          <w:szCs w:val="21"/>
          <w14:textFill>
            <w14:solidFill>
              <w14:schemeClr w14:val="tx1"/>
            </w14:solidFill>
          </w14:textFill>
        </w:rPr>
        <w:t>焊接和高强度螺栓摩擦型连接，其承载力验算</w:t>
      </w:r>
      <w:r>
        <w:rPr>
          <w:rFonts w:hint="eastAsia"/>
          <w:bCs/>
          <w:color w:val="000000" w:themeColor="text1"/>
          <w:kern w:val="0"/>
          <w:szCs w:val="21"/>
          <w14:textFill>
            <w14:solidFill>
              <w14:schemeClr w14:val="tx1"/>
            </w14:solidFill>
          </w14:textFill>
        </w:rPr>
        <w:t>应符合</w:t>
      </w:r>
      <w:r>
        <w:rPr>
          <w:rFonts w:hint="eastAsia"/>
          <w:bCs/>
          <w:color w:val="000000" w:themeColor="text1"/>
          <w:szCs w:val="21"/>
          <w14:textFill>
            <w14:solidFill>
              <w14:schemeClr w14:val="tx1"/>
            </w14:solidFill>
          </w14:textFill>
        </w:rPr>
        <w:t>下列</w:t>
      </w:r>
      <w:r>
        <w:rPr>
          <w:rFonts w:hint="eastAsia"/>
          <w:bCs/>
          <w:color w:val="000000" w:themeColor="text1"/>
          <w:kern w:val="0"/>
          <w:szCs w:val="21"/>
          <w14:textFill>
            <w14:solidFill>
              <w14:schemeClr w14:val="tx1"/>
            </w14:solidFill>
          </w14:textFill>
        </w:rPr>
        <w:t>要求：</w:t>
      </w:r>
    </w:p>
    <w:p>
      <w:pPr>
        <w:spacing w:line="400" w:lineRule="exact"/>
        <w:ind w:left="1260" w:leftChars="400" w:hanging="420" w:hanging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）当支撑杆采用</w:t>
      </w:r>
      <w:r>
        <w:rPr>
          <w:rFonts w:hint="eastAsia"/>
          <w:bCs/>
          <w:color w:val="000000" w:themeColor="text1"/>
          <w14:textFill>
            <w14:solidFill>
              <w14:schemeClr w14:val="tx1"/>
            </w14:solidFill>
          </w14:textFill>
        </w:rPr>
        <w:t>高强度</w:t>
      </w:r>
      <w:r>
        <w:rPr>
          <w:rFonts w:hint="eastAsia"/>
          <w:bCs/>
          <w:color w:val="000000" w:themeColor="text1"/>
          <w:kern w:val="0"/>
          <w:szCs w:val="21"/>
          <w14:textFill>
            <w14:solidFill>
              <w14:schemeClr w14:val="tx1"/>
            </w14:solidFill>
          </w14:textFill>
        </w:rPr>
        <w:t>栓</w:t>
      </w:r>
      <w:r>
        <w:rPr>
          <w:rFonts w:hint="eastAsia"/>
          <w:bCs/>
          <w:color w:val="000000" w:themeColor="text1"/>
          <w14:textFill>
            <w14:solidFill>
              <w14:schemeClr w14:val="tx1"/>
            </w14:solidFill>
          </w14:textFill>
        </w:rPr>
        <w:t>摩擦</w:t>
      </w:r>
      <w:r>
        <w:rPr>
          <w:rFonts w:hint="eastAsia"/>
          <w:bCs/>
          <w:color w:val="000000" w:themeColor="text1"/>
          <w:szCs w:val="21"/>
          <w14:textFill>
            <w14:solidFill>
              <w14:schemeClr w14:val="tx1"/>
            </w14:solidFill>
          </w14:textFill>
        </w:rPr>
        <w:t>型</w:t>
      </w:r>
      <w:r>
        <w:rPr>
          <w:rFonts w:hint="eastAsia"/>
          <w:bCs/>
          <w:color w:val="000000" w:themeColor="text1"/>
          <w14:textFill>
            <w14:solidFill>
              <w14:schemeClr w14:val="tx1"/>
            </w14:solidFill>
          </w14:textFill>
        </w:rPr>
        <w:t>连接或拼接时</w:t>
      </w:r>
      <w:r>
        <w:rPr>
          <w:rFonts w:hint="eastAsia"/>
          <w:bCs/>
          <w:color w:val="000000" w:themeColor="text1"/>
          <w:szCs w:val="21"/>
          <w14:textFill>
            <w14:solidFill>
              <w14:schemeClr w14:val="tx1"/>
            </w14:solidFill>
          </w14:textFill>
        </w:rPr>
        <w:t>，其弹性设计的轴力不得小于</w:t>
      </w:r>
      <w:r>
        <w:rPr>
          <w:bCs/>
          <w:color w:val="000000" w:themeColor="text1"/>
          <w:szCs w:val="21"/>
          <w14:textFill>
            <w14:solidFill>
              <w14:schemeClr w14:val="tx1"/>
            </w14:solidFill>
          </w14:textFill>
        </w:rPr>
        <w:t>0.6A</w:t>
      </w:r>
      <w:r>
        <w:rPr>
          <w:bCs/>
          <w:color w:val="000000" w:themeColor="text1"/>
          <w:szCs w:val="21"/>
          <w:vertAlign w:val="subscript"/>
          <w14:textFill>
            <w14:solidFill>
              <w14:schemeClr w14:val="tx1"/>
            </w14:solidFill>
          </w14:textFill>
        </w:rPr>
        <w:t>br</w:t>
      </w:r>
      <m:oMath>
        <m:r>
          <w:rPr>
            <w:rFonts w:hint="eastAsia" w:ascii="Cambria Math" w:hAnsi="Cambria Math"/>
            <w:color w:val="000000" w:themeColor="text1"/>
            <w:szCs w:val="21"/>
            <w14:textFill>
              <w14:solidFill>
                <w14:schemeClr w14:val="tx1"/>
              </w14:solidFill>
            </w14:textFill>
          </w:rPr>
          <m:t xml:space="preserve"> ƒ</m:t>
        </m:r>
      </m:oMath>
      <w:r>
        <w:rPr>
          <w:bCs/>
          <w:color w:val="000000" w:themeColor="text1"/>
          <w:szCs w:val="21"/>
          <w:vertAlign w:val="subscript"/>
          <w14:textFill>
            <w14:solidFill>
              <w14:schemeClr w14:val="tx1"/>
            </w14:solidFill>
          </w14:textFill>
        </w:rPr>
        <w:t xml:space="preserve"> y</w:t>
      </w:r>
      <w:r>
        <w:rPr>
          <w:rFonts w:hint="eastAsia"/>
          <w:bCs/>
          <w:color w:val="000000" w:themeColor="text1"/>
          <w:szCs w:val="21"/>
          <w14:textFill>
            <w14:solidFill>
              <w14:schemeClr w14:val="tx1"/>
            </w14:solidFill>
          </w14:textFill>
        </w:rPr>
        <w:t>，支撑杆的开孔截面应符合下式的要求：</w:t>
      </w:r>
    </w:p>
    <w:p>
      <w:pPr>
        <w:autoSpaceDE w:val="0"/>
        <w:autoSpaceDN w:val="0"/>
        <w:spacing w:line="360" w:lineRule="auto"/>
        <w:ind w:firstLine="359" w:firstLineChars="171"/>
        <w:jc w:val="right"/>
        <w:rPr>
          <w:bCs/>
          <w:color w:val="000000" w:themeColor="text1"/>
          <w:kern w:val="0"/>
          <w:szCs w:val="21"/>
          <w14:textFill>
            <w14:solidFill>
              <w14:schemeClr w14:val="tx1"/>
            </w14:solidFill>
          </w14:textFill>
        </w:rPr>
      </w:pPr>
      <w:bookmarkStart w:id="180" w:name="_Hlk24011370"/>
      <m:oMath>
        <m:sSub>
          <m:sSubPr>
            <m:ctrlPr>
              <w:rPr>
                <w:rFonts w:ascii="Cambria Math" w:hAnsi="Cambria Math" w:cs="Times New Roman"/>
                <w:bCs/>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A</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br</m:t>
            </m:r>
            <m:ctrlPr>
              <w:rPr>
                <w:rFonts w:ascii="Cambria Math" w:hAnsi="Cambria Math" w:cs="Times New Roman"/>
                <w:bCs/>
                <w:i/>
                <w:color w:val="000000" w:themeColor="text1"/>
                <w:kern w:val="0"/>
                <w:szCs w:val="2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brn</m:t>
            </m:r>
            <m:ctrlPr>
              <w:rPr>
                <w:rFonts w:ascii="Cambria Math" w:hAnsi="Cambria Math"/>
                <w:bCs/>
                <w:i/>
                <w:color w:val="000000" w:themeColor="text1"/>
                <w:szCs w:val="2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u</m:t>
            </m:r>
            <w:bookmarkEnd w:id="180"/>
            <m:ctrlPr>
              <w:rPr>
                <w:rFonts w:ascii="Cambria Math" w:hAnsi="Cambria Math"/>
                <w:bCs/>
                <w:i/>
                <w:color w:val="000000" w:themeColor="text1"/>
                <w:szCs w:val="21"/>
                <w14:textFill>
                  <w14:solidFill>
                    <w14:schemeClr w14:val="tx1"/>
                  </w14:solidFill>
                </w14:textFill>
              </w:rPr>
            </m:ctrlPr>
          </m:sub>
        </m:sSub>
      </m:oMath>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.2.9-6</w:t>
      </w:r>
      <w:r>
        <w:rPr>
          <w:rFonts w:hint="eastAsia"/>
          <w:bCs/>
          <w:color w:val="000000" w:themeColor="text1"/>
          <w:kern w:val="0"/>
          <w:szCs w:val="21"/>
          <w14:textFill>
            <w14:solidFill>
              <w14:schemeClr w14:val="tx1"/>
            </w14:solidFill>
          </w14:textFill>
        </w:rPr>
        <w:t>）</w:t>
      </w:r>
    </w:p>
    <w:p>
      <w:pPr>
        <w:spacing w:line="400" w:lineRule="exact"/>
        <w:ind w:firstLine="0" w:firstLineChars="0"/>
        <w:jc w:val="left"/>
        <w:rPr>
          <w:rFonts w:cs="Times New Roman"/>
          <w:bCs/>
          <w:color w:val="000000" w:themeColor="text1"/>
          <w:szCs w:val="21"/>
          <w14:textFill>
            <w14:solidFill>
              <w14:schemeClr w14:val="tx1"/>
            </w14:solidFill>
          </w14:textFill>
        </w:rPr>
      </w:pPr>
      <w:r>
        <w:rPr>
          <w:rFonts w:hint="eastAsia" w:cs="Times New Roman"/>
          <w:bCs/>
          <w:color w:val="000000" w:themeColor="text1"/>
          <w:szCs w:val="21"/>
          <w14:textFill>
            <w14:solidFill>
              <w14:schemeClr w14:val="tx1"/>
            </w14:solidFill>
          </w14:textFill>
        </w:rPr>
        <w:t>式中：</w:t>
      </w:r>
      <m:oMath>
        <m:sSub>
          <m:sSubPr>
            <m:ctrlPr>
              <w:rPr>
                <w:rFonts w:ascii="Cambria Math" w:hAnsi="Cambria Math" w:cs="Times New Roman"/>
                <w:bCs/>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 w:val="24"/>
                <w:szCs w:val="21"/>
                <w14:textFill>
                  <w14:solidFill>
                    <w14:schemeClr w14:val="tx1"/>
                  </w14:solidFill>
                </w14:textFill>
              </w:rPr>
              <m:t>A</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 w:val="24"/>
                <w:szCs w:val="21"/>
                <w14:textFill>
                  <w14:solidFill>
                    <w14:schemeClr w14:val="tx1"/>
                  </w14:solidFill>
                </w14:textFill>
              </w:rPr>
              <m:t>br</m:t>
            </m:r>
            <m:ctrlPr>
              <w:rPr>
                <w:rFonts w:ascii="Cambria Math" w:hAnsi="Cambria Math" w:cs="Times New Roman"/>
                <w:bCs/>
                <w:i/>
                <w:color w:val="000000" w:themeColor="text1"/>
                <w:kern w:val="0"/>
                <w:szCs w:val="21"/>
                <w14:textFill>
                  <w14:solidFill>
                    <w14:schemeClr w14:val="tx1"/>
                  </w14:solidFill>
                </w14:textFill>
              </w:rPr>
            </m:ctrlPr>
          </m:sub>
        </m:sSub>
      </m:oMath>
      <w:r>
        <w:rPr>
          <w:rFonts w:hint="eastAsia" w:cs="Times New Roman"/>
          <w:bCs/>
          <w:color w:val="000000" w:themeColor="text1"/>
          <w:szCs w:val="21"/>
          <w14:textFill>
            <w14:solidFill>
              <w14:schemeClr w14:val="tx1"/>
            </w14:solidFill>
          </w14:textFill>
        </w:rPr>
        <w:t>、</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s="Times New Roman"/>
                <w:color w:val="000000" w:themeColor="text1"/>
                <w:sz w:val="24"/>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brn</m:t>
            </m:r>
            <m:ctrlPr>
              <w:rPr>
                <w:rFonts w:ascii="Cambria Math" w:hAnsi="Cambria Math"/>
                <w:bCs/>
                <w:i/>
                <w:color w:val="000000" w:themeColor="text1"/>
                <w:szCs w:val="21"/>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分别为支撑杆的毛截面面积和净截面面积；</w:t>
      </w:r>
    </w:p>
    <w:p>
      <w:pPr>
        <w:spacing w:after="120" w:line="400" w:lineRule="exact"/>
        <w:ind w:left="420" w:leftChars="200" w:firstLine="218" w:firstLineChars="104"/>
        <w:jc w:val="left"/>
        <w:rPr>
          <w:rFonts w:cs="Times New Roman"/>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s="Times New Roman"/>
                <w:color w:val="000000" w:themeColor="text1"/>
                <w:sz w:val="24"/>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oMath>
      <w:r>
        <w:rPr>
          <w:rFonts w:hint="eastAsia" w:cs="Times New Roman"/>
          <w:bCs/>
          <w:color w:val="000000" w:themeColor="text1"/>
          <w:szCs w:val="21"/>
          <w14:textFill>
            <w14:solidFill>
              <w14:schemeClr w14:val="tx1"/>
            </w14:solidFill>
          </w14:textFill>
        </w:rPr>
        <w:t>、</w:t>
      </w:r>
      <m:oMath>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s="Times New Roman"/>
                <w:color w:val="000000" w:themeColor="text1"/>
                <w:sz w:val="24"/>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u</m:t>
            </m:r>
            <m:ctrlPr>
              <w:rPr>
                <w:rFonts w:ascii="Cambria Math" w:hAnsi="Cambria Math"/>
                <w:bCs/>
                <w:i/>
                <w:color w:val="000000" w:themeColor="text1"/>
                <w:szCs w:val="21"/>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分别为</w:t>
      </w:r>
      <w:r>
        <w:rPr>
          <w:rFonts w:hint="eastAsia" w:cs="Times New Roman"/>
          <w:bCs/>
          <w:color w:val="000000" w:themeColor="text1"/>
          <w:szCs w:val="24"/>
          <w14:textFill>
            <w14:solidFill>
              <w14:schemeClr w14:val="tx1"/>
            </w14:solidFill>
          </w14:textFill>
        </w:rPr>
        <w:t>支撑钢材的屈服强度、抗拉强度</w:t>
      </w:r>
      <w:r>
        <w:rPr>
          <w:rFonts w:hint="eastAsia" w:cs="Times New Roman"/>
          <w:bCs/>
          <w:color w:val="000000" w:themeColor="text1"/>
          <w:szCs w:val="21"/>
          <w14:textFill>
            <w14:solidFill>
              <w14:schemeClr w14:val="tx1"/>
            </w14:solidFill>
          </w14:textFill>
        </w:rPr>
        <w:t>。</w:t>
      </w:r>
    </w:p>
    <w:p>
      <w:pPr>
        <w:spacing w:line="400" w:lineRule="exact"/>
        <w:ind w:firstLine="840" w:firstLineChars="400"/>
        <w:jc w:val="left"/>
        <w:rPr>
          <w:bCs/>
          <w:color w:val="000000" w:themeColor="text1"/>
          <w:kern w:val="0"/>
          <w:szCs w:val="21"/>
          <w14:textFill>
            <w14:solidFill>
              <w14:schemeClr w14:val="tx1"/>
            </w14:solidFill>
          </w14:textFill>
        </w:rPr>
      </w:pP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w:t>
      </w:r>
      <w:r>
        <w:rPr>
          <w:rFonts w:hint="eastAsia"/>
          <w:bCs/>
          <w:color w:val="000000" w:themeColor="text1"/>
          <w:szCs w:val="21"/>
          <w14:textFill>
            <w14:solidFill>
              <w14:schemeClr w14:val="tx1"/>
            </w14:solidFill>
          </w14:textFill>
        </w:rPr>
        <w:t>支撑杆连接和拼接</w:t>
      </w:r>
      <w:r>
        <w:rPr>
          <w:rFonts w:hint="eastAsia"/>
          <w:bCs/>
          <w:color w:val="000000" w:themeColor="text1"/>
          <w14:textFill>
            <w14:solidFill>
              <w14:schemeClr w14:val="tx1"/>
            </w14:solidFill>
          </w14:textFill>
        </w:rPr>
        <w:t>的</w:t>
      </w:r>
      <w:r>
        <w:rPr>
          <w:rFonts w:hint="eastAsia"/>
          <w:bCs/>
          <w:color w:val="000000" w:themeColor="text1"/>
          <w:szCs w:val="21"/>
          <w14:textFill>
            <w14:solidFill>
              <w14:schemeClr w14:val="tx1"/>
            </w14:solidFill>
          </w14:textFill>
        </w:rPr>
        <w:t>极限承载力，应按下列公式验算：</w:t>
      </w:r>
    </w:p>
    <w:p>
      <w:pPr>
        <w:autoSpaceDE w:val="0"/>
        <w:autoSpaceDN w:val="0"/>
        <w:spacing w:line="360" w:lineRule="auto"/>
        <w:ind w:firstLine="420"/>
        <w:jc w:val="right"/>
        <w:rPr>
          <w:bCs/>
          <w:color w:val="000000" w:themeColor="text1"/>
          <w:kern w:val="0"/>
          <w:szCs w:val="21"/>
          <w14:textFill>
            <w14:solidFill>
              <w14:schemeClr w14:val="tx1"/>
            </w14:solidFill>
          </w14:textFill>
        </w:rPr>
      </w:pPr>
      <m:oMath>
        <m:sSub>
          <w:bookmarkStart w:id="181" w:name="_Hlk24011444"/>
          <m:sSubPr>
            <m:ctrlPr>
              <w:rPr>
                <w:rFonts w:ascii="Cambria Math" w:hAnsi="Cambria Math" w:cs="Times New Roman"/>
                <w:bCs/>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N</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jubr</m:t>
            </m:r>
            <m:ctrlPr>
              <w:rPr>
                <w:rFonts w:ascii="Cambria Math" w:hAnsi="Cambria Math" w:cs="Times New Roman"/>
                <w:bCs/>
                <w:i/>
                <w:color w:val="000000" w:themeColor="text1"/>
                <w:kern w:val="0"/>
                <w:szCs w:val="21"/>
                <w14:textFill>
                  <w14:solidFill>
                    <w14:schemeClr w14:val="tx1"/>
                  </w14:solidFill>
                </w14:textFill>
              </w:rPr>
            </m:ctrlPr>
          </m:sub>
        </m:sSub>
        <m:r>
          <w:rPr>
            <w:rFonts w:ascii="Cambria Math" w:hAnsi="Cambria Math" w:cs="Times New Roman"/>
            <w:color w:val="000000" w:themeColor="text1"/>
            <w:kern w:val="0"/>
            <w:szCs w:val="21"/>
            <w14:textFill>
              <w14:solidFill>
                <w14:schemeClr w14:val="tx1"/>
              </w14:solidFill>
            </w14:textFill>
          </w:rPr>
          <m:t>≥</m:t>
        </m:r>
        <m:sSub>
          <w:bookmarkStart w:id="182" w:name="_Hlk24010844"/>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j</m:t>
            </m:r>
            <w:bookmarkEnd w:id="182"/>
            <m:ctrlPr>
              <w:rPr>
                <w:rFonts w:ascii="Cambria Math" w:hAnsi="Cambria Math" w:cs="宋体"/>
                <w:bCs/>
                <w:iCs/>
                <w:snapToGrid w:val="0"/>
                <w:color w:val="000000" w:themeColor="text1"/>
                <w14:textFill>
                  <w14:solidFill>
                    <w14:schemeClr w14:val="tx1"/>
                  </w14:solidFill>
                </w14:textFill>
              </w:rPr>
            </m:ctrlPr>
          </m:sub>
        </m:sSub>
        <m:sSub>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A</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brn</m:t>
            </m:r>
            <m:ctrlPr>
              <w:rPr>
                <w:rFonts w:ascii="Cambria Math" w:hAnsi="Cambria Math" w:cs="宋体"/>
                <w:bCs/>
                <w:i/>
                <w:iCs/>
                <w:snapToGrid w:val="0"/>
                <w:color w:val="000000" w:themeColor="text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w:bookmarkEnd w:id="181"/>
            <m:ctrlPr>
              <w:rPr>
                <w:rFonts w:ascii="Cambria Math" w:hAnsi="Cambria Math"/>
                <w:bCs/>
                <w:i/>
                <w:color w:val="000000" w:themeColor="text1"/>
                <w:szCs w:val="21"/>
                <w14:textFill>
                  <w14:solidFill>
                    <w14:schemeClr w14:val="tx1"/>
                  </w14:solidFill>
                </w14:textFill>
              </w:rPr>
            </m:ctrlPr>
          </m:sub>
        </m:sSub>
      </m:oMath>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.2.9-7</w:t>
      </w:r>
      <w:r>
        <w:rPr>
          <w:rFonts w:hint="eastAsia"/>
          <w:bCs/>
          <w:color w:val="000000" w:themeColor="text1"/>
          <w:kern w:val="0"/>
          <w:szCs w:val="21"/>
          <w14:textFill>
            <w14:solidFill>
              <w14:schemeClr w14:val="tx1"/>
            </w14:solidFill>
          </w14:textFill>
        </w:rPr>
        <w:t>）</w:t>
      </w:r>
    </w:p>
    <w:p>
      <w:pPr>
        <w:spacing w:line="400" w:lineRule="exact"/>
        <w:ind w:firstLine="840" w:firstLineChars="400"/>
        <w:jc w:val="left"/>
        <w:rPr>
          <w:bCs/>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角</w:t>
      </w:r>
      <w:r>
        <w:rPr>
          <w:rFonts w:hint="eastAsia"/>
          <w:bCs/>
          <w:color w:val="000000" w:themeColor="text1"/>
          <w:szCs w:val="21"/>
          <w14:textFill>
            <w14:solidFill>
              <w14:schemeClr w14:val="tx1"/>
            </w14:solidFill>
          </w14:textFill>
        </w:rPr>
        <w:t>焊缝</w:t>
      </w:r>
      <w:r>
        <w:rPr>
          <w:rFonts w:hint="eastAsia"/>
          <w:bCs/>
          <w:color w:val="000000" w:themeColor="text1"/>
          <w14:textFill>
            <w14:solidFill>
              <w14:schemeClr w14:val="tx1"/>
            </w14:solidFill>
          </w14:textFill>
        </w:rPr>
        <w:t>连接</w:t>
      </w:r>
      <w:r>
        <w:rPr>
          <w:rFonts w:hint="eastAsia"/>
          <w:bCs/>
          <w:color w:val="000000" w:themeColor="text1"/>
          <w:kern w:val="0"/>
          <w:szCs w:val="21"/>
          <w14:textFill>
            <w14:solidFill>
              <w14:schemeClr w14:val="tx1"/>
            </w14:solidFill>
          </w14:textFill>
        </w:rPr>
        <w:t>：</w:t>
      </w:r>
    </w:p>
    <w:p>
      <w:pPr>
        <w:autoSpaceDE w:val="0"/>
        <w:autoSpaceDN w:val="0"/>
        <w:spacing w:line="360" w:lineRule="auto"/>
        <w:ind w:firstLine="420"/>
        <w:jc w:val="right"/>
        <w:rPr>
          <w:bCs/>
          <w:color w:val="000000" w:themeColor="text1"/>
          <w:kern w:val="0"/>
          <w:szCs w:val="21"/>
          <w14:textFill>
            <w14:solidFill>
              <w14:schemeClr w14:val="tx1"/>
            </w14:solidFill>
          </w14:textFill>
        </w:rPr>
      </w:pPr>
      <m:oMath>
        <m:sSub>
          <m:sSubPr>
            <m:ctrlPr>
              <w:rPr>
                <w:rFonts w:ascii="Cambria Math" w:hAnsi="Cambria Math" w:cs="Times New Roman"/>
                <w:bCs/>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N</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jubr</m:t>
            </m:r>
            <m:ctrlPr>
              <w:rPr>
                <w:rFonts w:ascii="Cambria Math" w:hAnsi="Cambria Math" w:cs="Times New Roman"/>
                <w:bCs/>
                <w:i/>
                <w:color w:val="000000" w:themeColor="text1"/>
                <w:kern w:val="0"/>
                <w:szCs w:val="21"/>
                <w14:textFill>
                  <w14:solidFill>
                    <w14:schemeClr w14:val="tx1"/>
                  </w14:solidFill>
                </w14:textFill>
              </w:rPr>
            </m:ctrlPr>
          </m:sub>
        </m:sSub>
        <m:r>
          <w:rPr>
            <w:rFonts w:ascii="Cambria Math" w:hAnsi="Cambria Math" w:cs="Times New Roman"/>
            <w:color w:val="000000" w:themeColor="text1"/>
            <w:kern w:val="0"/>
            <w:szCs w:val="21"/>
            <w14:textFill>
              <w14:solidFill>
                <w14:schemeClr w14:val="tx1"/>
              </w14:solidFill>
            </w14:textFill>
          </w:rPr>
          <m:t>=</m:t>
        </m:r>
        <m:sSubSup>
          <m:sSubSupPr>
            <m:ctrlPr>
              <w:rPr>
                <w:rFonts w:ascii="Cambria Math" w:hAnsi="Cambria Math" w:cs="Times New Roman"/>
                <w:bCs/>
                <w:i/>
                <w:color w:val="000000" w:themeColor="text1"/>
                <w:kern w:val="0"/>
                <w:szCs w:val="21"/>
                <w14:textFill>
                  <w14:solidFill>
                    <w14:schemeClr w14:val="tx1"/>
                  </w14:solidFill>
                </w14:textFill>
              </w:rPr>
            </m:ctrlPr>
          </m:sSubSupPr>
          <m:e>
            <m:r>
              <w:rPr>
                <w:rFonts w:ascii="Cambria Math" w:hAnsi="Cambria Math" w:cs="Times New Roman"/>
                <w:color w:val="000000" w:themeColor="text1"/>
                <w:kern w:val="0"/>
                <w:szCs w:val="21"/>
                <w14:textFill>
                  <w14:solidFill>
                    <w14:schemeClr w14:val="tx1"/>
                  </w14:solidFill>
                </w14:textFill>
              </w:rPr>
              <m:t>A</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f</m:t>
            </m:r>
            <m:ctrlPr>
              <w:rPr>
                <w:rFonts w:ascii="Cambria Math" w:hAnsi="Cambria Math" w:cs="Times New Roman"/>
                <w:bCs/>
                <w:i/>
                <w:color w:val="000000" w:themeColor="text1"/>
                <w:kern w:val="0"/>
                <w:szCs w:val="21"/>
                <w14:textFill>
                  <w14:solidFill>
                    <w14:schemeClr w14:val="tx1"/>
                  </w14:solidFill>
                </w14:textFill>
              </w:rPr>
            </m:ctrlPr>
          </m:sub>
          <m:sup>
            <m:r>
              <w:rPr>
                <w:rFonts w:ascii="Cambria Math" w:hAnsi="Cambria Math" w:cs="Times New Roman"/>
                <w:color w:val="000000" w:themeColor="text1"/>
                <w:kern w:val="0"/>
                <w:szCs w:val="21"/>
                <w14:textFill>
                  <w14:solidFill>
                    <w14:schemeClr w14:val="tx1"/>
                  </w14:solidFill>
                </w14:textFill>
              </w:rPr>
              <m:t>w</m:t>
            </m:r>
            <m:ctrlPr>
              <w:rPr>
                <w:rFonts w:ascii="Cambria Math" w:hAnsi="Cambria Math" w:cs="Times New Roman"/>
                <w:bCs/>
                <w:i/>
                <w:color w:val="000000" w:themeColor="text1"/>
                <w:kern w:val="0"/>
                <w:szCs w:val="21"/>
                <w14:textFill>
                  <w14:solidFill>
                    <w14:schemeClr w14:val="tx1"/>
                  </w14:solidFill>
                </w14:textFill>
              </w:rPr>
            </m:ctrlPr>
          </m:sup>
        </m:sSubSup>
        <m:sSubSup>
          <m:sSubSupPr>
            <m:ctrlPr>
              <w:rPr>
                <w:rFonts w:ascii="Cambria Math" w:hAnsi="Cambria Math" w:cs="Times New Roman"/>
                <w:bCs/>
                <w:i/>
                <w:color w:val="000000" w:themeColor="text1"/>
                <w:kern w:val="0"/>
                <w:szCs w:val="21"/>
                <w14:textFill>
                  <w14:solidFill>
                    <w14:schemeClr w14:val="tx1"/>
                  </w14:solidFill>
                </w14:textFill>
              </w:rPr>
            </m:ctrlPr>
          </m:sSubSupPr>
          <m:e>
            <m:r>
              <w:rPr>
                <w:rFonts w:ascii="Cambria Math" w:hAnsi="Cambria Math" w:cs="Times New Roman"/>
                <w:color w:val="000000" w:themeColor="text1"/>
                <w:kern w:val="0"/>
                <w:szCs w:val="21"/>
                <w14:textFill>
                  <w14:solidFill>
                    <w14:schemeClr w14:val="tx1"/>
                  </w14:solidFill>
                </w14:textFill>
              </w:rPr>
              <m:t>N</m:t>
            </m:r>
            <m:r>
              <m:rPr>
                <m:sty m:val="p"/>
              </m:rPr>
              <w:rPr>
                <w:rFonts w:hint="eastAsia" w:ascii="Cambria Math" w:hAnsi="Cambria Math"/>
                <w:color w:val="000000" w:themeColor="text1"/>
                <w:szCs w:val="21"/>
                <w14:textFill>
                  <w14:solidFill>
                    <w14:schemeClr w14:val="tx1"/>
                  </w14:solidFill>
                </w14:textFill>
              </w:rPr>
              <m:t>ƒ</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u</m:t>
            </m:r>
            <m:ctrlPr>
              <w:rPr>
                <w:rFonts w:ascii="Cambria Math" w:hAnsi="Cambria Math" w:cs="Times New Roman"/>
                <w:bCs/>
                <w:i/>
                <w:color w:val="000000" w:themeColor="text1"/>
                <w:kern w:val="0"/>
                <w:szCs w:val="21"/>
                <w14:textFill>
                  <w14:solidFill>
                    <w14:schemeClr w14:val="tx1"/>
                  </w14:solidFill>
                </w14:textFill>
              </w:rPr>
            </m:ctrlPr>
          </m:sub>
          <m:sup>
            <m:r>
              <w:rPr>
                <w:rFonts w:ascii="Cambria Math" w:hAnsi="Cambria Math" w:cs="Times New Roman"/>
                <w:color w:val="000000" w:themeColor="text1"/>
                <w:kern w:val="0"/>
                <w:szCs w:val="21"/>
                <w14:textFill>
                  <w14:solidFill>
                    <w14:schemeClr w14:val="tx1"/>
                  </w14:solidFill>
                </w14:textFill>
              </w:rPr>
              <m:t>f</m:t>
            </m:r>
            <m:ctrlPr>
              <w:rPr>
                <w:rFonts w:ascii="Cambria Math" w:hAnsi="Cambria Math" w:cs="Times New Roman"/>
                <w:bCs/>
                <w:i/>
                <w:color w:val="000000" w:themeColor="text1"/>
                <w:kern w:val="0"/>
                <w:szCs w:val="21"/>
                <w14:textFill>
                  <w14:solidFill>
                    <w14:schemeClr w14:val="tx1"/>
                  </w14:solidFill>
                </w14:textFill>
              </w:rPr>
            </m:ctrlPr>
          </m:sup>
        </m:sSubSup>
      </m:oMath>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.2.9-8</w:t>
      </w:r>
      <w:r>
        <w:rPr>
          <w:rFonts w:hint="eastAsia"/>
          <w:bCs/>
          <w:color w:val="000000" w:themeColor="text1"/>
          <w:kern w:val="0"/>
          <w:szCs w:val="21"/>
          <w14:textFill>
            <w14:solidFill>
              <w14:schemeClr w14:val="tx1"/>
            </w14:solidFill>
          </w14:textFill>
        </w:rPr>
        <w:t>）</w:t>
      </w:r>
    </w:p>
    <w:p>
      <w:pPr>
        <w:spacing w:line="400" w:lineRule="exact"/>
        <w:ind w:firstLine="840" w:firstLineChars="400"/>
        <w:jc w:val="left"/>
        <w:rPr>
          <w:bCs/>
          <w:color w:val="000000" w:themeColor="text1"/>
          <w:kern w:val="0"/>
          <w:szCs w:val="21"/>
          <w14:textFill>
            <w14:solidFill>
              <w14:schemeClr w14:val="tx1"/>
            </w14:solidFill>
          </w14:textFill>
        </w:rPr>
      </w:pPr>
      <w:r>
        <w:rPr>
          <w:rFonts w:hint="eastAsia"/>
          <w:bCs/>
          <w:color w:val="000000" w:themeColor="text1"/>
          <w:szCs w:val="21"/>
          <w14:textFill>
            <w14:solidFill>
              <w14:schemeClr w14:val="tx1"/>
            </w14:solidFill>
          </w14:textFill>
        </w:rPr>
        <w:t>高强度螺栓连接：</w:t>
      </w:r>
    </w:p>
    <w:p>
      <w:pPr>
        <w:wordWrap w:val="0"/>
        <w:spacing w:line="360" w:lineRule="auto"/>
        <w:ind w:firstLine="420"/>
        <w:jc w:val="right"/>
        <w:rPr>
          <w:bCs/>
          <w:color w:val="000000" w:themeColor="text1"/>
          <w:kern w:val="0"/>
          <w:szCs w:val="21"/>
          <w14:textFill>
            <w14:solidFill>
              <w14:schemeClr w14:val="tx1"/>
            </w14:solidFill>
          </w14:textFill>
        </w:rPr>
      </w:pPr>
      <m:oMath>
        <m:sSub>
          <m:sSubPr>
            <m:ctrlPr>
              <w:rPr>
                <w:rFonts w:ascii="Cambria Math" w:hAnsi="Cambria Math" w:cs="Times New Roman"/>
                <w:bCs/>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N</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jubr</m:t>
            </m:r>
            <m:ctrlPr>
              <w:rPr>
                <w:rFonts w:ascii="Cambria Math" w:hAnsi="Cambria Math" w:cs="Times New Roman"/>
                <w:bCs/>
                <w:i/>
                <w:color w:val="000000" w:themeColor="text1"/>
                <w:kern w:val="0"/>
                <w:szCs w:val="21"/>
                <w14:textFill>
                  <w14:solidFill>
                    <w14:schemeClr w14:val="tx1"/>
                  </w14:solidFill>
                </w14:textFill>
              </w:rPr>
            </m:ctrlPr>
          </m:sub>
        </m:sSub>
        <m:r>
          <w:rPr>
            <w:rFonts w:ascii="Cambria Math" w:hAnsi="Cambria Math" w:cs="Times New Roman"/>
            <w:color w:val="000000" w:themeColor="text1"/>
            <w:kern w:val="0"/>
            <w:szCs w:val="21"/>
            <w14:textFill>
              <w14:solidFill>
                <w14:schemeClr w14:val="tx1"/>
              </w14:solidFill>
            </w14:textFill>
          </w:rPr>
          <m:t>=n</m:t>
        </m:r>
        <m:sSubSup>
          <m:sSubSupPr>
            <m:ctrlPr>
              <w:rPr>
                <w:rFonts w:ascii="Cambria Math" w:hAnsi="Cambria Math" w:cs="Times New Roman"/>
                <w:bCs/>
                <w:i/>
                <w:color w:val="000000" w:themeColor="text1"/>
                <w:kern w:val="0"/>
                <w:szCs w:val="21"/>
                <w14:textFill>
                  <w14:solidFill>
                    <w14:schemeClr w14:val="tx1"/>
                  </w14:solidFill>
                </w14:textFill>
              </w:rPr>
            </m:ctrlPr>
          </m:sSubSupPr>
          <m:e>
            <m:r>
              <w:rPr>
                <w:rFonts w:ascii="Cambria Math" w:hAnsi="Cambria Math" w:cs="Times New Roman"/>
                <w:color w:val="000000" w:themeColor="text1"/>
                <w:kern w:val="0"/>
                <w:szCs w:val="21"/>
                <w14:textFill>
                  <w14:solidFill>
                    <w14:schemeClr w14:val="tx1"/>
                  </w14:solidFill>
                </w14:textFill>
              </w:rPr>
              <m:t>N</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u</m:t>
            </m:r>
            <m:ctrlPr>
              <w:rPr>
                <w:rFonts w:ascii="Cambria Math" w:hAnsi="Cambria Math" w:cs="Times New Roman"/>
                <w:bCs/>
                <w:i/>
                <w:color w:val="000000" w:themeColor="text1"/>
                <w:kern w:val="0"/>
                <w:szCs w:val="21"/>
                <w14:textFill>
                  <w14:solidFill>
                    <w14:schemeClr w14:val="tx1"/>
                  </w14:solidFill>
                </w14:textFill>
              </w:rPr>
            </m:ctrlPr>
          </m:sub>
          <m:sup>
            <m:r>
              <w:rPr>
                <w:rFonts w:ascii="Cambria Math" w:hAnsi="Cambria Math" w:cs="Times New Roman"/>
                <w:color w:val="000000" w:themeColor="text1"/>
                <w:kern w:val="0"/>
                <w:szCs w:val="21"/>
                <w14:textFill>
                  <w14:solidFill>
                    <w14:schemeClr w14:val="tx1"/>
                  </w14:solidFill>
                </w14:textFill>
              </w:rPr>
              <m:t>b</m:t>
            </m:r>
            <m:ctrlPr>
              <w:rPr>
                <w:rFonts w:ascii="Cambria Math" w:hAnsi="Cambria Math" w:cs="Times New Roman"/>
                <w:bCs/>
                <w:i/>
                <w:color w:val="000000" w:themeColor="text1"/>
                <w:kern w:val="0"/>
                <w:szCs w:val="21"/>
                <w14:textFill>
                  <w14:solidFill>
                    <w14:schemeClr w14:val="tx1"/>
                  </w14:solidFill>
                </w14:textFill>
              </w:rPr>
            </m:ctrlPr>
          </m:sup>
        </m:sSubSup>
      </m:oMath>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.2.9-9</w:t>
      </w:r>
      <w:r>
        <w:rPr>
          <w:rFonts w:hint="eastAsia"/>
          <w:bCs/>
          <w:color w:val="000000" w:themeColor="text1"/>
          <w:kern w:val="0"/>
          <w:szCs w:val="21"/>
          <w14:textFill>
            <w14:solidFill>
              <w14:schemeClr w14:val="tx1"/>
            </w14:solidFill>
          </w14:textFill>
        </w:rPr>
        <w:t>）</w:t>
      </w:r>
    </w:p>
    <w:p>
      <w:pPr>
        <w:wordWrap w:val="0"/>
        <w:spacing w:line="360" w:lineRule="auto"/>
        <w:ind w:firstLine="480"/>
        <w:jc w:val="right"/>
        <w:rPr>
          <w:bCs/>
          <w:color w:val="000000" w:themeColor="text1"/>
          <w:kern w:val="0"/>
          <w:szCs w:val="21"/>
          <w14:textFill>
            <w14:solidFill>
              <w14:schemeClr w14:val="tx1"/>
            </w14:solidFill>
          </w14:textFill>
        </w:rPr>
      </w:pPr>
      <m:oMath>
        <m:sSubSup>
          <w:bookmarkStart w:id="183" w:name="_Hlk24012277"/>
          <m:sSubSupPr>
            <m:ctrlPr>
              <w:rPr>
                <w:rFonts w:ascii="Cambria Math" w:hAnsi="Cambria Math" w:cs="Times New Roman"/>
                <w:bCs/>
                <w:i/>
                <w:color w:val="000000" w:themeColor="text1"/>
                <w:sz w:val="24"/>
                <w:szCs w:val="20"/>
                <w14:textFill>
                  <w14:solidFill>
                    <w14:schemeClr w14:val="tx1"/>
                  </w14:solidFill>
                </w14:textFill>
              </w:rPr>
            </m:ctrlPr>
          </m:sSubSupPr>
          <m:e>
            <m:r>
              <w:rPr>
                <w:rFonts w:ascii="Cambria Math" w:hAnsi="Cambria Math" w:cs="Times New Roman"/>
                <w:color w:val="000000" w:themeColor="text1"/>
                <w:sz w:val="24"/>
                <w:szCs w:val="20"/>
                <w14:textFill>
                  <w14:solidFill>
                    <w14:schemeClr w14:val="tx1"/>
                  </w14:solidFill>
                </w14:textFill>
              </w:rPr>
              <m:t>N</m:t>
            </m:r>
            <m:ctrlPr>
              <w:rPr>
                <w:rFonts w:ascii="Cambria Math" w:hAnsi="Cambria Math" w:cs="Times New Roman"/>
                <w:bCs/>
                <w:i/>
                <w:color w:val="000000" w:themeColor="text1"/>
                <w:sz w:val="24"/>
                <w:szCs w:val="20"/>
                <w14:textFill>
                  <w14:solidFill>
                    <w14:schemeClr w14:val="tx1"/>
                  </w14:solidFill>
                </w14:textFill>
              </w:rPr>
            </m:ctrlPr>
          </m:e>
          <m:sub>
            <m:r>
              <w:rPr>
                <w:rFonts w:ascii="Cambria Math" w:hAnsi="Cambria Math" w:cs="Times New Roman"/>
                <w:color w:val="000000" w:themeColor="text1"/>
                <w:sz w:val="24"/>
                <w:szCs w:val="20"/>
                <w14:textFill>
                  <w14:solidFill>
                    <w14:schemeClr w14:val="tx1"/>
                  </w14:solidFill>
                </w14:textFill>
              </w:rPr>
              <m:t>u</m:t>
            </m:r>
            <m:ctrlPr>
              <w:rPr>
                <w:rFonts w:ascii="Cambria Math" w:hAnsi="Cambria Math" w:cs="Times New Roman"/>
                <w:bCs/>
                <w:i/>
                <w:color w:val="000000" w:themeColor="text1"/>
                <w:sz w:val="24"/>
                <w:szCs w:val="20"/>
                <w14:textFill>
                  <w14:solidFill>
                    <w14:schemeClr w14:val="tx1"/>
                  </w14:solidFill>
                </w14:textFill>
              </w:rPr>
            </m:ctrlPr>
          </m:sub>
          <m:sup>
            <m:r>
              <w:rPr>
                <w:rFonts w:ascii="Cambria Math" w:hAnsi="Cambria Math" w:cs="Times New Roman"/>
                <w:color w:val="000000" w:themeColor="text1"/>
                <w:sz w:val="24"/>
                <w:szCs w:val="20"/>
                <w14:textFill>
                  <w14:solidFill>
                    <w14:schemeClr w14:val="tx1"/>
                  </w14:solidFill>
                </w14:textFill>
              </w:rPr>
              <m:t>b</m:t>
            </m:r>
            <m:ctrlPr>
              <w:rPr>
                <w:rFonts w:ascii="Cambria Math" w:hAnsi="Cambria Math" w:cs="Times New Roman"/>
                <w:bCs/>
                <w:i/>
                <w:color w:val="000000" w:themeColor="text1"/>
                <w:sz w:val="24"/>
                <w:szCs w:val="20"/>
                <w14:textFill>
                  <w14:solidFill>
                    <w14:schemeClr w14:val="tx1"/>
                  </w14:solidFill>
                </w14:textFill>
              </w:rPr>
            </m:ctrlPr>
          </m:sup>
        </m:sSubSup>
        <m:r>
          <w:rPr>
            <w:rFonts w:ascii="Cambria Math" w:hAnsi="Cambria Math" w:cs="Times New Roman"/>
            <w:color w:val="000000" w:themeColor="text1"/>
            <w:sz w:val="24"/>
            <w:szCs w:val="20"/>
            <w14:textFill>
              <w14:solidFill>
                <w14:schemeClr w14:val="tx1"/>
              </w14:solidFill>
            </w14:textFill>
          </w:rPr>
          <m:t>=</m:t>
        </m:r>
        <m:r>
          <m:rPr>
            <m:sty m:val="p"/>
          </m:rPr>
          <w:rPr>
            <w:rFonts w:ascii="Cambria Math" w:hAnsi="Cambria Math" w:cs="Times New Roman"/>
            <w:color w:val="000000" w:themeColor="text1"/>
            <w:sz w:val="24"/>
            <w:szCs w:val="20"/>
            <w14:textFill>
              <w14:solidFill>
                <w14:schemeClr w14:val="tx1"/>
              </w14:solidFill>
            </w14:textFill>
          </w:rPr>
          <m:t>min</m:t>
        </m:r>
        <m:r>
          <m:rPr>
            <m:sty m:val="p"/>
          </m:rPr>
          <w:rPr>
            <w:rFonts w:hint="eastAsia" w:ascii="Cambria Math" w:hAnsi="Cambria Math" w:cs="Times New Roman"/>
            <w:color w:val="000000" w:themeColor="text1"/>
            <w:sz w:val="24"/>
            <w:szCs w:val="20"/>
            <w14:textFill>
              <w14:solidFill>
                <w14:schemeClr w14:val="tx1"/>
              </w14:solidFill>
            </w14:textFill>
          </w:rPr>
          <m:t>（</m:t>
        </m:r>
        <m:sSub>
          <m:sSubPr>
            <m:ctrlPr>
              <w:rPr>
                <w:rFonts w:ascii="Cambria Math" w:hAnsi="Cambria Math" w:cs="Times New Roman"/>
                <w:bCs/>
                <w:iCs/>
                <w:color w:val="000000" w:themeColor="text1"/>
                <w:sz w:val="24"/>
                <w:szCs w:val="20"/>
                <w14:textFill>
                  <w14:solidFill>
                    <w14:schemeClr w14:val="tx1"/>
                  </w14:solidFill>
                </w14:textFill>
              </w:rPr>
            </m:ctrlPr>
          </m:sSubPr>
          <m:e>
            <m:r>
              <m:rPr>
                <m:sty m:val="p"/>
              </m:rPr>
              <w:rPr>
                <w:rFonts w:ascii="Cambria Math" w:hAnsi="Cambria Math" w:cs="Times New Roman"/>
                <w:color w:val="000000" w:themeColor="text1"/>
                <w:sz w:val="24"/>
                <w:szCs w:val="20"/>
                <w14:textFill>
                  <w14:solidFill>
                    <w14:schemeClr w14:val="tx1"/>
                  </w14:solidFill>
                </w14:textFill>
              </w:rPr>
              <m:t>n</m:t>
            </m:r>
            <m:ctrlPr>
              <w:rPr>
                <w:rFonts w:ascii="Cambria Math" w:hAnsi="Cambria Math" w:cs="Times New Roman"/>
                <w:bCs/>
                <w:iCs/>
                <w:color w:val="000000" w:themeColor="text1"/>
                <w:sz w:val="24"/>
                <w:szCs w:val="20"/>
                <w14:textFill>
                  <w14:solidFill>
                    <w14:schemeClr w14:val="tx1"/>
                  </w14:solidFill>
                </w14:textFill>
              </w:rPr>
            </m:ctrlPr>
          </m:e>
          <m:sub>
            <m:r>
              <w:rPr>
                <w:rFonts w:ascii="Cambria Math" w:hAnsi="Cambria Math" w:cs="Times New Roman"/>
                <w:color w:val="000000" w:themeColor="text1"/>
                <w:sz w:val="24"/>
                <w:szCs w:val="20"/>
                <w14:textFill>
                  <w14:solidFill>
                    <w14:schemeClr w14:val="tx1"/>
                  </w14:solidFill>
                </w14:textFill>
              </w:rPr>
              <m:t>v</m:t>
            </m:r>
            <m:ctrlPr>
              <w:rPr>
                <w:rFonts w:ascii="Cambria Math" w:hAnsi="Cambria Math" w:cs="Times New Roman"/>
                <w:bCs/>
                <w:iCs/>
                <w:color w:val="000000" w:themeColor="text1"/>
                <w:sz w:val="24"/>
                <w:szCs w:val="20"/>
                <w14:textFill>
                  <w14:solidFill>
                    <w14:schemeClr w14:val="tx1"/>
                  </w14:solidFill>
                </w14:textFill>
              </w:rPr>
            </m:ctrlPr>
          </m:sub>
        </m:sSub>
        <m:sSub>
          <m:sSubPr>
            <m:ctrlPr>
              <w:rPr>
                <w:rFonts w:ascii="Cambria Math" w:hAnsi="Cambria Math" w:cs="Times New Roman"/>
                <w:bCs/>
                <w:iCs/>
                <w:color w:val="000000" w:themeColor="text1"/>
                <w:sz w:val="24"/>
                <w:szCs w:val="20"/>
                <w14:textFill>
                  <w14:solidFill>
                    <w14:schemeClr w14:val="tx1"/>
                  </w14:solidFill>
                </w14:textFill>
              </w:rPr>
            </m:ctrlPr>
          </m:sSubPr>
          <m:e>
            <m:r>
              <m:rPr>
                <m:sty m:val="p"/>
              </m:rPr>
              <w:rPr>
                <w:rFonts w:ascii="Cambria Math" w:hAnsi="Cambria Math" w:cs="Times New Roman"/>
                <w:color w:val="000000" w:themeColor="text1"/>
                <w:sz w:val="24"/>
                <w:szCs w:val="20"/>
                <w14:textFill>
                  <w14:solidFill>
                    <w14:schemeClr w14:val="tx1"/>
                  </w14:solidFill>
                </w14:textFill>
              </w:rPr>
              <m:t>A</m:t>
            </m:r>
            <m:ctrlPr>
              <w:rPr>
                <w:rFonts w:ascii="Cambria Math" w:hAnsi="Cambria Math" w:cs="Times New Roman"/>
                <w:bCs/>
                <w:iCs/>
                <w:color w:val="000000" w:themeColor="text1"/>
                <w:sz w:val="24"/>
                <w:szCs w:val="20"/>
                <w14:textFill>
                  <w14:solidFill>
                    <w14:schemeClr w14:val="tx1"/>
                  </w14:solidFill>
                </w14:textFill>
              </w:rPr>
            </m:ctrlPr>
          </m:e>
          <m:sub>
            <m:r>
              <w:rPr>
                <w:rFonts w:ascii="Cambria Math" w:hAnsi="Cambria Math" w:cs="Times New Roman"/>
                <w:color w:val="000000" w:themeColor="text1"/>
                <w:sz w:val="24"/>
                <w:szCs w:val="20"/>
                <w14:textFill>
                  <w14:solidFill>
                    <w14:schemeClr w14:val="tx1"/>
                  </w14:solidFill>
                </w14:textFill>
              </w:rPr>
              <m:t>bo</m:t>
            </m:r>
            <m:ctrlPr>
              <w:rPr>
                <w:rFonts w:ascii="Cambria Math" w:hAnsi="Cambria Math" w:cs="Times New Roman"/>
                <w:bCs/>
                <w:iCs/>
                <w:color w:val="000000" w:themeColor="text1"/>
                <w:sz w:val="24"/>
                <w:szCs w:val="20"/>
                <w14:textFill>
                  <w14:solidFill>
                    <w14:schemeClr w14:val="tx1"/>
                  </w14:solidFill>
                </w14:textFill>
              </w:rPr>
            </m:ctrlPr>
          </m:sub>
        </m:sSub>
        <m:sSubSup>
          <m:sSubSupPr>
            <m:ctrlPr>
              <w:rPr>
                <w:rFonts w:ascii="Cambria Math" w:hAnsi="Cambria Math"/>
                <w:bCs/>
                <w:i/>
                <w:color w:val="000000" w:themeColor="text1"/>
                <w:szCs w:val="21"/>
                <w14:textFill>
                  <w14:solidFill>
                    <w14:schemeClr w14:val="tx1"/>
                  </w14:solidFill>
                </w14:textFill>
              </w:rPr>
            </m:ctrlPr>
          </m:sSubSupPr>
          <m:e>
            <m:r>
              <m:rPr>
                <m:sty m:val="p"/>
              </m:rP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v</m:t>
            </m:r>
            <m:ctrlPr>
              <w:rPr>
                <w:rFonts w:ascii="Cambria Math" w:hAnsi="Cambria Math"/>
                <w:bCs/>
                <w:i/>
                <w:color w:val="000000" w:themeColor="text1"/>
                <w:szCs w:val="21"/>
                <w14:textFill>
                  <w14:solidFill>
                    <w14:schemeClr w14:val="tx1"/>
                  </w14:solidFill>
                </w14:textFill>
              </w:rPr>
            </m:ctrlPr>
          </m:sub>
          <m:sup>
            <m:r>
              <w:rPr>
                <w:rFonts w:ascii="Cambria Math" w:hAnsi="Cambria Math"/>
                <w:color w:val="000000" w:themeColor="text1"/>
                <w:szCs w:val="21"/>
                <w14:textFill>
                  <w14:solidFill>
                    <w14:schemeClr w14:val="tx1"/>
                  </w14:solidFill>
                </w14:textFill>
              </w:rPr>
              <m:t>b</m:t>
            </m:r>
            <m:ctrlPr>
              <w:rPr>
                <w:rFonts w:ascii="Cambria Math" w:hAnsi="Cambria Math"/>
                <w:bCs/>
                <w:i/>
                <w:color w:val="000000" w:themeColor="text1"/>
                <w:szCs w:val="21"/>
                <w14:textFill>
                  <w14:solidFill>
                    <w14:schemeClr w14:val="tx1"/>
                  </w14:solidFill>
                </w14:textFill>
              </w:rPr>
            </m:ctrlPr>
          </m:sup>
        </m:sSubSup>
        <m:r>
          <m:rPr>
            <m:sty m:val="p"/>
          </m:rPr>
          <w:rPr>
            <w:rFonts w:hint="eastAsia" w:ascii="Cambria Math" w:hAnsi="Cambria Math" w:cs="Times New Roman"/>
            <w:color w:val="000000" w:themeColor="text1"/>
            <w:sz w:val="24"/>
            <w:szCs w:val="20"/>
            <w14:textFill>
              <w14:solidFill>
                <w14:schemeClr w14:val="tx1"/>
              </w14:solidFill>
            </w14:textFill>
          </w:rPr>
          <m:t>，</m:t>
        </m:r>
        <m:r>
          <w:rPr>
            <w:rFonts w:ascii="Cambria Math" w:hAnsi="Cambria Math" w:cs="Times New Roman"/>
            <w:color w:val="000000" w:themeColor="text1"/>
            <w:sz w:val="24"/>
            <w:szCs w:val="20"/>
            <w14:textFill>
              <w14:solidFill>
                <w14:schemeClr w14:val="tx1"/>
              </w14:solidFill>
            </w14:textFill>
          </w:rPr>
          <m:t>d</m:t>
        </m:r>
        <m:nary>
          <m:naryPr>
            <m:chr m:val="∑"/>
            <m:limLoc m:val="undOvr"/>
            <m:subHide m:val="1"/>
            <m:supHide m:val="1"/>
            <m:ctrlPr>
              <w:rPr>
                <w:rFonts w:ascii="Cambria Math" w:hAnsi="Cambria Math" w:cs="Times New Roman"/>
                <w:bCs/>
                <w:i/>
                <w:iCs/>
                <w:color w:val="000000" w:themeColor="text1"/>
                <w:sz w:val="24"/>
                <w:szCs w:val="20"/>
                <w14:textFill>
                  <w14:solidFill>
                    <w14:schemeClr w14:val="tx1"/>
                  </w14:solidFill>
                </w14:textFill>
              </w:rPr>
            </m:ctrlPr>
          </m:naryPr>
          <m:sub>
            <m:ctrlPr>
              <w:rPr>
                <w:rFonts w:ascii="Cambria Math" w:hAnsi="Cambria Math" w:cs="Times New Roman"/>
                <w:bCs/>
                <w:i/>
                <w:iCs/>
                <w:color w:val="000000" w:themeColor="text1"/>
                <w:sz w:val="24"/>
                <w:szCs w:val="20"/>
                <w14:textFill>
                  <w14:solidFill>
                    <w14:schemeClr w14:val="tx1"/>
                  </w14:solidFill>
                </w14:textFill>
              </w:rPr>
            </m:ctrlPr>
          </m:sub>
          <m:sup>
            <m:ctrlPr>
              <w:rPr>
                <w:rFonts w:ascii="Cambria Math" w:hAnsi="Cambria Math" w:cs="Times New Roman"/>
                <w:bCs/>
                <w:i/>
                <w:iCs/>
                <w:color w:val="000000" w:themeColor="text1"/>
                <w:sz w:val="24"/>
                <w:szCs w:val="20"/>
                <w14:textFill>
                  <w14:solidFill>
                    <w14:schemeClr w14:val="tx1"/>
                  </w14:solidFill>
                </w14:textFill>
              </w:rPr>
            </m:ctrlPr>
          </m:sup>
          <m:e>
            <m:r>
              <w:rPr>
                <w:rFonts w:ascii="Cambria Math" w:hAnsi="Cambria Math" w:cs="Times New Roman"/>
                <w:color w:val="000000" w:themeColor="text1"/>
                <w:sz w:val="24"/>
                <w:szCs w:val="20"/>
                <w14:textFill>
                  <w14:solidFill>
                    <w14:schemeClr w14:val="tx1"/>
                  </w14:solidFill>
                </w14:textFill>
              </w:rPr>
              <m:t>t</m:t>
            </m:r>
            <m:sSubSup>
              <m:sSubSupPr>
                <m:ctrlPr>
                  <w:rPr>
                    <w:rFonts w:ascii="Cambria Math" w:hAnsi="Cambria Math"/>
                    <w:bCs/>
                    <w:iCs/>
                    <w:color w:val="000000" w:themeColor="text1"/>
                    <w:szCs w:val="21"/>
                    <w14:textFill>
                      <w14:solidFill>
                        <w14:schemeClr w14:val="tx1"/>
                      </w14:solidFill>
                    </w14:textFill>
                  </w:rPr>
                </m:ctrlPr>
              </m:sSubSupPr>
              <m:e>
                <m:r>
                  <m:rPr>
                    <m:sty m:val="p"/>
                  </m:rPr>
                  <w:rPr>
                    <w:rFonts w:hint="eastAsia" w:ascii="Cambria Math" w:hAnsi="Cambria Math"/>
                    <w:color w:val="000000" w:themeColor="text1"/>
                    <w:szCs w:val="21"/>
                    <w14:textFill>
                      <w14:solidFill>
                        <w14:schemeClr w14:val="tx1"/>
                      </w14:solidFill>
                    </w14:textFill>
                  </w:rPr>
                  <m:t>ƒ</m:t>
                </m:r>
                <m:ctrlPr>
                  <w:rPr>
                    <w:rFonts w:ascii="Cambria Math" w:hAnsi="Cambria Math"/>
                    <w:bCs/>
                    <w:iCs/>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c</m:t>
                </m:r>
                <m:ctrlPr>
                  <w:rPr>
                    <w:rFonts w:ascii="Cambria Math" w:hAnsi="Cambria Math"/>
                    <w:bCs/>
                    <w:iCs/>
                    <w:color w:val="000000" w:themeColor="text1"/>
                    <w:szCs w:val="21"/>
                    <w14:textFill>
                      <w14:solidFill>
                        <w14:schemeClr w14:val="tx1"/>
                      </w14:solidFill>
                    </w14:textFill>
                  </w:rPr>
                </m:ctrlPr>
              </m:sub>
              <m:sup>
                <m:r>
                  <w:rPr>
                    <w:rFonts w:ascii="Cambria Math" w:hAnsi="Cambria Math"/>
                    <w:color w:val="000000" w:themeColor="text1"/>
                    <w:szCs w:val="21"/>
                    <w14:textFill>
                      <w14:solidFill>
                        <w14:schemeClr w14:val="tx1"/>
                      </w14:solidFill>
                    </w14:textFill>
                  </w:rPr>
                  <m:t>b</m:t>
                </m:r>
                <m:ctrlPr>
                  <w:rPr>
                    <w:rFonts w:ascii="Cambria Math" w:hAnsi="Cambria Math"/>
                    <w:bCs/>
                    <w:iCs/>
                    <w:color w:val="000000" w:themeColor="text1"/>
                    <w:szCs w:val="21"/>
                    <w14:textFill>
                      <w14:solidFill>
                        <w14:schemeClr w14:val="tx1"/>
                      </w14:solidFill>
                    </w14:textFill>
                  </w:rPr>
                </m:ctrlPr>
              </m:sup>
            </m:sSubSup>
            <m:ctrlPr>
              <w:rPr>
                <w:rFonts w:ascii="Cambria Math" w:hAnsi="Cambria Math" w:cs="Times New Roman"/>
                <w:bCs/>
                <w:i/>
                <w:iCs/>
                <w:color w:val="000000" w:themeColor="text1"/>
                <w:sz w:val="24"/>
                <w:szCs w:val="20"/>
                <w14:textFill>
                  <w14:solidFill>
                    <w14:schemeClr w14:val="tx1"/>
                  </w14:solidFill>
                </w14:textFill>
              </w:rPr>
            </m:ctrlPr>
          </m:e>
        </m:nary>
        <m:r>
          <m:rPr>
            <m:sty m:val="p"/>
          </m:rPr>
          <w:rPr>
            <w:rFonts w:hint="eastAsia" w:ascii="Cambria Math" w:hAnsi="Cambria Math" w:cs="Times New Roman"/>
            <w:color w:val="000000" w:themeColor="text1"/>
            <w:sz w:val="24"/>
            <w:szCs w:val="20"/>
            <w14:textFill>
              <w14:solidFill>
                <w14:schemeClr w14:val="tx1"/>
              </w14:solidFill>
            </w14:textFill>
          </w:rPr>
          <m:t>）</m:t>
        </m:r>
        <w:bookmarkEnd w:id="183"/>
      </m:oMath>
      <w:r>
        <w:rPr>
          <w:bCs/>
          <w:iCs/>
          <w:color w:val="000000" w:themeColor="text1"/>
          <w:kern w:val="0"/>
          <w:szCs w:val="21"/>
          <w14:textFill>
            <w14:solidFill>
              <w14:schemeClr w14:val="tx1"/>
            </w14:solidFill>
          </w14:textFill>
        </w:rPr>
        <w:t xml:space="preserve">  </w:t>
      </w:r>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.2.9-10</w:t>
      </w:r>
      <w:r>
        <w:rPr>
          <w:rFonts w:hint="eastAsia"/>
          <w:bCs/>
          <w:color w:val="000000" w:themeColor="text1"/>
          <w:kern w:val="0"/>
          <w:szCs w:val="21"/>
          <w14:textFill>
            <w14:solidFill>
              <w14:schemeClr w14:val="tx1"/>
            </w14:solidFill>
          </w14:textFill>
        </w:rPr>
        <w:t>）</w:t>
      </w:r>
    </w:p>
    <w:p>
      <w:pPr>
        <w:spacing w:line="400" w:lineRule="exact"/>
        <w:ind w:firstLine="199" w:firstLineChars="95"/>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式中：</w:t>
      </w:r>
      <m:oMath>
        <m:sSub>
          <m:sSubPr>
            <m:ctrlPr>
              <w:rPr>
                <w:rFonts w:ascii="Cambria Math" w:hAnsi="Cambria Math" w:cs="Times New Roman"/>
                <w:bCs/>
                <w:i/>
                <w:color w:val="000000" w:themeColor="text1"/>
                <w:kern w:val="0"/>
                <w:szCs w:val="21"/>
                <w14:textFill>
                  <w14:solidFill>
                    <w14:schemeClr w14:val="tx1"/>
                  </w14:solidFill>
                </w14:textFill>
              </w:rPr>
            </m:ctrlPr>
          </m:sSubPr>
          <m:e>
            <m:r>
              <w:rPr>
                <w:rFonts w:ascii="Cambria Math" w:hAnsi="Cambria Math" w:cs="Times New Roman"/>
                <w:color w:val="000000" w:themeColor="text1"/>
                <w:kern w:val="0"/>
                <w:szCs w:val="21"/>
                <w14:textFill>
                  <w14:solidFill>
                    <w14:schemeClr w14:val="tx1"/>
                  </w14:solidFill>
                </w14:textFill>
              </w:rPr>
              <m:t>N</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Cs w:val="21"/>
                <w14:textFill>
                  <w14:solidFill>
                    <w14:schemeClr w14:val="tx1"/>
                  </w14:solidFill>
                </w14:textFill>
              </w:rPr>
              <m:t>jubr</m:t>
            </m:r>
            <m:ctrlPr>
              <w:rPr>
                <w:rFonts w:ascii="Cambria Math" w:hAnsi="Cambria Math" w:cs="Times New Roman"/>
                <w:bCs/>
                <w:i/>
                <w:color w:val="000000" w:themeColor="text1"/>
                <w:kern w:val="0"/>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支撑</w:t>
      </w:r>
      <w:r>
        <w:rPr>
          <w:rFonts w:hint="eastAsia"/>
          <w:bCs/>
          <w:color w:val="000000" w:themeColor="text1"/>
          <w14:textFill>
            <w14:solidFill>
              <w14:schemeClr w14:val="tx1"/>
            </w14:solidFill>
          </w14:textFill>
        </w:rPr>
        <w:t>连接</w:t>
      </w:r>
      <w:r>
        <w:rPr>
          <w:rFonts w:hint="eastAsia"/>
          <w:bCs/>
          <w:color w:val="000000" w:themeColor="text1"/>
          <w:szCs w:val="21"/>
          <w14:textFill>
            <w14:solidFill>
              <w14:schemeClr w14:val="tx1"/>
            </w14:solidFill>
          </w14:textFill>
        </w:rPr>
        <w:t>的极限承载力；</w:t>
      </w:r>
    </w:p>
    <w:p>
      <w:pPr>
        <w:spacing w:line="400" w:lineRule="exact"/>
        <w:ind w:firstLine="829" w:firstLineChars="395"/>
        <w:jc w:val="left"/>
        <w:rPr>
          <w:bCs/>
          <w:color w:val="000000" w:themeColor="text1"/>
          <w:szCs w:val="21"/>
          <w14:textFill>
            <w14:solidFill>
              <w14:schemeClr w14:val="tx1"/>
            </w14:solidFill>
          </w14:textFill>
        </w:rPr>
      </w:pPr>
      <m:oMath>
        <m:sSub>
          <m:sSubPr>
            <m:ctrlPr>
              <w:rPr>
                <w:rFonts w:ascii="Cambria Math" w:hAnsi="Cambria Math" w:cs="宋体" w:eastAsiaTheme="minorEastAsia"/>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eastAsiaTheme="minorEastAsia"/>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j</m:t>
            </m:r>
            <m:ctrlPr>
              <w:rPr>
                <w:rFonts w:ascii="Cambria Math" w:hAnsi="Cambria Math" w:cs="宋体" w:eastAsiaTheme="minorEastAsia"/>
                <w:bCs/>
                <w:iCs/>
                <w:snapToGrid w:val="0"/>
                <w:color w:val="000000" w:themeColor="text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连接系数，按表9</w:t>
      </w:r>
      <w:r>
        <w:rPr>
          <w:bCs/>
          <w:color w:val="000000" w:themeColor="text1"/>
          <w:szCs w:val="21"/>
          <w14:textFill>
            <w14:solidFill>
              <w14:schemeClr w14:val="tx1"/>
            </w14:solidFill>
          </w14:textFill>
        </w:rPr>
        <w:t>.2.8</w:t>
      </w:r>
      <w:r>
        <w:rPr>
          <w:rFonts w:hint="eastAsia"/>
          <w:bCs/>
          <w:color w:val="000000" w:themeColor="text1"/>
          <w:szCs w:val="21"/>
          <w14:textFill>
            <w14:solidFill>
              <w14:schemeClr w14:val="tx1"/>
            </w14:solidFill>
          </w14:textFill>
        </w:rPr>
        <w:t>-1采用；</w:t>
      </w:r>
    </w:p>
    <w:p>
      <w:pPr>
        <w:spacing w:after="120" w:line="400" w:lineRule="exact"/>
        <w:ind w:firstLine="840" w:firstLineChars="400"/>
        <w:jc w:val="left"/>
        <w:rPr>
          <w:rFonts w:cs="Times New Roman"/>
          <w:bCs/>
          <w:color w:val="000000" w:themeColor="text1"/>
          <w:szCs w:val="21"/>
          <w14:textFill>
            <w14:solidFill>
              <w14:schemeClr w14:val="tx1"/>
            </w14:solidFill>
          </w14:textFill>
        </w:rPr>
      </w:pPr>
      <m:oMath>
        <m:sSubSup>
          <m:sSubSupPr>
            <m:ctrlPr>
              <w:rPr>
                <w:rFonts w:ascii="Cambria Math" w:hAnsi="Cambria Math" w:cs="Times New Roman"/>
                <w:bCs/>
                <w:i/>
                <w:color w:val="000000" w:themeColor="text1"/>
                <w:kern w:val="0"/>
                <w:szCs w:val="21"/>
                <w14:textFill>
                  <w14:solidFill>
                    <w14:schemeClr w14:val="tx1"/>
                  </w14:solidFill>
                </w14:textFill>
              </w:rPr>
            </m:ctrlPr>
          </m:sSubSupPr>
          <m:e>
            <m:r>
              <w:rPr>
                <w:rFonts w:ascii="Cambria Math" w:hAnsi="Cambria Math" w:cs="Times New Roman"/>
                <w:color w:val="000000" w:themeColor="text1"/>
                <w:kern w:val="0"/>
                <w:sz w:val="24"/>
                <w:szCs w:val="21"/>
                <w14:textFill>
                  <w14:solidFill>
                    <w14:schemeClr w14:val="tx1"/>
                  </w14:solidFill>
                </w14:textFill>
              </w:rPr>
              <m:t>A</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 w:val="24"/>
                <w:szCs w:val="21"/>
                <w14:textFill>
                  <w14:solidFill>
                    <w14:schemeClr w14:val="tx1"/>
                  </w14:solidFill>
                </w14:textFill>
              </w:rPr>
              <m:t>f</m:t>
            </m:r>
            <m:ctrlPr>
              <w:rPr>
                <w:rFonts w:ascii="Cambria Math" w:hAnsi="Cambria Math" w:cs="Times New Roman"/>
                <w:bCs/>
                <w:i/>
                <w:color w:val="000000" w:themeColor="text1"/>
                <w:kern w:val="0"/>
                <w:szCs w:val="21"/>
                <w14:textFill>
                  <w14:solidFill>
                    <w14:schemeClr w14:val="tx1"/>
                  </w14:solidFill>
                </w14:textFill>
              </w:rPr>
            </m:ctrlPr>
          </m:sub>
          <m:sup>
            <m:r>
              <w:rPr>
                <w:rFonts w:ascii="Cambria Math" w:hAnsi="Cambria Math" w:cs="Times New Roman"/>
                <w:color w:val="000000" w:themeColor="text1"/>
                <w:kern w:val="0"/>
                <w:sz w:val="24"/>
                <w:szCs w:val="21"/>
                <w14:textFill>
                  <w14:solidFill>
                    <w14:schemeClr w14:val="tx1"/>
                  </w14:solidFill>
                </w14:textFill>
              </w:rPr>
              <m:t>w</m:t>
            </m:r>
            <m:ctrlPr>
              <w:rPr>
                <w:rFonts w:ascii="Cambria Math" w:hAnsi="Cambria Math" w:cs="Times New Roman"/>
                <w:bCs/>
                <w:i/>
                <w:color w:val="000000" w:themeColor="text1"/>
                <w:kern w:val="0"/>
                <w:szCs w:val="21"/>
                <w14:textFill>
                  <w14:solidFill>
                    <w14:schemeClr w14:val="tx1"/>
                  </w14:solidFill>
                </w14:textFill>
              </w:rPr>
            </m:ctrlPr>
          </m:sup>
        </m:sSubSup>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连接焊缝的有效截面积；</w:t>
      </w:r>
      <w:r>
        <w:rPr>
          <w:rFonts w:cs="Times New Roman"/>
          <w:bCs/>
          <w:color w:val="000000" w:themeColor="text1"/>
          <w:szCs w:val="21"/>
          <w14:textFill>
            <w14:solidFill>
              <w14:schemeClr w14:val="tx1"/>
            </w14:solidFill>
          </w14:textFill>
        </w:rPr>
        <w:tab/>
      </w:r>
    </w:p>
    <w:p>
      <w:pPr>
        <w:spacing w:line="400" w:lineRule="exact"/>
        <w:ind w:left="1344" w:leftChars="340" w:hanging="630" w:hangingChars="300"/>
        <w:jc w:val="left"/>
        <w:rPr>
          <w:rFonts w:cs="Times New Roman"/>
          <w:bCs/>
          <w:color w:val="000000" w:themeColor="text1"/>
          <w:szCs w:val="21"/>
          <w14:textFill>
            <w14:solidFill>
              <w14:schemeClr w14:val="tx1"/>
            </w14:solidFill>
          </w14:textFill>
        </w:rPr>
      </w:pPr>
      <m:oMath>
        <m:sSubSup>
          <m:sSubSupPr>
            <m:ctrlPr>
              <w:rPr>
                <w:rFonts w:ascii="Cambria Math" w:hAnsi="Cambria Math" w:cs="Times New Roman"/>
                <w:bCs/>
                <w:i/>
                <w:color w:val="000000" w:themeColor="text1"/>
                <w:kern w:val="0"/>
                <w:szCs w:val="21"/>
                <w14:textFill>
                  <w14:solidFill>
                    <w14:schemeClr w14:val="tx1"/>
                  </w14:solidFill>
                </w14:textFill>
              </w:rPr>
            </m:ctrlPr>
          </m:sSubSupPr>
          <m:e>
            <m:r>
              <w:rPr>
                <w:rFonts w:ascii="Cambria Math" w:hAnsi="Cambria Math" w:cs="Times New Roman"/>
                <w:color w:val="000000" w:themeColor="text1"/>
                <w:sz w:val="24"/>
                <w:szCs w:val="21"/>
                <w14:textFill>
                  <w14:solidFill>
                    <w14:schemeClr w14:val="tx1"/>
                  </w14:solidFill>
                </w14:textFill>
              </w:rPr>
              <m:t xml:space="preserve">  </m:t>
            </m:r>
            <m:r>
              <w:rPr>
                <w:rFonts w:hint="eastAsia" w:ascii="Cambria Math" w:hAnsi="Cambria Math" w:cs="Times New Roman"/>
                <w:color w:val="000000" w:themeColor="text1"/>
                <w:sz w:val="24"/>
                <w:szCs w:val="21"/>
                <w14:textFill>
                  <w14:solidFill>
                    <w14:schemeClr w14:val="tx1"/>
                  </w14:solidFill>
                </w14:textFill>
              </w:rPr>
              <m:t>ƒ</m:t>
            </m:r>
            <m:ctrlPr>
              <w:rPr>
                <w:rFonts w:ascii="Cambria Math" w:hAnsi="Cambria Math" w:cs="Times New Roman"/>
                <w:bCs/>
                <w:i/>
                <w:color w:val="000000" w:themeColor="text1"/>
                <w:kern w:val="0"/>
                <w:szCs w:val="21"/>
                <w14:textFill>
                  <w14:solidFill>
                    <w14:schemeClr w14:val="tx1"/>
                  </w14:solidFill>
                </w14:textFill>
              </w:rPr>
            </m:ctrlPr>
          </m:e>
          <m:sub>
            <m:r>
              <w:rPr>
                <w:rFonts w:ascii="Cambria Math" w:hAnsi="Cambria Math" w:cs="Times New Roman"/>
                <w:color w:val="000000" w:themeColor="text1"/>
                <w:kern w:val="0"/>
                <w:sz w:val="24"/>
                <w:szCs w:val="21"/>
                <w14:textFill>
                  <w14:solidFill>
                    <w14:schemeClr w14:val="tx1"/>
                  </w14:solidFill>
                </w14:textFill>
              </w:rPr>
              <m:t>u</m:t>
            </m:r>
            <m:ctrlPr>
              <w:rPr>
                <w:rFonts w:ascii="Cambria Math" w:hAnsi="Cambria Math" w:cs="Times New Roman"/>
                <w:bCs/>
                <w:i/>
                <w:color w:val="000000" w:themeColor="text1"/>
                <w:kern w:val="0"/>
                <w:szCs w:val="21"/>
                <w14:textFill>
                  <w14:solidFill>
                    <w14:schemeClr w14:val="tx1"/>
                  </w14:solidFill>
                </w14:textFill>
              </w:rPr>
            </m:ctrlPr>
          </m:sub>
          <m:sup>
            <m:r>
              <w:rPr>
                <w:rFonts w:ascii="Cambria Math" w:hAnsi="Cambria Math" w:cs="Times New Roman"/>
                <w:color w:val="000000" w:themeColor="text1"/>
                <w:kern w:val="0"/>
                <w:sz w:val="24"/>
                <w:szCs w:val="21"/>
                <w14:textFill>
                  <w14:solidFill>
                    <w14:schemeClr w14:val="tx1"/>
                  </w14:solidFill>
                </w14:textFill>
              </w:rPr>
              <m:t xml:space="preserve">  f</m:t>
            </m:r>
            <m:ctrlPr>
              <w:rPr>
                <w:rFonts w:ascii="Cambria Math" w:hAnsi="Cambria Math" w:cs="Times New Roman"/>
                <w:bCs/>
                <w:i/>
                <w:color w:val="000000" w:themeColor="text1"/>
                <w:kern w:val="0"/>
                <w:szCs w:val="21"/>
                <w14:textFill>
                  <w14:solidFill>
                    <w14:schemeClr w14:val="tx1"/>
                  </w14:solidFill>
                </w14:textFill>
              </w:rPr>
            </m:ctrlPr>
          </m:sup>
        </m:sSubSup>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角焊缝的抗剪强度，</w:t>
      </w:r>
      <w:r>
        <w:rPr>
          <w:rFonts w:cs="Times New Roman"/>
          <w:bCs/>
          <w:color w:val="000000" w:themeColor="text1"/>
          <w:szCs w:val="21"/>
          <w14:textFill>
            <w14:solidFill>
              <w14:schemeClr w14:val="tx1"/>
            </w14:solidFill>
          </w14:textFill>
        </w:rPr>
        <w:t>Q235</w:t>
      </w:r>
      <w:r>
        <w:rPr>
          <w:rFonts w:hint="eastAsia" w:cs="Times New Roman"/>
          <w:bCs/>
          <w:color w:val="000000" w:themeColor="text1"/>
          <w:szCs w:val="21"/>
          <w14:textFill>
            <w14:solidFill>
              <w14:schemeClr w14:val="tx1"/>
            </w14:solidFill>
          </w14:textFill>
        </w:rPr>
        <w:t>钢材采用</w:t>
      </w:r>
      <w:r>
        <w:rPr>
          <w:rFonts w:cs="Times New Roman"/>
          <w:bCs/>
          <w:color w:val="000000" w:themeColor="text1"/>
          <w:szCs w:val="21"/>
          <w14:textFill>
            <w14:solidFill>
              <w14:schemeClr w14:val="tx1"/>
            </w14:solidFill>
          </w14:textFill>
        </w:rPr>
        <w:t>E43</w:t>
      </w:r>
      <w:r>
        <w:rPr>
          <w:rFonts w:hint="eastAsia" w:cs="Times New Roman"/>
          <w:bCs/>
          <w:color w:val="000000" w:themeColor="text1"/>
          <w:szCs w:val="21"/>
          <w14:textFill>
            <w14:solidFill>
              <w14:schemeClr w14:val="tx1"/>
            </w14:solidFill>
          </w14:textFill>
        </w:rPr>
        <w:t>型焊条时，取</w:t>
      </w:r>
      <w:r>
        <w:rPr>
          <w:rFonts w:cs="Times New Roman"/>
          <w:bCs/>
          <w:color w:val="000000" w:themeColor="text1"/>
          <w:szCs w:val="21"/>
          <w14:textFill>
            <w14:solidFill>
              <w14:schemeClr w14:val="tx1"/>
            </w14:solidFill>
          </w14:textFill>
        </w:rPr>
        <w:t>240N/mm</w:t>
      </w:r>
      <w:r>
        <w:rPr>
          <w:rFonts w:cs="Times New Roman"/>
          <w:bCs/>
          <w:color w:val="000000" w:themeColor="text1"/>
          <w:szCs w:val="21"/>
          <w:vertAlign w:val="superscript"/>
          <w14:textFill>
            <w14:solidFill>
              <w14:schemeClr w14:val="tx1"/>
            </w14:solidFill>
          </w14:textFill>
        </w:rPr>
        <w:t>2</w:t>
      </w:r>
      <w:r>
        <w:rPr>
          <w:rFonts w:hint="eastAsia" w:cs="Times New Roman"/>
          <w:bCs/>
          <w:color w:val="000000" w:themeColor="text1"/>
          <w:szCs w:val="21"/>
          <w14:textFill>
            <w14:solidFill>
              <w14:schemeClr w14:val="tx1"/>
            </w14:solidFill>
          </w14:textFill>
        </w:rPr>
        <w:t>；</w:t>
      </w:r>
      <w:r>
        <w:rPr>
          <w:rFonts w:cs="Times New Roman"/>
          <w:bCs/>
          <w:color w:val="000000" w:themeColor="text1"/>
          <w:szCs w:val="21"/>
          <w14:textFill>
            <w14:solidFill>
              <w14:schemeClr w14:val="tx1"/>
            </w14:solidFill>
          </w14:textFill>
        </w:rPr>
        <w:t>Q3</w:t>
      </w:r>
      <w:r>
        <w:rPr>
          <w:rFonts w:hint="eastAsia" w:cs="Times New Roman"/>
          <w:bCs/>
          <w:color w:val="000000" w:themeColor="text1"/>
          <w:szCs w:val="21"/>
          <w14:textFill>
            <w14:solidFill>
              <w14:schemeClr w14:val="tx1"/>
            </w14:solidFill>
          </w14:textFill>
        </w:rPr>
        <w:t>5</w:t>
      </w:r>
      <w:r>
        <w:rPr>
          <w:rFonts w:cs="Times New Roman"/>
          <w:bCs/>
          <w:color w:val="000000" w:themeColor="text1"/>
          <w:szCs w:val="21"/>
          <w14:textFill>
            <w14:solidFill>
              <w14:schemeClr w14:val="tx1"/>
            </w14:solidFill>
          </w14:textFill>
        </w:rPr>
        <w:t>5</w:t>
      </w:r>
      <w:r>
        <w:rPr>
          <w:rFonts w:hint="eastAsia" w:cs="Times New Roman"/>
          <w:bCs/>
          <w:color w:val="000000" w:themeColor="text1"/>
          <w:szCs w:val="21"/>
          <w14:textFill>
            <w14:solidFill>
              <w14:schemeClr w14:val="tx1"/>
            </w14:solidFill>
          </w14:textFill>
        </w:rPr>
        <w:t>钢材，采用</w:t>
      </w:r>
      <w:r>
        <w:rPr>
          <w:rFonts w:cs="Times New Roman"/>
          <w:bCs/>
          <w:color w:val="000000" w:themeColor="text1"/>
          <w:szCs w:val="21"/>
          <w14:textFill>
            <w14:solidFill>
              <w14:schemeClr w14:val="tx1"/>
            </w14:solidFill>
          </w14:textFill>
        </w:rPr>
        <w:t>E50</w:t>
      </w:r>
      <w:r>
        <w:rPr>
          <w:rFonts w:hint="eastAsia" w:cs="Times New Roman"/>
          <w:bCs/>
          <w:color w:val="000000" w:themeColor="text1"/>
          <w:szCs w:val="21"/>
          <w14:textFill>
            <w14:solidFill>
              <w14:schemeClr w14:val="tx1"/>
            </w14:solidFill>
          </w14:textFill>
        </w:rPr>
        <w:t>型焊条时取</w:t>
      </w:r>
      <w:r>
        <w:rPr>
          <w:rFonts w:cs="Times New Roman"/>
          <w:bCs/>
          <w:color w:val="000000" w:themeColor="text1"/>
          <w:szCs w:val="21"/>
          <w14:textFill>
            <w14:solidFill>
              <w14:schemeClr w14:val="tx1"/>
            </w14:solidFill>
          </w14:textFill>
        </w:rPr>
        <w:t>280N/mm</w:t>
      </w:r>
      <w:r>
        <w:rPr>
          <w:rFonts w:cs="Times New Roman"/>
          <w:bCs/>
          <w:color w:val="000000" w:themeColor="text1"/>
          <w:szCs w:val="21"/>
          <w:vertAlign w:val="superscript"/>
          <w14:textFill>
            <w14:solidFill>
              <w14:schemeClr w14:val="tx1"/>
            </w14:solidFill>
          </w14:textFill>
        </w:rPr>
        <w:t>2</w:t>
      </w:r>
      <w:r>
        <w:rPr>
          <w:rFonts w:hint="eastAsia" w:cs="Times New Roman"/>
          <w:bCs/>
          <w:color w:val="000000" w:themeColor="text1"/>
          <w:szCs w:val="21"/>
          <w14:textFill>
            <w14:solidFill>
              <w14:schemeClr w14:val="tx1"/>
            </w14:solidFill>
          </w14:textFill>
        </w:rPr>
        <w:t>，采用</w:t>
      </w:r>
      <w:r>
        <w:rPr>
          <w:rFonts w:cs="Times New Roman"/>
          <w:bCs/>
          <w:color w:val="000000" w:themeColor="text1"/>
          <w:szCs w:val="21"/>
          <w14:textFill>
            <w14:solidFill>
              <w14:schemeClr w14:val="tx1"/>
            </w14:solidFill>
          </w14:textFill>
        </w:rPr>
        <w:t>E55</w:t>
      </w:r>
      <w:r>
        <w:rPr>
          <w:rFonts w:hint="eastAsia" w:cs="Times New Roman"/>
          <w:bCs/>
          <w:color w:val="000000" w:themeColor="text1"/>
          <w:szCs w:val="21"/>
          <w14:textFill>
            <w14:solidFill>
              <w14:schemeClr w14:val="tx1"/>
            </w14:solidFill>
          </w14:textFill>
        </w:rPr>
        <w:t>型焊条时取</w:t>
      </w:r>
      <w:r>
        <w:rPr>
          <w:rFonts w:cs="Times New Roman"/>
          <w:bCs/>
          <w:color w:val="000000" w:themeColor="text1"/>
          <w:szCs w:val="21"/>
          <w14:textFill>
            <w14:solidFill>
              <w14:schemeClr w14:val="tx1"/>
            </w14:solidFill>
          </w14:textFill>
        </w:rPr>
        <w:t>315N/mm</w:t>
      </w:r>
      <w:r>
        <w:rPr>
          <w:rFonts w:cs="Times New Roman"/>
          <w:bCs/>
          <w:color w:val="000000" w:themeColor="text1"/>
          <w:szCs w:val="21"/>
          <w:vertAlign w:val="superscript"/>
          <w14:textFill>
            <w14:solidFill>
              <w14:schemeClr w14:val="tx1"/>
            </w14:solidFill>
          </w14:textFill>
        </w:rPr>
        <w:t>2</w:t>
      </w:r>
      <w:r>
        <w:rPr>
          <w:rFonts w:hint="eastAsia" w:cs="Times New Roman"/>
          <w:bCs/>
          <w:color w:val="000000" w:themeColor="text1"/>
          <w:szCs w:val="21"/>
          <w14:textFill>
            <w14:solidFill>
              <w14:schemeClr w14:val="tx1"/>
            </w14:solidFill>
          </w14:textFill>
        </w:rPr>
        <w:t>；</w:t>
      </w:r>
    </w:p>
    <w:p>
      <w:pPr>
        <w:spacing w:after="120" w:line="400" w:lineRule="exact"/>
        <w:ind w:firstLine="840" w:firstLineChars="400"/>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n——</w:t>
      </w:r>
      <w:r>
        <w:rPr>
          <w:rFonts w:hint="eastAsia" w:cs="Times New Roman"/>
          <w:bCs/>
          <w:color w:val="000000" w:themeColor="text1"/>
          <w:szCs w:val="21"/>
          <w14:textFill>
            <w14:solidFill>
              <w14:schemeClr w14:val="tx1"/>
            </w14:solidFill>
          </w14:textFill>
        </w:rPr>
        <w:t>高强度螺栓数目；</w:t>
      </w:r>
    </w:p>
    <w:p>
      <w:pPr>
        <w:spacing w:after="120" w:line="400" w:lineRule="exact"/>
        <w:ind w:left="420" w:leftChars="200" w:firstLine="458" w:firstLineChars="191"/>
        <w:rPr>
          <w:rFonts w:cs="Times New Roman"/>
          <w:bCs/>
          <w:color w:val="000000" w:themeColor="text1"/>
          <w:szCs w:val="21"/>
          <w14:textFill>
            <w14:solidFill>
              <w14:schemeClr w14:val="tx1"/>
            </w14:solidFill>
          </w14:textFill>
        </w:rPr>
      </w:pPr>
      <m:oMath>
        <m:sSubSup>
          <m:sSubSupPr>
            <m:ctrlPr>
              <w:rPr>
                <w:rFonts w:ascii="Cambria Math" w:hAnsi="Cambria Math" w:cs="Times New Roman"/>
                <w:bCs/>
                <w:i/>
                <w:color w:val="000000" w:themeColor="text1"/>
                <w:sz w:val="24"/>
                <w:szCs w:val="20"/>
                <w14:textFill>
                  <w14:solidFill>
                    <w14:schemeClr w14:val="tx1"/>
                  </w14:solidFill>
                </w14:textFill>
              </w:rPr>
            </m:ctrlPr>
          </m:sSubSupPr>
          <m:e>
            <m:r>
              <w:rPr>
                <w:rFonts w:ascii="Cambria Math" w:hAnsi="Cambria Math" w:cs="Times New Roman"/>
                <w:color w:val="000000" w:themeColor="text1"/>
                <w:sz w:val="24"/>
                <w:szCs w:val="20"/>
                <w14:textFill>
                  <w14:solidFill>
                    <w14:schemeClr w14:val="tx1"/>
                  </w14:solidFill>
                </w14:textFill>
              </w:rPr>
              <m:t>N</m:t>
            </m:r>
            <m:ctrlPr>
              <w:rPr>
                <w:rFonts w:ascii="Cambria Math" w:hAnsi="Cambria Math" w:cs="Times New Roman"/>
                <w:bCs/>
                <w:i/>
                <w:color w:val="000000" w:themeColor="text1"/>
                <w:sz w:val="24"/>
                <w:szCs w:val="20"/>
                <w14:textFill>
                  <w14:solidFill>
                    <w14:schemeClr w14:val="tx1"/>
                  </w14:solidFill>
                </w14:textFill>
              </w:rPr>
            </m:ctrlPr>
          </m:e>
          <m:sub>
            <m:r>
              <w:rPr>
                <w:rFonts w:ascii="Cambria Math" w:hAnsi="Cambria Math" w:cs="Times New Roman"/>
                <w:color w:val="000000" w:themeColor="text1"/>
                <w:sz w:val="24"/>
                <w:szCs w:val="20"/>
                <w14:textFill>
                  <w14:solidFill>
                    <w14:schemeClr w14:val="tx1"/>
                  </w14:solidFill>
                </w14:textFill>
              </w:rPr>
              <m:t>u</m:t>
            </m:r>
            <m:ctrlPr>
              <w:rPr>
                <w:rFonts w:ascii="Cambria Math" w:hAnsi="Cambria Math" w:cs="Times New Roman"/>
                <w:bCs/>
                <w:i/>
                <w:color w:val="000000" w:themeColor="text1"/>
                <w:sz w:val="24"/>
                <w:szCs w:val="20"/>
                <w14:textFill>
                  <w14:solidFill>
                    <w14:schemeClr w14:val="tx1"/>
                  </w14:solidFill>
                </w14:textFill>
              </w:rPr>
            </m:ctrlPr>
          </m:sub>
          <m:sup>
            <m:r>
              <w:rPr>
                <w:rFonts w:ascii="Cambria Math" w:hAnsi="Cambria Math" w:cs="Times New Roman"/>
                <w:color w:val="000000" w:themeColor="text1"/>
                <w:sz w:val="24"/>
                <w:szCs w:val="20"/>
                <w14:textFill>
                  <w14:solidFill>
                    <w14:schemeClr w14:val="tx1"/>
                  </w14:solidFill>
                </w14:textFill>
              </w:rPr>
              <m:t>b</m:t>
            </m:r>
            <m:ctrlPr>
              <w:rPr>
                <w:rFonts w:ascii="Cambria Math" w:hAnsi="Cambria Math" w:cs="Times New Roman"/>
                <w:bCs/>
                <w:i/>
                <w:color w:val="000000" w:themeColor="text1"/>
                <w:sz w:val="24"/>
                <w:szCs w:val="20"/>
                <w14:textFill>
                  <w14:solidFill>
                    <w14:schemeClr w14:val="tx1"/>
                  </w14:solidFill>
                </w14:textFill>
              </w:rPr>
            </m:ctrlPr>
          </m:sup>
        </m:sSubSup>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一个高强度螺栓的最大受剪承载力；</w:t>
      </w:r>
    </w:p>
    <w:p>
      <w:pPr>
        <w:spacing w:after="120" w:line="400" w:lineRule="exact"/>
        <w:ind w:left="848" w:leftChars="404" w:firstLine="240" w:firstLineChars="100"/>
        <w:rPr>
          <w:rFonts w:cs="Times New Roman"/>
          <w:bCs/>
          <w:color w:val="000000" w:themeColor="text1"/>
          <w:szCs w:val="21"/>
          <w14:textFill>
            <w14:solidFill>
              <w14:schemeClr w14:val="tx1"/>
            </w14:solidFill>
          </w14:textFill>
        </w:rPr>
      </w:pPr>
      <m:oMath>
        <m:sSub>
          <m:sSubPr>
            <m:ctrlPr>
              <w:rPr>
                <w:rFonts w:ascii="Cambria Math" w:hAnsi="Cambria Math" w:cs="Times New Roman"/>
                <w:bCs/>
                <w:iCs/>
                <w:color w:val="000000" w:themeColor="text1"/>
                <w:sz w:val="24"/>
                <w:szCs w:val="20"/>
                <w14:textFill>
                  <w14:solidFill>
                    <w14:schemeClr w14:val="tx1"/>
                  </w14:solidFill>
                </w14:textFill>
              </w:rPr>
            </m:ctrlPr>
          </m:sSubPr>
          <m:e>
            <m:r>
              <m:rPr>
                <m:sty m:val="p"/>
              </m:rPr>
              <w:rPr>
                <w:rFonts w:ascii="Cambria Math" w:hAnsi="Cambria Math" w:cs="Times New Roman"/>
                <w:color w:val="000000" w:themeColor="text1"/>
                <w:sz w:val="24"/>
                <w:szCs w:val="20"/>
                <w14:textFill>
                  <w14:solidFill>
                    <w14:schemeClr w14:val="tx1"/>
                  </w14:solidFill>
                </w14:textFill>
              </w:rPr>
              <m:t>n</m:t>
            </m:r>
            <m:ctrlPr>
              <w:rPr>
                <w:rFonts w:ascii="Cambria Math" w:hAnsi="Cambria Math" w:cs="Times New Roman"/>
                <w:bCs/>
                <w:iCs/>
                <w:color w:val="000000" w:themeColor="text1"/>
                <w:sz w:val="24"/>
                <w:szCs w:val="20"/>
                <w14:textFill>
                  <w14:solidFill>
                    <w14:schemeClr w14:val="tx1"/>
                  </w14:solidFill>
                </w14:textFill>
              </w:rPr>
            </m:ctrlPr>
          </m:e>
          <m:sub>
            <m:r>
              <w:rPr>
                <w:rFonts w:ascii="Cambria Math" w:hAnsi="Cambria Math" w:cs="Times New Roman"/>
                <w:color w:val="000000" w:themeColor="text1"/>
                <w:sz w:val="24"/>
                <w:szCs w:val="20"/>
                <w14:textFill>
                  <w14:solidFill>
                    <w14:schemeClr w14:val="tx1"/>
                  </w14:solidFill>
                </w14:textFill>
              </w:rPr>
              <m:t>v</m:t>
            </m:r>
            <m:ctrlPr>
              <w:rPr>
                <w:rFonts w:ascii="Cambria Math" w:hAnsi="Cambria Math" w:cs="Times New Roman"/>
                <w:bCs/>
                <w:iCs/>
                <w:color w:val="000000" w:themeColor="text1"/>
                <w:sz w:val="24"/>
                <w:szCs w:val="20"/>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螺栓受剪面数；</w:t>
      </w:r>
    </w:p>
    <w:p>
      <w:pPr>
        <w:spacing w:after="120" w:line="400" w:lineRule="exact"/>
        <w:ind w:left="1560" w:leftChars="390" w:hanging="741" w:hangingChars="309"/>
        <w:rPr>
          <w:rFonts w:cs="Times New Roman"/>
          <w:bCs/>
          <w:color w:val="000000" w:themeColor="text1"/>
          <w:szCs w:val="21"/>
          <w14:textFill>
            <w14:solidFill>
              <w14:schemeClr w14:val="tx1"/>
            </w14:solidFill>
          </w14:textFill>
        </w:rPr>
      </w:pPr>
      <m:oMath>
        <m:sSub>
          <m:sSubPr>
            <m:ctrlPr>
              <w:rPr>
                <w:rFonts w:ascii="Cambria Math" w:hAnsi="Cambria Math" w:cs="Times New Roman"/>
                <w:bCs/>
                <w:iCs/>
                <w:color w:val="000000" w:themeColor="text1"/>
                <w:sz w:val="24"/>
                <w:szCs w:val="20"/>
                <w14:textFill>
                  <w14:solidFill>
                    <w14:schemeClr w14:val="tx1"/>
                  </w14:solidFill>
                </w14:textFill>
              </w:rPr>
            </m:ctrlPr>
          </m:sSubPr>
          <m:e>
            <m:r>
              <m:rPr>
                <m:sty m:val="p"/>
              </m:rPr>
              <w:rPr>
                <w:rFonts w:ascii="Cambria Math" w:hAnsi="Cambria Math" w:cs="Times New Roman"/>
                <w:color w:val="000000" w:themeColor="text1"/>
                <w:sz w:val="24"/>
                <w:szCs w:val="20"/>
                <w14:textFill>
                  <w14:solidFill>
                    <w14:schemeClr w14:val="tx1"/>
                  </w14:solidFill>
                </w14:textFill>
              </w:rPr>
              <m:t>A</m:t>
            </m:r>
            <m:ctrlPr>
              <w:rPr>
                <w:rFonts w:ascii="Cambria Math" w:hAnsi="Cambria Math" w:cs="Times New Roman"/>
                <w:bCs/>
                <w:iCs/>
                <w:color w:val="000000" w:themeColor="text1"/>
                <w:sz w:val="24"/>
                <w:szCs w:val="20"/>
                <w14:textFill>
                  <w14:solidFill>
                    <w14:schemeClr w14:val="tx1"/>
                  </w14:solidFill>
                </w14:textFill>
              </w:rPr>
            </m:ctrlPr>
          </m:e>
          <m:sub>
            <m:r>
              <w:rPr>
                <w:rFonts w:ascii="Cambria Math" w:hAnsi="Cambria Math" w:cs="Times New Roman"/>
                <w:color w:val="000000" w:themeColor="text1"/>
                <w:sz w:val="24"/>
                <w:szCs w:val="20"/>
                <w14:textFill>
                  <w14:solidFill>
                    <w14:schemeClr w14:val="tx1"/>
                  </w14:solidFill>
                </w14:textFill>
              </w:rPr>
              <m:t>bo</m:t>
            </m:r>
            <m:ctrlPr>
              <w:rPr>
                <w:rFonts w:ascii="Cambria Math" w:hAnsi="Cambria Math" w:cs="Times New Roman"/>
                <w:bCs/>
                <w:iCs/>
                <w:color w:val="000000" w:themeColor="text1"/>
                <w:sz w:val="24"/>
                <w:szCs w:val="20"/>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螺栓截面积，剪切面在螺纹处时取螺纹处的有效面积，剪切面在螺杆处时可取毛截面面积；</w:t>
      </w:r>
    </w:p>
    <w:p>
      <w:pPr>
        <w:spacing w:after="120" w:line="400" w:lineRule="exact"/>
        <w:ind w:left="848" w:leftChars="404" w:firstLine="210" w:firstLineChars="100"/>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d——</w:t>
      </w:r>
      <w:r>
        <w:rPr>
          <w:rFonts w:hint="eastAsia" w:cs="Times New Roman"/>
          <w:bCs/>
          <w:color w:val="000000" w:themeColor="text1"/>
          <w:szCs w:val="21"/>
          <w14:textFill>
            <w14:solidFill>
              <w14:schemeClr w14:val="tx1"/>
            </w14:solidFill>
          </w14:textFill>
        </w:rPr>
        <w:t>螺栓螺杆直径；</w:t>
      </w:r>
    </w:p>
    <w:p>
      <w:pPr>
        <w:spacing w:after="120" w:line="400" w:lineRule="exact"/>
        <w:ind w:left="128" w:leftChars="61" w:firstLine="960" w:firstLineChars="400"/>
        <w:rPr>
          <w:rFonts w:cs="Times New Roman"/>
          <w:bCs/>
          <w:color w:val="000000" w:themeColor="text1"/>
          <w:szCs w:val="21"/>
          <w14:textFill>
            <w14:solidFill>
              <w14:schemeClr w14:val="tx1"/>
            </w14:solidFill>
          </w14:textFill>
        </w:rPr>
      </w:pPr>
      <m:oMath>
        <m:nary>
          <m:naryPr>
            <m:chr m:val="∑"/>
            <m:limLoc m:val="undOvr"/>
            <m:subHide m:val="1"/>
            <m:supHide m:val="1"/>
            <m:ctrlPr>
              <w:rPr>
                <w:rFonts w:ascii="Cambria Math" w:hAnsi="Cambria Math" w:cs="Times New Roman"/>
                <w:bCs/>
                <w:i/>
                <w:iCs/>
                <w:color w:val="000000" w:themeColor="text1"/>
                <w:sz w:val="24"/>
                <w:szCs w:val="20"/>
                <w14:textFill>
                  <w14:solidFill>
                    <w14:schemeClr w14:val="tx1"/>
                  </w14:solidFill>
                </w14:textFill>
              </w:rPr>
            </m:ctrlPr>
          </m:naryPr>
          <m:sub>
            <m:ctrlPr>
              <w:rPr>
                <w:rFonts w:ascii="Cambria Math" w:hAnsi="Cambria Math" w:cs="Times New Roman"/>
                <w:bCs/>
                <w:i/>
                <w:iCs/>
                <w:color w:val="000000" w:themeColor="text1"/>
                <w:sz w:val="24"/>
                <w:szCs w:val="20"/>
                <w14:textFill>
                  <w14:solidFill>
                    <w14:schemeClr w14:val="tx1"/>
                  </w14:solidFill>
                </w14:textFill>
              </w:rPr>
            </m:ctrlPr>
          </m:sub>
          <m:sup>
            <m:ctrlPr>
              <w:rPr>
                <w:rFonts w:ascii="Cambria Math" w:hAnsi="Cambria Math" w:cs="Times New Roman"/>
                <w:bCs/>
                <w:i/>
                <w:iCs/>
                <w:color w:val="000000" w:themeColor="text1"/>
                <w:sz w:val="24"/>
                <w:szCs w:val="20"/>
                <w14:textFill>
                  <w14:solidFill>
                    <w14:schemeClr w14:val="tx1"/>
                  </w14:solidFill>
                </w14:textFill>
              </w:rPr>
            </m:ctrlPr>
          </m:sup>
          <m:e>
            <m:r>
              <w:rPr>
                <w:rFonts w:ascii="Cambria Math" w:hAnsi="Cambria Math" w:cs="Times New Roman"/>
                <w:color w:val="000000" w:themeColor="text1"/>
                <w:sz w:val="24"/>
                <w:szCs w:val="20"/>
                <w14:textFill>
                  <w14:solidFill>
                    <w14:schemeClr w14:val="tx1"/>
                  </w14:solidFill>
                </w14:textFill>
              </w:rPr>
              <m:t>t</m:t>
            </m:r>
            <m:ctrlPr>
              <w:rPr>
                <w:rFonts w:ascii="Cambria Math" w:hAnsi="Cambria Math" w:cs="Times New Roman"/>
                <w:bCs/>
                <w:i/>
                <w:iCs/>
                <w:color w:val="000000" w:themeColor="text1"/>
                <w:sz w:val="24"/>
                <w:szCs w:val="20"/>
                <w14:textFill>
                  <w14:solidFill>
                    <w14:schemeClr w14:val="tx1"/>
                  </w14:solidFill>
                </w14:textFill>
              </w:rPr>
            </m:ctrlPr>
          </m:e>
        </m:nary>
      </m:oMath>
      <w:r>
        <w:rPr>
          <w:rFonts w:hint="eastAsia" w:cs="Times New Roman"/>
          <w:bCs/>
          <w:color w:val="000000" w:themeColor="text1"/>
          <w:szCs w:val="21"/>
          <w14:textFill>
            <w14:solidFill>
              <w14:schemeClr w14:val="tx1"/>
            </w14:solidFill>
          </w14:textFill>
        </w:rPr>
        <w:t>——同一受力方向承压板件的总厚度；</w:t>
      </w:r>
    </w:p>
    <w:p>
      <w:pPr>
        <w:spacing w:after="100" w:afterAutospacing="1" w:line="520" w:lineRule="exact"/>
        <w:ind w:left="2100" w:leftChars="500" w:hanging="1050" w:hangingChars="500"/>
        <w:rPr>
          <w:rFonts w:cs="Times New Roman"/>
          <w:bCs/>
          <w:color w:val="000000" w:themeColor="text1"/>
          <w:szCs w:val="21"/>
          <w14:textFill>
            <w14:solidFill>
              <w14:schemeClr w14:val="tx1"/>
            </w14:solidFill>
          </w14:textFill>
        </w:rPr>
      </w:pPr>
      <m:oMath>
        <m:sSubSup>
          <m:sSubSupPr>
            <m:ctrlPr>
              <w:rPr>
                <w:rFonts w:ascii="Cambria Math" w:hAnsi="Cambria Math"/>
                <w:bCs/>
                <w:i/>
                <w:color w:val="000000" w:themeColor="text1"/>
                <w:szCs w:val="21"/>
                <w14:textFill>
                  <w14:solidFill>
                    <w14:schemeClr w14:val="tx1"/>
                  </w14:solidFill>
                </w14:textFill>
              </w:rPr>
            </m:ctrlPr>
          </m:sSubSupPr>
          <m:e>
            <m:r>
              <m:rPr>
                <m:sty m:val="p"/>
              </m:rPr>
              <w:rPr>
                <w:rFonts w:hint="eastAsia" w:ascii="Cambria Math" w:hAnsi="Cambria Math" w:cs="Times New Roman"/>
                <w:color w:val="000000" w:themeColor="text1"/>
                <w:sz w:val="24"/>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v</m:t>
            </m:r>
            <m:ctrlPr>
              <w:rPr>
                <w:rFonts w:ascii="Cambria Math" w:hAnsi="Cambria Math"/>
                <w:bCs/>
                <w:i/>
                <w:color w:val="000000" w:themeColor="text1"/>
                <w:szCs w:val="21"/>
                <w14:textFill>
                  <w14:solidFill>
                    <w14:schemeClr w14:val="tx1"/>
                  </w14:solidFill>
                </w14:textFill>
              </w:rPr>
            </m:ctrlPr>
          </m:sub>
          <m:sup>
            <m:r>
              <w:rPr>
                <w:rFonts w:ascii="Cambria Math" w:hAnsi="Cambria Math" w:cs="Times New Roman"/>
                <w:color w:val="000000" w:themeColor="text1"/>
                <w:sz w:val="24"/>
                <w:szCs w:val="21"/>
                <w14:textFill>
                  <w14:solidFill>
                    <w14:schemeClr w14:val="tx1"/>
                  </w14:solidFill>
                </w14:textFill>
              </w:rPr>
              <m:t>b</m:t>
            </m:r>
            <m:ctrlPr>
              <w:rPr>
                <w:rFonts w:ascii="Cambria Math" w:hAnsi="Cambria Math"/>
                <w:bCs/>
                <w:i/>
                <w:color w:val="000000" w:themeColor="text1"/>
                <w:szCs w:val="21"/>
                <w14:textFill>
                  <w14:solidFill>
                    <w14:schemeClr w14:val="tx1"/>
                  </w14:solidFill>
                </w14:textFill>
              </w:rPr>
            </m:ctrlPr>
          </m:sup>
        </m:sSubSup>
      </m:oMath>
      <w:r>
        <w:rPr>
          <w:rFonts w:hint="eastAsia" w:cs="Times New Roman"/>
          <w:bCs/>
          <w:color w:val="000000" w:themeColor="text1"/>
          <w:szCs w:val="21"/>
          <w14:textFill>
            <w14:solidFill>
              <w14:schemeClr w14:val="tx1"/>
            </w14:solidFill>
          </w14:textFill>
        </w:rPr>
        <w:t>、</w:t>
      </w:r>
      <m:oMath>
        <m:sSubSup>
          <m:sSubSupPr>
            <m:ctrlPr>
              <w:rPr>
                <w:rFonts w:ascii="Cambria Math" w:hAnsi="Cambria Math"/>
                <w:bCs/>
                <w:iCs/>
                <w:color w:val="000000" w:themeColor="text1"/>
                <w:szCs w:val="21"/>
                <w14:textFill>
                  <w14:solidFill>
                    <w14:schemeClr w14:val="tx1"/>
                  </w14:solidFill>
                </w14:textFill>
              </w:rPr>
            </m:ctrlPr>
          </m:sSubSupPr>
          <m:e>
            <m:r>
              <m:rPr>
                <m:sty m:val="p"/>
              </m:rPr>
              <w:rPr>
                <w:rFonts w:hint="eastAsia" w:ascii="Cambria Math" w:hAnsi="Cambria Math" w:cs="Times New Roman"/>
                <w:color w:val="000000" w:themeColor="text1"/>
                <w:sz w:val="24"/>
                <w:szCs w:val="21"/>
                <w14:textFill>
                  <w14:solidFill>
                    <w14:schemeClr w14:val="tx1"/>
                  </w14:solidFill>
                </w14:textFill>
              </w:rPr>
              <m:t>ƒ</m:t>
            </m:r>
            <m:ctrlPr>
              <w:rPr>
                <w:rFonts w:ascii="Cambria Math" w:hAnsi="Cambria Math"/>
                <w:bCs/>
                <w:iCs/>
                <w:color w:val="000000" w:themeColor="text1"/>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c</m:t>
            </m:r>
            <m:ctrlPr>
              <w:rPr>
                <w:rFonts w:ascii="Cambria Math" w:hAnsi="Cambria Math"/>
                <w:bCs/>
                <w:iCs/>
                <w:color w:val="000000" w:themeColor="text1"/>
                <w:szCs w:val="21"/>
                <w14:textFill>
                  <w14:solidFill>
                    <w14:schemeClr w14:val="tx1"/>
                  </w14:solidFill>
                </w14:textFill>
              </w:rPr>
            </m:ctrlPr>
          </m:sub>
          <m:sup>
            <m:r>
              <w:rPr>
                <w:rFonts w:ascii="Cambria Math" w:hAnsi="Cambria Math" w:cs="Times New Roman"/>
                <w:color w:val="000000" w:themeColor="text1"/>
                <w:sz w:val="24"/>
                <w:szCs w:val="21"/>
                <w14:textFill>
                  <w14:solidFill>
                    <w14:schemeClr w14:val="tx1"/>
                  </w14:solidFill>
                </w14:textFill>
              </w:rPr>
              <m:t>b</m:t>
            </m:r>
            <m:ctrlPr>
              <w:rPr>
                <w:rFonts w:ascii="Cambria Math" w:hAnsi="Cambria Math"/>
                <w:bCs/>
                <w:iCs/>
                <w:color w:val="000000" w:themeColor="text1"/>
                <w:szCs w:val="21"/>
                <w14:textFill>
                  <w14:solidFill>
                    <w14:schemeClr w14:val="tx1"/>
                  </w14:solidFill>
                </w14:textFill>
              </w:rPr>
            </m:ctrlPr>
          </m:sup>
        </m:sSubSup>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高强度螺栓的抗剪强度设计值和承压强度设计值，按现行国家标准《钢结构设计标准》</w:t>
      </w:r>
      <w:r>
        <w:rPr>
          <w:rFonts w:cs="Times New Roman"/>
          <w:bCs/>
          <w:color w:val="000000" w:themeColor="text1"/>
          <w:szCs w:val="21"/>
          <w14:textFill>
            <w14:solidFill>
              <w14:schemeClr w14:val="tx1"/>
            </w14:solidFill>
          </w14:textFill>
        </w:rPr>
        <w:t>GB50017</w:t>
      </w:r>
      <w:r>
        <w:rPr>
          <w:rFonts w:hint="eastAsia" w:cs="Times New Roman"/>
          <w:bCs/>
          <w:color w:val="000000" w:themeColor="text1"/>
          <w:szCs w:val="21"/>
          <w14:textFill>
            <w14:solidFill>
              <w14:schemeClr w14:val="tx1"/>
            </w14:solidFill>
          </w14:textFill>
        </w:rPr>
        <w:t>取值。</w:t>
      </w:r>
    </w:p>
    <w:p>
      <w:pPr>
        <w:spacing w:before="156" w:beforeLines="50" w:line="400" w:lineRule="exact"/>
        <w:ind w:firstLine="420"/>
        <w:rPr>
          <w:bCs/>
          <w:color w:val="000000" w:themeColor="text1"/>
          <w:szCs w:val="21"/>
          <w14:textFill>
            <w14:solidFill>
              <w14:schemeClr w14:val="tx1"/>
            </w14:solidFill>
          </w14:textFill>
        </w:rPr>
      </w:pPr>
      <w:r>
        <w:rPr>
          <w:rFonts w:hint="eastAsia"/>
          <w:bCs/>
          <w:color w:val="000000" w:themeColor="text1"/>
          <w14:textFill>
            <w14:solidFill>
              <w14:schemeClr w14:val="tx1"/>
            </w14:solidFill>
          </w14:textFill>
        </w:rPr>
        <w:t>3</w:t>
      </w:r>
      <w:r>
        <w:rPr>
          <w:bCs/>
          <w:color w:val="000000" w:themeColor="text1"/>
          <w14:textFill>
            <w14:solidFill>
              <w14:schemeClr w14:val="tx1"/>
            </w14:solidFill>
          </w14:textFill>
        </w:rPr>
        <w:t xml:space="preserve"> </w:t>
      </w:r>
      <w:r>
        <w:rPr>
          <w:rFonts w:hint="eastAsia"/>
          <w:bCs/>
          <w:color w:val="000000" w:themeColor="text1"/>
          <w:szCs w:val="21"/>
          <w14:textFill>
            <w14:solidFill>
              <w14:schemeClr w14:val="tx1"/>
            </w14:solidFill>
          </w14:textFill>
        </w:rPr>
        <w:t>支撑杆端与梁、柱通过节点板连接时（图9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），节点板厚度及节点板与梁或柱的连接焊缝的极限承载力应符合下列要求：</w:t>
      </w:r>
    </w:p>
    <w:p>
      <w:pPr>
        <w:spacing w:line="400" w:lineRule="exact"/>
        <w:ind w:firstLine="840" w:firstLineChars="400"/>
        <w:jc w:val="left"/>
        <w:rPr>
          <w:rFonts w:eastAsia="楷体"/>
          <w:bCs/>
          <w:snapToGrid w:val="0"/>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）节点板的厚度应满足下式的要求：</w:t>
      </w:r>
    </w:p>
    <w:p>
      <w:pPr>
        <w:spacing w:line="360" w:lineRule="auto"/>
        <w:ind w:firstLine="420" w:firstLineChars="0"/>
        <w:jc w:val="right"/>
        <w:rPr>
          <w:rFonts w:cs="Times New Roman"/>
          <w:bCs/>
          <w:color w:val="000000" w:themeColor="text1"/>
          <w:szCs w:val="21"/>
          <w14:textFill>
            <w14:solidFill>
              <w14:schemeClr w14:val="tx1"/>
            </w14:solidFill>
          </w14:textFill>
        </w:rPr>
      </w:pPr>
      <m:oMath>
        <m:sSub>
          <w:bookmarkStart w:id="184" w:name="_Hlk24012745"/>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t</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j</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宋体" w:eastAsiaTheme="minorEastAsia"/>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szCs w:val="20"/>
                <w14:textFill>
                  <w14:solidFill>
                    <w14:schemeClr w14:val="tx1"/>
                  </w14:solidFill>
                </w14:textFill>
              </w:rPr>
              <m:t>η</m:t>
            </m:r>
            <m:ctrlPr>
              <w:rPr>
                <w:rFonts w:ascii="Cambria Math" w:hAnsi="Cambria Math" w:cs="宋体" w:eastAsiaTheme="minorEastAsia"/>
                <w:bCs/>
                <w:iCs/>
                <w:snapToGrid w:val="0"/>
                <w:color w:val="000000" w:themeColor="text1"/>
                <w14:textFill>
                  <w14:solidFill>
                    <w14:schemeClr w14:val="tx1"/>
                  </w14:solidFill>
                </w14:textFill>
              </w:rPr>
            </m:ctrlPr>
          </m:e>
          <m:sub>
            <m:r>
              <w:rPr>
                <w:rFonts w:ascii="Cambria Math" w:hAnsi="Cambria Math" w:cs="宋体"/>
                <w:snapToGrid w:val="0"/>
                <w:color w:val="000000" w:themeColor="text1"/>
                <w:szCs w:val="20"/>
                <w14:textFill>
                  <w14:solidFill>
                    <w14:schemeClr w14:val="tx1"/>
                  </w14:solidFill>
                </w14:textFill>
              </w:rPr>
              <m:t>j</m:t>
            </m:r>
            <m:ctrlPr>
              <w:rPr>
                <w:rFonts w:ascii="Cambria Math" w:hAnsi="Cambria Math" w:cs="宋体" w:eastAsiaTheme="minorEastAsia"/>
                <w:bCs/>
                <w:iCs/>
                <w:snapToGrid w:val="0"/>
                <w:color w:val="000000" w:themeColor="text1"/>
                <w14:textFill>
                  <w14:solidFill>
                    <w14:schemeClr w14:val="tx1"/>
                  </w14:solidFill>
                </w14:textFill>
              </w:rPr>
            </m:ctrlPr>
          </m:sub>
        </m:sSub>
        <m:f>
          <m:fPr>
            <m:ctrlPr>
              <w:rPr>
                <w:rFonts w:ascii="Cambria Math" w:hAnsi="Cambria Math" w:cs="宋体" w:eastAsiaTheme="minorEastAsia"/>
                <w:bCs/>
                <w:i/>
                <w:iCs/>
                <w:snapToGrid w:val="0"/>
                <w:color w:val="000000" w:themeColor="text1"/>
                <w14:textFill>
                  <w14:solidFill>
                    <w14:schemeClr w14:val="tx1"/>
                  </w14:solidFill>
                </w14:textFill>
              </w:rPr>
            </m:ctrlPr>
          </m:fPr>
          <m:num>
            <m:sSub>
              <m:sSubPr>
                <m:ctrlPr>
                  <w:rPr>
                    <w:rFonts w:ascii="Cambria Math" w:hAnsi="Cambria Math" w:cs="宋体" w:eastAsiaTheme="minorEastAsia"/>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szCs w:val="20"/>
                    <w14:textFill>
                      <w14:solidFill>
                        <w14:schemeClr w14:val="tx1"/>
                      </w14:solidFill>
                    </w14:textFill>
                  </w:rPr>
                  <m:t>A</m:t>
                </m:r>
                <m:ctrlPr>
                  <w:rPr>
                    <w:rFonts w:ascii="Cambria Math" w:hAnsi="Cambria Math" w:cs="宋体" w:eastAsiaTheme="minorEastAsia"/>
                    <w:bCs/>
                    <w:i/>
                    <w:iCs/>
                    <w:snapToGrid w:val="0"/>
                    <w:color w:val="000000" w:themeColor="text1"/>
                    <w14:textFill>
                      <w14:solidFill>
                        <w14:schemeClr w14:val="tx1"/>
                      </w14:solidFill>
                    </w14:textFill>
                  </w:rPr>
                </m:ctrlPr>
              </m:e>
              <m:sub>
                <m:r>
                  <w:rPr>
                    <w:rFonts w:ascii="Cambria Math" w:hAnsi="Cambria Math" w:cs="宋体"/>
                    <w:snapToGrid w:val="0"/>
                    <w:color w:val="000000" w:themeColor="text1"/>
                    <w:szCs w:val="20"/>
                    <w14:textFill>
                      <w14:solidFill>
                        <w14:schemeClr w14:val="tx1"/>
                      </w14:solidFill>
                    </w14:textFill>
                  </w:rPr>
                  <m:t>brn</m:t>
                </m:r>
                <m:ctrlPr>
                  <w:rPr>
                    <w:rFonts w:ascii="Cambria Math" w:hAnsi="Cambria Math" w:cs="宋体" w:eastAsiaTheme="minorEastAsia"/>
                    <w:bCs/>
                    <w:i/>
                    <w:iCs/>
                    <w:snapToGrid w:val="0"/>
                    <w:color w:val="000000" w:themeColor="text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ctrlPr>
              <w:rPr>
                <w:rFonts w:ascii="Cambria Math" w:hAnsi="Cambria Math" w:cs="宋体" w:eastAsiaTheme="minorEastAsia"/>
                <w:bCs/>
                <w:i/>
                <w:iCs/>
                <w:snapToGrid w:val="0"/>
                <w:color w:val="000000" w:themeColor="text1"/>
                <w14:textFill>
                  <w14:solidFill>
                    <w14:schemeClr w14:val="tx1"/>
                  </w14:solidFill>
                </w14:textFill>
              </w:rPr>
            </m:ctrlPr>
          </m:num>
          <m:den>
            <m:sSub>
              <m:sSubPr>
                <m:ctrlPr>
                  <w:rPr>
                    <w:rFonts w:ascii="Cambria Math" w:hAnsi="Cambria Math" w:cs="宋体" w:eastAsiaTheme="minorEastAsia"/>
                    <w:bCs/>
                    <w:i/>
                    <w:iCs/>
                    <w:snapToGrid w:val="0"/>
                    <w:color w:val="000000" w:themeColor="text1"/>
                    <w14:textFill>
                      <w14:solidFill>
                        <w14:schemeClr w14:val="tx1"/>
                      </w14:solidFill>
                    </w14:textFill>
                  </w:rPr>
                </m:ctrlPr>
              </m:sSubPr>
              <m:e>
                <m:r>
                  <w:rPr>
                    <w:rFonts w:ascii="Cambria Math" w:hAnsi="Cambria Math" w:cs="宋体" w:eastAsiaTheme="minorEastAsia"/>
                    <w:snapToGrid w:val="0"/>
                    <w:color w:val="000000" w:themeColor="text1"/>
                    <w14:textFill>
                      <w14:solidFill>
                        <w14:schemeClr w14:val="tx1"/>
                      </w14:solidFill>
                    </w14:textFill>
                  </w:rPr>
                  <m:t>l</m:t>
                </m:r>
                <m:ctrlPr>
                  <w:rPr>
                    <w:rFonts w:ascii="Cambria Math" w:hAnsi="Cambria Math" w:cs="宋体" w:eastAsiaTheme="minorEastAsia"/>
                    <w:bCs/>
                    <w:i/>
                    <w:iCs/>
                    <w:snapToGrid w:val="0"/>
                    <w:color w:val="000000" w:themeColor="text1"/>
                    <w14:textFill>
                      <w14:solidFill>
                        <w14:schemeClr w14:val="tx1"/>
                      </w14:solidFill>
                    </w14:textFill>
                  </w:rPr>
                </m:ctrlPr>
              </m:e>
              <m:sub>
                <m:r>
                  <w:rPr>
                    <w:rFonts w:ascii="Cambria Math" w:hAnsi="Cambria Math" w:cs="宋体" w:eastAsiaTheme="minorEastAsia"/>
                    <w:snapToGrid w:val="0"/>
                    <w:color w:val="000000" w:themeColor="text1"/>
                    <w14:textFill>
                      <w14:solidFill>
                        <w14:schemeClr w14:val="tx1"/>
                      </w14:solidFill>
                    </w14:textFill>
                  </w:rPr>
                  <m:t>j</m:t>
                </m:r>
                <m:ctrlPr>
                  <w:rPr>
                    <w:rFonts w:ascii="Cambria Math" w:hAnsi="Cambria Math" w:cs="宋体" w:eastAsiaTheme="minorEastAsia"/>
                    <w:bCs/>
                    <w:i/>
                    <w:iCs/>
                    <w:snapToGrid w:val="0"/>
                    <w:color w:val="000000" w:themeColor="text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jy</m:t>
                </m:r>
                <w:bookmarkEnd w:id="184"/>
                <m:ctrlPr>
                  <w:rPr>
                    <w:rFonts w:ascii="Cambria Math" w:hAnsi="Cambria Math"/>
                    <w:bCs/>
                    <w:i/>
                    <w:color w:val="000000" w:themeColor="text1"/>
                    <w:szCs w:val="21"/>
                    <w14:textFill>
                      <w14:solidFill>
                        <w14:schemeClr w14:val="tx1"/>
                      </w14:solidFill>
                    </w14:textFill>
                  </w:rPr>
                </m:ctrlPr>
              </m:sub>
            </m:sSub>
            <m:ctrlPr>
              <w:rPr>
                <w:rFonts w:ascii="Cambria Math" w:hAnsi="Cambria Math" w:cs="宋体" w:eastAsiaTheme="minorEastAsia"/>
                <w:bCs/>
                <w:i/>
                <w:iCs/>
                <w:snapToGrid w:val="0"/>
                <w:color w:val="000000" w:themeColor="text1"/>
                <w14:textFill>
                  <w14:solidFill>
                    <w14:schemeClr w14:val="tx1"/>
                  </w14:solidFill>
                </w14:textFill>
              </w:rPr>
            </m:ctrlPr>
          </m:den>
        </m:f>
      </m:oMath>
      <w:r>
        <w:rPr>
          <w:rFonts w:cs="Times New Roman"/>
          <w:bCs/>
          <w:color w:val="000000" w:themeColor="text1"/>
          <w:szCs w:val="21"/>
          <w14:textFill>
            <w14:solidFill>
              <w14:schemeClr w14:val="tx1"/>
            </w14:solidFill>
          </w14:textFill>
        </w:rPr>
        <w:t xml:space="preserve">              </w:t>
      </w:r>
      <w:r>
        <w:rPr>
          <w:rFonts w:eastAsia="MS Mincho" w:cs="Times New Roman"/>
          <w:bCs/>
          <w:color w:val="000000" w:themeColor="text1"/>
          <w:szCs w:val="21"/>
          <w:lang w:eastAsia="ja-JP"/>
          <w14:textFill>
            <w14:solidFill>
              <w14:schemeClr w14:val="tx1"/>
            </w14:solidFill>
          </w14:textFill>
        </w:rPr>
        <w:t xml:space="preserve">   </w:t>
      </w:r>
      <w:r>
        <w:rPr>
          <w:rFonts w:cs="Times New Roman"/>
          <w:bCs/>
          <w:color w:val="000000" w:themeColor="text1"/>
          <w:szCs w:val="21"/>
          <w14:textFill>
            <w14:solidFill>
              <w14:schemeClr w14:val="tx1"/>
            </w14:solidFill>
          </w14:textFill>
        </w:rPr>
        <w:t xml:space="preserve">     </w:t>
      </w:r>
      <w:r>
        <w:rPr>
          <w:rFonts w:hint="eastAsia" w:cs="Times New Roman"/>
          <w:bCs/>
          <w:color w:val="000000" w:themeColor="text1"/>
          <w:szCs w:val="21"/>
          <w14:textFill>
            <w14:solidFill>
              <w14:schemeClr w14:val="tx1"/>
            </w14:solidFill>
          </w14:textFill>
        </w:rPr>
        <w:t>（9</w:t>
      </w:r>
      <w:r>
        <w:rPr>
          <w:rFonts w:cs="Times New Roman"/>
          <w:bCs/>
          <w:color w:val="000000" w:themeColor="text1"/>
          <w:szCs w:val="21"/>
          <w14:textFill>
            <w14:solidFill>
              <w14:schemeClr w14:val="tx1"/>
            </w14:solidFill>
          </w14:textFill>
        </w:rPr>
        <w:t>.2.</w:t>
      </w:r>
      <w:r>
        <w:rPr>
          <w:rFonts w:hint="eastAsia" w:cs="Times New Roman"/>
          <w:bCs/>
          <w:color w:val="000000" w:themeColor="text1"/>
          <w:szCs w:val="21"/>
          <w14:textFill>
            <w14:solidFill>
              <w14:schemeClr w14:val="tx1"/>
            </w14:solidFill>
          </w14:textFill>
        </w:rPr>
        <w:t>10</w:t>
      </w:r>
      <w:r>
        <w:rPr>
          <w:rFonts w:cs="Times New Roman"/>
          <w:bCs/>
          <w:color w:val="000000" w:themeColor="text1"/>
          <w:szCs w:val="21"/>
          <w14:textFill>
            <w14:solidFill>
              <w14:schemeClr w14:val="tx1"/>
            </w14:solidFill>
          </w14:textFill>
        </w:rPr>
        <w:t>-11</w:t>
      </w:r>
      <w:r>
        <w:rPr>
          <w:rFonts w:hint="eastAsia" w:cs="Times New Roman"/>
          <w:bCs/>
          <w:color w:val="000000" w:themeColor="text1"/>
          <w:szCs w:val="21"/>
          <w14:textFill>
            <w14:solidFill>
              <w14:schemeClr w14:val="tx1"/>
            </w14:solidFill>
          </w14:textFill>
        </w:rPr>
        <w:t>）</w:t>
      </w:r>
    </w:p>
    <w:p>
      <w:pPr>
        <w:spacing w:line="400" w:lineRule="exact"/>
        <w:ind w:firstLine="0" w:firstLineChars="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式中：</w:t>
      </w:r>
      <m:oMath>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t</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j</m:t>
            </m:r>
            <m:ctrlPr>
              <w:rPr>
                <w:rFonts w:ascii="Cambria Math" w:hAnsi="Cambria Math" w:cs="Times New Roman"/>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节点</w:t>
      </w:r>
      <w:r>
        <w:rPr>
          <w:rFonts w:hint="eastAsia"/>
          <w:bCs/>
          <w:color w:val="000000" w:themeColor="text1"/>
          <w14:textFill>
            <w14:solidFill>
              <w14:schemeClr w14:val="tx1"/>
            </w14:solidFill>
          </w14:textFill>
        </w:rPr>
        <w:t>板</w:t>
      </w:r>
      <w:r>
        <w:rPr>
          <w:rFonts w:hint="eastAsia"/>
          <w:bCs/>
          <w:color w:val="000000" w:themeColor="text1"/>
          <w:szCs w:val="21"/>
          <w14:textFill>
            <w14:solidFill>
              <w14:schemeClr w14:val="tx1"/>
            </w14:solidFill>
          </w14:textFill>
        </w:rPr>
        <w:t>的厚度；</w:t>
      </w:r>
    </w:p>
    <w:p>
      <w:pPr>
        <w:spacing w:after="120" w:line="400" w:lineRule="exact"/>
        <w:ind w:left="420" w:leftChars="200" w:firstLine="218" w:firstLineChars="104"/>
        <w:jc w:val="left"/>
        <w:rPr>
          <w:rFonts w:cs="Times New Roman"/>
          <w:bCs/>
          <w:color w:val="000000" w:themeColor="text1"/>
          <w:szCs w:val="21"/>
          <w14:textFill>
            <w14:solidFill>
              <w14:schemeClr w14:val="tx1"/>
            </w14:solidFill>
          </w14:textFill>
        </w:rPr>
      </w:pPr>
      <m:oMath>
        <m:sSub>
          <m:sSubPr>
            <m:ctrlPr>
              <w:rPr>
                <w:rFonts w:ascii="Cambria Math" w:hAnsi="Cambria Math" w:cs="宋体" w:eastAsiaTheme="minorEastAsia"/>
                <w:bCs/>
                <w:i/>
                <w:iCs/>
                <w:snapToGrid w:val="0"/>
                <w:color w:val="000000" w:themeColor="text1"/>
                <w14:textFill>
                  <w14:solidFill>
                    <w14:schemeClr w14:val="tx1"/>
                  </w14:solidFill>
                </w14:textFill>
              </w:rPr>
            </m:ctrlPr>
          </m:sSubPr>
          <m:e>
            <m:r>
              <w:rPr>
                <w:rFonts w:ascii="Cambria Math" w:hAnsi="Cambria Math" w:cs="宋体" w:eastAsiaTheme="minorEastAsia"/>
                <w:snapToGrid w:val="0"/>
                <w:color w:val="000000" w:themeColor="text1"/>
                <w:sz w:val="24"/>
                <w14:textFill>
                  <w14:solidFill>
                    <w14:schemeClr w14:val="tx1"/>
                  </w14:solidFill>
                </w14:textFill>
              </w:rPr>
              <m:t>l</m:t>
            </m:r>
            <m:ctrlPr>
              <w:rPr>
                <w:rFonts w:ascii="Cambria Math" w:hAnsi="Cambria Math" w:cs="宋体" w:eastAsiaTheme="minorEastAsia"/>
                <w:bCs/>
                <w:i/>
                <w:iCs/>
                <w:snapToGrid w:val="0"/>
                <w:color w:val="000000" w:themeColor="text1"/>
                <w14:textFill>
                  <w14:solidFill>
                    <w14:schemeClr w14:val="tx1"/>
                  </w14:solidFill>
                </w14:textFill>
              </w:rPr>
            </m:ctrlPr>
          </m:e>
          <m:sub>
            <m:r>
              <w:rPr>
                <w:rFonts w:ascii="Cambria Math" w:hAnsi="Cambria Math" w:cs="宋体" w:eastAsiaTheme="minorEastAsia"/>
                <w:snapToGrid w:val="0"/>
                <w:color w:val="000000" w:themeColor="text1"/>
                <w:sz w:val="24"/>
                <w14:textFill>
                  <w14:solidFill>
                    <w14:schemeClr w14:val="tx1"/>
                  </w14:solidFill>
                </w14:textFill>
              </w:rPr>
              <m:t>j</m:t>
            </m:r>
            <m:ctrlPr>
              <w:rPr>
                <w:rFonts w:ascii="Cambria Math" w:hAnsi="Cambria Math" w:cs="宋体" w:eastAsiaTheme="minorEastAsia"/>
                <w:bCs/>
                <w:i/>
                <w:iCs/>
                <w:snapToGrid w:val="0"/>
                <w:color w:val="000000" w:themeColor="text1"/>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节点板的传力计算宽度，力的扩散角可取</w:t>
      </w:r>
      <w:r>
        <w:rPr>
          <w:rFonts w:cs="Times New Roman"/>
          <w:bCs/>
          <w:color w:val="000000" w:themeColor="text1"/>
          <w:szCs w:val="21"/>
          <w14:textFill>
            <w14:solidFill>
              <w14:schemeClr w14:val="tx1"/>
            </w14:solidFill>
          </w14:textFill>
        </w:rPr>
        <w:t>30°</w:t>
      </w:r>
      <w:r>
        <w:rPr>
          <w:rFonts w:hint="eastAsia" w:cs="Times New Roman"/>
          <w:bCs/>
          <w:color w:val="000000" w:themeColor="text1"/>
          <w:szCs w:val="21"/>
          <w14:textFill>
            <w14:solidFill>
              <w14:schemeClr w14:val="tx1"/>
            </w14:solidFill>
          </w14:textFill>
        </w:rPr>
        <w:t>；</w:t>
      </w:r>
    </w:p>
    <w:p>
      <w:pPr>
        <w:spacing w:after="120" w:line="400" w:lineRule="exact"/>
        <w:ind w:left="420" w:leftChars="200" w:firstLine="218" w:firstLineChars="104"/>
        <w:jc w:val="left"/>
        <w:rPr>
          <w:rFonts w:cs="Times New Roman"/>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s="Times New Roman"/>
                <w:color w:val="000000" w:themeColor="text1"/>
                <w:sz w:val="24"/>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jy</m:t>
            </m:r>
            <m:ctrlPr>
              <w:rPr>
                <w:rFonts w:ascii="Cambria Math" w:hAnsi="Cambria Math"/>
                <w:bCs/>
                <w:i/>
                <w:color w:val="000000" w:themeColor="text1"/>
                <w:szCs w:val="21"/>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节点板钢材的屈服强度。</w:t>
      </w:r>
    </w:p>
    <w:p>
      <w:pPr>
        <w:spacing w:line="400" w:lineRule="exact"/>
        <w:ind w:firstLine="840" w:firstLineChars="40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）节点板与柱的连接焊缝（图9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），其极限承载力应按下式验算：</w:t>
      </w:r>
    </w:p>
    <w:p>
      <w:pPr>
        <w:spacing w:line="360" w:lineRule="auto"/>
        <w:ind w:firstLine="420" w:firstLineChars="0"/>
        <w:jc w:val="right"/>
        <w:rPr>
          <w:rFonts w:cs="Times New Roman"/>
          <w:bCs/>
          <w:color w:val="000000" w:themeColor="text1"/>
          <w:szCs w:val="21"/>
          <w14:textFill>
            <w14:solidFill>
              <w14:schemeClr w14:val="tx1"/>
            </w14:solidFill>
          </w14:textFill>
        </w:rPr>
      </w:pPr>
      <m:oMath>
        <m:sSub>
          <w:bookmarkStart w:id="185" w:name="_Hlk24010691"/>
          <w:bookmarkStart w:id="186" w:name="_Hlk24013021"/>
          <m:sSubPr>
            <m:ctrlPr>
              <w:rPr>
                <w:rFonts w:ascii="Cambria Math" w:hAnsi="Cambria Math" w:cs="宋体" w:eastAsiaTheme="minorEastAsia"/>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szCs w:val="20"/>
                <w14:textFill>
                  <w14:solidFill>
                    <w14:schemeClr w14:val="tx1"/>
                  </w14:solidFill>
                </w14:textFill>
              </w:rPr>
              <m:t>η</m:t>
            </m:r>
            <m:ctrlPr>
              <w:rPr>
                <w:rFonts w:ascii="Cambria Math" w:hAnsi="Cambria Math" w:cs="宋体" w:eastAsiaTheme="minorEastAsia"/>
                <w:bCs/>
                <w:iCs/>
                <w:snapToGrid w:val="0"/>
                <w:color w:val="000000" w:themeColor="text1"/>
                <w14:textFill>
                  <w14:solidFill>
                    <w14:schemeClr w14:val="tx1"/>
                  </w14:solidFill>
                </w14:textFill>
              </w:rPr>
            </m:ctrlPr>
          </m:e>
          <m:sub>
            <m:r>
              <w:rPr>
                <w:rFonts w:ascii="Cambria Math" w:hAnsi="Cambria Math" w:cs="宋体"/>
                <w:snapToGrid w:val="0"/>
                <w:color w:val="000000" w:themeColor="text1"/>
                <w:szCs w:val="20"/>
                <w14:textFill>
                  <w14:solidFill>
                    <w14:schemeClr w14:val="tx1"/>
                  </w14:solidFill>
                </w14:textFill>
              </w:rPr>
              <m:t>j</m:t>
            </m:r>
            <w:bookmarkEnd w:id="185"/>
            <m:ctrlPr>
              <w:rPr>
                <w:rFonts w:ascii="Cambria Math" w:hAnsi="Cambria Math" w:cs="宋体" w:eastAsiaTheme="minorEastAsia"/>
                <w:bCs/>
                <w:iCs/>
                <w:snapToGrid w:val="0"/>
                <w:color w:val="000000" w:themeColor="text1"/>
                <w14:textFill>
                  <w14:solidFill>
                    <w14:schemeClr w14:val="tx1"/>
                  </w14:solidFill>
                </w14:textFill>
              </w:rPr>
            </m:ctrlPr>
          </m:sub>
        </m:sSub>
        <w:bookmarkStart w:id="187" w:name="_Hlk24012534"/>
        <m:sSub>
          <m:sSubPr>
            <m:ctrlPr>
              <w:rPr>
                <w:rFonts w:ascii="Cambria Math" w:hAnsi="Cambria Math" w:cs="宋体" w:eastAsiaTheme="minorEastAsia"/>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szCs w:val="20"/>
                <w14:textFill>
                  <w14:solidFill>
                    <w14:schemeClr w14:val="tx1"/>
                  </w14:solidFill>
                </w14:textFill>
              </w:rPr>
              <m:t>A</m:t>
            </m:r>
            <m:ctrlPr>
              <w:rPr>
                <w:rFonts w:ascii="Cambria Math" w:hAnsi="Cambria Math" w:cs="宋体" w:eastAsiaTheme="minorEastAsia"/>
                <w:bCs/>
                <w:i/>
                <w:iCs/>
                <w:snapToGrid w:val="0"/>
                <w:color w:val="000000" w:themeColor="text1"/>
                <w14:textFill>
                  <w14:solidFill>
                    <w14:schemeClr w14:val="tx1"/>
                  </w14:solidFill>
                </w14:textFill>
              </w:rPr>
            </m:ctrlPr>
          </m:e>
          <m:sub>
            <m:r>
              <w:rPr>
                <w:rFonts w:ascii="Cambria Math" w:hAnsi="Cambria Math" w:cs="宋体"/>
                <w:snapToGrid w:val="0"/>
                <w:color w:val="000000" w:themeColor="text1"/>
                <w:szCs w:val="20"/>
                <w14:textFill>
                  <w14:solidFill>
                    <w14:schemeClr w14:val="tx1"/>
                  </w14:solidFill>
                </w14:textFill>
              </w:rPr>
              <m:t>brn</m:t>
            </m:r>
            <m:ctrlPr>
              <w:rPr>
                <w:rFonts w:ascii="Cambria Math" w:hAnsi="Cambria Math" w:cs="宋体" w:eastAsiaTheme="minorEastAsia"/>
                <w:bCs/>
                <w:i/>
                <w:iCs/>
                <w:snapToGrid w:val="0"/>
                <w:color w:val="000000" w:themeColor="text1"/>
                <w14:textFill>
                  <w14:solidFill>
                    <w14:schemeClr w14:val="tx1"/>
                  </w14:solidFill>
                </w14:textFill>
              </w:rPr>
            </m:ctrlPr>
          </m:sub>
        </m:sSub>
        <m:sSub>
          <w:bookmarkStart w:id="188" w:name="_Hlk24012613"/>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y</m:t>
            </m:r>
            <w:bookmarkEnd w:id="187"/>
            <w:bookmarkEnd w:id="188"/>
            <m:ctrlPr>
              <w:rPr>
                <w:rFonts w:ascii="Cambria Math" w:hAnsi="Cambria Math"/>
                <w:bCs/>
                <w:i/>
                <w:color w:val="000000" w:themeColor="text1"/>
                <w:szCs w:val="21"/>
                <w14:textFill>
                  <w14:solidFill>
                    <w14:schemeClr w14:val="tx1"/>
                  </w14:solidFill>
                </w14:textFill>
              </w:rPr>
            </m:ctrlPr>
          </m:sub>
        </m:sSub>
        <m:sSup>
          <m:sSupPr>
            <m:ctrlPr>
              <w:rPr>
                <w:rFonts w:ascii="Cambria Math" w:hAnsi="Cambria Math"/>
                <w:bCs/>
                <w:i/>
                <w:color w:val="000000" w:themeColor="text1"/>
                <w:szCs w:val="21"/>
                <w14:textFill>
                  <w14:solidFill>
                    <w14:schemeClr w14:val="tx1"/>
                  </w14:solidFill>
                </w14:textFill>
              </w:rPr>
            </m:ctrlPr>
          </m:sSupPr>
          <m:e>
            <m:d>
              <m:dPr>
                <m:ctrlPr>
                  <w:rPr>
                    <w:rFonts w:ascii="Cambria Math" w:hAnsi="Cambria Math"/>
                    <w:bCs/>
                    <w:i/>
                    <w:color w:val="000000" w:themeColor="text1"/>
                    <w:szCs w:val="21"/>
                    <w14:textFill>
                      <w14:solidFill>
                        <w14:schemeClr w14:val="tx1"/>
                      </w14:solidFill>
                    </w14:textFill>
                  </w:rPr>
                </m:ctrlPr>
              </m:dPr>
              <m:e>
                <m:f>
                  <m:fPr>
                    <m:ctrlPr>
                      <w:rPr>
                        <w:rFonts w:ascii="Cambria Math" w:hAnsi="Cambria Math"/>
                        <w:bCs/>
                        <w:i/>
                        <w:color w:val="000000" w:themeColor="text1"/>
                        <w:szCs w:val="21"/>
                        <w14:textFill>
                          <w14:solidFill>
                            <w14:schemeClr w14:val="tx1"/>
                          </w14:solidFill>
                        </w14:textFill>
                      </w:rPr>
                    </m:ctrlPr>
                  </m:fPr>
                  <m:num>
                    <m:r>
                      <w:rPr>
                        <w:rFonts w:ascii="Cambria Math" w:hAnsi="Cambria Math"/>
                        <w:color w:val="000000" w:themeColor="text1"/>
                        <w:szCs w:val="21"/>
                        <w14:textFill>
                          <w14:solidFill>
                            <w14:schemeClr w14:val="tx1"/>
                          </w14:solidFill>
                        </w14:textFill>
                      </w:rPr>
                      <m:t>sinα</m:t>
                    </m:r>
                    <m:ctrlPr>
                      <w:rPr>
                        <w:rFonts w:ascii="Cambria Math" w:hAnsi="Cambria Math"/>
                        <w:bCs/>
                        <w:i/>
                        <w:color w:val="000000" w:themeColor="text1"/>
                        <w:szCs w:val="21"/>
                        <w14:textFill>
                          <w14:solidFill>
                            <w14:schemeClr w14:val="tx1"/>
                          </w14:solidFill>
                        </w14:textFill>
                      </w:rPr>
                    </m:ctrlPr>
                  </m:num>
                  <m:den>
                    <m:sSubSup>
                      <m:sSubSupPr>
                        <m:ctrlPr>
                          <w:rPr>
                            <w:rFonts w:ascii="Cambria Math" w:hAnsi="Cambria Math"/>
                            <w:bCs/>
                            <w:i/>
                            <w:color w:val="000000" w:themeColor="text1"/>
                            <w:szCs w:val="21"/>
                            <w14:textFill>
                              <w14:solidFill>
                                <w14:schemeClr w14:val="tx1"/>
                              </w14:solidFill>
                            </w14:textFill>
                          </w:rPr>
                        </m:ctrlPr>
                      </m:sSubSup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m:t>
                        </m:r>
                        <m:ctrlPr>
                          <w:rPr>
                            <w:rFonts w:ascii="Cambria Math" w:hAnsi="Cambria Math"/>
                            <w:bCs/>
                            <w:i/>
                            <w:color w:val="000000" w:themeColor="text1"/>
                            <w:szCs w:val="21"/>
                            <w14:textFill>
                              <w14:solidFill>
                                <w14:schemeClr w14:val="tx1"/>
                              </w14:solidFill>
                            </w14:textFill>
                          </w:rPr>
                        </m:ctrlPr>
                      </m:sub>
                      <m:sup>
                        <m:r>
                          <w:rPr>
                            <w:rFonts w:ascii="Cambria Math" w:hAnsi="Cambria Math"/>
                            <w:color w:val="000000" w:themeColor="text1"/>
                            <w:szCs w:val="21"/>
                            <w14:textFill>
                              <w14:solidFill>
                                <w14:schemeClr w14:val="tx1"/>
                              </w14:solidFill>
                            </w14:textFill>
                          </w:rPr>
                          <m:t>w</m:t>
                        </m:r>
                        <m:ctrlPr>
                          <w:rPr>
                            <w:rFonts w:ascii="Cambria Math" w:hAnsi="Cambria Math"/>
                            <w:bCs/>
                            <w:i/>
                            <w:color w:val="000000" w:themeColor="text1"/>
                            <w:szCs w:val="21"/>
                            <w14:textFill>
                              <w14:solidFill>
                                <w14:schemeClr w14:val="tx1"/>
                              </w14:solidFill>
                            </w14:textFill>
                          </w:rPr>
                        </m:ctrlPr>
                      </m:sup>
                    </m:sSubSup>
                    <m:ctrlPr>
                      <w:rPr>
                        <w:rFonts w:ascii="Cambria Math" w:hAnsi="Cambria Math"/>
                        <w:bCs/>
                        <w:i/>
                        <w:color w:val="000000" w:themeColor="text1"/>
                        <w:szCs w:val="21"/>
                        <w14:textFill>
                          <w14:solidFill>
                            <w14:schemeClr w14:val="tx1"/>
                          </w14:solidFill>
                        </w14:textFill>
                      </w:rPr>
                    </m:ctrlPr>
                  </m:den>
                </m:f>
                <m:ctrlPr>
                  <w:rPr>
                    <w:rFonts w:ascii="Cambria Math" w:hAnsi="Cambria Math"/>
                    <w:bCs/>
                    <w:i/>
                    <w:color w:val="000000" w:themeColor="text1"/>
                    <w:szCs w:val="21"/>
                    <w14:textFill>
                      <w14:solidFill>
                        <w14:schemeClr w14:val="tx1"/>
                      </w14:solidFill>
                    </w14:textFill>
                  </w:rPr>
                </m:ctrlPr>
              </m:e>
            </m:d>
            <m:ctrlPr>
              <w:rPr>
                <w:rFonts w:ascii="Cambria Math" w:hAnsi="Cambria Math"/>
                <w:bCs/>
                <w:i/>
                <w:color w:val="000000" w:themeColor="text1"/>
                <w:szCs w:val="21"/>
                <w14:textFill>
                  <w14:solidFill>
                    <w14:schemeClr w14:val="tx1"/>
                  </w14:solidFill>
                </w14:textFill>
              </w:rPr>
            </m:ctrlPr>
          </m:e>
          <m:sup>
            <m:r>
              <w:rPr>
                <w:rFonts w:ascii="Cambria Math" w:hAnsi="Cambria Math"/>
                <w:color w:val="000000" w:themeColor="text1"/>
                <w:szCs w:val="21"/>
                <w14:textFill>
                  <w14:solidFill>
                    <w14:schemeClr w14:val="tx1"/>
                  </w14:solidFill>
                </w14:textFill>
              </w:rPr>
              <m:t>2</m:t>
            </m:r>
            <m:ctrlPr>
              <w:rPr>
                <w:rFonts w:ascii="Cambria Math" w:hAnsi="Cambria Math"/>
                <w:bCs/>
                <w:i/>
                <w:color w:val="000000" w:themeColor="text1"/>
                <w:szCs w:val="21"/>
                <w14:textFill>
                  <w14:solidFill>
                    <w14:schemeClr w14:val="tx1"/>
                  </w14:solidFill>
                </w14:textFill>
              </w:rPr>
            </m:ctrlPr>
          </m:sup>
        </m:sSup>
        <m:r>
          <w:rPr>
            <w:rFonts w:ascii="Cambria Math" w:hAnsi="Cambria Math"/>
            <w:color w:val="000000" w:themeColor="text1"/>
            <w:szCs w:val="21"/>
            <w14:textFill>
              <w14:solidFill>
                <w14:schemeClr w14:val="tx1"/>
              </w14:solidFill>
            </w14:textFill>
          </w:rPr>
          <m:t>+</m:t>
        </m:r>
        <m:sSup>
          <m:sSupPr>
            <m:ctrlPr>
              <w:rPr>
                <w:rFonts w:ascii="Cambria Math" w:hAnsi="Cambria Math"/>
                <w:bCs/>
                <w:i/>
                <w:color w:val="000000" w:themeColor="text1"/>
                <w:szCs w:val="21"/>
                <w14:textFill>
                  <w14:solidFill>
                    <w14:schemeClr w14:val="tx1"/>
                  </w14:solidFill>
                </w14:textFill>
              </w:rPr>
            </m:ctrlPr>
          </m:sSupPr>
          <m:e>
            <m:d>
              <m:dPr>
                <m:begChr m:val="["/>
                <m:endChr m:val="]"/>
                <m:ctrlPr>
                  <w:rPr>
                    <w:rFonts w:ascii="Cambria Math" w:hAnsi="Cambria Math"/>
                    <w:bCs/>
                    <w:i/>
                    <w:color w:val="000000" w:themeColor="text1"/>
                    <w:szCs w:val="21"/>
                    <w14:textFill>
                      <w14:solidFill>
                        <w14:schemeClr w14:val="tx1"/>
                      </w14:solidFill>
                    </w14:textFill>
                  </w:rPr>
                </m:ctrlPr>
              </m:dPr>
              <m:e>
                <m:r>
                  <w:rPr>
                    <w:rFonts w:ascii="Cambria Math" w:hAnsi="Cambria Math"/>
                    <w:color w:val="000000" w:themeColor="text1"/>
                    <w:szCs w:val="21"/>
                    <w14:textFill>
                      <w14:solidFill>
                        <w14:schemeClr w14:val="tx1"/>
                      </w14:solidFill>
                    </w14:textFill>
                  </w:rPr>
                  <m:t>cosα</m:t>
                </m:r>
                <m:d>
                  <m:dPr>
                    <m:ctrlPr>
                      <w:rPr>
                        <w:rFonts w:ascii="Cambria Math" w:hAnsi="Cambria Math"/>
                        <w:bCs/>
                        <w:i/>
                        <w:color w:val="000000" w:themeColor="text1"/>
                        <w:szCs w:val="21"/>
                        <w14:textFill>
                          <w14:solidFill>
                            <w14:schemeClr w14:val="tx1"/>
                          </w14:solidFill>
                        </w14:textFill>
                      </w:rPr>
                    </m:ctrlPr>
                  </m:dPr>
                  <m:e>
                    <m:f>
                      <m:fPr>
                        <m:ctrlPr>
                          <w:rPr>
                            <w:rFonts w:ascii="Cambria Math" w:hAnsi="Cambria Math"/>
                            <w:bCs/>
                            <w:i/>
                            <w:color w:val="000000" w:themeColor="text1"/>
                            <w:szCs w:val="21"/>
                            <w14:textFill>
                              <w14:solidFill>
                                <w14:schemeClr w14:val="tx1"/>
                              </w14:solidFill>
                            </w14:textFill>
                          </w:rPr>
                        </m:ctrlPr>
                      </m:fPr>
                      <m:num>
                        <m:r>
                          <w:rPr>
                            <w:rFonts w:ascii="Cambria Math" w:hAnsi="Cambria Math"/>
                            <w:color w:val="000000" w:themeColor="text1"/>
                            <w:szCs w:val="21"/>
                            <w14:textFill>
                              <w14:solidFill>
                                <w14:schemeClr w14:val="tx1"/>
                              </w14:solidFill>
                            </w14:textFill>
                          </w:rPr>
                          <m:t>e</m:t>
                        </m:r>
                        <m:ctrlPr>
                          <w:rPr>
                            <w:rFonts w:ascii="Cambria Math" w:hAnsi="Cambria Math"/>
                            <w:bCs/>
                            <w:i/>
                            <w:color w:val="000000" w:themeColor="text1"/>
                            <w:szCs w:val="21"/>
                            <w14:textFill>
                              <w14:solidFill>
                                <w14:schemeClr w14:val="tx1"/>
                              </w14:solidFill>
                            </w14:textFill>
                          </w:rPr>
                        </m:ctrlPr>
                      </m:num>
                      <m:den>
                        <m:sSubSup>
                          <m:sSubSupPr>
                            <m:ctrlPr>
                              <w:rPr>
                                <w:rFonts w:ascii="Cambria Math" w:hAnsi="Cambria Math"/>
                                <w:bCs/>
                                <w:i/>
                                <w:color w:val="000000" w:themeColor="text1"/>
                                <w:szCs w:val="21"/>
                                <w14:textFill>
                                  <w14:solidFill>
                                    <w14:schemeClr w14:val="tx1"/>
                                  </w14:solidFill>
                                </w14:textFill>
                              </w:rPr>
                            </m:ctrlPr>
                          </m:sSubSupPr>
                          <m:e>
                            <m:r>
                              <w:rPr>
                                <w:rFonts w:ascii="Cambria Math" w:hAnsi="Cambria Math"/>
                                <w:color w:val="000000" w:themeColor="text1"/>
                                <w:szCs w:val="21"/>
                                <w14:textFill>
                                  <w14:solidFill>
                                    <w14:schemeClr w14:val="tx1"/>
                                  </w14:solidFill>
                                </w14:textFill>
                              </w:rPr>
                              <m:t>W</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m:t>
                            </m:r>
                            <m:ctrlPr>
                              <w:rPr>
                                <w:rFonts w:ascii="Cambria Math" w:hAnsi="Cambria Math"/>
                                <w:bCs/>
                                <w:i/>
                                <w:color w:val="000000" w:themeColor="text1"/>
                                <w:szCs w:val="21"/>
                                <w14:textFill>
                                  <w14:solidFill>
                                    <w14:schemeClr w14:val="tx1"/>
                                  </w14:solidFill>
                                </w14:textFill>
                              </w:rPr>
                            </m:ctrlPr>
                          </m:sub>
                          <m:sup>
                            <m:r>
                              <w:rPr>
                                <w:rFonts w:ascii="Cambria Math" w:hAnsi="Cambria Math"/>
                                <w:color w:val="000000" w:themeColor="text1"/>
                                <w:szCs w:val="21"/>
                                <w14:textFill>
                                  <w14:solidFill>
                                    <w14:schemeClr w14:val="tx1"/>
                                  </w14:solidFill>
                                </w14:textFill>
                              </w:rPr>
                              <m:t>w</m:t>
                            </m:r>
                            <m:ctrlPr>
                              <w:rPr>
                                <w:rFonts w:ascii="Cambria Math" w:hAnsi="Cambria Math"/>
                                <w:bCs/>
                                <w:i/>
                                <w:color w:val="000000" w:themeColor="text1"/>
                                <w:szCs w:val="21"/>
                                <w14:textFill>
                                  <w14:solidFill>
                                    <w14:schemeClr w14:val="tx1"/>
                                  </w14:solidFill>
                                </w14:textFill>
                              </w:rPr>
                            </m:ctrlPr>
                          </m:sup>
                        </m:sSubSup>
                        <m:ctrlPr>
                          <w:rPr>
                            <w:rFonts w:ascii="Cambria Math" w:hAnsi="Cambria Math"/>
                            <w:bCs/>
                            <w:i/>
                            <w:color w:val="000000" w:themeColor="text1"/>
                            <w:szCs w:val="21"/>
                            <w14:textFill>
                              <w14:solidFill>
                                <w14:schemeClr w14:val="tx1"/>
                              </w14:solidFill>
                            </w14:textFill>
                          </w:rPr>
                        </m:ctrlPr>
                      </m:den>
                    </m:f>
                    <m:r>
                      <w:rPr>
                        <w:rFonts w:ascii="Cambria Math" w:hAnsi="Cambria Math"/>
                        <w:color w:val="000000" w:themeColor="text1"/>
                        <w:szCs w:val="21"/>
                        <w14:textFill>
                          <w14:solidFill>
                            <w14:schemeClr w14:val="tx1"/>
                          </w14:solidFill>
                        </w14:textFill>
                      </w:rPr>
                      <m:t>+</m:t>
                    </m:r>
                    <m:f>
                      <m:fPr>
                        <m:ctrlPr>
                          <w:rPr>
                            <w:rFonts w:ascii="Cambria Math" w:hAnsi="Cambria Math"/>
                            <w:bCs/>
                            <w:i/>
                            <w:color w:val="000000" w:themeColor="text1"/>
                            <w:szCs w:val="21"/>
                            <w14:textFill>
                              <w14:solidFill>
                                <w14:schemeClr w14:val="tx1"/>
                              </w14:solidFill>
                            </w14:textFill>
                          </w:rPr>
                        </m:ctrlPr>
                      </m:fPr>
                      <m:num>
                        <m:r>
                          <w:rPr>
                            <w:rFonts w:ascii="Cambria Math" w:hAnsi="Cambria Math"/>
                            <w:color w:val="000000" w:themeColor="text1"/>
                            <w:szCs w:val="21"/>
                            <w14:textFill>
                              <w14:solidFill>
                                <w14:schemeClr w14:val="tx1"/>
                              </w14:solidFill>
                            </w14:textFill>
                          </w:rPr>
                          <m:t>1</m:t>
                        </m:r>
                        <m:ctrlPr>
                          <w:rPr>
                            <w:rFonts w:ascii="Cambria Math" w:hAnsi="Cambria Math"/>
                            <w:bCs/>
                            <w:i/>
                            <w:color w:val="000000" w:themeColor="text1"/>
                            <w:szCs w:val="21"/>
                            <w14:textFill>
                              <w14:solidFill>
                                <w14:schemeClr w14:val="tx1"/>
                              </w14:solidFill>
                            </w14:textFill>
                          </w:rPr>
                        </m:ctrlPr>
                      </m:num>
                      <m:den>
                        <m:sSubSup>
                          <m:sSubSupPr>
                            <m:ctrlPr>
                              <w:rPr>
                                <w:rFonts w:ascii="Cambria Math" w:hAnsi="Cambria Math"/>
                                <w:bCs/>
                                <w:i/>
                                <w:color w:val="000000" w:themeColor="text1"/>
                                <w:szCs w:val="21"/>
                                <w14:textFill>
                                  <w14:solidFill>
                                    <w14:schemeClr w14:val="tx1"/>
                                  </w14:solidFill>
                                </w14:textFill>
                              </w:rPr>
                            </m:ctrlPr>
                          </m:sSubSup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m:t>
                            </m:r>
                            <m:ctrlPr>
                              <w:rPr>
                                <w:rFonts w:ascii="Cambria Math" w:hAnsi="Cambria Math"/>
                                <w:bCs/>
                                <w:i/>
                                <w:color w:val="000000" w:themeColor="text1"/>
                                <w:szCs w:val="21"/>
                                <w14:textFill>
                                  <w14:solidFill>
                                    <w14:schemeClr w14:val="tx1"/>
                                  </w14:solidFill>
                                </w14:textFill>
                              </w:rPr>
                            </m:ctrlPr>
                          </m:sub>
                          <m:sup>
                            <m:r>
                              <w:rPr>
                                <w:rFonts w:ascii="Cambria Math" w:hAnsi="Cambria Math"/>
                                <w:color w:val="000000" w:themeColor="text1"/>
                                <w:szCs w:val="21"/>
                                <w14:textFill>
                                  <w14:solidFill>
                                    <w14:schemeClr w14:val="tx1"/>
                                  </w14:solidFill>
                                </w14:textFill>
                              </w:rPr>
                              <m:t>w</m:t>
                            </m:r>
                            <m:ctrlPr>
                              <w:rPr>
                                <w:rFonts w:ascii="Cambria Math" w:hAnsi="Cambria Math"/>
                                <w:bCs/>
                                <w:i/>
                                <w:color w:val="000000" w:themeColor="text1"/>
                                <w:szCs w:val="21"/>
                                <w14:textFill>
                                  <w14:solidFill>
                                    <w14:schemeClr w14:val="tx1"/>
                                  </w14:solidFill>
                                </w14:textFill>
                              </w:rPr>
                            </m:ctrlPr>
                          </m:sup>
                        </m:sSubSup>
                        <m:ctrlPr>
                          <w:rPr>
                            <w:rFonts w:ascii="Cambria Math" w:hAnsi="Cambria Math"/>
                            <w:bCs/>
                            <w:i/>
                            <w:color w:val="000000" w:themeColor="text1"/>
                            <w:szCs w:val="21"/>
                            <w14:textFill>
                              <w14:solidFill>
                                <w14:schemeClr w14:val="tx1"/>
                              </w14:solidFill>
                            </w14:textFill>
                          </w:rPr>
                        </m:ctrlPr>
                      </m:den>
                    </m:f>
                    <m:ctrlPr>
                      <w:rPr>
                        <w:rFonts w:ascii="Cambria Math" w:hAnsi="Cambria Math"/>
                        <w:bCs/>
                        <w:i/>
                        <w:color w:val="000000" w:themeColor="text1"/>
                        <w:szCs w:val="21"/>
                        <w14:textFill>
                          <w14:solidFill>
                            <w14:schemeClr w14:val="tx1"/>
                          </w14:solidFill>
                        </w14:textFill>
                      </w:rPr>
                    </m:ctrlPr>
                  </m:e>
                </m:d>
                <m:ctrlPr>
                  <w:rPr>
                    <w:rFonts w:ascii="Cambria Math" w:hAnsi="Cambria Math"/>
                    <w:bCs/>
                    <w:i/>
                    <w:color w:val="000000" w:themeColor="text1"/>
                    <w:szCs w:val="21"/>
                    <w14:textFill>
                      <w14:solidFill>
                        <w14:schemeClr w14:val="tx1"/>
                      </w14:solidFill>
                    </w14:textFill>
                  </w:rPr>
                </m:ctrlPr>
              </m:e>
            </m:d>
            <m:ctrlPr>
              <w:rPr>
                <w:rFonts w:ascii="Cambria Math" w:hAnsi="Cambria Math"/>
                <w:bCs/>
                <w:i/>
                <w:color w:val="000000" w:themeColor="text1"/>
                <w:szCs w:val="21"/>
                <w14:textFill>
                  <w14:solidFill>
                    <w14:schemeClr w14:val="tx1"/>
                  </w14:solidFill>
                </w14:textFill>
              </w:rPr>
            </m:ctrlPr>
          </m:e>
          <m:sup>
            <m:r>
              <w:rPr>
                <w:rFonts w:ascii="Cambria Math" w:hAnsi="Cambria Math"/>
                <w:color w:val="000000" w:themeColor="text1"/>
                <w:szCs w:val="21"/>
                <w14:textFill>
                  <w14:solidFill>
                    <w14:schemeClr w14:val="tx1"/>
                  </w14:solidFill>
                </w14:textFill>
              </w:rPr>
              <m:t>2</m:t>
            </m:r>
            <m:ctrlPr>
              <w:rPr>
                <w:rFonts w:ascii="Cambria Math" w:hAnsi="Cambria Math"/>
                <w:bCs/>
                <w:i/>
                <w:color w:val="000000" w:themeColor="text1"/>
                <w:szCs w:val="21"/>
                <w14:textFill>
                  <w14:solidFill>
                    <w14:schemeClr w14:val="tx1"/>
                  </w14:solidFill>
                </w14:textFill>
              </w:rPr>
            </m:ctrlPr>
          </m:sup>
        </m:sSup>
        <m:r>
          <w:rPr>
            <w:rFonts w:ascii="Cambria Math" w:hAnsi="Cambria Math"/>
            <w:color w:val="000000" w:themeColor="text1"/>
            <w:szCs w:val="21"/>
            <w14:textFill>
              <w14:solidFill>
                <w14:schemeClr w14:val="tx1"/>
              </w14:solidFill>
            </w14:textFill>
          </w:rPr>
          <m:t>≤</m:t>
        </m:r>
        <m:sSubSup>
          <m:sSubSupPr>
            <m:ctrlPr>
              <w:rPr>
                <w:rFonts w:ascii="Cambria Math" w:hAnsi="Cambria Math"/>
                <w:bCs/>
                <w:iCs/>
                <w:color w:val="000000" w:themeColor="text1"/>
                <w:szCs w:val="21"/>
                <w14:textFill>
                  <w14:solidFill>
                    <w14:schemeClr w14:val="tx1"/>
                  </w14:solidFill>
                </w14:textFill>
              </w:rPr>
            </m:ctrlPr>
          </m:sSubSupPr>
          <m:e>
            <m:r>
              <m:rPr>
                <m:sty m:val="p"/>
              </m:rP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bCs/>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bCs/>
                <w:iCs/>
                <w:color w:val="000000" w:themeColor="text1"/>
                <w:szCs w:val="21"/>
                <w14:textFill>
                  <w14:solidFill>
                    <w14:schemeClr w14:val="tx1"/>
                  </w14:solidFill>
                </w14:textFill>
              </w:rPr>
            </m:ctrlPr>
          </m:sub>
          <m:sup>
            <m:r>
              <w:rPr>
                <w:rFonts w:ascii="Cambria Math" w:hAnsi="Cambria Math" w:cs="Times New Roman"/>
                <w:color w:val="000000" w:themeColor="text1"/>
                <w:szCs w:val="21"/>
                <w14:textFill>
                  <w14:solidFill>
                    <w14:schemeClr w14:val="tx1"/>
                  </w14:solidFill>
                </w14:textFill>
              </w:rPr>
              <m:t>f</m:t>
            </m:r>
            <m:ctrlPr>
              <w:rPr>
                <w:rFonts w:ascii="Cambria Math" w:hAnsi="Cambria Math"/>
                <w:bCs/>
                <w:iCs/>
                <w:color w:val="000000" w:themeColor="text1"/>
                <w:szCs w:val="21"/>
                <w14:textFill>
                  <w14:solidFill>
                    <w14:schemeClr w14:val="tx1"/>
                  </w14:solidFill>
                </w14:textFill>
              </w:rPr>
            </m:ctrlPr>
          </m:sup>
        </m:sSubSup>
      </m:oMath>
      <w:r>
        <w:rPr>
          <w:rFonts w:cs="Times New Roman"/>
          <w:bCs/>
          <w:color w:val="000000" w:themeColor="text1"/>
          <w:szCs w:val="21"/>
          <w14:textFill>
            <w14:solidFill>
              <w14:schemeClr w14:val="tx1"/>
            </w14:solidFill>
          </w14:textFill>
        </w:rPr>
        <w:t xml:space="preserve"> </w:t>
      </w:r>
      <w:bookmarkEnd w:id="186"/>
      <w:r>
        <w:rPr>
          <w:rFonts w:cs="Times New Roman"/>
          <w:bCs/>
          <w:color w:val="000000" w:themeColor="text1"/>
          <w:szCs w:val="21"/>
          <w14:textFill>
            <w14:solidFill>
              <w14:schemeClr w14:val="tx1"/>
            </w14:solidFill>
          </w14:textFill>
        </w:rPr>
        <w:t xml:space="preserve">     </w:t>
      </w:r>
      <w:r>
        <w:rPr>
          <w:rFonts w:hint="eastAsia" w:cs="Times New Roman"/>
          <w:bCs/>
          <w:color w:val="000000" w:themeColor="text1"/>
          <w:szCs w:val="21"/>
          <w14:textFill>
            <w14:solidFill>
              <w14:schemeClr w14:val="tx1"/>
            </w14:solidFill>
          </w14:textFill>
        </w:rPr>
        <w:t>（9</w:t>
      </w:r>
      <w:r>
        <w:rPr>
          <w:rFonts w:cs="Times New Roman"/>
          <w:bCs/>
          <w:color w:val="000000" w:themeColor="text1"/>
          <w:szCs w:val="21"/>
          <w14:textFill>
            <w14:solidFill>
              <w14:schemeClr w14:val="tx1"/>
            </w14:solidFill>
          </w14:textFill>
        </w:rPr>
        <w:t>.2.</w:t>
      </w:r>
      <w:r>
        <w:rPr>
          <w:rFonts w:hint="eastAsia" w:cs="Times New Roman"/>
          <w:bCs/>
          <w:color w:val="000000" w:themeColor="text1"/>
          <w:szCs w:val="21"/>
          <w14:textFill>
            <w14:solidFill>
              <w14:schemeClr w14:val="tx1"/>
            </w14:solidFill>
          </w14:textFill>
        </w:rPr>
        <w:t>10</w:t>
      </w:r>
      <w:r>
        <w:rPr>
          <w:rFonts w:cs="Times New Roman"/>
          <w:bCs/>
          <w:color w:val="000000" w:themeColor="text1"/>
          <w:szCs w:val="21"/>
          <w14:textFill>
            <w14:solidFill>
              <w14:schemeClr w14:val="tx1"/>
            </w14:solidFill>
          </w14:textFill>
        </w:rPr>
        <w:t>-12</w:t>
      </w:r>
      <w:r>
        <w:rPr>
          <w:rFonts w:hint="eastAsia" w:cs="Times New Roman"/>
          <w:bCs/>
          <w:color w:val="000000" w:themeColor="text1"/>
          <w:szCs w:val="21"/>
          <w14:textFill>
            <w14:solidFill>
              <w14:schemeClr w14:val="tx1"/>
            </w14:solidFill>
          </w14:textFill>
        </w:rPr>
        <w:t>）</w:t>
      </w:r>
    </w:p>
    <w:p>
      <w:pPr>
        <w:spacing w:line="400" w:lineRule="exact"/>
        <w:ind w:firstLine="0" w:firstLineChars="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式中：</w:t>
      </w:r>
      <w:r>
        <w:rPr>
          <w:bCs/>
          <w:color w:val="000000" w:themeColor="text1"/>
          <w:szCs w:val="21"/>
          <w14:textFill>
            <w14:solidFill>
              <w14:schemeClr w14:val="tx1"/>
            </w14:solidFill>
          </w14:textFill>
        </w:rPr>
        <w:t>e——</w:t>
      </w:r>
      <w:r>
        <w:rPr>
          <w:rFonts w:hint="eastAsia"/>
          <w:bCs/>
          <w:color w:val="000000" w:themeColor="text1"/>
          <w14:textFill>
            <w14:solidFill>
              <w14:schemeClr w14:val="tx1"/>
            </w14:solidFill>
          </w14:textFill>
        </w:rPr>
        <w:t>支撑</w:t>
      </w:r>
      <w:r>
        <w:rPr>
          <w:rFonts w:hint="eastAsia"/>
          <w:bCs/>
          <w:color w:val="000000" w:themeColor="text1"/>
          <w:szCs w:val="21"/>
          <w14:textFill>
            <w14:solidFill>
              <w14:schemeClr w14:val="tx1"/>
            </w14:solidFill>
          </w14:textFill>
        </w:rPr>
        <w:t>轴力作用点与连接焊缝中心之间的偏心距；</w:t>
      </w:r>
    </w:p>
    <w:p>
      <w:pPr>
        <w:spacing w:after="120" w:line="400" w:lineRule="exact"/>
        <w:ind w:left="420" w:leftChars="200" w:firstLine="218" w:firstLineChars="104"/>
        <w:jc w:val="left"/>
        <w:rPr>
          <w:rFonts w:cs="Times New Roman"/>
          <w:bCs/>
          <w:color w:val="000000" w:themeColor="text1"/>
          <w:szCs w:val="21"/>
          <w14:textFill>
            <w14:solidFill>
              <w14:schemeClr w14:val="tx1"/>
            </w14:solidFill>
          </w14:textFill>
        </w:rPr>
      </w:pPr>
      <m:oMath>
        <m:sSubSup>
          <m:sSubSupPr>
            <m:ctrlPr>
              <w:rPr>
                <w:rFonts w:ascii="Cambria Math" w:hAnsi="Cambria Math"/>
                <w:bCs/>
                <w:i/>
                <w:color w:val="000000" w:themeColor="text1"/>
                <w:szCs w:val="21"/>
                <w14:textFill>
                  <w14:solidFill>
                    <w14:schemeClr w14:val="tx1"/>
                  </w14:solidFill>
                </w14:textFill>
              </w:rPr>
            </m:ctrlPr>
          </m:sSubSupPr>
          <m:e>
            <m:r>
              <w:rPr>
                <w:rFonts w:ascii="Cambria Math" w:hAnsi="Cambria Math"/>
                <w:color w:val="000000" w:themeColor="text1"/>
                <w:sz w:val="24"/>
                <w:szCs w:val="21"/>
                <w14:textFill>
                  <w14:solidFill>
                    <w14:schemeClr w14:val="tx1"/>
                  </w14:solidFill>
                </w14:textFill>
              </w:rPr>
              <m:t>W</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 w:val="24"/>
                <w:szCs w:val="21"/>
                <w14:textFill>
                  <w14:solidFill>
                    <w14:schemeClr w14:val="tx1"/>
                  </w14:solidFill>
                </w14:textFill>
              </w:rPr>
              <m:t>f</m:t>
            </m:r>
            <m:ctrlPr>
              <w:rPr>
                <w:rFonts w:ascii="Cambria Math" w:hAnsi="Cambria Math"/>
                <w:bCs/>
                <w:i/>
                <w:color w:val="000000" w:themeColor="text1"/>
                <w:szCs w:val="21"/>
                <w14:textFill>
                  <w14:solidFill>
                    <w14:schemeClr w14:val="tx1"/>
                  </w14:solidFill>
                </w14:textFill>
              </w:rPr>
            </m:ctrlPr>
          </m:sub>
          <m:sup>
            <m:r>
              <w:rPr>
                <w:rFonts w:ascii="Cambria Math" w:hAnsi="Cambria Math"/>
                <w:color w:val="000000" w:themeColor="text1"/>
                <w:sz w:val="24"/>
                <w:szCs w:val="21"/>
                <w14:textFill>
                  <w14:solidFill>
                    <w14:schemeClr w14:val="tx1"/>
                  </w14:solidFill>
                </w14:textFill>
              </w:rPr>
              <m:t>w</m:t>
            </m:r>
            <m:ctrlPr>
              <w:rPr>
                <w:rFonts w:ascii="Cambria Math" w:hAnsi="Cambria Math"/>
                <w:bCs/>
                <w:i/>
                <w:color w:val="000000" w:themeColor="text1"/>
                <w:szCs w:val="21"/>
                <w14:textFill>
                  <w14:solidFill>
                    <w14:schemeClr w14:val="tx1"/>
                  </w14:solidFill>
                </w14:textFill>
              </w:rPr>
            </m:ctrlPr>
          </m:sup>
        </m:sSubSup>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连接焊缝的截面模量。</w:t>
      </w:r>
    </w:p>
    <w:p>
      <w:pPr>
        <w:tabs>
          <w:tab w:val="left" w:pos="2520"/>
        </w:tabs>
        <w:spacing w:line="360" w:lineRule="auto"/>
        <w:ind w:firstLine="420"/>
        <w:jc w:val="center"/>
        <w:rPr>
          <w:bCs/>
          <w:color w:val="000000" w:themeColor="text1"/>
          <w:szCs w:val="20"/>
          <w14:textFill>
            <w14:solidFill>
              <w14:schemeClr w14:val="tx1"/>
            </w14:solidFill>
          </w14:textFill>
        </w:rPr>
      </w:pPr>
      <w:r>
        <w:rPr>
          <w:bCs/>
          <w:color w:val="000000" w:themeColor="text1"/>
          <w14:textFill>
            <w14:solidFill>
              <w14:schemeClr w14:val="tx1"/>
            </w14:solidFill>
          </w14:textFill>
        </w:rPr>
        <w:drawing>
          <wp:inline distT="0" distB="0" distL="0" distR="0">
            <wp:extent cx="3873500" cy="17018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3873500" cy="1701800"/>
                    </a:xfrm>
                    <a:prstGeom prst="rect">
                      <a:avLst/>
                    </a:prstGeom>
                    <a:noFill/>
                    <a:ln>
                      <a:noFill/>
                    </a:ln>
                  </pic:spPr>
                </pic:pic>
              </a:graphicData>
            </a:graphic>
          </wp:inline>
        </w:drawing>
      </w:r>
    </w:p>
    <w:p>
      <w:pPr>
        <w:spacing w:line="360" w:lineRule="auto"/>
        <w:ind w:firstLine="360"/>
        <w:jc w:val="left"/>
        <w:rPr>
          <w:bCs/>
          <w:color w:val="000000" w:themeColor="text1"/>
          <w:sz w:val="18"/>
          <w:szCs w:val="18"/>
          <w14:textFill>
            <w14:solidFill>
              <w14:schemeClr w14:val="tx1"/>
            </w14:solidFill>
          </w14:textFill>
        </w:rPr>
      </w:pPr>
      <w:r>
        <w:rPr>
          <w:rFonts w:eastAsia="MS Mincho"/>
          <w:bCs/>
          <w:color w:val="000000" w:themeColor="text1"/>
          <w:sz w:val="18"/>
          <w:szCs w:val="18"/>
          <w14:textFill>
            <w14:solidFill>
              <w14:schemeClr w14:val="tx1"/>
            </w14:solidFill>
          </w14:textFill>
        </w:rPr>
        <w:t xml:space="preserve">    </w:t>
      </w:r>
      <w:r>
        <w:rPr>
          <w:bCs/>
          <w:color w:val="000000" w:themeColor="text1"/>
          <w:sz w:val="18"/>
          <w:szCs w:val="18"/>
          <w14:textFill>
            <w14:solidFill>
              <w14:schemeClr w14:val="tx1"/>
            </w14:solidFill>
          </w14:textFill>
        </w:rPr>
        <w:t xml:space="preserve">   </w:t>
      </w:r>
      <w:r>
        <w:rPr>
          <w:rFonts w:eastAsia="MS Mincho"/>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a</w:t>
      </w:r>
      <w:r>
        <w:rPr>
          <w:rFonts w:hint="eastAsia"/>
          <w:bCs/>
          <w:color w:val="000000" w:themeColor="text1"/>
          <w:sz w:val="18"/>
          <w:szCs w:val="18"/>
          <w14:textFill>
            <w14:solidFill>
              <w14:schemeClr w14:val="tx1"/>
            </w14:solidFill>
          </w14:textFill>
        </w:rPr>
        <w:t>）杆端螺栓连接</w:t>
      </w:r>
      <w:r>
        <w:rPr>
          <w:bCs/>
          <w:color w:val="000000" w:themeColor="text1"/>
          <w:sz w:val="18"/>
          <w:szCs w:val="18"/>
          <w14:textFill>
            <w14:solidFill>
              <w14:schemeClr w14:val="tx1"/>
            </w14:solidFill>
          </w14:textFill>
        </w:rPr>
        <w:t xml:space="preserve">      </w:t>
      </w:r>
      <w:r>
        <w:rPr>
          <w:rFonts w:eastAsia="MS Mincho"/>
          <w:bCs/>
          <w:color w:val="000000" w:themeColor="text1"/>
          <w:sz w:val="18"/>
          <w:szCs w:val="18"/>
          <w14:textFill>
            <w14:solidFill>
              <w14:schemeClr w14:val="tx1"/>
            </w14:solidFill>
          </w14:textFill>
        </w:rPr>
        <w:t xml:space="preserve">     </w:t>
      </w:r>
      <w:r>
        <w:rPr>
          <w:bCs/>
          <w:color w:val="000000" w:themeColor="text1"/>
          <w:sz w:val="18"/>
          <w:szCs w:val="18"/>
          <w14:textFill>
            <w14:solidFill>
              <w14:schemeClr w14:val="tx1"/>
            </w14:solidFill>
          </w14:textFill>
        </w:rPr>
        <w:t xml:space="preserve">     </w:t>
      </w:r>
      <w:r>
        <w:rPr>
          <w:rFonts w:eastAsia="MS Mincho"/>
          <w:bCs/>
          <w:color w:val="000000" w:themeColor="text1"/>
          <w:sz w:val="18"/>
          <w:szCs w:val="18"/>
          <w14:textFill>
            <w14:solidFill>
              <w14:schemeClr w14:val="tx1"/>
            </w14:solidFill>
          </w14:textFill>
        </w:rPr>
        <w:t xml:space="preserve"> </w:t>
      </w:r>
      <w:r>
        <w:rPr>
          <w:bCs/>
          <w:color w:val="000000" w:themeColor="text1"/>
          <w:sz w:val="18"/>
          <w:szCs w:val="18"/>
          <w14:textFill>
            <w14:solidFill>
              <w14:schemeClr w14:val="tx1"/>
            </w14:solidFill>
          </w14:textFill>
        </w:rPr>
        <w:t xml:space="preserve"> </w:t>
      </w:r>
      <w:r>
        <w:rPr>
          <w:rFonts w:eastAsia="MS Mincho"/>
          <w:bCs/>
          <w:color w:val="000000" w:themeColor="text1"/>
          <w:sz w:val="18"/>
          <w:szCs w:val="18"/>
          <w14:textFill>
            <w14:solidFill>
              <w14:schemeClr w14:val="tx1"/>
            </w14:solidFill>
          </w14:textFill>
        </w:rPr>
        <w:t xml:space="preserve"> </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b</w:t>
      </w:r>
      <w:r>
        <w:rPr>
          <w:rFonts w:hint="eastAsia"/>
          <w:bCs/>
          <w:color w:val="000000" w:themeColor="text1"/>
          <w:sz w:val="18"/>
          <w:szCs w:val="18"/>
          <w14:textFill>
            <w14:solidFill>
              <w14:schemeClr w14:val="tx1"/>
            </w14:solidFill>
          </w14:textFill>
        </w:rPr>
        <w:t>）杆端焊接连接</w:t>
      </w:r>
    </w:p>
    <w:p>
      <w:pPr>
        <w:spacing w:line="360" w:lineRule="auto"/>
        <w:ind w:firstLine="36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图9</w:t>
      </w:r>
      <w:r>
        <w:rPr>
          <w:bCs/>
          <w:color w:val="000000" w:themeColor="text1"/>
          <w:sz w:val="18"/>
          <w:szCs w:val="18"/>
          <w14:textFill>
            <w14:solidFill>
              <w14:schemeClr w14:val="tx1"/>
            </w14:solidFill>
          </w14:textFill>
        </w:rPr>
        <w:t>.2.</w:t>
      </w:r>
      <w:r>
        <w:rPr>
          <w:rFonts w:hint="eastAsia"/>
          <w:bCs/>
          <w:color w:val="000000" w:themeColor="text1"/>
          <w:sz w:val="18"/>
          <w:szCs w:val="18"/>
          <w14:textFill>
            <w14:solidFill>
              <w14:schemeClr w14:val="tx1"/>
            </w14:solidFill>
          </w14:textFill>
        </w:rPr>
        <w:t>10</w:t>
      </w:r>
      <w:r>
        <w:rPr>
          <w:bCs/>
          <w:color w:val="000000" w:themeColor="text1"/>
          <w:sz w:val="18"/>
          <w:szCs w:val="18"/>
          <w14:textFill>
            <w14:solidFill>
              <w14:schemeClr w14:val="tx1"/>
            </w14:solidFill>
          </w14:textFill>
        </w:rPr>
        <w:t xml:space="preserve">-1  </w:t>
      </w:r>
      <w:r>
        <w:rPr>
          <w:rFonts w:hint="eastAsia"/>
          <w:bCs/>
          <w:color w:val="000000" w:themeColor="text1"/>
          <w:sz w:val="18"/>
          <w:szCs w:val="18"/>
          <w14:textFill>
            <w14:solidFill>
              <w14:schemeClr w14:val="tx1"/>
            </w14:solidFill>
          </w14:textFill>
        </w:rPr>
        <w:t>支撑杆端连接节点计算简图</w:t>
      </w:r>
    </w:p>
    <w:p>
      <w:pPr>
        <w:spacing w:before="156" w:beforeLines="50" w:line="400" w:lineRule="exact"/>
        <w:ind w:firstLine="420"/>
        <w:rPr>
          <w:bCs/>
          <w:color w:val="000000" w:themeColor="text1"/>
          <w:szCs w:val="21"/>
          <w14:textFill>
            <w14:solidFill>
              <w14:schemeClr w14:val="tx1"/>
            </w14:solidFill>
          </w14:textFill>
        </w:rPr>
      </w:pPr>
      <w:r>
        <w:rPr>
          <w:rFonts w:hint="eastAsia"/>
          <w:bCs/>
          <w:color w:val="000000" w:themeColor="text1"/>
          <w14:textFill>
            <w14:solidFill>
              <w14:schemeClr w14:val="tx1"/>
            </w14:solidFill>
          </w14:textFill>
        </w:rPr>
        <w:t>4</w:t>
      </w:r>
      <w:r>
        <w:rPr>
          <w:bCs/>
          <w:color w:val="000000" w:themeColor="text1"/>
          <w14:textFill>
            <w14:solidFill>
              <w14:schemeClr w14:val="tx1"/>
            </w14:solidFill>
          </w14:textFill>
        </w:rPr>
        <w:t xml:space="preserve"> </w:t>
      </w:r>
      <w:r>
        <w:rPr>
          <w:rFonts w:hint="eastAsia"/>
          <w:bCs/>
          <w:color w:val="000000" w:themeColor="text1"/>
          <w:szCs w:val="21"/>
          <w14:textFill>
            <w14:solidFill>
              <w14:schemeClr w14:val="tx1"/>
            </w14:solidFill>
          </w14:textFill>
        </w:rPr>
        <w:t>支撑杆与梁、柱的连接节点</w:t>
      </w:r>
      <w:r>
        <w:rPr>
          <w:rFonts w:hint="eastAsia"/>
          <w:bCs/>
          <w:color w:val="000000" w:themeColor="text1"/>
          <w14:textFill>
            <w14:solidFill>
              <w14:schemeClr w14:val="tx1"/>
            </w14:solidFill>
          </w14:textFill>
        </w:rPr>
        <w:t>，应计入支撑</w:t>
      </w:r>
      <w:r>
        <w:rPr>
          <w:rFonts w:hint="eastAsia"/>
          <w:bCs/>
          <w:color w:val="000000" w:themeColor="text1"/>
          <w:szCs w:val="21"/>
          <w14:textFill>
            <w14:solidFill>
              <w14:schemeClr w14:val="tx1"/>
            </w14:solidFill>
          </w14:textFill>
        </w:rPr>
        <w:t>屈曲</w:t>
      </w:r>
      <w:r>
        <w:rPr>
          <w:rFonts w:hint="eastAsia"/>
          <w:bCs/>
          <w:color w:val="000000" w:themeColor="text1"/>
          <w14:textFill>
            <w14:solidFill>
              <w14:schemeClr w14:val="tx1"/>
            </w14:solidFill>
          </w14:textFill>
        </w:rPr>
        <w:t>后的不平衡力，按表9</w:t>
      </w: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9-1采用连接系数进行极限承载力验算。</w:t>
      </w:r>
    </w:p>
    <w:p>
      <w:pPr>
        <w:spacing w:line="400" w:lineRule="exact"/>
        <w:ind w:left="1050" w:leftChars="400" w:hanging="210" w:hangingChars="100"/>
        <w:jc w:val="left"/>
        <w:rPr>
          <w:bCs/>
          <w:color w:val="000000" w:themeColor="text1"/>
          <w:szCs w:val="24"/>
          <w14:textFill>
            <w14:solidFill>
              <w14:schemeClr w14:val="tx1"/>
            </w14:solidFill>
          </w14:textFill>
        </w:rPr>
      </w:pPr>
      <w:r>
        <w:rPr>
          <w:bCs/>
          <w:color w:val="000000" w:themeColor="text1"/>
          <w14:textFill>
            <w14:solidFill>
              <w14:schemeClr w14:val="tx1"/>
            </w14:solidFill>
          </w14:textFill>
        </w:rPr>
        <w:t>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X</w:t>
      </w:r>
      <w:r>
        <w:rPr>
          <w:rFonts w:hint="eastAsia"/>
          <w:bCs/>
          <w:color w:val="000000" w:themeColor="text1"/>
          <w14:textFill>
            <w14:solidFill>
              <w14:schemeClr w14:val="tx1"/>
            </w14:solidFill>
          </w14:textFill>
        </w:rPr>
        <w:t>形支撑或成对布置的单斜杆</w:t>
      </w:r>
      <w:r>
        <w:rPr>
          <w:rFonts w:hint="eastAsia"/>
          <w:bCs/>
          <w:color w:val="000000" w:themeColor="text1"/>
          <w:szCs w:val="24"/>
          <w14:textFill>
            <w14:solidFill>
              <w14:schemeClr w14:val="tx1"/>
            </w14:solidFill>
          </w14:textFill>
        </w:rPr>
        <w:t>支撑</w:t>
      </w:r>
      <w:r>
        <w:rPr>
          <w:rFonts w:hint="eastAsia"/>
          <w:bCs/>
          <w:color w:val="000000" w:themeColor="text1"/>
          <w14:textFill>
            <w14:solidFill>
              <w14:schemeClr w14:val="tx1"/>
            </w14:solidFill>
          </w14:textFill>
        </w:rPr>
        <w:t>框架，上、下层支撑斜杆的汇交节点，竖向不平衡剪力可由下式计算：</w:t>
      </w:r>
    </w:p>
    <w:p>
      <w:pPr>
        <w:spacing w:line="360" w:lineRule="auto"/>
        <w:ind w:firstLine="420"/>
        <w:jc w:val="right"/>
        <w:rPr>
          <w:bCs/>
          <w:color w:val="000000" w:themeColor="text1"/>
          <w:szCs w:val="21"/>
          <w14:textFill>
            <w14:solidFill>
              <w14:schemeClr w14:val="tx1"/>
            </w14:solidFill>
          </w14:textFill>
        </w:rPr>
      </w:pPr>
      <m:oMath>
        <m:r>
          <w:rPr>
            <w:rFonts w:ascii="Cambria Math" w:hAnsi="Cambria Math" w:cs="Times New Roman"/>
            <w:color w:val="000000" w:themeColor="text1"/>
            <w:szCs w:val="21"/>
            <w14:textFill>
              <w14:solidFill>
                <w14:schemeClr w14:val="tx1"/>
              </w14:solidFill>
            </w14:textFill>
          </w:rPr>
          <m:t>V=</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br</m:t>
            </m:r>
            <m:ctrlPr>
              <w:rPr>
                <w:rFonts w:ascii="Cambria Math" w:hAnsi="Cambria Math" w:cs="Times New Roman"/>
                <w:bCs/>
                <w:i/>
                <w:color w:val="000000" w:themeColor="text1"/>
                <w:szCs w:val="2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sin</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α</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1</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m:t>
            </m:r>
            <m:ctrlPr>
              <w:rPr>
                <w:rFonts w:ascii="Cambria Math" w:hAnsi="Cambria Math" w:cs="宋体"/>
                <w:bCs/>
                <w:iCs/>
                <w:snapToGrid w:val="0"/>
                <w:color w:val="000000" w:themeColor="text1"/>
                <w14:textFill>
                  <w14:solidFill>
                    <w14:schemeClr w14:val="tx1"/>
                  </w14:solidFill>
                </w14:textFill>
              </w:rPr>
            </m:ctrlPr>
          </m:sub>
        </m:sSub>
        <m:r>
          <w:rPr>
            <w:rFonts w:ascii="Cambria Math" w:hAnsi="Cambria Math" w:cs="宋体"/>
            <w:snapToGrid w:val="0"/>
            <w:color w:val="000000" w:themeColor="text1"/>
            <w14:textFill>
              <w14:solidFill>
                <w14:schemeClr w14:val="tx1"/>
              </w14:solidFill>
            </w14:textFill>
          </w:rPr>
          <m:t>φ</m:t>
        </m:r>
        <m:sSub>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A</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br2</m:t>
            </m:r>
            <m:ctrlPr>
              <w:rPr>
                <w:rFonts w:ascii="Cambria Math" w:hAnsi="Cambria Math" w:cs="宋体"/>
                <w:bCs/>
                <w:i/>
                <w:iCs/>
                <w:snapToGrid w:val="0"/>
                <w:color w:val="000000" w:themeColor="text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sin</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α</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2</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V</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G</m:t>
            </m:r>
            <m:ctrlPr>
              <w:rPr>
                <w:rFonts w:ascii="Cambria Math" w:hAnsi="Cambria Math" w:cs="Times New Roman"/>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3）</w:t>
      </w:r>
    </w:p>
    <w:p>
      <w:pPr>
        <w:spacing w:line="360" w:lineRule="auto"/>
        <w:ind w:firstLine="420"/>
        <w:jc w:val="right"/>
        <w:rPr>
          <w:bCs/>
          <w:color w:val="000000" w:themeColor="text1"/>
          <w:szCs w:val="21"/>
          <w14:textFill>
            <w14:solidFill>
              <w14:schemeClr w14:val="tx1"/>
            </w14:solidFill>
          </w14:textFill>
        </w:rPr>
      </w:pPr>
      <w:bookmarkStart w:id="189" w:name="_Hlk24013295"/>
      <m:oMath>
        <m:r>
          <w:rPr>
            <w:rFonts w:ascii="Cambria Math" w:hAnsi="Cambria Math" w:cs="Times New Roman"/>
            <w:color w:val="000000" w:themeColor="text1"/>
            <w:szCs w:val="21"/>
            <w14:textFill>
              <w14:solidFill>
                <w14:schemeClr w14:val="tx1"/>
              </w14:solidFill>
            </w14:textFill>
          </w:rPr>
          <m:t>V=</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br</m:t>
            </m:r>
            <m:ctrlPr>
              <w:rPr>
                <w:rFonts w:ascii="Cambria Math" w:hAnsi="Cambria Math" w:cs="Times New Roman"/>
                <w:bCs/>
                <w:i/>
                <w:color w:val="000000" w:themeColor="text1"/>
                <w:szCs w:val="2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sin</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α</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1</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m:t>
            </m:r>
            <m:ctrlPr>
              <w:rPr>
                <w:rFonts w:ascii="Cambria Math" w:hAnsi="Cambria Math" w:cs="宋体"/>
                <w:bCs/>
                <w:iCs/>
                <w:snapToGrid w:val="0"/>
                <w:color w:val="000000" w:themeColor="text1"/>
                <w14:textFill>
                  <w14:solidFill>
                    <w14:schemeClr w14:val="tx1"/>
                  </w14:solidFill>
                </w14:textFill>
              </w:rPr>
            </m:ctrlPr>
          </m:sub>
        </m:sSub>
        <m:r>
          <w:rPr>
            <w:rFonts w:ascii="Cambria Math" w:hAnsi="Cambria Math" w:cs="宋体"/>
            <w:snapToGrid w:val="0"/>
            <w:color w:val="000000" w:themeColor="text1"/>
            <w14:textFill>
              <w14:solidFill>
                <w14:schemeClr w14:val="tx1"/>
              </w14:solidFill>
            </w14:textFill>
          </w:rPr>
          <m:t>φ</m:t>
        </m:r>
        <m:sSub>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A</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br2</m:t>
            </m:r>
            <m:ctrlPr>
              <w:rPr>
                <w:rFonts w:ascii="Cambria Math" w:hAnsi="Cambria Math" w:cs="宋体"/>
                <w:bCs/>
                <w:i/>
                <w:iCs/>
                <w:snapToGrid w:val="0"/>
                <w:color w:val="000000" w:themeColor="text1"/>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sin</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α</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2</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w:bookmarkStart w:id="190" w:name="_Hlk24013287"/>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V</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G</m:t>
            </m:r>
            <w:bookmarkEnd w:id="189"/>
            <w:bookmarkEnd w:id="190"/>
            <m:ctrlPr>
              <w:rPr>
                <w:rFonts w:ascii="Cambria Math" w:hAnsi="Cambria Math" w:cs="Times New Roman"/>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4）</w:t>
      </w:r>
    </w:p>
    <w:p>
      <w:pPr>
        <w:spacing w:line="400" w:lineRule="exact"/>
        <w:ind w:left="1470" w:hanging="1470" w:hangingChars="700"/>
        <w:rPr>
          <w:rFonts w:cs="Times New Roman"/>
          <w:bCs/>
          <w:color w:val="000000" w:themeColor="text1"/>
          <w:szCs w:val="24"/>
          <w14:textFill>
            <w14:solidFill>
              <w14:schemeClr w14:val="tx1"/>
            </w14:solidFill>
          </w14:textFill>
        </w:rPr>
      </w:pPr>
      <w:r>
        <w:rPr>
          <w:rFonts w:hint="eastAsia" w:cs="Times New Roman"/>
          <w:bCs/>
          <w:color w:val="000000" w:themeColor="text1"/>
          <w:szCs w:val="21"/>
          <w14:textFill>
            <w14:solidFill>
              <w14:schemeClr w14:val="tx1"/>
            </w14:solidFill>
          </w14:textFill>
        </w:rPr>
        <w:t>式中：</w:t>
      </w:r>
      <m:oMath>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 w:val="24"/>
                <w:szCs w:val="21"/>
                <w14:textFill>
                  <w14:solidFill>
                    <w14:schemeClr w14:val="tx1"/>
                  </w14:solidFill>
                </w14:textFill>
              </w:rPr>
              <m:t>V</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G</m:t>
            </m:r>
            <m:ctrlPr>
              <w:rPr>
                <w:rFonts w:ascii="Cambria Math" w:hAnsi="Cambria Math" w:cs="Times New Roman"/>
                <w:bCs/>
                <w:i/>
                <w:color w:val="000000" w:themeColor="text1"/>
                <w:szCs w:val="21"/>
                <w14:textFill>
                  <w14:solidFill>
                    <w14:schemeClr w14:val="tx1"/>
                  </w14:solidFill>
                </w14:textFill>
              </w:rPr>
            </m:ctrlPr>
          </m:sub>
        </m:sSub>
      </m:oMath>
      <w:r>
        <w:rPr>
          <w:rFonts w:cs="Times New Roman"/>
          <w:bCs/>
          <w:color w:val="000000" w:themeColor="text1"/>
          <w:szCs w:val="21"/>
          <w14:textFill>
            <w14:solidFill>
              <w14:schemeClr w14:val="tx1"/>
            </w14:solidFill>
          </w14:textFill>
        </w:rPr>
        <w:t>——</w:t>
      </w:r>
      <w:r>
        <w:rPr>
          <w:rFonts w:hint="eastAsia" w:cs="Times New Roman"/>
          <w:bCs/>
          <w:color w:val="000000" w:themeColor="text1"/>
          <w:szCs w:val="21"/>
          <w14:textFill>
            <w14:solidFill>
              <w14:schemeClr w14:val="tx1"/>
            </w14:solidFill>
          </w14:textFill>
        </w:rPr>
        <w:t>重力荷载代表值作用</w:t>
      </w:r>
      <w:r>
        <w:rPr>
          <w:rFonts w:hint="eastAsia" w:cs="Times New Roman"/>
          <w:bCs/>
          <w:color w:val="000000" w:themeColor="text1"/>
          <w:szCs w:val="24"/>
          <w14:textFill>
            <w14:solidFill>
              <w14:schemeClr w14:val="tx1"/>
            </w14:solidFill>
          </w14:textFill>
        </w:rPr>
        <w:t>下</w:t>
      </w:r>
      <w:r>
        <w:rPr>
          <w:rFonts w:hint="eastAsia" w:cs="Times New Roman"/>
          <w:bCs/>
          <w:color w:val="000000" w:themeColor="text1"/>
          <w:szCs w:val="21"/>
          <w14:textFill>
            <w14:solidFill>
              <w14:schemeClr w14:val="tx1"/>
            </w14:solidFill>
          </w14:textFill>
        </w:rPr>
        <w:t>横梁的梁端剪力</w:t>
      </w:r>
      <w:r>
        <w:rPr>
          <w:rFonts w:hint="eastAsia" w:cs="Times New Roman"/>
          <w:bCs/>
          <w:color w:val="000000" w:themeColor="text1"/>
          <w:szCs w:val="24"/>
          <w14:textFill>
            <w14:solidFill>
              <w14:schemeClr w14:val="tx1"/>
            </w14:solidFill>
          </w14:textFill>
        </w:rPr>
        <w:t>，采用人字形或</w:t>
      </w:r>
      <w:r>
        <w:rPr>
          <w:rFonts w:cs="Times New Roman"/>
          <w:bCs/>
          <w:color w:val="000000" w:themeColor="text1"/>
          <w:szCs w:val="24"/>
          <w14:textFill>
            <w14:solidFill>
              <w14:schemeClr w14:val="tx1"/>
            </w14:solidFill>
          </w14:textFill>
        </w:rPr>
        <w:t>V</w:t>
      </w:r>
      <w:r>
        <w:rPr>
          <w:rFonts w:hint="eastAsia" w:cs="Times New Roman"/>
          <w:bCs/>
          <w:color w:val="000000" w:themeColor="text1"/>
          <w:szCs w:val="24"/>
          <w14:textFill>
            <w14:solidFill>
              <w14:schemeClr w14:val="tx1"/>
            </w14:solidFill>
          </w14:textFill>
        </w:rPr>
        <w:t>形支撑时，不应计</w:t>
      </w:r>
    </w:p>
    <w:p>
      <w:pPr>
        <w:spacing w:line="400" w:lineRule="exact"/>
        <w:ind w:left="1470" w:leftChars="600" w:hanging="210" w:hangingChars="100"/>
        <w:rPr>
          <w:rFonts w:cs="Times New Roman"/>
          <w:bCs/>
          <w:color w:val="000000" w:themeColor="text1"/>
          <w:szCs w:val="21"/>
          <w14:textFill>
            <w14:solidFill>
              <w14:schemeClr w14:val="tx1"/>
            </w14:solidFill>
          </w14:textFill>
        </w:rPr>
      </w:pPr>
      <w:r>
        <w:rPr>
          <w:rFonts w:hint="eastAsia" w:cs="Times New Roman"/>
          <w:bCs/>
          <w:color w:val="000000" w:themeColor="text1"/>
          <w:szCs w:val="24"/>
          <w14:textFill>
            <w14:solidFill>
              <w14:schemeClr w14:val="tx1"/>
            </w14:solidFill>
          </w14:textFill>
        </w:rPr>
        <w:t>入支撑的支点作用</w:t>
      </w:r>
      <w:r>
        <w:rPr>
          <w:rFonts w:hint="eastAsia" w:cs="Times New Roman"/>
          <w:bCs/>
          <w:color w:val="000000" w:themeColor="text1"/>
          <w:szCs w:val="21"/>
          <w14:textFill>
            <w14:solidFill>
              <w14:schemeClr w14:val="tx1"/>
            </w14:solidFill>
          </w14:textFill>
        </w:rPr>
        <w:t>。</w:t>
      </w:r>
    </w:p>
    <w:p>
      <w:pPr>
        <w:spacing w:line="400" w:lineRule="exact"/>
        <w:ind w:left="1050" w:leftChars="400" w:hanging="210" w:hangingChars="100"/>
        <w:jc w:val="left"/>
        <w:rPr>
          <w:bCs/>
          <w:color w:val="000000" w:themeColor="text1"/>
          <w:szCs w:val="21"/>
          <w14:textFill>
            <w14:solidFill>
              <w14:schemeClr w14:val="tx1"/>
            </w14:solidFill>
          </w14:textFill>
        </w:rPr>
      </w:pP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）当同层同一竖向平面内有两个支撑斜杆汇交于一个柱子时，该节点应能承受左右支撑屈服和屈曲产生的不平衡力。</w:t>
      </w:r>
    </w:p>
    <w:p>
      <w:pPr>
        <w:spacing w:before="156" w:beforeLines="50" w:line="400" w:lineRule="exact"/>
        <w:ind w:firstLine="420"/>
        <w:rPr>
          <w:bCs/>
          <w:color w:val="000000" w:themeColor="text1"/>
          <w:szCs w:val="20"/>
          <w14:textFill>
            <w14:solidFill>
              <w14:schemeClr w14:val="tx1"/>
            </w14:solidFill>
          </w14:textFill>
        </w:rPr>
      </w:pPr>
      <w:r>
        <w:rPr>
          <w:rFonts w:hint="eastAsia"/>
          <w:bCs/>
          <w:color w:val="000000" w:themeColor="text1"/>
          <w14:textFill>
            <w14:solidFill>
              <w14:schemeClr w14:val="tx1"/>
            </w14:solidFill>
          </w14:textFill>
        </w:rPr>
        <w:t>5</w:t>
      </w:r>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中心支撑框架应符合下列</w:t>
      </w:r>
      <w:r>
        <w:rPr>
          <w:rFonts w:hint="eastAsia"/>
          <w:bCs/>
          <w:color w:val="000000" w:themeColor="text1"/>
          <w:szCs w:val="21"/>
          <w14:textFill>
            <w14:solidFill>
              <w14:schemeClr w14:val="tx1"/>
            </w14:solidFill>
          </w14:textFill>
        </w:rPr>
        <w:t>构造</w:t>
      </w:r>
      <w:r>
        <w:rPr>
          <w:rFonts w:hint="eastAsia"/>
          <w:bCs/>
          <w:color w:val="000000" w:themeColor="text1"/>
          <w14:textFill>
            <w14:solidFill>
              <w14:schemeClr w14:val="tx1"/>
            </w14:solidFill>
          </w14:textFill>
        </w:rPr>
        <w:t>要求：</w:t>
      </w:r>
    </w:p>
    <w:p>
      <w:pPr>
        <w:spacing w:line="400" w:lineRule="exact"/>
        <w:ind w:left="1050" w:leftChars="400" w:hanging="210" w:hangingChars="100"/>
        <w:rPr>
          <w:bCs/>
          <w:color w:val="000000" w:themeColor="text1"/>
          <w14:textFill>
            <w14:solidFill>
              <w14:schemeClr w14:val="tx1"/>
            </w14:solidFill>
          </w14:textFill>
        </w:rPr>
      </w:pPr>
      <w:r>
        <w:rPr>
          <w:bCs/>
          <w:color w:val="000000" w:themeColor="text1"/>
          <w14:textFill>
            <w14:solidFill>
              <w14:schemeClr w14:val="tx1"/>
            </w14:solidFill>
          </w14:textFill>
        </w:rPr>
        <w:t>1</w:t>
      </w:r>
      <w:r>
        <w:rPr>
          <w:rFonts w:hint="eastAsia"/>
          <w:bCs/>
          <w:color w:val="000000" w:themeColor="text1"/>
          <w14:textFill>
            <w14:solidFill>
              <w14:schemeClr w14:val="tx1"/>
            </w14:solidFill>
          </w14:textFill>
        </w:rPr>
        <w:t>）支撑</w:t>
      </w:r>
      <w:r>
        <w:rPr>
          <w:rFonts w:hint="eastAsia"/>
          <w:bCs/>
          <w:color w:val="000000" w:themeColor="text1"/>
          <w:szCs w:val="21"/>
          <w14:textFill>
            <w14:solidFill>
              <w14:schemeClr w14:val="tx1"/>
            </w14:solidFill>
          </w14:textFill>
        </w:rPr>
        <w:t>宜</w:t>
      </w:r>
      <w:r>
        <w:rPr>
          <w:rFonts w:hint="eastAsia"/>
          <w:bCs/>
          <w:color w:val="000000" w:themeColor="text1"/>
          <w14:textFill>
            <w14:solidFill>
              <w14:schemeClr w14:val="tx1"/>
            </w14:solidFill>
          </w14:textFill>
        </w:rPr>
        <w:t>成对设置，各层同一水平地震作用方向的不同倾斜方向受拉杆截面水平投影面积之差不宜大于</w:t>
      </w:r>
      <w:r>
        <w:rPr>
          <w:bCs/>
          <w:color w:val="000000" w:themeColor="text1"/>
          <w14:textFill>
            <w14:solidFill>
              <w14:schemeClr w14:val="tx1"/>
            </w14:solidFill>
          </w14:textFill>
        </w:rPr>
        <w:t>10%</w:t>
      </w:r>
      <w:r>
        <w:rPr>
          <w:rFonts w:hint="eastAsia"/>
          <w:bCs/>
          <w:color w:val="000000" w:themeColor="text1"/>
          <w14:textFill>
            <w14:solidFill>
              <w14:schemeClr w14:val="tx1"/>
            </w14:solidFill>
          </w14:textFill>
        </w:rPr>
        <w:t>；</w:t>
      </w:r>
    </w:p>
    <w:p>
      <w:pPr>
        <w:spacing w:line="400" w:lineRule="exact"/>
        <w:ind w:left="1050" w:leftChars="400" w:hanging="210" w:hangingChars="100"/>
        <w:rPr>
          <w:bCs/>
          <w:color w:val="000000" w:themeColor="text1"/>
          <w14:textFill>
            <w14:solidFill>
              <w14:schemeClr w14:val="tx1"/>
            </w14:solidFill>
          </w14:textFill>
        </w:rPr>
      </w:pP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ES1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PES</w:t>
      </w:r>
      <w:r>
        <w:rPr>
          <w:rFonts w:hint="eastAsia"/>
          <w:bCs/>
          <w:color w:val="000000" w:themeColor="text1"/>
          <w14:textFill>
            <w14:solidFill>
              <w14:schemeClr w14:val="tx1"/>
            </w14:solidFill>
          </w14:textFill>
        </w:rPr>
        <w:t>中心支撑框架采用</w:t>
      </w:r>
      <w:r>
        <w:rPr>
          <w:bCs/>
          <w:color w:val="000000" w:themeColor="text1"/>
          <w14:textFill>
            <w14:solidFill>
              <w14:schemeClr w14:val="tx1"/>
            </w14:solidFill>
          </w14:textFill>
        </w:rPr>
        <w:t>X</w:t>
      </w:r>
      <w:r>
        <w:rPr>
          <w:rFonts w:hint="eastAsia"/>
          <w:bCs/>
          <w:color w:val="000000" w:themeColor="text1"/>
          <w14:textFill>
            <w14:solidFill>
              <w14:schemeClr w14:val="tx1"/>
            </w14:solidFill>
          </w14:textFill>
        </w:rPr>
        <w:t>形支撑布置时，宜采用</w:t>
      </w:r>
      <w:r>
        <w:rPr>
          <w:bCs/>
          <w:color w:val="000000" w:themeColor="text1"/>
          <w14:textFill>
            <w14:solidFill>
              <w14:schemeClr w14:val="tx1"/>
            </w14:solidFill>
          </w14:textFill>
        </w:rPr>
        <w:t>B2-2</w:t>
      </w:r>
      <w:r>
        <w:rPr>
          <w:rFonts w:hint="eastAsia"/>
          <w:bCs/>
          <w:color w:val="000000" w:themeColor="text1"/>
          <w14:textFill>
            <w14:solidFill>
              <w14:schemeClr w14:val="tx1"/>
            </w14:solidFill>
          </w14:textFill>
        </w:rPr>
        <w:t>级拉伸型支撑；采用</w:t>
      </w:r>
      <w:r>
        <w:rPr>
          <w:bCs/>
          <w:color w:val="000000" w:themeColor="text1"/>
          <w:szCs w:val="21"/>
          <w14:textFill>
            <w14:solidFill>
              <w14:schemeClr w14:val="tx1"/>
            </w14:solidFill>
          </w14:textFill>
        </w:rPr>
        <w:t>V</w:t>
      </w:r>
      <w:r>
        <w:rPr>
          <w:rFonts w:hint="eastAsia"/>
          <w:bCs/>
          <w:color w:val="000000" w:themeColor="text1"/>
          <w:szCs w:val="21"/>
          <w14:textFill>
            <w14:solidFill>
              <w14:schemeClr w14:val="tx1"/>
            </w14:solidFill>
          </w14:textFill>
        </w:rPr>
        <w:t>形或</w:t>
      </w:r>
      <w:r>
        <w:rPr>
          <w:bCs/>
          <w:color w:val="000000" w:themeColor="text1"/>
          <w:szCs w:val="21"/>
          <w14:textFill>
            <w14:solidFill>
              <w14:schemeClr w14:val="tx1"/>
            </w14:solidFill>
          </w14:textFill>
        </w:rPr>
        <w:t>Λ</w:t>
      </w:r>
      <w:r>
        <w:rPr>
          <w:rFonts w:hint="eastAsia"/>
          <w:bCs/>
          <w:color w:val="000000" w:themeColor="text1"/>
          <w:szCs w:val="21"/>
          <w14:textFill>
            <w14:solidFill>
              <w14:schemeClr w14:val="tx1"/>
            </w14:solidFill>
          </w14:textFill>
        </w:rPr>
        <w:t>形支撑布置时，其长细比不应大于</w:t>
      </w:r>
      <w:r>
        <w:rPr>
          <w:bCs/>
          <w:color w:val="000000" w:themeColor="text1"/>
          <w:szCs w:val="21"/>
          <w14:textFill>
            <w14:solidFill>
              <w14:schemeClr w14:val="tx1"/>
            </w14:solidFill>
          </w14:textFill>
        </w:rPr>
        <w:t>150</w:t>
      </w:r>
      <w:r>
        <w:rPr>
          <w:rFonts w:hint="eastAsia"/>
          <w:bCs/>
          <w:color w:val="000000" w:themeColor="text1"/>
          <w:szCs w:val="21"/>
          <w14:textFill>
            <w14:solidFill>
              <w14:schemeClr w14:val="tx1"/>
            </w14:solidFill>
          </w14:textFill>
        </w:rPr>
        <w:t>；</w:t>
      </w:r>
    </w:p>
    <w:p>
      <w:pPr>
        <w:spacing w:line="400" w:lineRule="exact"/>
        <w:ind w:left="1050" w:leftChars="400" w:hanging="210" w:hangingChars="100"/>
        <w:rPr>
          <w:bCs/>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PS1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PS2</w:t>
      </w:r>
      <w:r>
        <w:rPr>
          <w:rFonts w:hint="eastAsia"/>
          <w:bCs/>
          <w:color w:val="000000" w:themeColor="text1"/>
          <w14:textFill>
            <w14:solidFill>
              <w14:schemeClr w14:val="tx1"/>
            </w14:solidFill>
          </w14:textFill>
        </w:rPr>
        <w:t>或</w:t>
      </w:r>
      <w:r>
        <w:rPr>
          <w:bCs/>
          <w:color w:val="000000" w:themeColor="text1"/>
          <w14:textFill>
            <w14:solidFill>
              <w14:schemeClr w14:val="tx1"/>
            </w14:solidFill>
          </w14:textFill>
        </w:rPr>
        <w:t>PES</w:t>
      </w:r>
      <w:r>
        <w:rPr>
          <w:rFonts w:hint="eastAsia"/>
          <w:bCs/>
          <w:color w:val="000000" w:themeColor="text1"/>
          <w14:textFill>
            <w14:solidFill>
              <w14:schemeClr w14:val="tx1"/>
            </w14:solidFill>
          </w14:textFill>
        </w:rPr>
        <w:t>的中心支撑框架，当支撑长细比小于</w:t>
      </w:r>
      <w:r>
        <w:rPr>
          <w:bCs/>
          <w:color w:val="000000" w:themeColor="text1"/>
          <w14:textFill>
            <w14:solidFill>
              <w14:schemeClr w14:val="tx1"/>
            </w14:solidFill>
          </w14:textFill>
        </w:rPr>
        <w:t>65</w:t>
      </w:r>
      <m:oMath>
        <m:sSub>
          <m:sSubPr>
            <m:ctrlPr>
              <w:rPr>
                <w:rFonts w:ascii="Cambria Math" w:hAnsi="Cambria Math"/>
                <w:bCs/>
                <w:color w:val="000000" w:themeColor="text1"/>
                <w:sz w:val="18"/>
                <w:szCs w:val="21"/>
                <w14:textFill>
                  <w14:solidFill>
                    <w14:schemeClr w14:val="tx1"/>
                  </w14:solidFill>
                </w14:textFill>
              </w:rPr>
            </m:ctrlPr>
          </m:sSubPr>
          <m:e>
            <m:r>
              <w:rPr>
                <w:rFonts w:ascii="Cambria Math" w:hAnsi="Cambria Math"/>
                <w:color w:val="000000" w:themeColor="text1"/>
                <w:sz w:val="18"/>
                <w:szCs w:val="21"/>
                <w14:textFill>
                  <w14:solidFill>
                    <w14:schemeClr w14:val="tx1"/>
                  </w14:solidFill>
                </w14:textFill>
              </w:rPr>
              <m:t>ε</m:t>
            </m:r>
            <m:ctrlPr>
              <w:rPr>
                <w:rFonts w:ascii="Cambria Math" w:hAnsi="Cambria Math"/>
                <w:bCs/>
                <w:color w:val="000000" w:themeColor="text1"/>
                <w:sz w:val="18"/>
                <w:szCs w:val="21"/>
                <w14:textFill>
                  <w14:solidFill>
                    <w14:schemeClr w14:val="tx1"/>
                  </w14:solidFill>
                </w14:textFill>
              </w:rPr>
            </m:ctrlPr>
          </m:e>
          <m:sub>
            <m:r>
              <w:rPr>
                <w:rFonts w:ascii="Cambria Math" w:hAnsi="Cambria Math"/>
                <w:color w:val="000000" w:themeColor="text1"/>
                <w:sz w:val="18"/>
                <w:szCs w:val="21"/>
                <w14:textFill>
                  <w14:solidFill>
                    <w14:schemeClr w14:val="tx1"/>
                  </w14:solidFill>
                </w14:textFill>
              </w:rPr>
              <m:t>k</m:t>
            </m:r>
            <m:ctrlPr>
              <w:rPr>
                <w:rFonts w:ascii="Cambria Math" w:hAnsi="Cambria Math"/>
                <w:bCs/>
                <w:color w:val="000000" w:themeColor="text1"/>
                <w:sz w:val="18"/>
                <w:szCs w:val="21"/>
                <w14:textFill>
                  <w14:solidFill>
                    <w14:schemeClr w14:val="tx1"/>
                  </w14:solidFill>
                </w14:textFill>
              </w:rPr>
            </m:ctrlPr>
          </m:sub>
        </m:sSub>
      </m:oMath>
      <w:r>
        <w:rPr>
          <w:rFonts w:hint="eastAsia"/>
          <w:bCs/>
          <w:color w:val="000000" w:themeColor="text1"/>
          <w14:textFill>
            <w14:solidFill>
              <w14:schemeClr w14:val="tx1"/>
            </w14:solidFill>
          </w14:textFill>
        </w:rPr>
        <w:t>，且与框架采用节点板连接时，支撑杆端至节点板最近嵌固点在沿支撑杆件轴线方向的距离，不宜小于节点板厚度</w:t>
      </w:r>
      <w:r>
        <w:rPr>
          <w:bCs/>
          <w:color w:val="000000" w:themeColor="text1"/>
          <w14:textFill>
            <w14:solidFill>
              <w14:schemeClr w14:val="tx1"/>
            </w14:solidFill>
          </w14:textFill>
        </w:rPr>
        <w:t>t</w:t>
      </w:r>
      <w:r>
        <w:rPr>
          <w:bCs/>
          <w:color w:val="000000" w:themeColor="text1"/>
          <w:vertAlign w:val="subscript"/>
          <w14:textFill>
            <w14:solidFill>
              <w14:schemeClr w14:val="tx1"/>
            </w14:solidFill>
          </w14:textFill>
        </w:rPr>
        <w:t>j</w:t>
      </w:r>
      <w:r>
        <w:rPr>
          <w:rFonts w:hint="eastAsia"/>
          <w:bCs/>
          <w:color w:val="000000" w:themeColor="text1"/>
          <w14:textFill>
            <w14:solidFill>
              <w14:schemeClr w14:val="tx1"/>
            </w14:solidFill>
          </w14:textFill>
        </w:rPr>
        <w:t>的</w:t>
      </w: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倍（图</w:t>
      </w:r>
      <w:r>
        <w:rPr>
          <w:rFonts w:hint="eastAsia" w:asciiTheme="minorEastAsia" w:hAnsiTheme="minorEastAsia" w:eastAsiaTheme="minorEastAsia"/>
          <w:bCs/>
          <w:color w:val="000000" w:themeColor="text1"/>
          <w14:textFill>
            <w14:solidFill>
              <w14:schemeClr w14:val="tx1"/>
            </w14:solidFill>
          </w14:textFill>
        </w:rPr>
        <w:t>9</w:t>
      </w:r>
      <w:r>
        <w:rPr>
          <w:rFonts w:eastAsia="MS Mincho"/>
          <w:bCs/>
          <w:color w:val="000000" w:themeColor="text1"/>
          <w:lang w:eastAsia="ja-JP"/>
          <w14:textFill>
            <w14:solidFill>
              <w14:schemeClr w14:val="tx1"/>
            </w14:solidFill>
          </w14:textFill>
        </w:rPr>
        <w:t>.</w:t>
      </w: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10</w:t>
      </w:r>
      <w:r>
        <w:rPr>
          <w:rFonts w:eastAsia="MS Mincho"/>
          <w:bCs/>
          <w:color w:val="000000" w:themeColor="text1"/>
          <w:lang w:eastAsia="ja-JP"/>
          <w14:textFill>
            <w14:solidFill>
              <w14:schemeClr w14:val="tx1"/>
            </w14:solidFill>
          </w14:textFill>
        </w:rPr>
        <w:t>-</w:t>
      </w: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w:t>
      </w:r>
    </w:p>
    <w:p>
      <w:pPr>
        <w:autoSpaceDE w:val="0"/>
        <w:autoSpaceDN w:val="0"/>
        <w:spacing w:line="360" w:lineRule="auto"/>
        <w:ind w:firstLine="420"/>
        <w:jc w:val="center"/>
        <w:rPr>
          <w:bCs/>
          <w:color w:val="000000" w:themeColor="text1"/>
          <w14:textFill>
            <w14:solidFill>
              <w14:schemeClr w14:val="tx1"/>
            </w14:solidFill>
          </w14:textFill>
        </w:rPr>
      </w:pPr>
      <w:r>
        <w:rPr>
          <w:bCs/>
          <w:color w:val="000000" w:themeColor="text1"/>
          <w14:textFill>
            <w14:solidFill>
              <w14:schemeClr w14:val="tx1"/>
            </w14:solidFill>
          </w14:textFill>
        </w:rPr>
        <w:drawing>
          <wp:inline distT="0" distB="0" distL="0" distR="0">
            <wp:extent cx="1422400" cy="1587500"/>
            <wp:effectExtent l="0" t="0" r="635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1422400" cy="1587500"/>
                    </a:xfrm>
                    <a:prstGeom prst="rect">
                      <a:avLst/>
                    </a:prstGeom>
                    <a:noFill/>
                    <a:ln>
                      <a:noFill/>
                    </a:ln>
                  </pic:spPr>
                </pic:pic>
              </a:graphicData>
            </a:graphic>
          </wp:inline>
        </w:drawing>
      </w:r>
    </w:p>
    <w:p>
      <w:pPr>
        <w:spacing w:line="360" w:lineRule="auto"/>
        <w:ind w:firstLine="36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图9</w:t>
      </w:r>
      <w:r>
        <w:rPr>
          <w:bCs/>
          <w:snapToGrid w:val="0"/>
          <w:color w:val="000000" w:themeColor="text1"/>
          <w:kern w:val="0"/>
          <w:sz w:val="18"/>
          <w:szCs w:val="21"/>
          <w14:textFill>
            <w14:solidFill>
              <w14:schemeClr w14:val="tx1"/>
            </w14:solidFill>
          </w14:textFill>
        </w:rPr>
        <w:t>.2.</w:t>
      </w:r>
      <w:r>
        <w:rPr>
          <w:rFonts w:hint="eastAsia"/>
          <w:bCs/>
          <w:snapToGrid w:val="0"/>
          <w:color w:val="000000" w:themeColor="text1"/>
          <w:kern w:val="0"/>
          <w:sz w:val="18"/>
          <w:szCs w:val="21"/>
          <w14:textFill>
            <w14:solidFill>
              <w14:schemeClr w14:val="tx1"/>
            </w14:solidFill>
          </w14:textFill>
        </w:rPr>
        <w:t>10</w:t>
      </w:r>
      <w:r>
        <w:rPr>
          <w:rFonts w:eastAsia="MS Mincho"/>
          <w:bCs/>
          <w:snapToGrid w:val="0"/>
          <w:color w:val="000000" w:themeColor="text1"/>
          <w:kern w:val="0"/>
          <w:sz w:val="18"/>
          <w:szCs w:val="21"/>
          <w:lang w:eastAsia="ja-JP"/>
          <w14:textFill>
            <w14:solidFill>
              <w14:schemeClr w14:val="tx1"/>
            </w14:solidFill>
          </w14:textFill>
        </w:rPr>
        <w:t>-</w:t>
      </w:r>
      <w:r>
        <w:rPr>
          <w:bCs/>
          <w:snapToGrid w:val="0"/>
          <w:color w:val="000000" w:themeColor="text1"/>
          <w:kern w:val="0"/>
          <w:sz w:val="18"/>
          <w:szCs w:val="21"/>
          <w14:textFill>
            <w14:solidFill>
              <w14:schemeClr w14:val="tx1"/>
            </w14:solidFill>
          </w14:textFill>
        </w:rPr>
        <w:t xml:space="preserve">2  </w:t>
      </w:r>
      <w:r>
        <w:rPr>
          <w:rFonts w:hint="eastAsia"/>
          <w:bCs/>
          <w:snapToGrid w:val="0"/>
          <w:color w:val="000000" w:themeColor="text1"/>
          <w:kern w:val="0"/>
          <w:sz w:val="18"/>
          <w:szCs w:val="21"/>
          <w14:textFill>
            <w14:solidFill>
              <w14:schemeClr w14:val="tx1"/>
            </w14:solidFill>
          </w14:textFill>
        </w:rPr>
        <w:t>支撑节点板连接构造</w:t>
      </w:r>
    </w:p>
    <w:p>
      <w:pPr>
        <w:spacing w:line="400" w:lineRule="exact"/>
        <w:ind w:left="1050" w:leftChars="400" w:hanging="210" w:hangingChars="100"/>
        <w:rPr>
          <w:bCs/>
          <w:color w:val="000000" w:themeColor="text1"/>
          <w:szCs w:val="20"/>
          <w14:textFill>
            <w14:solidFill>
              <w14:schemeClr w14:val="tx1"/>
            </w14:solidFill>
          </w14:textFill>
        </w:rPr>
      </w:pPr>
      <w:r>
        <w:rPr>
          <w:bCs/>
          <w:color w:val="000000" w:themeColor="text1"/>
          <w14:textFill>
            <w14:solidFill>
              <w14:schemeClr w14:val="tx1"/>
            </w14:solidFill>
          </w14:textFill>
        </w:rPr>
        <w:t>4</w:t>
      </w:r>
      <w:r>
        <w:rPr>
          <w:rFonts w:hint="eastAsia"/>
          <w:bCs/>
          <w:color w:val="000000" w:themeColor="text1"/>
          <w14:textFill>
            <w14:solidFill>
              <w14:schemeClr w14:val="tx1"/>
            </w14:solidFill>
          </w14:textFill>
        </w:rPr>
        <w:t>）</w:t>
      </w:r>
      <w:r>
        <w:rPr>
          <w:bCs/>
          <w:color w:val="000000" w:themeColor="text1"/>
          <w:szCs w:val="21"/>
          <w14:textFill>
            <w14:solidFill>
              <w14:schemeClr w14:val="tx1"/>
            </w14:solidFill>
          </w14:textFill>
        </w:rPr>
        <w:t>V</w:t>
      </w:r>
      <w:r>
        <w:rPr>
          <w:rFonts w:hint="eastAsia"/>
          <w:bCs/>
          <w:color w:val="000000" w:themeColor="text1"/>
          <w:szCs w:val="21"/>
          <w14:textFill>
            <w14:solidFill>
              <w14:schemeClr w14:val="tx1"/>
            </w14:solidFill>
          </w14:textFill>
        </w:rPr>
        <w:t>形或</w:t>
      </w:r>
      <w:r>
        <w:rPr>
          <w:bCs/>
          <w:color w:val="000000" w:themeColor="text1"/>
          <w:szCs w:val="21"/>
          <w14:textFill>
            <w14:solidFill>
              <w14:schemeClr w14:val="tx1"/>
            </w14:solidFill>
          </w14:textFill>
        </w:rPr>
        <w:t>Λ</w:t>
      </w:r>
      <w:r>
        <w:rPr>
          <w:rFonts w:hint="eastAsia"/>
          <w:bCs/>
          <w:color w:val="000000" w:themeColor="text1"/>
          <w:szCs w:val="21"/>
          <w14:textFill>
            <w14:solidFill>
              <w14:schemeClr w14:val="tx1"/>
            </w14:solidFill>
          </w14:textFill>
        </w:rPr>
        <w:t>形</w:t>
      </w:r>
      <w:r>
        <w:rPr>
          <w:rFonts w:hint="eastAsia"/>
          <w:bCs/>
          <w:color w:val="000000" w:themeColor="text1"/>
          <w14:textFill>
            <w14:solidFill>
              <w14:schemeClr w14:val="tx1"/>
            </w14:solidFill>
          </w14:textFill>
        </w:rPr>
        <w:t>支撑与横梁的汇交节点处，应设置侧向支承，支承构件的轴力设计值不得小于梁轴向承载力设计值的</w:t>
      </w: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w:t>
      </w:r>
    </w:p>
    <w:p>
      <w:pPr>
        <w:spacing w:line="400" w:lineRule="exact"/>
        <w:ind w:left="1050" w:leftChars="400" w:hanging="210" w:hangingChars="100"/>
        <w:rPr>
          <w:bCs/>
          <w:color w:val="000000" w:themeColor="text1"/>
          <w14:textFill>
            <w14:solidFill>
              <w14:schemeClr w14:val="tx1"/>
            </w14:solidFill>
          </w14:textFill>
        </w:rPr>
      </w:pPr>
      <w:r>
        <w:rPr>
          <w:bCs/>
          <w:color w:val="000000" w:themeColor="text1"/>
          <w14:textFill>
            <w14:solidFill>
              <w14:schemeClr w14:val="tx1"/>
            </w14:solidFill>
          </w14:textFill>
        </w:rPr>
        <w:t>5</w:t>
      </w:r>
      <w:r>
        <w:rPr>
          <w:rFonts w:hint="eastAsia"/>
          <w:bCs/>
          <w:color w:val="000000" w:themeColor="text1"/>
          <w:szCs w:val="44"/>
          <w14:textFill>
            <w14:solidFill>
              <w14:schemeClr w14:val="tx1"/>
            </w14:solidFill>
          </w14:textFill>
        </w:rPr>
        <w:t>）</w:t>
      </w:r>
      <w:r>
        <w:rPr>
          <w:bCs/>
          <w:color w:val="000000" w:themeColor="text1"/>
          <w14:textFill>
            <w14:solidFill>
              <w14:schemeClr w14:val="tx1"/>
            </w14:solidFill>
          </w14:textFill>
        </w:rPr>
        <w:t>H</w:t>
      </w:r>
      <w:r>
        <w:rPr>
          <w:rFonts w:hint="eastAsia"/>
          <w:bCs/>
          <w:color w:val="000000" w:themeColor="text1"/>
          <w14:textFill>
            <w14:solidFill>
              <w14:schemeClr w14:val="tx1"/>
            </w14:solidFill>
          </w14:textFill>
        </w:rPr>
        <w:t>形支撑与框架连接处支撑杆端为折线形或圆弧形弯折构造时，应设置加劲肋（图</w:t>
      </w:r>
      <w:r>
        <w:rPr>
          <w:rFonts w:hint="eastAsia" w:asciiTheme="minorEastAsia" w:hAnsiTheme="minorEastAsia" w:eastAsiaTheme="minorEastAsia"/>
          <w:bCs/>
          <w:color w:val="000000" w:themeColor="text1"/>
          <w14:textFill>
            <w14:solidFill>
              <w14:schemeClr w14:val="tx1"/>
            </w14:solidFill>
          </w14:textFill>
        </w:rPr>
        <w:t>9</w:t>
      </w:r>
      <w:r>
        <w:rPr>
          <w:rFonts w:eastAsia="MS Mincho"/>
          <w:bCs/>
          <w:color w:val="000000" w:themeColor="text1"/>
          <w:lang w:eastAsia="ja-JP"/>
          <w14:textFill>
            <w14:solidFill>
              <w14:schemeClr w14:val="tx1"/>
            </w14:solidFill>
          </w14:textFill>
        </w:rPr>
        <w:t>.</w:t>
      </w: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10</w:t>
      </w:r>
      <w:r>
        <w:rPr>
          <w:rFonts w:eastAsia="MS Mincho"/>
          <w:bCs/>
          <w:color w:val="000000" w:themeColor="text1"/>
          <w:lang w:eastAsia="ja-JP"/>
          <w14:textFill>
            <w14:solidFill>
              <w14:schemeClr w14:val="tx1"/>
            </w14:solidFill>
          </w14:textFill>
        </w:rPr>
        <w:t>-</w:t>
      </w:r>
      <w:r>
        <w:rPr>
          <w:bCs/>
          <w:color w:val="000000" w:themeColor="text1"/>
          <w14:textFill>
            <w14:solidFill>
              <w14:schemeClr w14:val="tx1"/>
            </w14:solidFill>
          </w14:textFill>
        </w:rPr>
        <w:t>3</w:t>
      </w:r>
      <w:r>
        <w:rPr>
          <w:rFonts w:hint="eastAsia"/>
          <w:bCs/>
          <w:color w:val="000000" w:themeColor="text1"/>
          <w14:textFill>
            <w14:solidFill>
              <w14:schemeClr w14:val="tx1"/>
            </w14:solidFill>
          </w14:textFill>
        </w:rPr>
        <w:t>）；</w:t>
      </w:r>
    </w:p>
    <w:p>
      <w:pPr>
        <w:ind w:firstLine="420"/>
        <w:jc w:val="center"/>
        <w:rPr>
          <w:bCs/>
          <w:color w:val="000000" w:themeColor="text1"/>
          <w14:textFill>
            <w14:solidFill>
              <w14:schemeClr w14:val="tx1"/>
            </w14:solidFill>
          </w14:textFill>
        </w:rPr>
      </w:pPr>
      <w:r>
        <w:rPr>
          <w:bCs/>
          <w:color w:val="000000" w:themeColor="text1"/>
          <w14:textFill>
            <w14:solidFill>
              <w14:schemeClr w14:val="tx1"/>
            </w14:solidFill>
          </w14:textFill>
        </w:rPr>
        <w:drawing>
          <wp:inline distT="0" distB="0" distL="0" distR="0">
            <wp:extent cx="2959100" cy="14097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2959100" cy="1409700"/>
                    </a:xfrm>
                    <a:prstGeom prst="rect">
                      <a:avLst/>
                    </a:prstGeom>
                    <a:noFill/>
                    <a:ln>
                      <a:noFill/>
                    </a:ln>
                  </pic:spPr>
                </pic:pic>
              </a:graphicData>
            </a:graphic>
          </wp:inline>
        </w:drawing>
      </w:r>
    </w:p>
    <w:p>
      <w:pPr>
        <w:ind w:firstLine="2277" w:firstLineChars="1265"/>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a</w:t>
      </w:r>
      <w:r>
        <w:rPr>
          <w:rFonts w:hint="eastAsia"/>
          <w:bCs/>
          <w:color w:val="000000" w:themeColor="text1"/>
          <w:sz w:val="18"/>
          <w:szCs w:val="18"/>
          <w14:textFill>
            <w14:solidFill>
              <w14:schemeClr w14:val="tx1"/>
            </w14:solidFill>
          </w14:textFill>
        </w:rPr>
        <w:t>）折线形</w:t>
      </w:r>
      <w:r>
        <w:rPr>
          <w:bCs/>
          <w:color w:val="000000" w:themeColor="text1"/>
          <w:sz w:val="18"/>
          <w:szCs w:val="18"/>
          <w14:textFill>
            <w14:solidFill>
              <w14:schemeClr w14:val="tx1"/>
            </w14:solidFill>
          </w14:textFill>
        </w:rPr>
        <w:t xml:space="preserve"> </w:t>
      </w:r>
      <w:r>
        <w:rPr>
          <w:rFonts w:eastAsia="MS Mincho"/>
          <w:bCs/>
          <w:color w:val="000000" w:themeColor="text1"/>
          <w:sz w:val="18"/>
          <w:szCs w:val="18"/>
          <w:lang w:eastAsia="ja-JP"/>
          <w14:textFill>
            <w14:solidFill>
              <w14:schemeClr w14:val="tx1"/>
            </w14:solidFill>
          </w14:textFill>
        </w:rPr>
        <w:t xml:space="preserve">    </w:t>
      </w:r>
      <w:r>
        <w:rPr>
          <w:bCs/>
          <w:color w:val="000000" w:themeColor="text1"/>
          <w:sz w:val="18"/>
          <w:szCs w:val="18"/>
          <w14:textFill>
            <w14:solidFill>
              <w14:schemeClr w14:val="tx1"/>
            </w14:solidFill>
          </w14:textFill>
        </w:rPr>
        <w:t xml:space="preserve">             </w:t>
      </w:r>
      <w:r>
        <w:rPr>
          <w:rFonts w:hint="eastAsia"/>
          <w:bCs/>
          <w:color w:val="000000" w:themeColor="text1"/>
          <w:sz w:val="18"/>
          <w:szCs w:val="18"/>
          <w14:textFill>
            <w14:solidFill>
              <w14:schemeClr w14:val="tx1"/>
            </w14:solidFill>
          </w14:textFill>
        </w:rPr>
        <w:t>（</w:t>
      </w:r>
      <w:r>
        <w:rPr>
          <w:bCs/>
          <w:color w:val="000000" w:themeColor="text1"/>
          <w:sz w:val="18"/>
          <w:szCs w:val="18"/>
          <w14:textFill>
            <w14:solidFill>
              <w14:schemeClr w14:val="tx1"/>
            </w14:solidFill>
          </w14:textFill>
        </w:rPr>
        <w:t>b</w:t>
      </w:r>
      <w:r>
        <w:rPr>
          <w:rFonts w:hint="eastAsia"/>
          <w:bCs/>
          <w:color w:val="000000" w:themeColor="text1"/>
          <w:sz w:val="18"/>
          <w:szCs w:val="18"/>
          <w14:textFill>
            <w14:solidFill>
              <w14:schemeClr w14:val="tx1"/>
            </w14:solidFill>
          </w14:textFill>
        </w:rPr>
        <w:t>）圆弧形</w:t>
      </w:r>
    </w:p>
    <w:p>
      <w:pPr>
        <w:spacing w:line="360" w:lineRule="auto"/>
        <w:ind w:firstLine="360"/>
        <w:jc w:val="center"/>
        <w:rPr>
          <w:bCs/>
          <w:snapToGrid w:val="0"/>
          <w:color w:val="000000" w:themeColor="text1"/>
          <w:kern w:val="0"/>
          <w:sz w:val="18"/>
          <w:szCs w:val="21"/>
          <w14:textFill>
            <w14:solidFill>
              <w14:schemeClr w14:val="tx1"/>
            </w14:solidFill>
          </w14:textFill>
        </w:rPr>
      </w:pPr>
      <w:r>
        <w:rPr>
          <w:rFonts w:hint="eastAsia"/>
          <w:bCs/>
          <w:snapToGrid w:val="0"/>
          <w:color w:val="000000" w:themeColor="text1"/>
          <w:kern w:val="0"/>
          <w:sz w:val="18"/>
          <w:szCs w:val="21"/>
          <w14:textFill>
            <w14:solidFill>
              <w14:schemeClr w14:val="tx1"/>
            </w14:solidFill>
          </w14:textFill>
        </w:rPr>
        <w:t>图</w:t>
      </w:r>
      <w:r>
        <w:rPr>
          <w:rFonts w:hint="eastAsia" w:asciiTheme="minorEastAsia" w:hAnsiTheme="minorEastAsia" w:eastAsiaTheme="minorEastAsia"/>
          <w:bCs/>
          <w:snapToGrid w:val="0"/>
          <w:color w:val="000000" w:themeColor="text1"/>
          <w:kern w:val="0"/>
          <w:sz w:val="18"/>
          <w:szCs w:val="21"/>
          <w14:textFill>
            <w14:solidFill>
              <w14:schemeClr w14:val="tx1"/>
            </w14:solidFill>
          </w14:textFill>
        </w:rPr>
        <w:t>9</w:t>
      </w:r>
      <w:r>
        <w:rPr>
          <w:rFonts w:eastAsia="MS Mincho"/>
          <w:bCs/>
          <w:snapToGrid w:val="0"/>
          <w:color w:val="000000" w:themeColor="text1"/>
          <w:kern w:val="0"/>
          <w:sz w:val="18"/>
          <w:szCs w:val="21"/>
          <w:lang w:eastAsia="ja-JP"/>
          <w14:textFill>
            <w14:solidFill>
              <w14:schemeClr w14:val="tx1"/>
            </w14:solidFill>
          </w14:textFill>
        </w:rPr>
        <w:t>.</w:t>
      </w:r>
      <w:r>
        <w:rPr>
          <w:bCs/>
          <w:snapToGrid w:val="0"/>
          <w:color w:val="000000" w:themeColor="text1"/>
          <w:kern w:val="0"/>
          <w:sz w:val="18"/>
          <w:szCs w:val="21"/>
          <w14:textFill>
            <w14:solidFill>
              <w14:schemeClr w14:val="tx1"/>
            </w14:solidFill>
          </w14:textFill>
        </w:rPr>
        <w:t>2.</w:t>
      </w:r>
      <w:r>
        <w:rPr>
          <w:rFonts w:hint="eastAsia"/>
          <w:bCs/>
          <w:snapToGrid w:val="0"/>
          <w:color w:val="000000" w:themeColor="text1"/>
          <w:kern w:val="0"/>
          <w:sz w:val="18"/>
          <w:szCs w:val="21"/>
          <w14:textFill>
            <w14:solidFill>
              <w14:schemeClr w14:val="tx1"/>
            </w14:solidFill>
          </w14:textFill>
        </w:rPr>
        <w:t>10</w:t>
      </w:r>
      <w:r>
        <w:rPr>
          <w:bCs/>
          <w:snapToGrid w:val="0"/>
          <w:color w:val="000000" w:themeColor="text1"/>
          <w:kern w:val="0"/>
          <w:sz w:val="18"/>
          <w:szCs w:val="21"/>
          <w14:textFill>
            <w14:solidFill>
              <w14:schemeClr w14:val="tx1"/>
            </w14:solidFill>
          </w14:textFill>
        </w:rPr>
        <w:t xml:space="preserve">-3  </w:t>
      </w:r>
      <w:r>
        <w:rPr>
          <w:rFonts w:hint="eastAsia"/>
          <w:bCs/>
          <w:snapToGrid w:val="0"/>
          <w:color w:val="000000" w:themeColor="text1"/>
          <w:kern w:val="0"/>
          <w:sz w:val="18"/>
          <w:szCs w:val="21"/>
          <w14:textFill>
            <w14:solidFill>
              <w14:schemeClr w14:val="tx1"/>
            </w14:solidFill>
          </w14:textFill>
        </w:rPr>
        <w:t>支撑端部的弯折构造</w:t>
      </w:r>
    </w:p>
    <w:p>
      <w:pPr>
        <w:spacing w:line="400" w:lineRule="exact"/>
        <w:ind w:left="1050" w:leftChars="400" w:hanging="210" w:hangingChars="100"/>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6</w:t>
      </w:r>
      <w:r>
        <w:rPr>
          <w:rFonts w:hint="eastAsia"/>
          <w:bCs/>
          <w:snapToGrid w:val="0"/>
          <w:color w:val="000000" w:themeColor="text1"/>
          <w:kern w:val="0"/>
          <w:szCs w:val="21"/>
          <w14:textFill>
            <w14:solidFill>
              <w14:schemeClr w14:val="tx1"/>
            </w14:solidFill>
          </w14:textFill>
        </w:rPr>
        <w:t>）中心支撑杆采用垫板</w:t>
      </w:r>
      <w:r>
        <w:rPr>
          <w:rFonts w:hint="eastAsia"/>
          <w:bCs/>
          <w:color w:val="000000" w:themeColor="text1"/>
          <w14:textFill>
            <w14:solidFill>
              <w14:schemeClr w14:val="tx1"/>
            </w14:solidFill>
          </w14:textFill>
        </w:rPr>
        <w:t>连接</w:t>
      </w:r>
      <w:r>
        <w:rPr>
          <w:rFonts w:hint="eastAsia"/>
          <w:bCs/>
          <w:snapToGrid w:val="0"/>
          <w:color w:val="000000" w:themeColor="text1"/>
          <w:kern w:val="0"/>
          <w:szCs w:val="21"/>
          <w14:textFill>
            <w14:solidFill>
              <w14:schemeClr w14:val="tx1"/>
            </w14:solidFill>
          </w14:textFill>
        </w:rPr>
        <w:t>的组合截面</w:t>
      </w:r>
      <w:r>
        <w:rPr>
          <w:rFonts w:hint="eastAsia"/>
          <w:bCs/>
          <w:color w:val="000000" w:themeColor="text1"/>
          <w14:textFill>
            <w14:solidFill>
              <w14:schemeClr w14:val="tx1"/>
            </w14:solidFill>
          </w14:textFill>
        </w:rPr>
        <w:t>时</w:t>
      </w:r>
      <w:r>
        <w:rPr>
          <w:rFonts w:hint="eastAsia"/>
          <w:bCs/>
          <w:snapToGrid w:val="0"/>
          <w:color w:val="000000" w:themeColor="text1"/>
          <w:kern w:val="0"/>
          <w:szCs w:val="21"/>
          <w14:textFill>
            <w14:solidFill>
              <w14:schemeClr w14:val="tx1"/>
            </w14:solidFill>
          </w14:textFill>
        </w:rPr>
        <w:t>，垫板的间距应均匀，每一杆件中的垫板数不得少于</w:t>
      </w:r>
      <w:r>
        <w:rPr>
          <w:bCs/>
          <w:snapToGrid w:val="0"/>
          <w:color w:val="000000" w:themeColor="text1"/>
          <w:kern w:val="0"/>
          <w:szCs w:val="21"/>
          <w14:textFill>
            <w14:solidFill>
              <w14:schemeClr w14:val="tx1"/>
            </w14:solidFill>
          </w14:textFill>
        </w:rPr>
        <w:t>2</w:t>
      </w:r>
      <w:r>
        <w:rPr>
          <w:rFonts w:hint="eastAsia"/>
          <w:bCs/>
          <w:snapToGrid w:val="0"/>
          <w:color w:val="000000" w:themeColor="text1"/>
          <w:kern w:val="0"/>
          <w:szCs w:val="21"/>
          <w14:textFill>
            <w14:solidFill>
              <w14:schemeClr w14:val="tx1"/>
            </w14:solidFill>
          </w14:textFill>
        </w:rPr>
        <w:t>块，且应符合下列规定：</w:t>
      </w:r>
    </w:p>
    <w:p>
      <w:pPr>
        <w:spacing w:line="400" w:lineRule="exact"/>
        <w:ind w:left="1058" w:leftChars="404" w:hanging="210" w:hangingChars="100"/>
        <w:rPr>
          <w:bCs/>
          <w:snapToGrid w:val="0"/>
          <w:color w:val="000000" w:themeColor="text1"/>
          <w:kern w:val="0"/>
          <w:szCs w:val="21"/>
          <w14:textFill>
            <w14:solidFill>
              <w14:schemeClr w14:val="tx1"/>
            </w14:solidFill>
          </w14:textFill>
        </w:rPr>
      </w:pPr>
      <w:r>
        <w:rPr>
          <w:rFonts w:hint="eastAsia"/>
          <w:bCs/>
          <w:color w:val="000000" w:themeColor="text1"/>
          <w14:textFill>
            <w14:solidFill>
              <w14:schemeClr w14:val="tx1"/>
            </w14:solidFill>
          </w14:textFill>
        </w:rPr>
        <w:t>a</w:t>
      </w:r>
      <w:r>
        <w:rPr>
          <w:rFonts w:hint="eastAsia"/>
          <w:bCs/>
          <w:snapToGrid w:val="0"/>
          <w:color w:val="000000" w:themeColor="text1"/>
          <w:kern w:val="0"/>
          <w:szCs w:val="21"/>
          <w14:textFill>
            <w14:solidFill>
              <w14:schemeClr w14:val="tx1"/>
            </w14:solidFill>
          </w14:textFill>
        </w:rPr>
        <w:t>）支撑杆屈曲可导致垫板连接处产生剪力时</w:t>
      </w:r>
      <w:r>
        <w:rPr>
          <w:rFonts w:hint="eastAsia"/>
          <w:bCs/>
          <w:color w:val="000000" w:themeColor="text1"/>
          <w:szCs w:val="21"/>
          <w14:textFill>
            <w14:solidFill>
              <w14:schemeClr w14:val="tx1"/>
            </w14:solidFill>
          </w14:textFill>
        </w:rPr>
        <w:t>，</w:t>
      </w:r>
      <w:r>
        <w:rPr>
          <w:rFonts w:hint="eastAsia"/>
          <w:bCs/>
          <w:snapToGrid w:val="0"/>
          <w:color w:val="000000" w:themeColor="text1"/>
          <w:kern w:val="0"/>
          <w:szCs w:val="21"/>
          <w14:textFill>
            <w14:solidFill>
              <w14:schemeClr w14:val="tx1"/>
            </w14:solidFill>
          </w14:textFill>
        </w:rPr>
        <w:t>两垫板之间单肢杆件的长细比不应大于组合支撑杆件控制长细比的</w:t>
      </w:r>
      <w:r>
        <w:rPr>
          <w:bCs/>
          <w:snapToGrid w:val="0"/>
          <w:color w:val="000000" w:themeColor="text1"/>
          <w:kern w:val="0"/>
          <w:szCs w:val="21"/>
          <w14:textFill>
            <w14:solidFill>
              <w14:schemeClr w14:val="tx1"/>
            </w14:solidFill>
          </w14:textFill>
        </w:rPr>
        <w:t>0.4</w:t>
      </w:r>
      <w:r>
        <w:rPr>
          <w:rFonts w:hint="eastAsia"/>
          <w:bCs/>
          <w:snapToGrid w:val="0"/>
          <w:color w:val="000000" w:themeColor="text1"/>
          <w:kern w:val="0"/>
          <w:szCs w:val="21"/>
          <w14:textFill>
            <w14:solidFill>
              <w14:schemeClr w14:val="tx1"/>
            </w14:solidFill>
          </w14:textFill>
        </w:rPr>
        <w:t>倍，垫板连接处的受剪承载力设计值总和不宜小于单肢杆件的受拉承载力设计值。</w:t>
      </w:r>
    </w:p>
    <w:p>
      <w:pPr>
        <w:spacing w:line="400" w:lineRule="exact"/>
        <w:ind w:left="1058" w:leftChars="404" w:hanging="210" w:hangingChars="100"/>
        <w:rPr>
          <w:bCs/>
          <w:snapToGrid w:val="0"/>
          <w:color w:val="000000" w:themeColor="text1"/>
          <w:kern w:val="0"/>
          <w:szCs w:val="21"/>
          <w14:textFill>
            <w14:solidFill>
              <w14:schemeClr w14:val="tx1"/>
            </w14:solidFill>
          </w14:textFill>
        </w:rPr>
      </w:pPr>
      <w:r>
        <w:rPr>
          <w:bCs/>
          <w:color w:val="000000" w:themeColor="text1"/>
          <w14:textFill>
            <w14:solidFill>
              <w14:schemeClr w14:val="tx1"/>
            </w14:solidFill>
          </w14:textFill>
        </w:rPr>
        <w:t>b</w:t>
      </w:r>
      <w:r>
        <w:rPr>
          <w:rFonts w:hint="eastAsia"/>
          <w:bCs/>
          <w:snapToGrid w:val="0"/>
          <w:color w:val="000000" w:themeColor="text1"/>
          <w:kern w:val="0"/>
          <w:szCs w:val="21"/>
          <w14:textFill>
            <w14:solidFill>
              <w14:schemeClr w14:val="tx1"/>
            </w14:solidFill>
          </w14:textFill>
        </w:rPr>
        <w:t>）支撑杆屈曲在垫板连接处不产生剪力时，两</w:t>
      </w:r>
      <w:r>
        <w:rPr>
          <w:rFonts w:hint="eastAsia"/>
          <w:bCs/>
          <w:color w:val="000000" w:themeColor="text1"/>
          <w:szCs w:val="21"/>
          <w14:textFill>
            <w14:solidFill>
              <w14:schemeClr w14:val="tx1"/>
            </w14:solidFill>
          </w14:textFill>
        </w:rPr>
        <w:t>垫板</w:t>
      </w:r>
      <w:r>
        <w:rPr>
          <w:rFonts w:hint="eastAsia"/>
          <w:bCs/>
          <w:snapToGrid w:val="0"/>
          <w:color w:val="000000" w:themeColor="text1"/>
          <w:kern w:val="0"/>
          <w:szCs w:val="21"/>
          <w14:textFill>
            <w14:solidFill>
              <w14:schemeClr w14:val="tx1"/>
            </w14:solidFill>
          </w14:textFill>
        </w:rPr>
        <w:t>之间单肢杆件的长细比不应大于组合支撑杆件长细比的</w:t>
      </w:r>
      <w:r>
        <w:rPr>
          <w:bCs/>
          <w:snapToGrid w:val="0"/>
          <w:color w:val="000000" w:themeColor="text1"/>
          <w:kern w:val="0"/>
          <w:szCs w:val="21"/>
          <w14:textFill>
            <w14:solidFill>
              <w14:schemeClr w14:val="tx1"/>
            </w14:solidFill>
          </w14:textFill>
        </w:rPr>
        <w:t>0.75</w:t>
      </w:r>
      <w:r>
        <w:rPr>
          <w:rFonts w:hint="eastAsia"/>
          <w:bCs/>
          <w:snapToGrid w:val="0"/>
          <w:color w:val="000000" w:themeColor="text1"/>
          <w:kern w:val="0"/>
          <w:szCs w:val="21"/>
          <w14:textFill>
            <w14:solidFill>
              <w14:schemeClr w14:val="tx1"/>
            </w14:solidFill>
          </w14:textFill>
        </w:rPr>
        <w:t>倍。</w:t>
      </w:r>
    </w:p>
    <w:p>
      <w:pPr>
        <w:autoSpaceDE w:val="0"/>
        <w:autoSpaceDN w:val="0"/>
        <w:spacing w:line="400" w:lineRule="exact"/>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 xml:space="preserve">.2.11 </w:t>
      </w:r>
      <w:r>
        <w:rPr>
          <w:rFonts w:hint="eastAsia"/>
          <w:bCs/>
          <w:color w:val="000000" w:themeColor="text1"/>
          <w:kern w:val="0"/>
          <w:szCs w:val="21"/>
          <w14:textFill>
            <w14:solidFill>
              <w14:schemeClr w14:val="tx1"/>
            </w14:solidFill>
          </w14:textFill>
        </w:rPr>
        <w:t>偏心支撑框架的抗震设计应符合下列规定：</w:t>
      </w:r>
    </w:p>
    <w:p>
      <w:pPr>
        <w:spacing w:line="400" w:lineRule="exact"/>
        <w:ind w:firstLine="420"/>
        <w:jc w:val="left"/>
        <w:rPr>
          <w:bCs/>
          <w:color w:val="000000" w:themeColor="text1"/>
          <w:szCs w:val="20"/>
          <w14:textFill>
            <w14:solidFill>
              <w14:schemeClr w14:val="tx1"/>
            </w14:solidFill>
          </w14:textFill>
        </w:rPr>
      </w:pPr>
      <w:r>
        <w:rPr>
          <w:bCs/>
          <w:color w:val="000000" w:themeColor="text1"/>
          <w14:textFill>
            <w14:solidFill>
              <w14:schemeClr w14:val="tx1"/>
            </w14:solidFill>
          </w14:textFill>
        </w:rPr>
        <w:t xml:space="preserve">1 </w:t>
      </w:r>
      <w:r>
        <w:rPr>
          <w:rFonts w:hint="eastAsia"/>
          <w:bCs/>
          <w:color w:val="000000" w:themeColor="text1"/>
          <w14:textFill>
            <w14:solidFill>
              <w14:schemeClr w14:val="tx1"/>
            </w14:solidFill>
          </w14:textFill>
        </w:rPr>
        <w:t>偏心支撑可采用单斜杆型和八字形、人字形。</w:t>
      </w:r>
    </w:p>
    <w:p>
      <w:pPr>
        <w:spacing w:line="400" w:lineRule="exact"/>
        <w:ind w:firstLine="420"/>
        <w:jc w:val="left"/>
        <w:rPr>
          <w:bCs/>
          <w:color w:val="000000" w:themeColor="text1"/>
          <w14:textFill>
            <w14:solidFill>
              <w14:schemeClr w14:val="tx1"/>
            </w14:solidFill>
          </w14:textFill>
        </w:rPr>
      </w:pPr>
      <w:r>
        <w:rPr>
          <w:bCs/>
          <w:color w:val="000000" w:themeColor="text1"/>
          <w14:textFill>
            <w14:solidFill>
              <w14:schemeClr w14:val="tx1"/>
            </w14:solidFill>
          </w14:textFill>
        </w:rPr>
        <w:t xml:space="preserve">2 </w:t>
      </w:r>
      <w:r>
        <w:rPr>
          <w:rFonts w:hint="eastAsia"/>
          <w:bCs/>
          <w:color w:val="000000" w:themeColor="text1"/>
          <w14:textFill>
            <w14:solidFill>
              <w14:schemeClr w14:val="tx1"/>
            </w14:solidFill>
          </w14:textFill>
        </w:rPr>
        <w:t>多层结构其他各层设置偏心支撑时，顶层仍可采用中心支撑。</w:t>
      </w:r>
    </w:p>
    <w:p>
      <w:pPr>
        <w:spacing w:line="400" w:lineRule="exact"/>
        <w:ind w:firstLine="420"/>
        <w:jc w:val="left"/>
        <w:rPr>
          <w:bCs/>
          <w:color w:val="000000" w:themeColor="text1"/>
          <w14:textFill>
            <w14:solidFill>
              <w14:schemeClr w14:val="tx1"/>
            </w14:solidFill>
          </w14:textFill>
        </w:rPr>
      </w:pPr>
      <w:r>
        <w:rPr>
          <w:bCs/>
          <w:color w:val="000000" w:themeColor="text1"/>
          <w14:textFill>
            <w14:solidFill>
              <w14:schemeClr w14:val="tx1"/>
            </w14:solidFill>
          </w14:textFill>
        </w:rPr>
        <w:t xml:space="preserve">3 </w:t>
      </w:r>
      <w:r>
        <w:rPr>
          <w:rFonts w:hint="eastAsia"/>
          <w:bCs/>
          <w:color w:val="000000" w:themeColor="text1"/>
          <w14:textFill>
            <w14:solidFill>
              <w14:schemeClr w14:val="tx1"/>
            </w14:solidFill>
          </w14:textFill>
        </w:rPr>
        <w:t>偏心支撑框架构件的抗震承载力验算，应符合下列规定：</w:t>
      </w:r>
    </w:p>
    <w:p>
      <w:pPr>
        <w:spacing w:line="400" w:lineRule="exact"/>
        <w:ind w:left="840" w:leftChars="300" w:hanging="210" w:hangingChars="100"/>
        <w:jc w:val="left"/>
        <w:rPr>
          <w:bCs/>
          <w:color w:val="000000" w:themeColor="text1"/>
          <w14:textFill>
            <w14:solidFill>
              <w14:schemeClr w14:val="tx1"/>
            </w14:solidFill>
          </w14:textFill>
        </w:rPr>
      </w:pPr>
      <w:r>
        <w:rPr>
          <w:rFonts w:eastAsia="MS Mincho"/>
          <w:bCs/>
          <w:color w:val="000000" w:themeColor="text1"/>
          <w:lang w:eastAsia="ja-JP"/>
          <w14:textFill>
            <w14:solidFill>
              <w14:schemeClr w14:val="tx1"/>
            </w14:solidFill>
          </w14:textFill>
        </w:rPr>
        <w:t>1</w:t>
      </w:r>
      <w:r>
        <w:rPr>
          <w:rFonts w:hint="eastAsia"/>
          <w:bCs/>
          <w:color w:val="000000" w:themeColor="text1"/>
          <w14:textFill>
            <w14:solidFill>
              <w14:schemeClr w14:val="tx1"/>
            </w14:solidFill>
          </w14:textFill>
        </w:rPr>
        <w:t>）偏心支撑框架构件与耗能连梁相连的支撑斜杆轴力设计值、</w:t>
      </w:r>
      <w:bookmarkStart w:id="191" w:name="_Hlk45051595"/>
      <w:r>
        <w:rPr>
          <w:rFonts w:hint="eastAsia"/>
          <w:bCs/>
          <w:color w:val="000000" w:themeColor="text1"/>
          <w14:textFill>
            <w14:solidFill>
              <w14:schemeClr w14:val="tx1"/>
            </w14:solidFill>
          </w14:textFill>
        </w:rPr>
        <w:t>框架梁以及框架柱</w:t>
      </w:r>
      <w:bookmarkEnd w:id="191"/>
      <w:r>
        <w:rPr>
          <w:rFonts w:hint="eastAsia"/>
          <w:bCs/>
          <w:color w:val="000000" w:themeColor="text1"/>
          <w14:textFill>
            <w14:solidFill>
              <w14:schemeClr w14:val="tx1"/>
            </w14:solidFill>
          </w14:textFill>
        </w:rPr>
        <w:t>内力设计值，应按与支撑斜杆相连接的耗能连梁达到受剪承载力时支撑斜杆轴力设计值、框架梁以及框架柱内力设计值的</w:t>
      </w:r>
      <w:r>
        <w:rPr>
          <w:bCs/>
          <w:color w:val="000000" w:themeColor="text1"/>
          <w14:textFill>
            <w14:solidFill>
              <w14:schemeClr w14:val="tx1"/>
            </w14:solidFill>
          </w14:textFill>
        </w:rPr>
        <w:t>1.5</w:t>
      </w:r>
      <w:r>
        <w:rPr>
          <w:rFonts w:hint="eastAsia"/>
          <w:bCs/>
          <w:color w:val="000000" w:themeColor="text1"/>
          <w14:textFill>
            <w14:solidFill>
              <w14:schemeClr w14:val="tx1"/>
            </w14:solidFill>
          </w14:textFill>
        </w:rPr>
        <w:t>倍（采用</w:t>
      </w:r>
      <w:r>
        <w:rPr>
          <w:bCs/>
          <w:color w:val="000000" w:themeColor="text1"/>
          <w14:textFill>
            <w14:solidFill>
              <w14:schemeClr w14:val="tx1"/>
            </w14:solidFill>
          </w14:textFill>
        </w:rPr>
        <w:t>GJ</w:t>
      </w:r>
      <w:r>
        <w:rPr>
          <w:rFonts w:hint="eastAsia"/>
          <w:bCs/>
          <w:color w:val="000000" w:themeColor="text1"/>
          <w14:textFill>
            <w14:solidFill>
              <w14:schemeClr w14:val="tx1"/>
            </w14:solidFill>
          </w14:textFill>
        </w:rPr>
        <w:t>钢时）和</w:t>
      </w:r>
      <w:r>
        <w:rPr>
          <w:bCs/>
          <w:color w:val="000000" w:themeColor="text1"/>
          <w14:textFill>
            <w14:solidFill>
              <w14:schemeClr w14:val="tx1"/>
            </w14:solidFill>
          </w14:textFill>
        </w:rPr>
        <w:t>1.6</w:t>
      </w:r>
      <w:r>
        <w:rPr>
          <w:rFonts w:hint="eastAsia"/>
          <w:bCs/>
          <w:color w:val="000000" w:themeColor="text1"/>
          <w14:textFill>
            <w14:solidFill>
              <w14:schemeClr w14:val="tx1"/>
            </w14:solidFill>
          </w14:textFill>
        </w:rPr>
        <w:t>倍（采用非</w:t>
      </w:r>
      <w:r>
        <w:rPr>
          <w:bCs/>
          <w:color w:val="000000" w:themeColor="text1"/>
          <w14:textFill>
            <w14:solidFill>
              <w14:schemeClr w14:val="tx1"/>
            </w14:solidFill>
          </w14:textFill>
        </w:rPr>
        <w:t>GJ</w:t>
      </w:r>
      <w:r>
        <w:rPr>
          <w:rFonts w:hint="eastAsia"/>
          <w:bCs/>
          <w:color w:val="000000" w:themeColor="text1"/>
          <w14:textFill>
            <w14:solidFill>
              <w14:schemeClr w14:val="tx1"/>
            </w14:solidFill>
          </w14:textFill>
        </w:rPr>
        <w:t>钢时）采用。</w:t>
      </w:r>
    </w:p>
    <w:p>
      <w:pPr>
        <w:spacing w:line="400" w:lineRule="exact"/>
        <w:ind w:firstLine="630" w:firstLineChars="300"/>
        <w:jc w:val="left"/>
        <w:rPr>
          <w:bCs/>
          <w:color w:val="000000" w:themeColor="text1"/>
          <w:szCs w:val="21"/>
          <w14:textFill>
            <w14:solidFill>
              <w14:schemeClr w14:val="tx1"/>
            </w14:solidFill>
          </w14:textFill>
        </w:rPr>
      </w:pP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）偏心支撑耗能连梁的受剪承载力，应</w:t>
      </w:r>
      <w:r>
        <w:rPr>
          <w:rFonts w:hint="eastAsia"/>
          <w:bCs/>
          <w:color w:val="000000" w:themeColor="text1"/>
          <w:szCs w:val="21"/>
          <w14:textFill>
            <w14:solidFill>
              <w14:schemeClr w14:val="tx1"/>
            </w14:solidFill>
          </w14:textFill>
        </w:rPr>
        <w:t>符合</w:t>
      </w:r>
      <w:r>
        <w:rPr>
          <w:rFonts w:hint="eastAsia"/>
          <w:bCs/>
          <w:color w:val="000000" w:themeColor="text1"/>
          <w14:textFill>
            <w14:solidFill>
              <w14:schemeClr w14:val="tx1"/>
            </w14:solidFill>
          </w14:textFill>
        </w:rPr>
        <w:t>下列要求：</w:t>
      </w:r>
    </w:p>
    <w:p>
      <w:pPr>
        <w:spacing w:line="400" w:lineRule="exact"/>
        <w:ind w:left="420" w:firstLine="630" w:firstLineChars="300"/>
        <w:rPr>
          <w:rFonts w:cs="Times New Roman"/>
          <w:bCs/>
          <w:color w:val="000000" w:themeColor="text1"/>
          <w:szCs w:val="21"/>
          <w14:textFill>
            <w14:solidFill>
              <w14:schemeClr w14:val="tx1"/>
            </w14:solidFill>
          </w14:textFill>
        </w:rPr>
      </w:pPr>
      <m:oMath>
        <w:bookmarkStart w:id="192" w:name="_Hlk45051703"/>
        <m:r>
          <w:rPr>
            <w:rFonts w:ascii="Cambria Math" w:hAnsi="Cambria Math" w:cs="Times New Roman"/>
            <w:color w:val="000000" w:themeColor="text1"/>
            <w:szCs w:val="24"/>
            <w14:textFill>
              <w14:solidFill>
                <w14:schemeClr w14:val="tx1"/>
              </w14:solidFill>
            </w14:textFill>
          </w:rPr>
          <m:t>N/</m:t>
        </m:r>
        <m:r>
          <m:rPr>
            <m:sty m:val="p"/>
          </m:rPr>
          <w:rPr>
            <w:rFonts w:hint="eastAsia" w:ascii="Cambria Math" w:hAnsi="Cambria Math" w:cs="Times New Roman"/>
            <w:color w:val="000000" w:themeColor="text1"/>
            <w:szCs w:val="24"/>
            <w14:textFill>
              <w14:solidFill>
                <w14:schemeClr w14:val="tx1"/>
              </w14:solidFill>
            </w14:textFill>
          </w:rPr>
          <m:t>（</m:t>
        </m:r>
        <m:r>
          <m:rPr>
            <m:sty m:val="p"/>
          </m:rPr>
          <w:rPr>
            <w:rFonts w:ascii="Cambria Math" w:hAnsi="Cambria Math" w:cs="Times New Roman"/>
            <w:color w:val="000000" w:themeColor="text1"/>
            <w:szCs w:val="24"/>
            <w14:textFill>
              <w14:solidFill>
                <w14:schemeClr w14:val="tx1"/>
              </w14:solidFill>
            </w14:textFill>
          </w:rPr>
          <m:t>A</m:t>
        </m:r>
        <m:sSub>
          <m:sSubPr>
            <m:ctrlPr>
              <w:rPr>
                <w:rFonts w:ascii="Cambria Math" w:hAnsi="Cambria Math"/>
                <w:bCs/>
                <w:iCs/>
                <w:color w:val="000000" w:themeColor="text1"/>
                <w:szCs w:val="21"/>
                <w14:textFill>
                  <w14:solidFill>
                    <w14:schemeClr w14:val="tx1"/>
                  </w14:solidFill>
                </w14:textFill>
              </w:rPr>
            </m:ctrlPr>
          </m:sSubPr>
          <m:e>
            <m:r>
              <m:rPr>
                <m:sty m:val="p"/>
              </m:rP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bCs/>
                <w:iCs/>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bCs/>
                <w:iCs/>
                <w:color w:val="000000" w:themeColor="text1"/>
                <w:szCs w:val="21"/>
                <w14:textFill>
                  <w14:solidFill>
                    <w14:schemeClr w14:val="tx1"/>
                  </w14:solidFill>
                </w14:textFill>
              </w:rPr>
            </m:ctrlPr>
          </m:sub>
        </m:sSub>
        <m:r>
          <m:rPr>
            <m:sty m:val="p"/>
          </m:rPr>
          <w:rPr>
            <w:rFonts w:hint="eastAsia" w:ascii="Cambria Math" w:hAnsi="Cambria Math" w:cs="Times New Roman"/>
            <w:color w:val="000000" w:themeColor="text1"/>
            <w:szCs w:val="24"/>
            <w14:textFill>
              <w14:solidFill>
                <w14:schemeClr w14:val="tx1"/>
              </w14:solidFill>
            </w14:textFill>
          </w:rPr>
          <m:t>）</m:t>
        </m:r>
        <w:bookmarkEnd w:id="192"/>
        <m:r>
          <w:rPr>
            <w:rFonts w:ascii="Cambria Math" w:hAnsi="Cambria Math" w:cs="Times New Roman"/>
            <w:color w:val="000000" w:themeColor="text1"/>
            <w:szCs w:val="24"/>
            <w14:textFill>
              <w14:solidFill>
                <w14:schemeClr w14:val="tx1"/>
              </w14:solidFill>
            </w14:textFill>
          </w:rPr>
          <m:t>≤0.15</m:t>
        </m:r>
      </m:oMath>
      <w:r>
        <w:rPr>
          <w:rFonts w:hint="eastAsia" w:cs="Times New Roman"/>
          <w:bCs/>
          <w:color w:val="000000" w:themeColor="text1"/>
          <w:szCs w:val="24"/>
          <w14:textFill>
            <w14:solidFill>
              <w14:schemeClr w14:val="tx1"/>
            </w14:solidFill>
          </w14:textFill>
        </w:rPr>
        <w:t>：</w:t>
      </w:r>
    </w:p>
    <w:p>
      <w:pPr>
        <w:spacing w:line="360" w:lineRule="auto"/>
        <w:ind w:firstLine="420"/>
        <w:jc w:val="right"/>
        <w:rPr>
          <w:bCs/>
          <w:color w:val="000000" w:themeColor="text1"/>
          <w:szCs w:val="20"/>
          <w14:textFill>
            <w14:solidFill>
              <w14:schemeClr w14:val="tx1"/>
            </w14:solidFill>
          </w14:textFill>
        </w:rPr>
      </w:pPr>
      <m:oMath>
        <m:r>
          <w:rPr>
            <w:rFonts w:ascii="Cambria Math" w:hAnsi="Cambria Math"/>
            <w:color w:val="000000" w:themeColor="text1"/>
            <w14:textFill>
              <w14:solidFill>
                <w14:schemeClr w14:val="tx1"/>
              </w14:solidFill>
            </w14:textFill>
          </w:rPr>
          <m:t>V≤0.9</m:t>
        </m:r>
        <m:sSub>
          <m:sSubPr>
            <m:ctrlPr>
              <w:rPr>
                <w:rFonts w:ascii="Cambria Math" w:hAnsi="Cambria Math"/>
                <w:bCs/>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V</m:t>
            </m:r>
            <m:ctrlPr>
              <w:rPr>
                <w:rFonts w:ascii="Cambria Math" w:hAnsi="Cambria Math"/>
                <w:bCs/>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L</m:t>
            </m:r>
            <m:ctrlPr>
              <w:rPr>
                <w:rFonts w:ascii="Cambria Math" w:hAnsi="Cambria Math"/>
                <w:bCs/>
                <w:i/>
                <w:color w:val="000000" w:themeColor="text1"/>
                <w14:textFill>
                  <w14:solidFill>
                    <w14:schemeClr w14:val="tx1"/>
                  </w14:solidFill>
                </w14:textFill>
              </w:rPr>
            </m:ctrlPr>
          </m:sub>
        </m:sSub>
        <m:r>
          <w:rPr>
            <w:rFonts w:ascii="Cambria Math" w:hAnsi="Cambria Math"/>
            <w:color w:val="000000" w:themeColor="text1"/>
            <w14:textFill>
              <w14:solidFill>
                <w14:schemeClr w14:val="tx1"/>
              </w14:solidFill>
            </w14:textFill>
          </w:rPr>
          <m:t>/</m:t>
        </m:r>
        <m:sSub>
          <m:sSubPr>
            <m:ctrlPr>
              <w:rPr>
                <w:rFonts w:ascii="Cambria Math" w:hAnsi="Cambria Math"/>
                <w:bCs/>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γ</m:t>
            </m:r>
            <m:ctrlPr>
              <w:rPr>
                <w:rFonts w:ascii="Cambria Math" w:hAnsi="Cambria Math"/>
                <w:bCs/>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RE</m:t>
            </m:r>
            <m:ctrlPr>
              <w:rPr>
                <w:rFonts w:ascii="Cambria Math" w:hAnsi="Cambria Math"/>
                <w:bCs/>
                <w:i/>
                <w:color w:val="000000" w:themeColor="text1"/>
                <w14:textFill>
                  <w14:solidFill>
                    <w14:schemeClr w14:val="tx1"/>
                  </w14:solidFill>
                </w14:textFill>
              </w:rPr>
            </m:ctrlPr>
          </m:sub>
        </m:sSub>
      </m:oMath>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（9</w:t>
      </w:r>
      <w:r>
        <w:rPr>
          <w:bCs/>
          <w:color w:val="000000" w:themeColor="text1"/>
          <w14:textFill>
            <w14:solidFill>
              <w14:schemeClr w14:val="tx1"/>
            </w14:solidFill>
          </w14:textFill>
        </w:rPr>
        <w:t>.2.11-1</w:t>
      </w:r>
      <w:r>
        <w:rPr>
          <w:rFonts w:hint="eastAsia"/>
          <w:bCs/>
          <w:color w:val="000000" w:themeColor="text1"/>
          <w14:textFill>
            <w14:solidFill>
              <w14:schemeClr w14:val="tx1"/>
            </w14:solidFill>
          </w14:textFill>
        </w:rPr>
        <w:t>）</w:t>
      </w:r>
    </w:p>
    <w:p>
      <w:pPr>
        <w:spacing w:line="360" w:lineRule="auto"/>
        <w:ind w:firstLine="420"/>
        <w:jc w:val="right"/>
        <w:rPr>
          <w:bCs/>
          <w:color w:val="000000" w:themeColor="text1"/>
          <w14:textFill>
            <w14:solidFill>
              <w14:schemeClr w14:val="tx1"/>
            </w14:solidFill>
          </w14:textFill>
        </w:rPr>
      </w:pPr>
      <m:oMath>
        <m:sSub>
          <w:bookmarkStart w:id="193" w:name="_Hlk24013661"/>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V</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L</m:t>
            </m:r>
            <m:ctrlPr>
              <w:rPr>
                <w:rFonts w:ascii="Cambria Math" w:hAnsi="Cambria Math" w:cs="Times New Roman"/>
                <w:bCs/>
                <w:i/>
                <w:color w:val="000000" w:themeColor="text1"/>
                <w:szCs w:val="20"/>
                <w14:textFill>
                  <w14:solidFill>
                    <w14:schemeClr w14:val="tx1"/>
                  </w14:solidFill>
                </w14:textFill>
              </w:rPr>
            </m:ctrlPr>
          </m:sub>
        </m:sSub>
        <m:r>
          <w:rPr>
            <w:rFonts w:ascii="Cambria Math" w:hAnsi="Cambria Math" w:cs="Times New Roman"/>
            <w:color w:val="000000" w:themeColor="text1"/>
            <w:szCs w:val="20"/>
            <w14:textFill>
              <w14:solidFill>
                <w14:schemeClr w14:val="tx1"/>
              </w14:solidFill>
            </w14:textFill>
          </w:rPr>
          <m:t>=m</m:t>
        </m:r>
        <m:r>
          <w:rPr>
            <w:rFonts w:hint="eastAsia" w:ascii="Cambria Math" w:hAnsi="Cambria Math" w:cs="Times New Roman"/>
            <w:color w:val="000000" w:themeColor="text1"/>
            <w:szCs w:val="20"/>
            <w14:textFill>
              <w14:solidFill>
                <w14:schemeClr w14:val="tx1"/>
              </w14:solidFill>
            </w14:textFill>
          </w:rPr>
          <m:t>in</m:t>
        </m:r>
        <m:d>
          <m:dPr>
            <m:ctrlPr>
              <w:rPr>
                <w:rFonts w:ascii="Cambria Math" w:hAnsi="Cambria Math" w:cs="Times New Roman"/>
                <w:bCs/>
                <w:i/>
                <w:color w:val="000000" w:themeColor="text1"/>
                <w:szCs w:val="20"/>
                <w14:textFill>
                  <w14:solidFill>
                    <w14:schemeClr w14:val="tx1"/>
                  </w14:solidFill>
                </w14:textFill>
              </w:rPr>
            </m:ctrlPr>
          </m:dPr>
          <m:e>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A</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w</m:t>
                </m:r>
                <m:ctrlPr>
                  <w:rPr>
                    <w:rFonts w:ascii="Cambria Math" w:hAnsi="Cambria Math" w:cs="Times New Roman"/>
                    <w:bCs/>
                    <w:i/>
                    <w:color w:val="000000" w:themeColor="text1"/>
                    <w:szCs w:val="20"/>
                    <w14:textFill>
                      <w14:solidFill>
                        <w14:schemeClr w14:val="tx1"/>
                      </w14:solidFill>
                    </w14:textFill>
                  </w:rPr>
                </m:ctrlPr>
              </m:sub>
            </m:sSub>
            <w:bookmarkStart w:id="194" w:name="_Hlk24009664"/>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yv</m:t>
                </m:r>
                <w:bookmarkEnd w:id="194"/>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,2</m:t>
            </m:r>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M</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LP</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/a</m:t>
            </m:r>
            <m:ctrlPr>
              <w:rPr>
                <w:rFonts w:ascii="Cambria Math" w:hAnsi="Cambria Math" w:cs="Times New Roman"/>
                <w:bCs/>
                <w:i/>
                <w:color w:val="000000" w:themeColor="text1"/>
                <w:szCs w:val="20"/>
                <w14:textFill>
                  <w14:solidFill>
                    <w14:schemeClr w14:val="tx1"/>
                  </w14:solidFill>
                </w14:textFill>
              </w:rPr>
            </m:ctrlPr>
          </m:e>
        </m:d>
      </m:oMath>
      <w:r>
        <w:rPr>
          <w:bCs/>
          <w:color w:val="000000" w:themeColor="text1"/>
          <w14:textFill>
            <w14:solidFill>
              <w14:schemeClr w14:val="tx1"/>
            </w14:solidFill>
          </w14:textFill>
        </w:rPr>
        <w:t xml:space="preserve"> </w:t>
      </w:r>
      <w:bookmarkEnd w:id="193"/>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（9</w:t>
      </w:r>
      <w:r>
        <w:rPr>
          <w:bCs/>
          <w:color w:val="000000" w:themeColor="text1"/>
          <w14:textFill>
            <w14:solidFill>
              <w14:schemeClr w14:val="tx1"/>
            </w14:solidFill>
          </w14:textFill>
        </w:rPr>
        <w:t>.2.11-2</w:t>
      </w:r>
      <w:r>
        <w:rPr>
          <w:rFonts w:hint="eastAsia"/>
          <w:bCs/>
          <w:color w:val="000000" w:themeColor="text1"/>
          <w14:textFill>
            <w14:solidFill>
              <w14:schemeClr w14:val="tx1"/>
            </w14:solidFill>
          </w14:textFill>
        </w:rPr>
        <w:t>）</w:t>
      </w:r>
    </w:p>
    <w:p>
      <w:pPr>
        <w:spacing w:line="360" w:lineRule="auto"/>
        <w:ind w:firstLine="420"/>
        <w:jc w:val="right"/>
        <w:rPr>
          <w:bCs/>
          <w:color w:val="000000" w:themeColor="text1"/>
          <w14:textFill>
            <w14:solidFill>
              <w14:schemeClr w14:val="tx1"/>
            </w14:solidFill>
          </w14:textFill>
        </w:rPr>
      </w:pPr>
      <m:oMath>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A</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w</m:t>
            </m:r>
            <m:ctrlPr>
              <w:rPr>
                <w:rFonts w:ascii="Cambria Math" w:hAnsi="Cambria Math" w:cs="Times New Roman"/>
                <w:bCs/>
                <w:i/>
                <w:color w:val="000000" w:themeColor="text1"/>
                <w:szCs w:val="20"/>
                <w14:textFill>
                  <w14:solidFill>
                    <w14:schemeClr w14:val="tx1"/>
                  </w14:solidFill>
                </w14:textFill>
              </w:rPr>
            </m:ctrlPr>
          </m:sub>
        </m:sSub>
        <m:r>
          <w:rPr>
            <w:rFonts w:ascii="Cambria Math" w:hAnsi="Cambria Math" w:cs="Times New Roman"/>
            <w:color w:val="000000" w:themeColor="text1"/>
            <w:szCs w:val="20"/>
            <w14:textFill>
              <w14:solidFill>
                <w14:schemeClr w14:val="tx1"/>
              </w14:solidFill>
            </w14:textFill>
          </w:rPr>
          <m:t>=</m:t>
        </m:r>
        <m:r>
          <m:rPr>
            <m:sty m:val="p"/>
          </m:rPr>
          <w:rPr>
            <w:rFonts w:hint="eastAsia" w:ascii="Cambria Math" w:hAnsi="Cambria Math" w:cs="Times New Roman"/>
            <w:color w:val="000000" w:themeColor="text1"/>
            <w:szCs w:val="20"/>
            <w14:textFill>
              <w14:solidFill>
                <w14:schemeClr w14:val="tx1"/>
              </w14:solidFill>
            </w14:textFill>
          </w:rPr>
          <m:t>（</m:t>
        </m:r>
        <m:r>
          <m:rPr>
            <m:sty m:val="p"/>
          </m:rPr>
          <w:rPr>
            <w:rFonts w:ascii="Cambria Math" w:hAnsi="Cambria Math" w:cs="Times New Roman"/>
            <w:color w:val="000000" w:themeColor="text1"/>
            <w:szCs w:val="20"/>
            <w14:textFill>
              <w14:solidFill>
                <w14:schemeClr w14:val="tx1"/>
              </w14:solidFill>
            </w14:textFill>
          </w:rPr>
          <m:t>h-2</m:t>
        </m:r>
        <m:sSub>
          <m:sSubPr>
            <m:ctrlPr>
              <w:rPr>
                <w:rFonts w:ascii="Cambria Math" w:hAnsi="Cambria Math" w:cs="Times New Roman"/>
                <w:bCs/>
                <w:iCs/>
                <w:color w:val="000000" w:themeColor="text1"/>
                <w:szCs w:val="20"/>
                <w14:textFill>
                  <w14:solidFill>
                    <w14:schemeClr w14:val="tx1"/>
                  </w14:solidFill>
                </w14:textFill>
              </w:rPr>
            </m:ctrlPr>
          </m:sSubPr>
          <m:e>
            <m:r>
              <m:rPr>
                <m:sty m:val="p"/>
              </m:rPr>
              <w:rPr>
                <w:rFonts w:ascii="Cambria Math" w:hAnsi="Cambria Math" w:cs="Times New Roman"/>
                <w:color w:val="000000" w:themeColor="text1"/>
                <w:szCs w:val="20"/>
                <w14:textFill>
                  <w14:solidFill>
                    <w14:schemeClr w14:val="tx1"/>
                  </w14:solidFill>
                </w14:textFill>
              </w:rPr>
              <m:t>t</m:t>
            </m:r>
            <m:ctrlPr>
              <w:rPr>
                <w:rFonts w:ascii="Cambria Math" w:hAnsi="Cambria Math" w:cs="Times New Roman"/>
                <w:bCs/>
                <w:iCs/>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f</m:t>
            </m:r>
            <m:ctrlPr>
              <w:rPr>
                <w:rFonts w:ascii="Cambria Math" w:hAnsi="Cambria Math" w:cs="Times New Roman"/>
                <w:bCs/>
                <w:iCs/>
                <w:color w:val="000000" w:themeColor="text1"/>
                <w:szCs w:val="20"/>
                <w14:textFill>
                  <w14:solidFill>
                    <w14:schemeClr w14:val="tx1"/>
                  </w14:solidFill>
                </w14:textFill>
              </w:rPr>
            </m:ctrlPr>
          </m:sub>
        </m:sSub>
        <m:r>
          <m:rPr>
            <m:sty m:val="p"/>
          </m:rPr>
          <w:rPr>
            <w:rFonts w:hint="eastAsia" w:ascii="Cambria Math" w:hAnsi="Cambria Math" w:cs="Times New Roman"/>
            <w:color w:val="000000" w:themeColor="text1"/>
            <w:szCs w:val="20"/>
            <w14:textFill>
              <w14:solidFill>
                <w14:schemeClr w14:val="tx1"/>
              </w14:solidFill>
            </w14:textFill>
          </w:rPr>
          <m:t>）</m:t>
        </m:r>
        <m:sSub>
          <m:sSubPr>
            <m:ctrlPr>
              <w:rPr>
                <w:rFonts w:ascii="Cambria Math" w:hAnsi="Cambria Math" w:cs="Times New Roman"/>
                <w:bCs/>
                <w:iCs/>
                <w:color w:val="000000" w:themeColor="text1"/>
                <w:szCs w:val="20"/>
                <w14:textFill>
                  <w14:solidFill>
                    <w14:schemeClr w14:val="tx1"/>
                  </w14:solidFill>
                </w14:textFill>
              </w:rPr>
            </m:ctrlPr>
          </m:sSubPr>
          <m:e>
            <m:r>
              <m:rPr>
                <m:sty m:val="p"/>
              </m:rPr>
              <w:rPr>
                <w:rFonts w:ascii="Cambria Math" w:hAnsi="Cambria Math" w:cs="Times New Roman"/>
                <w:color w:val="000000" w:themeColor="text1"/>
                <w:szCs w:val="20"/>
                <w14:textFill>
                  <w14:solidFill>
                    <w14:schemeClr w14:val="tx1"/>
                  </w14:solidFill>
                </w14:textFill>
              </w:rPr>
              <m:t>t</m:t>
            </m:r>
            <m:ctrlPr>
              <w:rPr>
                <w:rFonts w:ascii="Cambria Math" w:hAnsi="Cambria Math" w:cs="Times New Roman"/>
                <w:bCs/>
                <w:iCs/>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w</m:t>
            </m:r>
            <m:ctrlPr>
              <w:rPr>
                <w:rFonts w:ascii="Cambria Math" w:hAnsi="Cambria Math" w:cs="Times New Roman"/>
                <w:bCs/>
                <w:iCs/>
                <w:color w:val="000000" w:themeColor="text1"/>
                <w:szCs w:val="20"/>
                <w14:textFill>
                  <w14:solidFill>
                    <w14:schemeClr w14:val="tx1"/>
                  </w14:solidFill>
                </w14:textFill>
              </w:rPr>
            </m:ctrlPr>
          </m:sub>
        </m:sSub>
      </m:oMath>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（9</w:t>
      </w:r>
      <w:r>
        <w:rPr>
          <w:bCs/>
          <w:color w:val="000000" w:themeColor="text1"/>
          <w14:textFill>
            <w14:solidFill>
              <w14:schemeClr w14:val="tx1"/>
            </w14:solidFill>
          </w14:textFill>
        </w:rPr>
        <w:t>.2.11-3</w:t>
      </w:r>
      <w:r>
        <w:rPr>
          <w:rFonts w:hint="eastAsia"/>
          <w:bCs/>
          <w:color w:val="000000" w:themeColor="text1"/>
          <w14:textFill>
            <w14:solidFill>
              <w14:schemeClr w14:val="tx1"/>
            </w14:solidFill>
          </w14:textFill>
        </w:rPr>
        <w:t>）</w:t>
      </w:r>
    </w:p>
    <w:p>
      <w:pPr>
        <w:spacing w:line="360" w:lineRule="auto"/>
        <w:ind w:firstLine="420"/>
        <w:jc w:val="right"/>
        <w:rPr>
          <w:bCs/>
          <w:color w:val="000000" w:themeColor="text1"/>
          <w14:textFill>
            <w14:solidFill>
              <w14:schemeClr w14:val="tx1"/>
            </w14:solidFill>
          </w14:textFill>
        </w:rPr>
      </w:pPr>
      <m:oMath>
        <m:sSub>
          <m:sSubPr>
            <m:ctrlPr>
              <w:rPr>
                <w:rFonts w:ascii="Cambria Math" w:hAnsi="Cambria Math"/>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M</m:t>
            </m:r>
            <m:ctrlPr>
              <w:rPr>
                <w:rFonts w:ascii="Cambria Math" w:hAnsi="Cambria Math"/>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pL</m:t>
            </m:r>
            <m:ctrlPr>
              <w:rPr>
                <w:rFonts w:ascii="Cambria Math" w:hAnsi="Cambria Math"/>
                <w:bCs/>
                <w:i/>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m:t>
        </m:r>
        <m:sSub>
          <m:sSubPr>
            <m:ctrlPr>
              <w:rPr>
                <w:rFonts w:ascii="Cambria Math" w:hAnsi="Cambria Math"/>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W</m:t>
            </m:r>
            <m:ctrlPr>
              <w:rPr>
                <w:rFonts w:ascii="Cambria Math" w:hAnsi="Cambria Math"/>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pL</m:t>
            </m:r>
            <m:ctrlPr>
              <w:rPr>
                <w:rFonts w:ascii="Cambria Math" w:hAnsi="Cambria Math"/>
                <w:bCs/>
                <w:i/>
                <w:color w:val="000000" w:themeColor="text1"/>
                <w:kern w:val="0"/>
                <w:szCs w:val="21"/>
                <w14:textFill>
                  <w14:solidFill>
                    <w14:schemeClr w14:val="tx1"/>
                  </w14:solidFill>
                </w14:textFill>
              </w:rPr>
            </m:ctrlPr>
          </m:sub>
        </m:sSub>
        <m:sSub>
          <w:bookmarkStart w:id="195" w:name="_Hlk24013840"/>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w:bookmarkEnd w:id="195"/>
            <m:ctrlPr>
              <w:rPr>
                <w:rFonts w:ascii="Cambria Math" w:hAnsi="Cambria Math"/>
                <w:bCs/>
                <w:i/>
                <w:color w:val="000000" w:themeColor="text1"/>
                <w:szCs w:val="21"/>
                <w14:textFill>
                  <w14:solidFill>
                    <w14:schemeClr w14:val="tx1"/>
                  </w14:solidFill>
                </w14:textFill>
              </w:rPr>
            </m:ctrlPr>
          </m:sub>
        </m:sSub>
      </m:oMath>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（9</w:t>
      </w:r>
      <w:r>
        <w:rPr>
          <w:bCs/>
          <w:color w:val="000000" w:themeColor="text1"/>
          <w14:textFill>
            <w14:solidFill>
              <w14:schemeClr w14:val="tx1"/>
            </w14:solidFill>
          </w14:textFill>
        </w:rPr>
        <w:t>.2.11-4</w:t>
      </w:r>
      <w:r>
        <w:rPr>
          <w:rFonts w:hint="eastAsia"/>
          <w:bCs/>
          <w:color w:val="000000" w:themeColor="text1"/>
          <w14:textFill>
            <w14:solidFill>
              <w14:schemeClr w14:val="tx1"/>
            </w14:solidFill>
          </w14:textFill>
        </w:rPr>
        <w:t>）</w:t>
      </w:r>
    </w:p>
    <w:p>
      <w:pPr>
        <w:spacing w:after="156" w:afterLines="50" w:line="400" w:lineRule="exact"/>
        <w:ind w:left="420" w:firstLine="630" w:firstLineChars="300"/>
        <w:rPr>
          <w:rFonts w:cs="Times New Roman"/>
          <w:bCs/>
          <w:color w:val="000000" w:themeColor="text1"/>
          <w:szCs w:val="21"/>
          <w14:textFill>
            <w14:solidFill>
              <w14:schemeClr w14:val="tx1"/>
            </w14:solidFill>
          </w14:textFill>
        </w:rPr>
      </w:pPr>
      <m:oMath>
        <m:r>
          <w:rPr>
            <w:rFonts w:ascii="Cambria Math" w:hAnsi="Cambria Math" w:cs="Times New Roman"/>
            <w:color w:val="000000" w:themeColor="text1"/>
            <w:szCs w:val="24"/>
            <w14:textFill>
              <w14:solidFill>
                <w14:schemeClr w14:val="tx1"/>
              </w14:solidFill>
            </w14:textFill>
          </w:rPr>
          <m:t>N/</m:t>
        </m:r>
        <m:r>
          <m:rPr>
            <m:sty m:val="p"/>
          </m:rPr>
          <w:rPr>
            <w:rFonts w:hint="eastAsia" w:ascii="Cambria Math" w:hAnsi="Cambria Math" w:cs="Times New Roman"/>
            <w:color w:val="000000" w:themeColor="text1"/>
            <w:szCs w:val="24"/>
            <w14:textFill>
              <w14:solidFill>
                <w14:schemeClr w14:val="tx1"/>
              </w14:solidFill>
            </w14:textFill>
          </w:rPr>
          <m:t>（</m:t>
        </m:r>
        <m:r>
          <m:rPr>
            <m:sty m:val="p"/>
          </m:rPr>
          <w:rPr>
            <w:rFonts w:ascii="Cambria Math" w:hAnsi="Cambria Math" w:cs="Times New Roman"/>
            <w:color w:val="000000" w:themeColor="text1"/>
            <w:szCs w:val="24"/>
            <w14:textFill>
              <w14:solidFill>
                <w14:schemeClr w14:val="tx1"/>
              </w14:solidFill>
            </w14:textFill>
          </w:rPr>
          <m:t>A</m:t>
        </m:r>
        <m:sSub>
          <m:sSubPr>
            <m:ctrlPr>
              <w:rPr>
                <w:rFonts w:ascii="Cambria Math" w:hAnsi="Cambria Math"/>
                <w:bCs/>
                <w:iCs/>
                <w:color w:val="000000" w:themeColor="text1"/>
                <w:szCs w:val="21"/>
                <w14:textFill>
                  <w14:solidFill>
                    <w14:schemeClr w14:val="tx1"/>
                  </w14:solidFill>
                </w14:textFill>
              </w:rPr>
            </m:ctrlPr>
          </m:sSubPr>
          <m:e>
            <m:r>
              <m:rPr>
                <m:sty m:val="p"/>
              </m:rP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bCs/>
                <w:iCs/>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bCs/>
                <w:iCs/>
                <w:color w:val="000000" w:themeColor="text1"/>
                <w:szCs w:val="21"/>
                <w14:textFill>
                  <w14:solidFill>
                    <w14:schemeClr w14:val="tx1"/>
                  </w14:solidFill>
                </w14:textFill>
              </w:rPr>
            </m:ctrlPr>
          </m:sub>
        </m:sSub>
        <m:r>
          <m:rPr>
            <m:sty m:val="p"/>
          </m:rPr>
          <w:rPr>
            <w:rFonts w:hint="eastAsia" w:ascii="Cambria Math" w:hAnsi="Cambria Math" w:cs="Times New Roman"/>
            <w:color w:val="000000" w:themeColor="text1"/>
            <w:szCs w:val="24"/>
            <w14:textFill>
              <w14:solidFill>
                <w14:schemeClr w14:val="tx1"/>
              </w14:solidFill>
            </w14:textFill>
          </w:rPr>
          <m:t>）＞</m:t>
        </m:r>
        <m:r>
          <w:rPr>
            <w:rFonts w:ascii="Cambria Math" w:hAnsi="Cambria Math" w:cs="Times New Roman"/>
            <w:color w:val="000000" w:themeColor="text1"/>
            <w:szCs w:val="24"/>
            <w14:textFill>
              <w14:solidFill>
                <w14:schemeClr w14:val="tx1"/>
              </w14:solidFill>
            </w14:textFill>
          </w:rPr>
          <m:t>0.15</m:t>
        </m:r>
      </m:oMath>
      <w:r>
        <w:rPr>
          <w:rFonts w:hint="eastAsia" w:cs="Times New Roman"/>
          <w:bCs/>
          <w:color w:val="000000" w:themeColor="text1"/>
          <w:szCs w:val="24"/>
          <w14:textFill>
            <w14:solidFill>
              <w14:schemeClr w14:val="tx1"/>
            </w14:solidFill>
          </w14:textFill>
        </w:rPr>
        <w:t>：</w:t>
      </w:r>
    </w:p>
    <w:p>
      <w:pPr>
        <w:wordWrap w:val="0"/>
        <w:spacing w:line="360" w:lineRule="auto"/>
        <w:ind w:firstLine="420"/>
        <w:jc w:val="right"/>
        <w:rPr>
          <w:bCs/>
          <w:color w:val="000000" w:themeColor="text1"/>
          <w:szCs w:val="20"/>
          <w14:textFill>
            <w14:solidFill>
              <w14:schemeClr w14:val="tx1"/>
            </w14:solidFill>
          </w14:textFill>
        </w:rPr>
      </w:pPr>
      <w:r>
        <w:rPr>
          <w:bCs/>
          <w:color w:val="000000" w:themeColor="text1"/>
          <w14:textFill>
            <w14:solidFill>
              <w14:schemeClr w14:val="tx1"/>
            </w14:solidFill>
          </w14:textFill>
        </w:rPr>
        <w:t xml:space="preserve">       </w:t>
      </w:r>
      <w:r>
        <w:rPr>
          <w:rFonts w:cs="Times New Roman"/>
          <w:bCs/>
          <w:color w:val="000000" w:themeColor="text1"/>
          <w:szCs w:val="20"/>
          <w14:textFill>
            <w14:solidFill>
              <w14:schemeClr w14:val="tx1"/>
            </w14:solidFill>
          </w14:textFill>
        </w:rPr>
        <w:object>
          <v:shape id="_x0000_i1054" o:spt="75" type="#_x0000_t75" style="height:15.5pt;width:11pt;" o:ole="t" filled="f" o:preferrelative="t" stroked="f" coordsize="21600,21600">
            <v:path/>
            <v:fill on="f" focussize="0,0"/>
            <v:stroke on="f" joinstyle="miter"/>
            <v:imagedata r:id="rId117" o:title=""/>
            <o:lock v:ext="edit" aspectratio="t"/>
            <w10:wrap type="none"/>
            <w10:anchorlock/>
          </v:shape>
          <o:OLEObject Type="Embed" ProgID="Equation.3" ShapeID="_x0000_i1054" DrawAspect="Content" ObjectID="_1468075754" r:id="rId116">
            <o:LockedField>false</o:LockedField>
          </o:OLEObject>
        </w:object>
      </w:r>
      <w:r>
        <w:rPr>
          <w:bCs/>
          <w:color w:val="000000" w:themeColor="text1"/>
          <w14:textFill>
            <w14:solidFill>
              <w14:schemeClr w14:val="tx1"/>
            </w14:solidFill>
          </w14:textFill>
        </w:rPr>
        <w:t xml:space="preserve"> </w:t>
      </w:r>
      <m:oMath>
        <m:r>
          <w:rPr>
            <w:rFonts w:ascii="Cambria Math" w:hAnsi="Cambria Math"/>
            <w:color w:val="000000" w:themeColor="text1"/>
            <w14:textFill>
              <w14:solidFill>
                <w14:schemeClr w14:val="tx1"/>
              </w14:solidFill>
            </w14:textFill>
          </w:rPr>
          <m:t>V≤0.9</m:t>
        </m:r>
        <m:sSub>
          <m:sSubPr>
            <m:ctrlPr>
              <w:rPr>
                <w:rFonts w:ascii="Cambria Math" w:hAnsi="Cambria Math"/>
                <w:bCs/>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V</m:t>
            </m:r>
            <m:ctrlPr>
              <w:rPr>
                <w:rFonts w:ascii="Cambria Math" w:hAnsi="Cambria Math"/>
                <w:bCs/>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Lc</m:t>
            </m:r>
            <m:ctrlPr>
              <w:rPr>
                <w:rFonts w:ascii="Cambria Math" w:hAnsi="Cambria Math"/>
                <w:bCs/>
                <w:i/>
                <w:color w:val="000000" w:themeColor="text1"/>
                <w14:textFill>
                  <w14:solidFill>
                    <w14:schemeClr w14:val="tx1"/>
                  </w14:solidFill>
                </w14:textFill>
              </w:rPr>
            </m:ctrlPr>
          </m:sub>
        </m:sSub>
        <m:r>
          <w:rPr>
            <w:rFonts w:ascii="Cambria Math" w:hAnsi="Cambria Math"/>
            <w:color w:val="000000" w:themeColor="text1"/>
            <w14:textFill>
              <w14:solidFill>
                <w14:schemeClr w14:val="tx1"/>
              </w14:solidFill>
            </w14:textFill>
          </w:rPr>
          <m:t>/</m:t>
        </m:r>
        <m:sSub>
          <m:sSubPr>
            <m:ctrlPr>
              <w:rPr>
                <w:rFonts w:ascii="Cambria Math" w:hAnsi="Cambria Math"/>
                <w:bCs/>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γ</m:t>
            </m:r>
            <m:ctrlPr>
              <w:rPr>
                <w:rFonts w:ascii="Cambria Math" w:hAnsi="Cambria Math"/>
                <w:bCs/>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RE</m:t>
            </m:r>
            <m:ctrlPr>
              <w:rPr>
                <w:rFonts w:ascii="Cambria Math" w:hAnsi="Cambria Math"/>
                <w:bCs/>
                <w:i/>
                <w:color w:val="000000" w:themeColor="text1"/>
                <w14:textFill>
                  <w14:solidFill>
                    <w14:schemeClr w14:val="tx1"/>
                  </w14:solidFill>
                </w14:textFill>
              </w:rPr>
            </m:ctrlPr>
          </m:sub>
        </m:sSub>
      </m:oMath>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（9</w:t>
      </w:r>
      <w:r>
        <w:rPr>
          <w:bCs/>
          <w:color w:val="000000" w:themeColor="text1"/>
          <w14:textFill>
            <w14:solidFill>
              <w14:schemeClr w14:val="tx1"/>
            </w14:solidFill>
          </w14:textFill>
        </w:rPr>
        <w:t>.2.11-5</w:t>
      </w:r>
      <w:r>
        <w:rPr>
          <w:rFonts w:hint="eastAsia"/>
          <w:bCs/>
          <w:color w:val="000000" w:themeColor="text1"/>
          <w14:textFill>
            <w14:solidFill>
              <w14:schemeClr w14:val="tx1"/>
            </w14:solidFill>
          </w14:textFill>
        </w:rPr>
        <w:t>）</w:t>
      </w:r>
    </w:p>
    <w:p>
      <w:pPr>
        <w:spacing w:line="360" w:lineRule="auto"/>
        <w:ind w:firstLine="420"/>
        <w:jc w:val="right"/>
        <w:rPr>
          <w:bCs/>
          <w:color w:val="000000" w:themeColor="text1"/>
          <w14:textFill>
            <w14:solidFill>
              <w14:schemeClr w14:val="tx1"/>
            </w14:solidFill>
          </w14:textFill>
        </w:rPr>
      </w:pPr>
      <m:oMath>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V</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L,N</m:t>
            </m:r>
            <m:ctrlPr>
              <w:rPr>
                <w:rFonts w:ascii="Cambria Math" w:hAnsi="Cambria Math" w:cs="Times New Roman"/>
                <w:bCs/>
                <w:i/>
                <w:color w:val="000000" w:themeColor="text1"/>
                <w:szCs w:val="20"/>
                <w14:textFill>
                  <w14:solidFill>
                    <w14:schemeClr w14:val="tx1"/>
                  </w14:solidFill>
                </w14:textFill>
              </w:rPr>
            </m:ctrlPr>
          </m:sub>
        </m:sSub>
        <m:r>
          <w:rPr>
            <w:rFonts w:ascii="Cambria Math" w:hAnsi="Cambria Math" w:cs="Times New Roman"/>
            <w:color w:val="000000" w:themeColor="text1"/>
            <w:szCs w:val="20"/>
            <w14:textFill>
              <w14:solidFill>
                <w14:schemeClr w14:val="tx1"/>
              </w14:solidFill>
            </w14:textFill>
          </w:rPr>
          <m:t>=min</m:t>
        </m:r>
        <m:d>
          <m:dPr>
            <m:begChr m:val="{"/>
            <m:endChr m:val="}"/>
            <m:ctrlPr>
              <w:rPr>
                <w:rFonts w:ascii="Cambria Math" w:hAnsi="Cambria Math" w:cs="Times New Roman"/>
                <w:bCs/>
                <w:i/>
                <w:color w:val="000000" w:themeColor="text1"/>
                <w:szCs w:val="20"/>
                <w14:textFill>
                  <w14:solidFill>
                    <w14:schemeClr w14:val="tx1"/>
                  </w14:solidFill>
                </w14:textFill>
              </w:rPr>
            </m:ctrlPr>
          </m:dPr>
          <m:e>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A</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w</m:t>
                </m:r>
                <m:ctrlPr>
                  <w:rPr>
                    <w:rFonts w:ascii="Cambria Math" w:hAnsi="Cambria Math" w:cs="Times New Roman"/>
                    <w:bCs/>
                    <w:i/>
                    <w:color w:val="000000" w:themeColor="text1"/>
                    <w:szCs w:val="20"/>
                    <w14:textFill>
                      <w14:solidFill>
                        <w14:schemeClr w14:val="tx1"/>
                      </w14:solidFill>
                    </w14:textFill>
                  </w:rPr>
                </m:ctrlPr>
              </m:sub>
            </m:sSub>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yv</m:t>
                </m:r>
                <m:ctrlPr>
                  <w:rPr>
                    <w:rFonts w:ascii="Cambria Math" w:hAnsi="Cambria Math"/>
                    <w:bCs/>
                    <w:i/>
                    <w:color w:val="000000" w:themeColor="text1"/>
                    <w:szCs w:val="21"/>
                    <w14:textFill>
                      <w14:solidFill>
                        <w14:schemeClr w14:val="tx1"/>
                      </w14:solidFill>
                    </w14:textFill>
                  </w:rPr>
                </m:ctrlPr>
              </m:sub>
            </m:sSub>
            <m:rad>
              <m:radPr>
                <m:degHide m:val="1"/>
                <m:ctrlPr>
                  <w:rPr>
                    <w:rFonts w:ascii="Cambria Math" w:hAnsi="Cambria Math"/>
                    <w:i/>
                    <w:color w:val="000000" w:themeColor="text1"/>
                    <w:szCs w:val="21"/>
                    <w14:textFill>
                      <w14:solidFill>
                        <w14:schemeClr w14:val="tx1"/>
                      </w14:solidFill>
                    </w14:textFill>
                  </w:rPr>
                </m:ctrlPr>
              </m:radPr>
              <m:deg>
                <m:ctrlPr>
                  <w:rPr>
                    <w:rFonts w:ascii="Cambria Math" w:hAnsi="Cambria Math"/>
                    <w:i/>
                    <w:color w:val="000000" w:themeColor="text1"/>
                    <w:szCs w:val="21"/>
                    <w14:textFill>
                      <w14:solidFill>
                        <w14:schemeClr w14:val="tx1"/>
                      </w14:solidFill>
                    </w14:textFill>
                  </w:rPr>
                </m:ctrlPr>
              </m:deg>
              <m:e>
                <m:r>
                  <w:rPr>
                    <w:rFonts w:ascii="Cambria Math" w:hAnsi="Cambria Math"/>
                    <w:color w:val="000000" w:themeColor="text1"/>
                    <w:szCs w:val="21"/>
                    <w14:textFill>
                      <w14:solidFill>
                        <w14:schemeClr w14:val="tx1"/>
                      </w14:solidFill>
                    </w14:textFill>
                  </w:rPr>
                  <m:t>1-</m:t>
                </m:r>
                <m:sSup>
                  <m:sSupPr>
                    <m:ctrlPr>
                      <w:rPr>
                        <w:rFonts w:ascii="Cambria Math" w:hAnsi="Cambria Math"/>
                        <w:bCs/>
                        <w:i/>
                        <w:color w:val="000000" w:themeColor="text1"/>
                        <w:szCs w:val="21"/>
                        <w14:textFill>
                          <w14:solidFill>
                            <w14:schemeClr w14:val="tx1"/>
                          </w14:solidFill>
                        </w14:textFill>
                      </w:rPr>
                    </m:ctrlPr>
                  </m:sSupPr>
                  <m:e>
                    <m:d>
                      <m:dPr>
                        <m:begChr m:val="["/>
                        <m:endChr m:val="]"/>
                        <m:ctrlPr>
                          <w:rPr>
                            <w:rFonts w:ascii="Cambria Math" w:hAnsi="Cambria Math"/>
                            <w:bCs/>
                            <w:i/>
                            <w:color w:val="000000" w:themeColor="text1"/>
                            <w:szCs w:val="21"/>
                            <w14:textFill>
                              <w14:solidFill>
                                <w14:schemeClr w14:val="tx1"/>
                              </w14:solidFill>
                            </w14:textFill>
                          </w:rPr>
                        </m:ctrlPr>
                      </m:dPr>
                      <m:e>
                        <m:r>
                          <w:rPr>
                            <w:rFonts w:ascii="Cambria Math" w:hAnsi="Cambria Math"/>
                            <w:color w:val="000000" w:themeColor="text1"/>
                            <w:szCs w:val="21"/>
                            <w14:textFill>
                              <w14:solidFill>
                                <w14:schemeClr w14:val="tx1"/>
                              </w14:solidFill>
                            </w14:textFill>
                          </w:rPr>
                          <m:t>N/</m:t>
                        </m:r>
                        <m:r>
                          <w:rPr>
                            <w:rFonts w:hint="eastAsia" w:ascii="Cambria Math" w:hAnsi="Cambria Math"/>
                            <w:color w:val="000000" w:themeColor="text1"/>
                            <w:szCs w:val="21"/>
                            <w14:textFill>
                              <w14:solidFill>
                                <w14:schemeClr w14:val="tx1"/>
                              </w14:solidFill>
                            </w14:textFill>
                          </w:rPr>
                          <m:t>（</m:t>
                        </m:r>
                        <m:r>
                          <w:rPr>
                            <w:rFonts w:ascii="Cambria Math" w:hAnsi="Cambria Math"/>
                            <w:color w:val="000000" w:themeColor="text1"/>
                            <w:szCs w:val="21"/>
                            <w14:textFill>
                              <w14:solidFill>
                                <w14:schemeClr w14:val="tx1"/>
                              </w14:solidFill>
                            </w14:textFill>
                          </w:rPr>
                          <m:t>A</m:t>
                        </m:r>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hint="eastAsia" w:ascii="Cambria Math" w:hAnsi="Cambria Math"/>
                            <w:color w:val="000000" w:themeColor="text1"/>
                            <w:szCs w:val="21"/>
                            <w14:textFill>
                              <w14:solidFill>
                                <w14:schemeClr w14:val="tx1"/>
                              </w14:solidFill>
                            </w14:textFill>
                          </w:rPr>
                          <m:t>）</m:t>
                        </m:r>
                        <m:ctrlPr>
                          <w:rPr>
                            <w:rFonts w:ascii="Cambria Math" w:hAnsi="Cambria Math"/>
                            <w:bCs/>
                            <w:i/>
                            <w:color w:val="000000" w:themeColor="text1"/>
                            <w:szCs w:val="21"/>
                            <w14:textFill>
                              <w14:solidFill>
                                <w14:schemeClr w14:val="tx1"/>
                              </w14:solidFill>
                            </w14:textFill>
                          </w:rPr>
                        </m:ctrlPr>
                      </m:e>
                    </m:d>
                    <m:ctrlPr>
                      <w:rPr>
                        <w:rFonts w:ascii="Cambria Math" w:hAnsi="Cambria Math"/>
                        <w:bCs/>
                        <w:i/>
                        <w:color w:val="000000" w:themeColor="text1"/>
                        <w:szCs w:val="21"/>
                        <w14:textFill>
                          <w14:solidFill>
                            <w14:schemeClr w14:val="tx1"/>
                          </w14:solidFill>
                        </w14:textFill>
                      </w:rPr>
                    </m:ctrlPr>
                  </m:e>
                  <m:sup>
                    <m:r>
                      <w:rPr>
                        <w:rFonts w:ascii="Cambria Math" w:hAnsi="Cambria Math"/>
                        <w:color w:val="000000" w:themeColor="text1"/>
                        <w:szCs w:val="21"/>
                        <w14:textFill>
                          <w14:solidFill>
                            <w14:schemeClr w14:val="tx1"/>
                          </w14:solidFill>
                        </w14:textFill>
                      </w:rPr>
                      <m:t>2</m:t>
                    </m:r>
                    <m:ctrlPr>
                      <w:rPr>
                        <w:rFonts w:ascii="Cambria Math" w:hAnsi="Cambria Math"/>
                        <w:bCs/>
                        <w:i/>
                        <w:color w:val="000000" w:themeColor="text1"/>
                        <w:szCs w:val="21"/>
                        <w14:textFill>
                          <w14:solidFill>
                            <w14:schemeClr w14:val="tx1"/>
                          </w14:solidFill>
                        </w14:textFill>
                      </w:rPr>
                    </m:ctrlPr>
                  </m:sup>
                </m:sSup>
                <m:ctrlPr>
                  <w:rPr>
                    <w:rFonts w:ascii="Cambria Math" w:hAnsi="Cambria Math"/>
                    <w:i/>
                    <w:color w:val="000000" w:themeColor="text1"/>
                    <w:szCs w:val="21"/>
                    <w14:textFill>
                      <w14:solidFill>
                        <w14:schemeClr w14:val="tx1"/>
                      </w14:solidFill>
                    </w14:textFill>
                  </w:rPr>
                </m:ctrlPr>
              </m:e>
            </m:rad>
            <m:r>
              <w:rPr>
                <w:rFonts w:hint="eastAsia" w:ascii="Cambria Math" w:hAnsi="Cambria Math"/>
                <w:color w:val="000000" w:themeColor="text1"/>
                <w:szCs w:val="21"/>
                <w14:textFill>
                  <w14:solidFill>
                    <w14:schemeClr w14:val="tx1"/>
                  </w14:solidFill>
                </w14:textFill>
              </w:rPr>
              <m:t>，</m:t>
            </m:r>
            <m:r>
              <w:rPr>
                <w:rFonts w:ascii="Cambria Math" w:hAnsi="Cambria Math"/>
                <w:color w:val="000000" w:themeColor="text1"/>
                <w:szCs w:val="21"/>
                <w14:textFill>
                  <w14:solidFill>
                    <w14:schemeClr w14:val="tx1"/>
                  </w14:solidFill>
                </w14:textFill>
              </w:rPr>
              <m:t>2.4</m:t>
            </m:r>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M</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LP</m:t>
                </m:r>
                <m:ctrlPr>
                  <w:rPr>
                    <w:rFonts w:ascii="Cambria Math" w:hAnsi="Cambria Math"/>
                    <w:bCs/>
                    <w:i/>
                    <w:color w:val="000000" w:themeColor="text1"/>
                    <w:szCs w:val="21"/>
                    <w14:textFill>
                      <w14:solidFill>
                        <w14:schemeClr w14:val="tx1"/>
                      </w14:solidFill>
                    </w14:textFill>
                  </w:rPr>
                </m:ctrlPr>
              </m:sub>
            </m:sSub>
            <m:d>
              <m:dPr>
                <m:begChr m:val="["/>
                <m:endChr m:val="]"/>
                <m:ctrlPr>
                  <w:rPr>
                    <w:rFonts w:ascii="Cambria Math" w:hAnsi="Cambria Math"/>
                    <w:i/>
                    <w:color w:val="000000" w:themeColor="text1"/>
                    <w14:textFill>
                      <w14:solidFill>
                        <w14:schemeClr w14:val="tx1"/>
                      </w14:solidFill>
                    </w14:textFill>
                  </w:rPr>
                </m:ctrlPr>
              </m:dPr>
              <m:e>
                <m:r>
                  <w:rPr>
                    <w:rFonts w:ascii="Cambria Math" w:hAnsi="Cambria Math"/>
                    <w:color w:val="000000" w:themeColor="text1"/>
                    <w14:textFill>
                      <w14:solidFill>
                        <w14:schemeClr w14:val="tx1"/>
                      </w14:solidFill>
                    </w14:textFill>
                  </w:rPr>
                  <m:t>1-N/（A</m:t>
                </m:r>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ctrlPr>
                  <w:rPr>
                    <w:rFonts w:ascii="Cambria Math" w:hAnsi="Cambria Math"/>
                    <w:i/>
                    <w:color w:val="000000" w:themeColor="text1"/>
                    <w14:textFill>
                      <w14:solidFill>
                        <w14:schemeClr w14:val="tx1"/>
                      </w14:solidFill>
                    </w14:textFill>
                  </w:rPr>
                </m:ctrlPr>
              </m:e>
            </m:d>
            <m:r>
              <w:rPr>
                <w:rFonts w:ascii="Cambria Math" w:hAnsi="Cambria Math"/>
                <w:color w:val="000000" w:themeColor="text1"/>
                <w:szCs w:val="21"/>
                <w14:textFill>
                  <w14:solidFill>
                    <w14:schemeClr w14:val="tx1"/>
                  </w14:solidFill>
                </w14:textFill>
              </w:rPr>
              <m:t>/a</m:t>
            </m:r>
            <m:ctrlPr>
              <w:rPr>
                <w:rFonts w:ascii="Cambria Math" w:hAnsi="Cambria Math" w:cs="Times New Roman"/>
                <w:bCs/>
                <w:i/>
                <w:color w:val="000000" w:themeColor="text1"/>
                <w:szCs w:val="20"/>
                <w14:textFill>
                  <w14:solidFill>
                    <w14:schemeClr w14:val="tx1"/>
                  </w14:solidFill>
                </w14:textFill>
              </w:rPr>
            </m:ctrlPr>
          </m:e>
        </m:d>
      </m:oMath>
      <w:r>
        <w:rPr>
          <w:rFonts w:hint="eastAsia"/>
          <w:bCs/>
          <w:color w:val="000000" w:themeColor="text1"/>
          <w:szCs w:val="20"/>
          <w14:textFill>
            <w14:solidFill>
              <w14:schemeClr w14:val="tx1"/>
            </w14:solidFill>
          </w14:textFill>
        </w:rPr>
        <w:t>（9</w:t>
      </w:r>
      <w:r>
        <w:rPr>
          <w:bCs/>
          <w:color w:val="000000" w:themeColor="text1"/>
          <w:szCs w:val="20"/>
          <w14:textFill>
            <w14:solidFill>
              <w14:schemeClr w14:val="tx1"/>
            </w14:solidFill>
          </w14:textFill>
        </w:rPr>
        <w:t>.2.11-6</w:t>
      </w:r>
      <w:r>
        <w:rPr>
          <w:rFonts w:hint="eastAsia"/>
          <w:bCs/>
          <w:color w:val="000000" w:themeColor="text1"/>
          <w:szCs w:val="20"/>
          <w14:textFill>
            <w14:solidFill>
              <w14:schemeClr w14:val="tx1"/>
            </w14:solidFill>
          </w14:textFill>
        </w:rPr>
        <w:t>）</w:t>
      </w:r>
    </w:p>
    <w:p>
      <w:pPr>
        <w:autoSpaceDE w:val="0"/>
        <w:autoSpaceDN w:val="0"/>
        <w:spacing w:line="400" w:lineRule="exact"/>
        <w:ind w:firstLine="0" w:firstLineChars="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式中：</w:t>
      </w:r>
      <w:r>
        <w:rPr>
          <w:bCs/>
          <w:color w:val="000000" w:themeColor="text1"/>
          <w14:textFill>
            <w14:solidFill>
              <w14:schemeClr w14:val="tx1"/>
            </w14:solidFill>
          </w14:textFill>
        </w:rPr>
        <w:t>N</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V——</w:t>
      </w:r>
      <w:r>
        <w:rPr>
          <w:rFonts w:hint="eastAsia"/>
          <w:bCs/>
          <w:color w:val="000000" w:themeColor="text1"/>
          <w14:textFill>
            <w14:solidFill>
              <w14:schemeClr w14:val="tx1"/>
            </w14:solidFill>
          </w14:textFill>
        </w:rPr>
        <w:t>分别为耗能连梁的轴力和剪力设计值；</w:t>
      </w:r>
    </w:p>
    <w:p>
      <w:pPr>
        <w:spacing w:line="400" w:lineRule="exact"/>
        <w:ind w:firstLine="619" w:firstLineChars="295"/>
        <w:rPr>
          <w:bCs/>
          <w:color w:val="000000" w:themeColor="text1"/>
          <w14:textFill>
            <w14:solidFill>
              <w14:schemeClr w14:val="tx1"/>
            </w14:solidFill>
          </w14:textFill>
        </w:rPr>
      </w:pPr>
      <w:r>
        <w:rPr>
          <w:bCs/>
          <w:color w:val="000000" w:themeColor="text1"/>
          <w14:textFill>
            <w14:solidFill>
              <w14:schemeClr w14:val="tx1"/>
            </w14:solidFill>
          </w14:textFill>
        </w:rPr>
        <w:t>V</w:t>
      </w:r>
      <w:r>
        <w:rPr>
          <w:bCs/>
          <w:color w:val="000000" w:themeColor="text1"/>
          <w:vertAlign w:val="subscript"/>
          <w14:textFill>
            <w14:solidFill>
              <w14:schemeClr w14:val="tx1"/>
            </w14:solidFill>
          </w14:textFill>
        </w:rPr>
        <w:t>L</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V</w:t>
      </w:r>
      <w:r>
        <w:rPr>
          <w:bCs/>
          <w:color w:val="000000" w:themeColor="text1"/>
          <w:vertAlign w:val="subscript"/>
          <w14:textFill>
            <w14:solidFill>
              <w14:schemeClr w14:val="tx1"/>
            </w14:solidFill>
          </w14:textFill>
        </w:rPr>
        <w:t>L,N</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耗能连梁的受剪承载力和计入轴力作用的受剪承载力，</w:t>
      </w:r>
    </w:p>
    <w:p>
      <w:pPr>
        <w:spacing w:line="400" w:lineRule="exact"/>
        <w:ind w:firstLine="619" w:firstLineChars="295"/>
        <w:rPr>
          <w:bCs/>
          <w:color w:val="000000" w:themeColor="text1"/>
          <w14:textFill>
            <w14:solidFill>
              <w14:schemeClr w14:val="tx1"/>
            </w14:solidFill>
          </w14:textFill>
        </w:rPr>
      </w:pPr>
      <w:r>
        <w:rPr>
          <w:bCs/>
          <w:color w:val="000000" w:themeColor="text1"/>
          <w14:textFill>
            <w14:solidFill>
              <w14:schemeClr w14:val="tx1"/>
            </w14:solidFill>
          </w14:textFill>
        </w:rPr>
        <w:t>M</w:t>
      </w:r>
      <w:r>
        <w:rPr>
          <w:bCs/>
          <w:color w:val="000000" w:themeColor="text1"/>
          <w:vertAlign w:val="subscript"/>
          <w14:textFill>
            <w14:solidFill>
              <w14:schemeClr w14:val="tx1"/>
            </w14:solidFill>
          </w14:textFill>
        </w:rPr>
        <w:t>pL</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耗能连梁的全塑性受弯承载力；</w:t>
      </w:r>
    </w:p>
    <w:p>
      <w:pPr>
        <w:spacing w:line="400" w:lineRule="exact"/>
        <w:ind w:firstLine="619" w:firstLineChars="295"/>
        <w:rPr>
          <w:bCs/>
          <w:color w:val="000000" w:themeColor="text1"/>
          <w14:textFill>
            <w14:solidFill>
              <w14:schemeClr w14:val="tx1"/>
            </w14:solidFill>
          </w14:textFill>
        </w:rPr>
      </w:pPr>
      <w:r>
        <w:rPr>
          <w:bCs/>
          <w:color w:val="000000" w:themeColor="text1"/>
          <w14:textFill>
            <w14:solidFill>
              <w14:schemeClr w14:val="tx1"/>
            </w14:solidFill>
          </w14:textFill>
        </w:rPr>
        <w:t>A</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A</w:t>
      </w:r>
      <w:r>
        <w:rPr>
          <w:bCs/>
          <w:color w:val="000000" w:themeColor="text1"/>
          <w:vertAlign w:val="subscript"/>
          <w14:textFill>
            <w14:solidFill>
              <w14:schemeClr w14:val="tx1"/>
            </w14:solidFill>
          </w14:textFill>
        </w:rPr>
        <w:t>w</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分别为耗能连梁的截面积和腹板截面积；</w:t>
      </w:r>
    </w:p>
    <w:p>
      <w:pPr>
        <w:spacing w:line="400" w:lineRule="exact"/>
        <w:ind w:firstLine="619" w:firstLineChars="295"/>
        <w:rPr>
          <w:bCs/>
          <w:color w:val="000000" w:themeColor="text1"/>
          <w14:textFill>
            <w14:solidFill>
              <w14:schemeClr w14:val="tx1"/>
            </w14:solidFill>
          </w14:textFill>
        </w:rPr>
      </w:pPr>
      <w:r>
        <w:rPr>
          <w:bCs/>
          <w:color w:val="000000" w:themeColor="text1"/>
          <w14:textFill>
            <w14:solidFill>
              <w14:schemeClr w14:val="tx1"/>
            </w14:solidFill>
          </w14:textFill>
        </w:rPr>
        <w:t>W</w:t>
      </w:r>
      <w:r>
        <w:rPr>
          <w:bCs/>
          <w:color w:val="000000" w:themeColor="text1"/>
          <w:vertAlign w:val="subscript"/>
          <w14:textFill>
            <w14:solidFill>
              <w14:schemeClr w14:val="tx1"/>
            </w14:solidFill>
          </w14:textFill>
        </w:rPr>
        <w:t>pL</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耗能连梁的塑性截面模量；</w:t>
      </w:r>
    </w:p>
    <w:p>
      <w:pPr>
        <w:spacing w:line="400" w:lineRule="exact"/>
        <w:ind w:firstLine="619" w:firstLineChars="295"/>
        <w:rPr>
          <w:bCs/>
          <w:color w:val="000000" w:themeColor="text1"/>
          <w14:textFill>
            <w14:solidFill>
              <w14:schemeClr w14:val="tx1"/>
            </w14:solidFill>
          </w14:textFill>
        </w:rPr>
      </w:pPr>
      <w:r>
        <w:rPr>
          <w:bCs/>
          <w:color w:val="000000" w:themeColor="text1"/>
          <w14:textFill>
            <w14:solidFill>
              <w14:schemeClr w14:val="tx1"/>
            </w14:solidFill>
          </w14:textFill>
        </w:rPr>
        <w:t>a</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h——</w:t>
      </w:r>
      <w:r>
        <w:rPr>
          <w:rFonts w:hint="eastAsia"/>
          <w:bCs/>
          <w:color w:val="000000" w:themeColor="text1"/>
          <w14:textFill>
            <w14:solidFill>
              <w14:schemeClr w14:val="tx1"/>
            </w14:solidFill>
          </w14:textFill>
        </w:rPr>
        <w:t>耗能连梁的净长和截面高度；</w:t>
      </w:r>
    </w:p>
    <w:p>
      <w:pPr>
        <w:spacing w:line="400" w:lineRule="exact"/>
        <w:ind w:firstLine="619" w:firstLineChars="295"/>
        <w:rPr>
          <w:bCs/>
          <w:color w:val="000000" w:themeColor="text1"/>
          <w14:textFill>
            <w14:solidFill>
              <w14:schemeClr w14:val="tx1"/>
            </w14:solidFill>
          </w14:textFill>
        </w:rPr>
      </w:pPr>
      <w:r>
        <w:rPr>
          <w:bCs/>
          <w:color w:val="000000" w:themeColor="text1"/>
          <w14:textFill>
            <w14:solidFill>
              <w14:schemeClr w14:val="tx1"/>
            </w14:solidFill>
          </w14:textFill>
        </w:rPr>
        <w:t>t</w:t>
      </w:r>
      <w:r>
        <w:rPr>
          <w:bCs/>
          <w:color w:val="000000" w:themeColor="text1"/>
          <w:vertAlign w:val="subscript"/>
          <w14:textFill>
            <w14:solidFill>
              <w14:schemeClr w14:val="tx1"/>
            </w14:solidFill>
          </w14:textFill>
        </w:rPr>
        <w:t>f</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t</w:t>
      </w:r>
      <w:r>
        <w:rPr>
          <w:bCs/>
          <w:color w:val="000000" w:themeColor="text1"/>
          <w:vertAlign w:val="subscript"/>
          <w14:textFill>
            <w14:solidFill>
              <w14:schemeClr w14:val="tx1"/>
            </w14:solidFill>
          </w14:textFill>
        </w:rPr>
        <w:t>w</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分别为耗能连梁的翼缘厚度和腹板厚度；</w:t>
      </w:r>
    </w:p>
    <w:p>
      <w:pPr>
        <w:spacing w:line="400" w:lineRule="exact"/>
        <w:ind w:firstLine="619" w:firstLineChars="295"/>
        <w:rPr>
          <w:bCs/>
          <w:color w:val="000000" w:themeColor="text1"/>
          <w14:textFill>
            <w14:solidFill>
              <w14:schemeClr w14:val="tx1"/>
            </w14:solidFill>
          </w14:textFill>
        </w:rPr>
      </w:pPr>
      <w:r>
        <w:rPr>
          <w:bCs/>
          <w:color w:val="000000" w:themeColor="text1"/>
          <w14:textFill>
            <w14:solidFill>
              <w14:schemeClr w14:val="tx1"/>
            </w14:solidFill>
          </w14:textFill>
        </w:rPr>
        <w:t>f</w:t>
      </w:r>
      <w:r>
        <w:rPr>
          <w:bCs/>
          <w:color w:val="000000" w:themeColor="text1"/>
          <w:vertAlign w:val="subscript"/>
          <w14:textFill>
            <w14:solidFill>
              <w14:schemeClr w14:val="tx1"/>
            </w14:solidFill>
          </w14:textFill>
        </w:rPr>
        <w:t>y</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f</w:t>
      </w:r>
      <w:r>
        <w:rPr>
          <w:bCs/>
          <w:color w:val="000000" w:themeColor="text1"/>
          <w:vertAlign w:val="subscript"/>
          <w14:textFill>
            <w14:solidFill>
              <w14:schemeClr w14:val="tx1"/>
            </w14:solidFill>
          </w14:textFill>
        </w:rPr>
        <w:t>yv</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分别为耗能连梁钢材的屈服强度和屈服抗剪强度。</w:t>
      </w:r>
    </w:p>
    <w:p>
      <w:pPr>
        <w:spacing w:before="156" w:beforeLines="50" w:line="400" w:lineRule="exact"/>
        <w:ind w:firstLine="420"/>
        <w:rPr>
          <w:bCs/>
          <w:color w:val="000000" w:themeColor="text1"/>
          <w:szCs w:val="24"/>
          <w14:textFill>
            <w14:solidFill>
              <w14:schemeClr w14:val="tx1"/>
            </w14:solidFill>
          </w14:textFill>
        </w:rPr>
      </w:pPr>
      <w:r>
        <w:rPr>
          <w:bCs/>
          <w:color w:val="000000" w:themeColor="text1"/>
          <w14:textFill>
            <w14:solidFill>
              <w14:schemeClr w14:val="tx1"/>
            </w14:solidFill>
          </w14:textFill>
        </w:rPr>
        <w:t xml:space="preserve">4 </w:t>
      </w:r>
      <w:r>
        <w:rPr>
          <w:rFonts w:hint="eastAsia"/>
          <w:bCs/>
          <w:color w:val="000000" w:themeColor="text1"/>
          <w14:textFill>
            <w14:solidFill>
              <w14:schemeClr w14:val="tx1"/>
            </w14:solidFill>
          </w14:textFill>
        </w:rPr>
        <w:t>耗能连梁应采用</w:t>
      </w:r>
      <w:r>
        <w:rPr>
          <w:bCs/>
          <w:color w:val="000000" w:themeColor="text1"/>
          <w14:textFill>
            <w14:solidFill>
              <w14:schemeClr w14:val="tx1"/>
            </w14:solidFill>
          </w14:textFill>
        </w:rPr>
        <w:t>H</w:t>
      </w:r>
      <w:r>
        <w:rPr>
          <w:rFonts w:hint="eastAsia"/>
          <w:bCs/>
          <w:color w:val="000000" w:themeColor="text1"/>
          <w14:textFill>
            <w14:solidFill>
              <w14:schemeClr w14:val="tx1"/>
            </w14:solidFill>
          </w14:textFill>
        </w:rPr>
        <w:t>形截面，其钢材的屈服强度不应高于</w:t>
      </w:r>
      <w:r>
        <w:rPr>
          <w:bCs/>
          <w:color w:val="000000" w:themeColor="text1"/>
          <w14:textFill>
            <w14:solidFill>
              <w14:schemeClr w14:val="tx1"/>
            </w14:solidFill>
          </w14:textFill>
        </w:rPr>
        <w:t>3</w:t>
      </w:r>
      <w:r>
        <w:rPr>
          <w:rFonts w:hint="eastAsia"/>
          <w:bCs/>
          <w:color w:val="000000" w:themeColor="text1"/>
          <w14:textFill>
            <w14:solidFill>
              <w14:schemeClr w14:val="tx1"/>
            </w14:solidFill>
          </w14:textFill>
        </w:rPr>
        <w:t>5</w:t>
      </w:r>
      <w:r>
        <w:rPr>
          <w:bCs/>
          <w:color w:val="000000" w:themeColor="text1"/>
          <w14:textFill>
            <w14:solidFill>
              <w14:schemeClr w14:val="tx1"/>
            </w14:solidFill>
          </w14:textFill>
        </w:rPr>
        <w:t>5MPa</w:t>
      </w:r>
      <w:r>
        <w:rPr>
          <w:rFonts w:hint="eastAsia"/>
          <w:bCs/>
          <w:color w:val="000000" w:themeColor="text1"/>
          <w14:textFill>
            <w14:solidFill>
              <w14:schemeClr w14:val="tx1"/>
            </w14:solidFill>
          </w14:textFill>
        </w:rPr>
        <w:t>。耗能连梁及其延伸的同跨梁段的截面等级、偏心支撑的截面板件宽厚比，</w:t>
      </w:r>
      <w:r>
        <w:rPr>
          <w:rFonts w:hint="eastAsia"/>
          <w:bCs/>
          <w:color w:val="000000" w:themeColor="text1"/>
          <w:szCs w:val="24"/>
          <w14:textFill>
            <w14:solidFill>
              <w14:schemeClr w14:val="tx1"/>
            </w14:solidFill>
          </w14:textFill>
        </w:rPr>
        <w:t>应符合本规范第9</w:t>
      </w:r>
      <w:r>
        <w:rPr>
          <w:bCs/>
          <w:color w:val="000000" w:themeColor="text1"/>
          <w:szCs w:val="24"/>
          <w14:textFill>
            <w14:solidFill>
              <w14:schemeClr w14:val="tx1"/>
            </w14:solidFill>
          </w14:textFill>
        </w:rPr>
        <w:t>.2.2</w:t>
      </w:r>
      <w:r>
        <w:rPr>
          <w:rFonts w:hint="eastAsia"/>
          <w:bCs/>
          <w:color w:val="000000" w:themeColor="text1"/>
          <w:szCs w:val="24"/>
          <w14:textFill>
            <w14:solidFill>
              <w14:schemeClr w14:val="tx1"/>
            </w14:solidFill>
          </w14:textFill>
        </w:rPr>
        <w:t>条的要求。</w:t>
      </w:r>
    </w:p>
    <w:p>
      <w:pPr>
        <w:spacing w:before="156" w:beforeLines="50" w:line="400" w:lineRule="exact"/>
        <w:ind w:firstLine="420"/>
        <w:rPr>
          <w:bCs/>
          <w:color w:val="000000" w:themeColor="text1"/>
          <w:szCs w:val="20"/>
          <w14:textFill>
            <w14:solidFill>
              <w14:schemeClr w14:val="tx1"/>
            </w14:solidFill>
          </w14:textFill>
        </w:rPr>
      </w:pPr>
      <w:r>
        <w:rPr>
          <w:bCs/>
          <w:color w:val="000000" w:themeColor="text1"/>
          <w14:textFill>
            <w14:solidFill>
              <w14:schemeClr w14:val="tx1"/>
            </w14:solidFill>
          </w14:textFill>
        </w:rPr>
        <w:t xml:space="preserve">5 </w:t>
      </w:r>
      <w:r>
        <w:rPr>
          <w:rFonts w:hint="eastAsia"/>
          <w:bCs/>
          <w:color w:val="000000" w:themeColor="text1"/>
          <w14:textFill>
            <w14:solidFill>
              <w14:schemeClr w14:val="tx1"/>
            </w14:solidFill>
          </w14:textFill>
        </w:rPr>
        <w:t>耗能连梁的构造应符合下列要求：</w:t>
      </w:r>
    </w:p>
    <w:p>
      <w:pPr>
        <w:spacing w:line="400" w:lineRule="exact"/>
        <w:ind w:firstLine="630" w:firstLineChars="300"/>
        <w:rPr>
          <w:bCs/>
          <w:color w:val="000000" w:themeColor="text1"/>
          <w14:textFill>
            <w14:solidFill>
              <w14:schemeClr w14:val="tx1"/>
            </w14:solidFill>
          </w14:textFill>
        </w:rPr>
      </w:pPr>
      <w:r>
        <w:rPr>
          <w:bCs/>
          <w:color w:val="000000" w:themeColor="text1"/>
          <w14:textFill>
            <w14:solidFill>
              <w14:schemeClr w14:val="tx1"/>
            </w14:solidFill>
          </w14:textFill>
        </w:rPr>
        <w:t>1</w:t>
      </w:r>
      <w:r>
        <w:rPr>
          <w:rFonts w:hint="eastAsia"/>
          <w:bCs/>
          <w:color w:val="000000" w:themeColor="text1"/>
          <w14:textFill>
            <w14:solidFill>
              <w14:schemeClr w14:val="tx1"/>
            </w14:solidFill>
          </w14:textFill>
        </w:rPr>
        <w:t>）当</w:t>
      </w:r>
      <m:oMath>
        <m:r>
          <w:rPr>
            <w:rFonts w:ascii="Cambria Math" w:hAnsi="Cambria Math" w:cs="Times New Roman"/>
            <w:color w:val="000000" w:themeColor="text1"/>
            <w:szCs w:val="21"/>
            <w14:textFill>
              <w14:solidFill>
                <w14:schemeClr w14:val="tx1"/>
              </w14:solidFill>
            </w14:textFill>
          </w:rPr>
          <m:t>N/</m:t>
        </m:r>
        <m:r>
          <w:rPr>
            <w:rFonts w:hint="eastAsia"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A</m:t>
        </m:r>
        <w:bookmarkStart w:id="196" w:name="_Hlk24014323"/>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w:bookmarkEnd w:id="196"/>
            <m:ctrlPr>
              <w:rPr>
                <w:rFonts w:ascii="Cambria Math" w:hAnsi="Cambria Math"/>
                <w:bCs/>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0.15</m:t>
        </m:r>
      </m:oMath>
      <w:r>
        <w:rPr>
          <w:rFonts w:hint="eastAsia"/>
          <w:bCs/>
          <w:color w:val="000000" w:themeColor="text1"/>
          <w14:textFill>
            <w14:solidFill>
              <w14:schemeClr w14:val="tx1"/>
            </w14:solidFill>
          </w14:textFill>
        </w:rPr>
        <w:t>时，耗能连梁的长度应符合下列规定：</w:t>
      </w:r>
    </w:p>
    <w:p>
      <w:pPr>
        <w:spacing w:line="400" w:lineRule="exact"/>
        <w:ind w:left="420" w:firstLine="420" w:firstLineChars="0"/>
        <w:rPr>
          <w:rFonts w:cs="Times New Roman"/>
          <w:bCs/>
          <w:color w:val="000000" w:themeColor="text1"/>
          <w:szCs w:val="21"/>
          <w14:textFill>
            <w14:solidFill>
              <w14:schemeClr w14:val="tx1"/>
            </w14:solidFill>
          </w14:textFill>
        </w:rPr>
      </w:pPr>
      <w:r>
        <w:rPr>
          <w:rFonts w:hint="eastAsia" w:cs="Times New Roman"/>
          <w:bCs/>
          <w:color w:val="000000" w:themeColor="text1"/>
          <w:szCs w:val="24"/>
          <w14:textFill>
            <w14:solidFill>
              <w14:schemeClr w14:val="tx1"/>
            </w14:solidFill>
          </w14:textFill>
        </w:rPr>
        <w:t>当</w:t>
      </w:r>
      <m:oMath>
        <m:r>
          <w:rPr>
            <w:rFonts w:ascii="Cambria Math" w:hAnsi="Cambria Math" w:cs="Times New Roman"/>
            <w:color w:val="000000" w:themeColor="text1"/>
            <w:szCs w:val="21"/>
            <w14:textFill>
              <w14:solidFill>
                <w14:schemeClr w14:val="tx1"/>
              </w14:solidFill>
            </w14:textFill>
          </w:rPr>
          <m:t>ρ</m:t>
        </m:r>
        <m:r>
          <w:rPr>
            <w:rFonts w:hint="eastAsia"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w</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/A</m:t>
        </m:r>
        <m:r>
          <w:rPr>
            <w:rFonts w:hint="eastAsia"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≤0.3ρ</m:t>
        </m:r>
      </m:oMath>
      <w:r>
        <w:rPr>
          <w:rFonts w:hint="eastAsia" w:cs="Times New Roman"/>
          <w:bCs/>
          <w:color w:val="000000" w:themeColor="text1"/>
          <w:szCs w:val="24"/>
          <w14:textFill>
            <w14:solidFill>
              <w14:schemeClr w14:val="tx1"/>
            </w14:solidFill>
          </w14:textFill>
        </w:rPr>
        <w:t>时：</w:t>
      </w:r>
    </w:p>
    <w:p>
      <w:pPr>
        <w:spacing w:line="360" w:lineRule="auto"/>
        <w:ind w:left="420" w:firstLine="420"/>
        <w:jc w:val="right"/>
        <w:rPr>
          <w:bCs/>
          <w:color w:val="000000" w:themeColor="text1"/>
          <w:szCs w:val="24"/>
          <w14:textFill>
            <w14:solidFill>
              <w14:schemeClr w14:val="tx1"/>
            </w14:solidFill>
          </w14:textFill>
        </w:rPr>
      </w:pPr>
      <m:oMath>
        <m:r>
          <w:rPr>
            <w:rFonts w:ascii="Cambria Math" w:hAnsi="Cambria Math" w:cs="Times New Roman"/>
            <w:color w:val="000000" w:themeColor="text1"/>
            <w:szCs w:val="24"/>
            <w14:textFill>
              <w14:solidFill>
                <w14:schemeClr w14:val="tx1"/>
              </w14:solidFill>
            </w14:textFill>
          </w:rPr>
          <m:t>a≤1.6</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Lp</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m:t>
            </m:r>
            <m:ctrlPr>
              <w:rPr>
                <w:rFonts w:ascii="Cambria Math" w:hAnsi="Cambria Math" w:cs="Times New Roman"/>
                <w:bCs/>
                <w:i/>
                <w:color w:val="000000" w:themeColor="text1"/>
                <w:szCs w:val="24"/>
                <w14:textFill>
                  <w14:solidFill>
                    <w14:schemeClr w14:val="tx1"/>
                  </w14:solidFill>
                </w14:textFill>
              </w:rPr>
            </m:ctrlPr>
          </m:sub>
        </m:sSub>
      </m:oMath>
      <w:r>
        <w:rPr>
          <w:bCs/>
          <w:color w:val="000000" w:themeColor="text1"/>
          <w:szCs w:val="24"/>
          <w14:textFill>
            <w14:solidFill>
              <w14:schemeClr w14:val="tx1"/>
            </w14:solidFill>
          </w14:textFill>
        </w:rPr>
        <w:t xml:space="preserve">                        </w:t>
      </w:r>
      <w:r>
        <w:rPr>
          <w:rFonts w:hint="eastAsia"/>
          <w:bCs/>
          <w:color w:val="000000" w:themeColor="text1"/>
          <w:szCs w:val="24"/>
          <w14:textFill>
            <w14:solidFill>
              <w14:schemeClr w14:val="tx1"/>
            </w14:solidFill>
          </w14:textFill>
        </w:rPr>
        <w:t>（</w:t>
      </w:r>
      <w:r>
        <w:rPr>
          <w:rFonts w:hint="eastAsia"/>
          <w:bCs/>
          <w:color w:val="000000" w:themeColor="text1"/>
          <w14:textFill>
            <w14:solidFill>
              <w14:schemeClr w14:val="tx1"/>
            </w14:solidFill>
          </w14:textFill>
        </w:rPr>
        <w:t>9</w:t>
      </w:r>
      <w:r>
        <w:rPr>
          <w:bCs/>
          <w:color w:val="000000" w:themeColor="text1"/>
          <w14:textFill>
            <w14:solidFill>
              <w14:schemeClr w14:val="tx1"/>
            </w14:solidFill>
          </w14:textFill>
        </w:rPr>
        <w:t>.2.11-7</w:t>
      </w:r>
      <w:r>
        <w:rPr>
          <w:rFonts w:hint="eastAsia"/>
          <w:bCs/>
          <w:color w:val="000000" w:themeColor="text1"/>
          <w:szCs w:val="24"/>
          <w14:textFill>
            <w14:solidFill>
              <w14:schemeClr w14:val="tx1"/>
            </w14:solidFill>
          </w14:textFill>
        </w:rPr>
        <w:t>）</w:t>
      </w:r>
    </w:p>
    <w:p>
      <w:pPr>
        <w:spacing w:line="400" w:lineRule="exact"/>
        <w:ind w:left="420" w:firstLine="420" w:firstLineChars="0"/>
        <w:rPr>
          <w:rFonts w:cs="Times New Roman"/>
          <w:bCs/>
          <w:color w:val="000000" w:themeColor="text1"/>
          <w:szCs w:val="21"/>
          <w14:textFill>
            <w14:solidFill>
              <w14:schemeClr w14:val="tx1"/>
            </w14:solidFill>
          </w14:textFill>
        </w:rPr>
      </w:pPr>
      <w:r>
        <w:rPr>
          <w:rFonts w:hint="eastAsia" w:cs="Times New Roman"/>
          <w:bCs/>
          <w:color w:val="000000" w:themeColor="text1"/>
          <w:szCs w:val="24"/>
          <w14:textFill>
            <w14:solidFill>
              <w14:schemeClr w14:val="tx1"/>
            </w14:solidFill>
          </w14:textFill>
        </w:rPr>
        <w:t>当</w:t>
      </w:r>
      <m:oMath>
        <m:r>
          <w:rPr>
            <w:rFonts w:ascii="Cambria Math" w:hAnsi="Cambria Math" w:cs="Times New Roman"/>
            <w:color w:val="000000" w:themeColor="text1"/>
            <w:szCs w:val="21"/>
            <w14:textFill>
              <w14:solidFill>
                <w14:schemeClr w14:val="tx1"/>
              </w14:solidFill>
            </w14:textFill>
          </w:rPr>
          <m:t>ρ</m:t>
        </m:r>
        <m:r>
          <w:rPr>
            <w:rFonts w:hint="eastAsia"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w</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/A</m:t>
        </m:r>
        <m:r>
          <w:rPr>
            <w:rFonts w:hint="eastAsia"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≤0.3</m:t>
        </m:r>
      </m:oMath>
      <w:r>
        <w:rPr>
          <w:rFonts w:hint="eastAsia" w:cs="Times New Roman"/>
          <w:bCs/>
          <w:color w:val="000000" w:themeColor="text1"/>
          <w:szCs w:val="24"/>
          <w14:textFill>
            <w14:solidFill>
              <w14:schemeClr w14:val="tx1"/>
            </w14:solidFill>
          </w14:textFill>
        </w:rPr>
        <w:t>时：</w:t>
      </w:r>
    </w:p>
    <w:p>
      <w:pPr>
        <w:spacing w:line="360" w:lineRule="auto"/>
        <w:ind w:left="420" w:firstLine="420"/>
        <w:jc w:val="right"/>
        <w:rPr>
          <w:bCs/>
          <w:color w:val="000000" w:themeColor="text1"/>
          <w:szCs w:val="24"/>
          <w14:textFill>
            <w14:solidFill>
              <w14:schemeClr w14:val="tx1"/>
            </w14:solidFill>
          </w14:textFill>
        </w:rPr>
      </w:pPr>
      <m:oMath>
        <m:r>
          <w:rPr>
            <w:rFonts w:ascii="Cambria Math" w:hAnsi="Cambria Math" w:cs="Times New Roman"/>
            <w:color w:val="000000" w:themeColor="text1"/>
            <w:szCs w:val="24"/>
            <w14:textFill>
              <w14:solidFill>
                <w14:schemeClr w14:val="tx1"/>
              </w14:solidFill>
            </w14:textFill>
          </w:rPr>
          <m:t>a≤</m:t>
        </m:r>
        <m:d>
          <m:dPr>
            <m:begChr m:val="["/>
            <m:endChr m:val="]"/>
            <m:ctrlPr>
              <w:rPr>
                <w:rFonts w:ascii="Cambria Math" w:hAnsi="Cambria Math" w:cs="Times New Roman"/>
                <w:bCs/>
                <w:i/>
                <w:color w:val="000000" w:themeColor="text1"/>
                <w:szCs w:val="24"/>
                <w14:textFill>
                  <w14:solidFill>
                    <w14:schemeClr w14:val="tx1"/>
                  </w14:solidFill>
                </w14:textFill>
              </w:rPr>
            </m:ctrlPr>
          </m:dPr>
          <m:e>
            <m:r>
              <w:rPr>
                <w:rFonts w:ascii="Cambria Math" w:hAnsi="Cambria Math" w:cs="Times New Roman"/>
                <w:color w:val="000000" w:themeColor="text1"/>
                <w:szCs w:val="24"/>
                <w14:textFill>
                  <w14:solidFill>
                    <w14:schemeClr w14:val="tx1"/>
                  </w14:solidFill>
                </w14:textFill>
              </w:rPr>
              <m:t>1.15-0.5ρ</m:t>
            </m:r>
            <m:r>
              <w:rPr>
                <w:rFonts w:hint="eastAsia"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A</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w</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/A</m:t>
            </m:r>
            <m:r>
              <w:rPr>
                <w:rFonts w:hint="eastAsia" w:ascii="Cambria Math" w:hAnsi="Cambria Math" w:cs="Times New Roman"/>
                <w:color w:val="000000" w:themeColor="text1"/>
                <w:szCs w:val="24"/>
                <w14:textFill>
                  <w14:solidFill>
                    <w14:schemeClr w14:val="tx1"/>
                  </w14:solidFill>
                </w14:textFill>
              </w:rPr>
              <m:t>）</m:t>
            </m:r>
            <m:ctrlPr>
              <w:rPr>
                <w:rFonts w:ascii="Cambria Math" w:hAnsi="Cambria Math" w:cs="Times New Roman"/>
                <w:bCs/>
                <w:i/>
                <w:color w:val="000000" w:themeColor="text1"/>
                <w:szCs w:val="24"/>
                <w14:textFill>
                  <w14:solidFill>
                    <w14:schemeClr w14:val="tx1"/>
                  </w14:solidFill>
                </w14:textFill>
              </w:rPr>
            </m:ctrlPr>
          </m:e>
        </m:d>
        <m:r>
          <w:rPr>
            <w:rFonts w:ascii="Cambria Math" w:hAnsi="Cambria Math" w:cs="Times New Roman"/>
            <w:color w:val="000000" w:themeColor="text1"/>
            <w:szCs w:val="24"/>
            <w14:textFill>
              <w14:solidFill>
                <w14:schemeClr w14:val="tx1"/>
              </w14:solidFill>
            </w14:textFill>
          </w:rPr>
          <m:t>1.6</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Lp</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m:t>
            </m:r>
            <m:ctrlPr>
              <w:rPr>
                <w:rFonts w:ascii="Cambria Math" w:hAnsi="Cambria Math" w:cs="Times New Roman"/>
                <w:bCs/>
                <w:i/>
                <w:color w:val="000000" w:themeColor="text1"/>
                <w:szCs w:val="24"/>
                <w14:textFill>
                  <w14:solidFill>
                    <w14:schemeClr w14:val="tx1"/>
                  </w14:solidFill>
                </w14:textFill>
              </w:rPr>
            </m:ctrlPr>
          </m:sub>
        </m:sSub>
      </m:oMath>
      <w:r>
        <w:rPr>
          <w:bCs/>
          <w:color w:val="000000" w:themeColor="text1"/>
          <w:szCs w:val="24"/>
          <w14:textFill>
            <w14:solidFill>
              <w14:schemeClr w14:val="tx1"/>
            </w14:solidFill>
          </w14:textFill>
        </w:rPr>
        <w:t xml:space="preserve">               </w:t>
      </w:r>
      <w:r>
        <w:rPr>
          <w:rFonts w:hint="eastAsia"/>
          <w:bCs/>
          <w:color w:val="000000" w:themeColor="text1"/>
          <w:szCs w:val="24"/>
          <w14:textFill>
            <w14:solidFill>
              <w14:schemeClr w14:val="tx1"/>
            </w14:solidFill>
          </w14:textFill>
        </w:rPr>
        <w:t>（</w:t>
      </w:r>
      <w:r>
        <w:rPr>
          <w:rFonts w:hint="eastAsia"/>
          <w:bCs/>
          <w:color w:val="000000" w:themeColor="text1"/>
          <w14:textFill>
            <w14:solidFill>
              <w14:schemeClr w14:val="tx1"/>
            </w14:solidFill>
          </w14:textFill>
        </w:rPr>
        <w:t>9</w:t>
      </w:r>
      <w:r>
        <w:rPr>
          <w:bCs/>
          <w:color w:val="000000" w:themeColor="text1"/>
          <w14:textFill>
            <w14:solidFill>
              <w14:schemeClr w14:val="tx1"/>
            </w14:solidFill>
          </w14:textFill>
        </w:rPr>
        <w:t>.2.11-8</w:t>
      </w:r>
      <w:r>
        <w:rPr>
          <w:rFonts w:hint="eastAsia"/>
          <w:bCs/>
          <w:color w:val="000000" w:themeColor="text1"/>
          <w:szCs w:val="24"/>
          <w14:textFill>
            <w14:solidFill>
              <w14:schemeClr w14:val="tx1"/>
            </w14:solidFill>
          </w14:textFill>
        </w:rPr>
        <w:t>）</w:t>
      </w:r>
    </w:p>
    <w:p>
      <w:pPr>
        <w:spacing w:line="360" w:lineRule="auto"/>
        <w:ind w:left="420" w:firstLine="420"/>
        <w:jc w:val="right"/>
        <w:rPr>
          <w:bCs/>
          <w:color w:val="000000" w:themeColor="text1"/>
          <w:szCs w:val="24"/>
          <w14:textFill>
            <w14:solidFill>
              <w14:schemeClr w14:val="tx1"/>
            </w14:solidFill>
          </w14:textFill>
        </w:rPr>
      </w:pPr>
      <m:oMath>
        <m:r>
          <w:rPr>
            <w:rFonts w:ascii="Cambria Math" w:hAnsi="Cambria Math"/>
            <w:color w:val="000000" w:themeColor="text1"/>
            <w:szCs w:val="24"/>
            <w14:textFill>
              <w14:solidFill>
                <w14:schemeClr w14:val="tx1"/>
              </w14:solidFill>
            </w14:textFill>
          </w:rPr>
          <m:t>ρ=N/V</m:t>
        </m:r>
      </m:oMath>
      <w:r>
        <w:rPr>
          <w:bCs/>
          <w:color w:val="000000" w:themeColor="text1"/>
          <w:szCs w:val="24"/>
          <w14:textFill>
            <w14:solidFill>
              <w14:schemeClr w14:val="tx1"/>
            </w14:solidFill>
          </w14:textFill>
        </w:rPr>
        <w:t xml:space="preserve">                          </w:t>
      </w:r>
      <w:r>
        <w:rPr>
          <w:rFonts w:hint="eastAsia"/>
          <w:bCs/>
          <w:color w:val="000000" w:themeColor="text1"/>
          <w:szCs w:val="24"/>
          <w14:textFill>
            <w14:solidFill>
              <w14:schemeClr w14:val="tx1"/>
            </w14:solidFill>
          </w14:textFill>
        </w:rPr>
        <w:t>（</w:t>
      </w:r>
      <w:r>
        <w:rPr>
          <w:rFonts w:hint="eastAsia"/>
          <w:bCs/>
          <w:color w:val="000000" w:themeColor="text1"/>
          <w14:textFill>
            <w14:solidFill>
              <w14:schemeClr w14:val="tx1"/>
            </w14:solidFill>
          </w14:textFill>
        </w:rPr>
        <w:t>9</w:t>
      </w:r>
      <w:r>
        <w:rPr>
          <w:bCs/>
          <w:color w:val="000000" w:themeColor="text1"/>
          <w14:textFill>
            <w14:solidFill>
              <w14:schemeClr w14:val="tx1"/>
            </w14:solidFill>
          </w14:textFill>
        </w:rPr>
        <w:t>.2.11-9</w:t>
      </w:r>
      <w:r>
        <w:rPr>
          <w:rFonts w:hint="eastAsia"/>
          <w:bCs/>
          <w:color w:val="000000" w:themeColor="text1"/>
          <w:szCs w:val="24"/>
          <w14:textFill>
            <w14:solidFill>
              <w14:schemeClr w14:val="tx1"/>
            </w14:solidFill>
          </w14:textFill>
        </w:rPr>
        <w:t>）</w:t>
      </w:r>
    </w:p>
    <w:p>
      <w:pPr>
        <w:spacing w:line="400" w:lineRule="exact"/>
        <w:ind w:firstLine="630" w:firstLineChars="300"/>
        <w:rPr>
          <w:bCs/>
          <w:color w:val="000000" w:themeColor="text1"/>
          <w:szCs w:val="20"/>
          <w14:textFill>
            <w14:solidFill>
              <w14:schemeClr w14:val="tx1"/>
            </w14:solidFill>
          </w14:textFill>
        </w:rPr>
      </w:pP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）耗能连梁的腹板不得贴</w:t>
      </w:r>
      <w:r>
        <w:rPr>
          <w:rFonts w:hint="eastAsia"/>
          <w:bCs/>
          <w:color w:val="000000" w:themeColor="text1"/>
          <w:szCs w:val="21"/>
          <w14:textFill>
            <w14:solidFill>
              <w14:schemeClr w14:val="tx1"/>
            </w14:solidFill>
          </w14:textFill>
        </w:rPr>
        <w:t>焊</w:t>
      </w:r>
      <w:r>
        <w:rPr>
          <w:rFonts w:hint="eastAsia"/>
          <w:bCs/>
          <w:color w:val="000000" w:themeColor="text1"/>
          <w14:textFill>
            <w14:solidFill>
              <w14:schemeClr w14:val="tx1"/>
            </w14:solidFill>
          </w14:textFill>
        </w:rPr>
        <w:t>补强板，也不得开孔；</w:t>
      </w:r>
    </w:p>
    <w:p>
      <w:pPr>
        <w:spacing w:line="400" w:lineRule="exact"/>
        <w:ind w:left="840" w:leftChars="300" w:hanging="210" w:hangingChars="100"/>
        <w:rPr>
          <w:bCs/>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14:textFill>
            <w14:solidFill>
              <w14:schemeClr w14:val="tx1"/>
            </w14:solidFill>
          </w14:textFill>
        </w:rPr>
        <w:t>）耗能连梁与支撑</w:t>
      </w:r>
      <w:r>
        <w:rPr>
          <w:rFonts w:hint="eastAsia"/>
          <w:bCs/>
          <w:color w:val="000000" w:themeColor="text1"/>
          <w:szCs w:val="21"/>
          <w14:textFill>
            <w14:solidFill>
              <w14:schemeClr w14:val="tx1"/>
            </w14:solidFill>
          </w14:textFill>
        </w:rPr>
        <w:t>连接处</w:t>
      </w:r>
      <w:r>
        <w:rPr>
          <w:rFonts w:hint="eastAsia"/>
          <w:bCs/>
          <w:color w:val="000000" w:themeColor="text1"/>
          <w14:textFill>
            <w14:solidFill>
              <w14:schemeClr w14:val="tx1"/>
            </w14:solidFill>
          </w14:textFill>
        </w:rPr>
        <w:t>应在其腹板两侧配置加劲肋，加劲肋的高度应为梁腹板高度，加劲肋宽度应与梁翼缘外边缘平齐，厚度不应小于</w:t>
      </w:r>
      <w:r>
        <w:rPr>
          <w:bCs/>
          <w:color w:val="000000" w:themeColor="text1"/>
          <w14:textFill>
            <w14:solidFill>
              <w14:schemeClr w14:val="tx1"/>
            </w14:solidFill>
          </w14:textFill>
        </w:rPr>
        <w:t>0.75</w:t>
      </w:r>
      <m:oMath>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t</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w</m:t>
            </m:r>
            <m:ctrlPr>
              <w:rPr>
                <w:rFonts w:ascii="Cambria Math" w:hAnsi="Cambria Math" w:cs="Times New Roman"/>
                <w:bCs/>
                <w:i/>
                <w:color w:val="000000" w:themeColor="text1"/>
                <w:szCs w:val="21"/>
                <w14:textFill>
                  <w14:solidFill>
                    <w14:schemeClr w14:val="tx1"/>
                  </w14:solidFill>
                </w14:textFill>
              </w:rPr>
            </m:ctrlPr>
          </m:sub>
        </m:sSub>
      </m:oMath>
      <w:r>
        <w:rPr>
          <w:rFonts w:hint="eastAsia"/>
          <w:bCs/>
          <w:color w:val="000000" w:themeColor="text1"/>
          <w14:textFill>
            <w14:solidFill>
              <w14:schemeClr w14:val="tx1"/>
            </w14:solidFill>
          </w14:textFill>
        </w:rPr>
        <w:t>和</w:t>
      </w:r>
      <w:r>
        <w:rPr>
          <w:bCs/>
          <w:color w:val="000000" w:themeColor="text1"/>
          <w14:textFill>
            <w14:solidFill>
              <w14:schemeClr w14:val="tx1"/>
            </w14:solidFill>
          </w14:textFill>
        </w:rPr>
        <w:t>10mm</w:t>
      </w:r>
      <w:r>
        <w:rPr>
          <w:rFonts w:hint="eastAsia"/>
          <w:bCs/>
          <w:color w:val="000000" w:themeColor="text1"/>
          <w14:textFill>
            <w14:solidFill>
              <w14:schemeClr w14:val="tx1"/>
            </w14:solidFill>
          </w14:textFill>
        </w:rPr>
        <w:t>的较大值；</w:t>
      </w:r>
    </w:p>
    <w:p>
      <w:pPr>
        <w:spacing w:line="400" w:lineRule="exact"/>
        <w:ind w:firstLine="630" w:firstLineChars="300"/>
        <w:rPr>
          <w:bCs/>
          <w:color w:val="000000" w:themeColor="text1"/>
          <w14:textFill>
            <w14:solidFill>
              <w14:schemeClr w14:val="tx1"/>
            </w14:solidFill>
          </w14:textFill>
        </w:rPr>
      </w:pPr>
      <w:r>
        <w:rPr>
          <w:bCs/>
          <w:color w:val="000000" w:themeColor="text1"/>
          <w14:textFill>
            <w14:solidFill>
              <w14:schemeClr w14:val="tx1"/>
            </w14:solidFill>
          </w14:textFill>
        </w:rPr>
        <w:t>4</w:t>
      </w:r>
      <w:r>
        <w:rPr>
          <w:rFonts w:hint="eastAsia"/>
          <w:bCs/>
          <w:color w:val="000000" w:themeColor="text1"/>
          <w14:textFill>
            <w14:solidFill>
              <w14:schemeClr w14:val="tx1"/>
            </w14:solidFill>
          </w14:textFill>
        </w:rPr>
        <w:t>）耗能连梁应按</w:t>
      </w:r>
      <w:r>
        <w:rPr>
          <w:rFonts w:hint="eastAsia"/>
          <w:bCs/>
          <w:color w:val="000000" w:themeColor="text1"/>
          <w:szCs w:val="21"/>
          <w14:textFill>
            <w14:solidFill>
              <w14:schemeClr w14:val="tx1"/>
            </w14:solidFill>
          </w14:textFill>
        </w:rPr>
        <w:t>下列</w:t>
      </w:r>
      <w:r>
        <w:rPr>
          <w:rFonts w:hint="eastAsia"/>
          <w:bCs/>
          <w:color w:val="000000" w:themeColor="text1"/>
          <w14:textFill>
            <w14:solidFill>
              <w14:schemeClr w14:val="tx1"/>
            </w14:solidFill>
          </w14:textFill>
        </w:rPr>
        <w:t>要求在其腹板上设置中间加劲肋：</w:t>
      </w:r>
    </w:p>
    <w:p>
      <w:pPr>
        <w:spacing w:line="440" w:lineRule="exact"/>
        <w:ind w:firstLine="829" w:firstLineChars="395"/>
        <w:rPr>
          <w:bCs/>
          <w:color w:val="000000" w:themeColor="text1"/>
          <w14:textFill>
            <w14:solidFill>
              <w14:schemeClr w14:val="tx1"/>
            </w14:solidFill>
          </w14:textFill>
        </w:rPr>
      </w:pPr>
      <w:r>
        <w:rPr>
          <w:bCs/>
          <w:color w:val="000000" w:themeColor="text1"/>
          <w14:textFill>
            <w14:solidFill>
              <w14:schemeClr w14:val="tx1"/>
            </w14:solidFill>
          </w14:textFill>
        </w:rPr>
        <w:t>a</w:t>
      </w:r>
      <w:r>
        <w:rPr>
          <w:rFonts w:hint="eastAsia"/>
          <w:bCs/>
          <w:color w:val="000000" w:themeColor="text1"/>
          <w14:textFill>
            <w14:solidFill>
              <w14:schemeClr w14:val="tx1"/>
            </w14:solidFill>
          </w14:textFill>
        </w:rPr>
        <w:t>）当</w:t>
      </w:r>
      <m:oMath>
        <m:r>
          <w:rPr>
            <w:rFonts w:ascii="Cambria Math" w:hAnsi="Cambria Math" w:cs="Times New Roman"/>
            <w:color w:val="000000" w:themeColor="text1"/>
            <w:szCs w:val="24"/>
            <w14:textFill>
              <w14:solidFill>
                <w14:schemeClr w14:val="tx1"/>
              </w14:solidFill>
            </w14:textFill>
          </w:rPr>
          <m:t>a≤1.6</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pL</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m:t>
            </m:r>
            <m:ctrlPr>
              <w:rPr>
                <w:rFonts w:ascii="Cambria Math" w:hAnsi="Cambria Math" w:cs="Times New Roman"/>
                <w:bCs/>
                <w:i/>
                <w:color w:val="000000" w:themeColor="text1"/>
                <w:szCs w:val="24"/>
                <w14:textFill>
                  <w14:solidFill>
                    <w14:schemeClr w14:val="tx1"/>
                  </w14:solidFill>
                </w14:textFill>
              </w:rPr>
            </m:ctrlPr>
          </m:sub>
        </m:sSub>
      </m:oMath>
      <w:r>
        <w:rPr>
          <w:rFonts w:hint="eastAsia"/>
          <w:bCs/>
          <w:color w:val="000000" w:themeColor="text1"/>
          <w14:textFill>
            <w14:solidFill>
              <w14:schemeClr w14:val="tx1"/>
            </w14:solidFill>
          </w14:textFill>
        </w:rPr>
        <w:t>时，加劲肋间距不应大于（3</w:t>
      </w:r>
      <w:r>
        <w:rPr>
          <w:bCs/>
          <w:color w:val="000000" w:themeColor="text1"/>
          <w14:textFill>
            <w14:solidFill>
              <w14:schemeClr w14:val="tx1"/>
            </w14:solidFill>
          </w14:textFill>
        </w:rPr>
        <w:t>0t</w:t>
      </w:r>
      <w:r>
        <w:rPr>
          <w:bCs/>
          <w:color w:val="000000" w:themeColor="text1"/>
          <w:vertAlign w:val="subscript"/>
          <w14:textFill>
            <w14:solidFill>
              <w14:schemeClr w14:val="tx1"/>
            </w14:solidFill>
          </w14:textFill>
        </w:rPr>
        <w:t>w</w:t>
      </w:r>
      <w:r>
        <w:rPr>
          <w:bCs/>
          <w:color w:val="000000" w:themeColor="text1"/>
          <w14:textFill>
            <w14:solidFill>
              <w14:schemeClr w14:val="tx1"/>
            </w14:solidFill>
          </w14:textFill>
        </w:rPr>
        <w:t>-h/5</w:t>
      </w:r>
      <w:r>
        <w:rPr>
          <w:rFonts w:hint="eastAsia"/>
          <w:bCs/>
          <w:color w:val="000000" w:themeColor="text1"/>
          <w14:textFill>
            <w14:solidFill>
              <w14:schemeClr w14:val="tx1"/>
            </w14:solidFill>
          </w14:textFill>
        </w:rPr>
        <w:t>）；</w:t>
      </w:r>
    </w:p>
    <w:p>
      <w:pPr>
        <w:spacing w:line="440" w:lineRule="exact"/>
        <w:ind w:left="1155" w:leftChars="400" w:hanging="315" w:hangingChars="150"/>
        <w:rPr>
          <w:bCs/>
          <w:color w:val="000000" w:themeColor="text1"/>
          <w14:textFill>
            <w14:solidFill>
              <w14:schemeClr w14:val="tx1"/>
            </w14:solidFill>
          </w14:textFill>
        </w:rPr>
      </w:pPr>
      <w:r>
        <w:rPr>
          <w:bCs/>
          <w:color w:val="000000" w:themeColor="text1"/>
          <w14:textFill>
            <w14:solidFill>
              <w14:schemeClr w14:val="tx1"/>
            </w14:solidFill>
          </w14:textFill>
        </w:rPr>
        <w:t>b</w:t>
      </w:r>
      <w:r>
        <w:rPr>
          <w:rFonts w:hint="eastAsia"/>
          <w:bCs/>
          <w:color w:val="000000" w:themeColor="text1"/>
          <w14:textFill>
            <w14:solidFill>
              <w14:schemeClr w14:val="tx1"/>
            </w14:solidFill>
          </w14:textFill>
        </w:rPr>
        <w:t>）当</w:t>
      </w:r>
      <m:oMath>
        <m:r>
          <w:rPr>
            <w:rFonts w:ascii="Cambria Math" w:hAnsi="Cambria Math" w:cs="Times New Roman"/>
            <w:color w:val="000000" w:themeColor="text1"/>
            <w:szCs w:val="24"/>
            <w14:textFill>
              <w14:solidFill>
                <w14:schemeClr w14:val="tx1"/>
              </w14:solidFill>
            </w14:textFill>
          </w:rPr>
          <m:t>2.6</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pL</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m:t>
            </m:r>
            <m:ctrlPr>
              <w:rPr>
                <w:rFonts w:ascii="Cambria Math" w:hAnsi="Cambria Math" w:cs="Times New Roman"/>
                <w:bCs/>
                <w:i/>
                <w:color w:val="000000" w:themeColor="text1"/>
                <w:szCs w:val="24"/>
                <w14:textFill>
                  <w14:solidFill>
                    <w14:schemeClr w14:val="tx1"/>
                  </w14:solidFill>
                </w14:textFill>
              </w:rPr>
            </m:ctrlPr>
          </m:sub>
        </m:sSub>
        <m:r>
          <w:rPr>
            <w:rFonts w:hint="eastAsia" w:ascii="Cambria Math" w:hAnsi="Cambria Math" w:cs="Times New Roman"/>
            <w:color w:val="000000" w:themeColor="text1"/>
            <w:szCs w:val="24"/>
            <w14:textFill>
              <w14:solidFill>
                <w14:schemeClr w14:val="tx1"/>
              </w14:solidFill>
            </w14:textFill>
          </w:rPr>
          <m:t>＜</m:t>
        </m:r>
        <m:r>
          <w:rPr>
            <w:rFonts w:ascii="Cambria Math" w:hAnsi="Cambria Math" w:cs="Times New Roman"/>
            <w:color w:val="000000" w:themeColor="text1"/>
            <w:szCs w:val="24"/>
            <w14:textFill>
              <w14:solidFill>
                <w14:schemeClr w14:val="tx1"/>
              </w14:solidFill>
            </w14:textFill>
          </w:rPr>
          <m:t>a≤5</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pL</m:t>
            </m:r>
            <m:ctrlPr>
              <w:rPr>
                <w:rFonts w:ascii="Cambria Math" w:hAnsi="Cambria Math" w:cs="Times New Roman"/>
                <w:bCs/>
                <w:i/>
                <w:color w:val="000000" w:themeColor="text1"/>
                <w:szCs w:val="24"/>
                <w14:textFill>
                  <w14:solidFill>
                    <w14:schemeClr w14:val="tx1"/>
                  </w14:solidFill>
                </w14:textFill>
              </w:rPr>
            </m:ctrlPr>
          </m:sub>
        </m:sSub>
      </m:oMath>
      <w:r>
        <w:rPr>
          <w:rFonts w:hint="eastAsia"/>
          <w:bCs/>
          <w:color w:val="000000" w:themeColor="text1"/>
          <w14:textFill>
            <w14:solidFill>
              <w14:schemeClr w14:val="tx1"/>
            </w14:solidFill>
          </w14:textFill>
        </w:rPr>
        <w:t>时，应在距消能梁端部</w:t>
      </w:r>
      <w:r>
        <w:rPr>
          <w:bCs/>
          <w:color w:val="000000" w:themeColor="text1"/>
          <w14:textFill>
            <w14:solidFill>
              <w14:schemeClr w14:val="tx1"/>
            </w14:solidFill>
          </w14:textFill>
        </w:rPr>
        <w:t>1.5</w:t>
      </w:r>
      <w:r>
        <w:rPr>
          <w:rFonts w:cs="Times New Roman"/>
          <w:bCs/>
          <w:color w:val="000000" w:themeColor="text1"/>
          <w:position w:val="-10"/>
          <w:szCs w:val="21"/>
          <w14:textFill>
            <w14:solidFill>
              <w14:schemeClr w14:val="tx1"/>
            </w14:solidFill>
          </w14:textFill>
        </w:rPr>
        <w:object>
          <v:shape id="_x0000_i1055" o:spt="75" type="#_x0000_t75" style="height:15.5pt;width:11pt;" o:ole="t" filled="f" o:preferrelative="t" stroked="f" coordsize="21600,21600">
            <v:path/>
            <v:fill on="f" focussize="0,0"/>
            <v:stroke on="f" joinstyle="miter"/>
            <v:imagedata r:id="rId119" o:title=""/>
            <o:lock v:ext="edit" aspectratio="t"/>
            <w10:wrap type="none"/>
            <w10:anchorlock/>
          </v:shape>
          <o:OLEObject Type="Embed" ProgID="Equation.KSEE3" ShapeID="_x0000_i1055" DrawAspect="Content" ObjectID="_1468075755" r:id="rId118">
            <o:LockedField>false</o:LockedField>
          </o:OLEObject>
        </w:object>
      </w:r>
      <w:r>
        <w:rPr>
          <w:rFonts w:hint="eastAsia"/>
          <w:bCs/>
          <w:color w:val="000000" w:themeColor="text1"/>
          <w14:textFill>
            <w14:solidFill>
              <w14:schemeClr w14:val="tx1"/>
            </w14:solidFill>
          </w14:textFill>
        </w:rPr>
        <w:t>处配置中间加劲肋，且中间加劲肋间距不应大于（5</w:t>
      </w:r>
      <w:r>
        <w:rPr>
          <w:bCs/>
          <w:color w:val="000000" w:themeColor="text1"/>
          <w14:textFill>
            <w14:solidFill>
              <w14:schemeClr w14:val="tx1"/>
            </w14:solidFill>
          </w14:textFill>
        </w:rPr>
        <w:t>2t</w:t>
      </w:r>
      <w:r>
        <w:rPr>
          <w:bCs/>
          <w:color w:val="000000" w:themeColor="text1"/>
          <w:vertAlign w:val="subscript"/>
          <w14:textFill>
            <w14:solidFill>
              <w14:schemeClr w14:val="tx1"/>
            </w14:solidFill>
          </w14:textFill>
        </w:rPr>
        <w:t>w</w:t>
      </w:r>
      <w:r>
        <w:rPr>
          <w:bCs/>
          <w:color w:val="000000" w:themeColor="text1"/>
          <w14:textFill>
            <w14:solidFill>
              <w14:schemeClr w14:val="tx1"/>
            </w14:solidFill>
          </w14:textFill>
        </w:rPr>
        <w:t>-h/5</w:t>
      </w:r>
      <w:r>
        <w:rPr>
          <w:rFonts w:hint="eastAsia"/>
          <w:bCs/>
          <w:color w:val="000000" w:themeColor="text1"/>
          <w14:textFill>
            <w14:solidFill>
              <w14:schemeClr w14:val="tx1"/>
            </w14:solidFill>
          </w14:textFill>
        </w:rPr>
        <w:t>）；</w:t>
      </w:r>
    </w:p>
    <w:p>
      <w:pPr>
        <w:spacing w:line="440" w:lineRule="exact"/>
        <w:ind w:left="1050" w:leftChars="400" w:hanging="210" w:hangingChars="100"/>
        <w:rPr>
          <w:bCs/>
          <w:color w:val="000000" w:themeColor="text1"/>
          <w14:textFill>
            <w14:solidFill>
              <w14:schemeClr w14:val="tx1"/>
            </w14:solidFill>
          </w14:textFill>
        </w:rPr>
      </w:pPr>
      <w:r>
        <w:rPr>
          <w:bCs/>
          <w:color w:val="000000" w:themeColor="text1"/>
          <w14:textFill>
            <w14:solidFill>
              <w14:schemeClr w14:val="tx1"/>
            </w14:solidFill>
          </w14:textFill>
        </w:rPr>
        <w:t>c</w:t>
      </w:r>
      <w:r>
        <w:rPr>
          <w:rFonts w:hint="eastAsia"/>
          <w:bCs/>
          <w:color w:val="000000" w:themeColor="text1"/>
          <w14:textFill>
            <w14:solidFill>
              <w14:schemeClr w14:val="tx1"/>
            </w14:solidFill>
          </w14:textFill>
        </w:rPr>
        <w:t>）当</w:t>
      </w:r>
      <m:oMath>
        <m:r>
          <w:rPr>
            <w:rFonts w:ascii="Cambria Math" w:hAnsi="Cambria Math" w:cs="Times New Roman"/>
            <w:color w:val="000000" w:themeColor="text1"/>
            <w:szCs w:val="24"/>
            <w14:textFill>
              <w14:solidFill>
                <w14:schemeClr w14:val="tx1"/>
              </w14:solidFill>
            </w14:textFill>
          </w:rPr>
          <m:t>1.6</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pL</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m:t>
            </m:r>
            <m:ctrlPr>
              <w:rPr>
                <w:rFonts w:ascii="Cambria Math" w:hAnsi="Cambria Math" w:cs="Times New Roman"/>
                <w:bCs/>
                <w:i/>
                <w:color w:val="000000" w:themeColor="text1"/>
                <w:szCs w:val="24"/>
                <w14:textFill>
                  <w14:solidFill>
                    <w14:schemeClr w14:val="tx1"/>
                  </w14:solidFill>
                </w14:textFill>
              </w:rPr>
            </m:ctrlPr>
          </m:sub>
        </m:sSub>
        <m:r>
          <w:rPr>
            <w:rFonts w:hint="eastAsia" w:ascii="Cambria Math" w:hAnsi="Cambria Math" w:cs="Times New Roman"/>
            <w:color w:val="000000" w:themeColor="text1"/>
            <w:szCs w:val="24"/>
            <w14:textFill>
              <w14:solidFill>
                <w14:schemeClr w14:val="tx1"/>
              </w14:solidFill>
            </w14:textFill>
          </w:rPr>
          <m:t>＜</m:t>
        </m:r>
        <m:r>
          <w:rPr>
            <w:rFonts w:ascii="Cambria Math" w:hAnsi="Cambria Math" w:cs="Times New Roman"/>
            <w:color w:val="000000" w:themeColor="text1"/>
            <w:szCs w:val="24"/>
            <w14:textFill>
              <w14:solidFill>
                <w14:schemeClr w14:val="tx1"/>
              </w14:solidFill>
            </w14:textFill>
          </w:rPr>
          <m:t>a≤2.6</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pL</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m:t>
            </m:r>
            <m:ctrlPr>
              <w:rPr>
                <w:rFonts w:ascii="Cambria Math" w:hAnsi="Cambria Math" w:cs="Times New Roman"/>
                <w:bCs/>
                <w:i/>
                <w:color w:val="000000" w:themeColor="text1"/>
                <w:szCs w:val="24"/>
                <w14:textFill>
                  <w14:solidFill>
                    <w14:schemeClr w14:val="tx1"/>
                  </w14:solidFill>
                </w14:textFill>
              </w:rPr>
            </m:ctrlPr>
          </m:sub>
        </m:sSub>
      </m:oMath>
      <w:r>
        <w:rPr>
          <w:rFonts w:hint="eastAsia"/>
          <w:bCs/>
          <w:color w:val="000000" w:themeColor="text1"/>
          <w14:textFill>
            <w14:solidFill>
              <w14:schemeClr w14:val="tx1"/>
            </w14:solidFill>
          </w14:textFill>
        </w:rPr>
        <w:t>时，中间加劲肋的间距宜在上述二者间采用线性插 入法确定；</w:t>
      </w:r>
    </w:p>
    <w:p>
      <w:pPr>
        <w:spacing w:line="440" w:lineRule="exact"/>
        <w:ind w:firstLine="829" w:firstLineChars="395"/>
        <w:rPr>
          <w:bCs/>
          <w:color w:val="000000" w:themeColor="text1"/>
          <w14:textFill>
            <w14:solidFill>
              <w14:schemeClr w14:val="tx1"/>
            </w14:solidFill>
          </w14:textFill>
        </w:rPr>
      </w:pPr>
      <w:r>
        <w:rPr>
          <w:bCs/>
          <w:color w:val="000000" w:themeColor="text1"/>
          <w14:textFill>
            <w14:solidFill>
              <w14:schemeClr w14:val="tx1"/>
            </w14:solidFill>
          </w14:textFill>
        </w:rPr>
        <w:t>d</w:t>
      </w:r>
      <w:r>
        <w:rPr>
          <w:rFonts w:hint="eastAsia"/>
          <w:bCs/>
          <w:color w:val="000000" w:themeColor="text1"/>
          <w14:textFill>
            <w14:solidFill>
              <w14:schemeClr w14:val="tx1"/>
            </w14:solidFill>
          </w14:textFill>
        </w:rPr>
        <w:t>）当</w:t>
      </w:r>
      <m:oMath>
        <m:r>
          <w:rPr>
            <w:rFonts w:ascii="Cambria Math" w:hAnsi="Cambria Math" w:cs="Times New Roman"/>
            <w:color w:val="000000" w:themeColor="text1"/>
            <w:szCs w:val="24"/>
            <w14:textFill>
              <w14:solidFill>
                <w14:schemeClr w14:val="tx1"/>
              </w14:solidFill>
            </w14:textFill>
          </w:rPr>
          <m:t>a</m:t>
        </m:r>
        <m:r>
          <w:rPr>
            <w:rFonts w:hint="eastAsia" w:ascii="Cambria Math" w:hAnsi="Cambria Math" w:cs="Times New Roman"/>
            <w:color w:val="000000" w:themeColor="text1"/>
            <w:szCs w:val="24"/>
            <w14:textFill>
              <w14:solidFill>
                <w14:schemeClr w14:val="tx1"/>
              </w14:solidFill>
            </w14:textFill>
          </w:rPr>
          <m:t>＞</m:t>
        </m:r>
        <m:r>
          <w:rPr>
            <w:rFonts w:ascii="Cambria Math" w:hAnsi="Cambria Math" w:cs="Times New Roman"/>
            <w:color w:val="000000" w:themeColor="text1"/>
            <w:szCs w:val="24"/>
            <w14:textFill>
              <w14:solidFill>
                <w14:schemeClr w14:val="tx1"/>
              </w14:solidFill>
            </w14:textFill>
          </w:rPr>
          <m:t>5</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pL</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m:t>
            </m:r>
            <m:ctrlPr>
              <w:rPr>
                <w:rFonts w:ascii="Cambria Math" w:hAnsi="Cambria Math" w:cs="Times New Roman"/>
                <w:bCs/>
                <w:i/>
                <w:color w:val="000000" w:themeColor="text1"/>
                <w:szCs w:val="24"/>
                <w14:textFill>
                  <w14:solidFill>
                    <w14:schemeClr w14:val="tx1"/>
                  </w14:solidFill>
                </w14:textFill>
              </w:rPr>
            </m:ctrlPr>
          </m:sub>
        </m:sSub>
      </m:oMath>
      <w:r>
        <w:rPr>
          <w:rFonts w:hint="eastAsia"/>
          <w:bCs/>
          <w:color w:val="000000" w:themeColor="text1"/>
          <w14:textFill>
            <w14:solidFill>
              <w14:schemeClr w14:val="tx1"/>
            </w14:solidFill>
          </w14:textFill>
        </w:rPr>
        <w:t>时，可不配置中间加劲肋；</w:t>
      </w:r>
    </w:p>
    <w:p>
      <w:pPr>
        <w:spacing w:line="440" w:lineRule="exact"/>
        <w:ind w:left="1155" w:leftChars="400" w:hanging="315" w:hangingChars="150"/>
        <w:rPr>
          <w:bCs/>
          <w:color w:val="000000" w:themeColor="text1"/>
          <w14:textFill>
            <w14:solidFill>
              <w14:schemeClr w14:val="tx1"/>
            </w14:solidFill>
          </w14:textFill>
        </w:rPr>
      </w:pPr>
      <w:r>
        <w:rPr>
          <w:bCs/>
          <w:color w:val="000000" w:themeColor="text1"/>
          <w14:textFill>
            <w14:solidFill>
              <w14:schemeClr w14:val="tx1"/>
            </w14:solidFill>
          </w14:textFill>
        </w:rPr>
        <w:t>e</w:t>
      </w:r>
      <w:r>
        <w:rPr>
          <w:rFonts w:hint="eastAsia"/>
          <w:bCs/>
          <w:color w:val="000000" w:themeColor="text1"/>
          <w14:textFill>
            <w14:solidFill>
              <w14:schemeClr w14:val="tx1"/>
            </w14:solidFill>
          </w14:textFill>
        </w:rPr>
        <w:t>）中间加劲肋应与耗能连梁的腹板等高；当耗能连梁的高度不大于</w:t>
      </w:r>
      <w:r>
        <w:rPr>
          <w:bCs/>
          <w:color w:val="000000" w:themeColor="text1"/>
          <w14:textFill>
            <w14:solidFill>
              <w14:schemeClr w14:val="tx1"/>
            </w14:solidFill>
          </w14:textFill>
        </w:rPr>
        <w:t>640mm</w:t>
      </w:r>
      <w:r>
        <w:rPr>
          <w:rFonts w:hint="eastAsia"/>
          <w:bCs/>
          <w:color w:val="000000" w:themeColor="text1"/>
          <w14:textFill>
            <w14:solidFill>
              <w14:schemeClr w14:val="tx1"/>
            </w14:solidFill>
          </w14:textFill>
        </w:rPr>
        <w:t>时，可配置单向加劲肋，高度大于</w:t>
      </w:r>
      <w:r>
        <w:rPr>
          <w:bCs/>
          <w:color w:val="000000" w:themeColor="text1"/>
          <w14:textFill>
            <w14:solidFill>
              <w14:schemeClr w14:val="tx1"/>
            </w14:solidFill>
          </w14:textFill>
        </w:rPr>
        <w:t>640mm</w:t>
      </w:r>
      <w:r>
        <w:rPr>
          <w:rFonts w:hint="eastAsia"/>
          <w:bCs/>
          <w:color w:val="000000" w:themeColor="text1"/>
          <w14:textFill>
            <w14:solidFill>
              <w14:schemeClr w14:val="tx1"/>
            </w14:solidFill>
          </w14:textFill>
        </w:rPr>
        <w:t>时，应在两侧配置加劲肋，一侧加劲肋的宽度不应小于</w:t>
      </w:r>
      <w:r>
        <w:rPr>
          <w:rFonts w:hint="eastAsia" w:cs="Times New Roman"/>
          <w:bCs/>
          <w:color w:val="000000" w:themeColor="text1"/>
          <w:szCs w:val="21"/>
          <w14:textFill>
            <w14:solidFill>
              <w14:schemeClr w14:val="tx1"/>
            </w14:solidFill>
          </w14:textFill>
        </w:rPr>
        <w:t>（b</w:t>
      </w:r>
      <w:r>
        <w:rPr>
          <w:rFonts w:hint="eastAsia" w:cs="Times New Roman"/>
          <w:bCs/>
          <w:color w:val="000000" w:themeColor="text1"/>
          <w:szCs w:val="21"/>
          <w:vertAlign w:val="subscript"/>
          <w14:textFill>
            <w14:solidFill>
              <w14:schemeClr w14:val="tx1"/>
            </w14:solidFill>
          </w14:textFill>
        </w:rPr>
        <w:t>f</w:t>
      </w:r>
      <w:r>
        <w:rPr>
          <w:rFonts w:cs="Times New Roman"/>
          <w:bCs/>
          <w:color w:val="000000" w:themeColor="text1"/>
          <w:szCs w:val="21"/>
          <w14:textFill>
            <w14:solidFill>
              <w14:schemeClr w14:val="tx1"/>
            </w14:solidFill>
          </w14:textFill>
        </w:rPr>
        <w:t>/2-t</w:t>
      </w:r>
      <w:r>
        <w:rPr>
          <w:rFonts w:cs="Times New Roman"/>
          <w:bCs/>
          <w:color w:val="000000" w:themeColor="text1"/>
          <w:szCs w:val="21"/>
          <w:vertAlign w:val="subscript"/>
          <w14:textFill>
            <w14:solidFill>
              <w14:schemeClr w14:val="tx1"/>
            </w14:solidFill>
          </w14:textFill>
        </w:rPr>
        <w:t>w</w:t>
      </w:r>
      <w:r>
        <w:rPr>
          <w:rFonts w:hint="eastAsia" w:cs="Times New Roman"/>
          <w:bCs/>
          <w:color w:val="000000" w:themeColor="text1"/>
          <w:szCs w:val="21"/>
          <w14:textFill>
            <w14:solidFill>
              <w14:schemeClr w14:val="tx1"/>
            </w14:solidFill>
          </w14:textFill>
        </w:rPr>
        <w:t>）</w:t>
      </w:r>
      <w:r>
        <w:rPr>
          <w:rFonts w:hint="eastAsia"/>
          <w:bCs/>
          <w:color w:val="000000" w:themeColor="text1"/>
          <w14:textFill>
            <w14:solidFill>
              <w14:schemeClr w14:val="tx1"/>
            </w14:solidFill>
          </w14:textFill>
        </w:rPr>
        <w:t>，厚度不应小于</w:t>
      </w:r>
      <w:r>
        <w:rPr>
          <w:rFonts w:cs="Times New Roman"/>
          <w:bCs/>
          <w:color w:val="000000" w:themeColor="text1"/>
          <w:szCs w:val="21"/>
          <w14:textFill>
            <w14:solidFill>
              <w14:schemeClr w14:val="tx1"/>
            </w14:solidFill>
          </w14:textFill>
        </w:rPr>
        <w:t>t</w:t>
      </w:r>
      <w:r>
        <w:rPr>
          <w:rFonts w:cs="Times New Roman"/>
          <w:bCs/>
          <w:color w:val="000000" w:themeColor="text1"/>
          <w:szCs w:val="21"/>
          <w:vertAlign w:val="subscript"/>
          <w14:textFill>
            <w14:solidFill>
              <w14:schemeClr w14:val="tx1"/>
            </w14:solidFill>
          </w14:textFill>
        </w:rPr>
        <w:t>w</w:t>
      </w:r>
      <w:r>
        <w:rPr>
          <w:rFonts w:hint="eastAsia"/>
          <w:bCs/>
          <w:color w:val="000000" w:themeColor="text1"/>
          <w14:textFill>
            <w14:solidFill>
              <w14:schemeClr w14:val="tx1"/>
            </w14:solidFill>
          </w14:textFill>
        </w:rPr>
        <w:t>和</w:t>
      </w:r>
      <w:r>
        <w:rPr>
          <w:bCs/>
          <w:color w:val="000000" w:themeColor="text1"/>
          <w14:textFill>
            <w14:solidFill>
              <w14:schemeClr w14:val="tx1"/>
            </w14:solidFill>
          </w14:textFill>
        </w:rPr>
        <w:t>10mm</w:t>
      </w:r>
      <w:r>
        <w:rPr>
          <w:rFonts w:hint="eastAsia"/>
          <w:bCs/>
          <w:color w:val="000000" w:themeColor="text1"/>
          <w14:textFill>
            <w14:solidFill>
              <w14:schemeClr w14:val="tx1"/>
            </w14:solidFill>
          </w14:textFill>
        </w:rPr>
        <w:t>的较大值。</w:t>
      </w:r>
    </w:p>
    <w:p>
      <w:pPr>
        <w:spacing w:line="440" w:lineRule="exact"/>
        <w:ind w:firstLine="630" w:firstLineChars="300"/>
        <w:rPr>
          <w:bCs/>
          <w:color w:val="000000" w:themeColor="text1"/>
          <w14:textFill>
            <w14:solidFill>
              <w14:schemeClr w14:val="tx1"/>
            </w14:solidFill>
          </w14:textFill>
        </w:rPr>
      </w:pPr>
      <w:r>
        <w:rPr>
          <w:bCs/>
          <w:color w:val="000000" w:themeColor="text1"/>
          <w14:textFill>
            <w14:solidFill>
              <w14:schemeClr w14:val="tx1"/>
            </w14:solidFill>
          </w14:textFill>
        </w:rPr>
        <w:t>5</w:t>
      </w:r>
      <w:r>
        <w:rPr>
          <w:rFonts w:hint="eastAsia"/>
          <w:bCs/>
          <w:color w:val="000000" w:themeColor="text1"/>
          <w14:textFill>
            <w14:solidFill>
              <w14:schemeClr w14:val="tx1"/>
            </w14:solidFill>
          </w14:textFill>
        </w:rPr>
        <w:t>）耗能连梁与柱连接时，其长度不得大于</w:t>
      </w:r>
      <m:oMath>
        <m:r>
          <w:rPr>
            <w:rFonts w:ascii="Cambria Math" w:hAnsi="Cambria Math" w:cs="Times New Roman"/>
            <w:color w:val="000000" w:themeColor="text1"/>
            <w:szCs w:val="24"/>
            <w14:textFill>
              <w14:solidFill>
                <w14:schemeClr w14:val="tx1"/>
              </w14:solidFill>
            </w14:textFill>
          </w:rPr>
          <m:t>1.6</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M</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pL</m:t>
            </m:r>
            <m:ctrlPr>
              <w:rPr>
                <w:rFonts w:ascii="Cambria Math" w:hAnsi="Cambria Math" w:cs="Times New Roman"/>
                <w:bCs/>
                <w:i/>
                <w:color w:val="000000" w:themeColor="text1"/>
                <w:szCs w:val="24"/>
                <w14:textFill>
                  <w14:solidFill>
                    <w14:schemeClr w14:val="tx1"/>
                  </w14:solidFill>
                </w14:textFill>
              </w:rPr>
            </m:ctrlPr>
          </m:sub>
        </m:sSub>
        <m:r>
          <w:rPr>
            <w:rFonts w:ascii="Cambria Math" w:hAnsi="Cambria Math" w:cs="Times New Roman"/>
            <w:color w:val="000000" w:themeColor="text1"/>
            <w:szCs w:val="24"/>
            <w14:textFill>
              <w14:solidFill>
                <w14:schemeClr w14:val="tx1"/>
              </w14:solidFill>
            </w14:textFill>
          </w:rPr>
          <m:t>/</m:t>
        </m:r>
        <m:sSub>
          <m:sSubPr>
            <m:ctrlPr>
              <w:rPr>
                <w:rFonts w:ascii="Cambria Math" w:hAnsi="Cambria Math" w:cs="Times New Roman"/>
                <w:bCs/>
                <w:i/>
                <w:color w:val="000000" w:themeColor="text1"/>
                <w:szCs w:val="24"/>
                <w14:textFill>
                  <w14:solidFill>
                    <w14:schemeClr w14:val="tx1"/>
                  </w14:solidFill>
                </w14:textFill>
              </w:rPr>
            </m:ctrlPr>
          </m:sSubPr>
          <m:e>
            <m:r>
              <w:rPr>
                <w:rFonts w:ascii="Cambria Math" w:hAnsi="Cambria Math" w:cs="Times New Roman"/>
                <w:color w:val="000000" w:themeColor="text1"/>
                <w:szCs w:val="24"/>
                <w14:textFill>
                  <w14:solidFill>
                    <w14:schemeClr w14:val="tx1"/>
                  </w14:solidFill>
                </w14:textFill>
              </w:rPr>
              <m:t>V</m:t>
            </m:r>
            <m:ctrlPr>
              <w:rPr>
                <w:rFonts w:ascii="Cambria Math" w:hAnsi="Cambria Math" w:cs="Times New Roman"/>
                <w:bCs/>
                <w:i/>
                <w:color w:val="000000" w:themeColor="text1"/>
                <w:szCs w:val="24"/>
                <w14:textFill>
                  <w14:solidFill>
                    <w14:schemeClr w14:val="tx1"/>
                  </w14:solidFill>
                </w14:textFill>
              </w:rPr>
            </m:ctrlPr>
          </m:e>
          <m:sub>
            <m:r>
              <w:rPr>
                <w:rFonts w:ascii="Cambria Math" w:hAnsi="Cambria Math" w:cs="Times New Roman"/>
                <w:color w:val="000000" w:themeColor="text1"/>
                <w:szCs w:val="24"/>
                <w14:textFill>
                  <w14:solidFill>
                    <w14:schemeClr w14:val="tx1"/>
                  </w14:solidFill>
                </w14:textFill>
              </w:rPr>
              <m:t>L</m:t>
            </m:r>
            <m:ctrlPr>
              <w:rPr>
                <w:rFonts w:ascii="Cambria Math" w:hAnsi="Cambria Math" w:cs="Times New Roman"/>
                <w:bCs/>
                <w:i/>
                <w:color w:val="000000" w:themeColor="text1"/>
                <w:szCs w:val="24"/>
                <w14:textFill>
                  <w14:solidFill>
                    <w14:schemeClr w14:val="tx1"/>
                  </w14:solidFill>
                </w14:textFill>
              </w:rPr>
            </m:ctrlPr>
          </m:sub>
        </m:sSub>
      </m:oMath>
      <w:r>
        <w:rPr>
          <w:rFonts w:hint="eastAsia"/>
          <w:bCs/>
          <w:color w:val="000000" w:themeColor="text1"/>
          <w14:textFill>
            <w14:solidFill>
              <w14:schemeClr w14:val="tx1"/>
            </w14:solidFill>
          </w14:textFill>
        </w:rPr>
        <w:t>，且应满足相关标准的规定。</w:t>
      </w:r>
    </w:p>
    <w:p>
      <w:pPr>
        <w:spacing w:line="440" w:lineRule="exact"/>
        <w:ind w:left="840" w:leftChars="300" w:hanging="210" w:hangingChars="100"/>
        <w:rPr>
          <w:bCs/>
          <w:color w:val="000000" w:themeColor="text1"/>
          <w14:textFill>
            <w14:solidFill>
              <w14:schemeClr w14:val="tx1"/>
            </w14:solidFill>
          </w14:textFill>
        </w:rPr>
      </w:pPr>
      <w:r>
        <w:rPr>
          <w:bCs/>
          <w:color w:val="000000" w:themeColor="text1"/>
          <w14:textFill>
            <w14:solidFill>
              <w14:schemeClr w14:val="tx1"/>
            </w14:solidFill>
          </w14:textFill>
        </w:rPr>
        <w:t>6</w:t>
      </w:r>
      <w:r>
        <w:rPr>
          <w:rFonts w:hint="eastAsia"/>
          <w:bCs/>
          <w:color w:val="000000" w:themeColor="text1"/>
          <w14:textFill>
            <w14:solidFill>
              <w14:schemeClr w14:val="tx1"/>
            </w14:solidFill>
          </w14:textFill>
        </w:rPr>
        <w:t>）耗能连梁两端上下翼缘应设置侧向支承，支撑的轴力设计值不得小于耗能连梁翼缘轴向承载力设计值</w:t>
      </w:r>
      <w:bookmarkStart w:id="197" w:name="_Hlk24026435"/>
      <m:oMath>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b</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f</m:t>
            </m:r>
            <m:ctrlPr>
              <w:rPr>
                <w:rFonts w:ascii="Cambria Math" w:hAnsi="Cambria Math" w:cs="Times New Roman"/>
                <w:bCs/>
                <w:i/>
                <w:color w:val="000000" w:themeColor="text1"/>
                <w:szCs w:val="20"/>
                <w14:textFill>
                  <w14:solidFill>
                    <w14:schemeClr w14:val="tx1"/>
                  </w14:solidFill>
                </w14:textFill>
              </w:rPr>
            </m:ctrlPr>
          </m:sub>
        </m:sSub>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t</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f</m:t>
            </m:r>
            <m:ctrlPr>
              <w:rPr>
                <w:rFonts w:ascii="Cambria Math" w:hAnsi="Cambria Math" w:cs="Times New Roman"/>
                <w:bCs/>
                <w:i/>
                <w:color w:val="000000" w:themeColor="text1"/>
                <w:szCs w:val="20"/>
                <w14:textFill>
                  <w14:solidFill>
                    <w14:schemeClr w14:val="tx1"/>
                  </w14:solidFill>
                </w14:textFill>
              </w:rPr>
            </m:ctrlPr>
          </m:sub>
        </m:sSub>
        <m:r>
          <w:rPr>
            <w:rFonts w:hint="eastAsia" w:ascii="Cambria Math" w:hAnsi="Cambria Math"/>
            <w:color w:val="000000" w:themeColor="text1"/>
            <w:szCs w:val="21"/>
            <w14:textFill>
              <w14:solidFill>
                <w14:schemeClr w14:val="tx1"/>
              </w14:solidFill>
            </w14:textFill>
          </w:rPr>
          <m:t>ƒ</m:t>
        </m:r>
        <w:bookmarkEnd w:id="197"/>
      </m:oMath>
      <w:r>
        <w:rPr>
          <w:rFonts w:hint="eastAsia"/>
          <w:bCs/>
          <w:color w:val="000000" w:themeColor="text1"/>
          <w14:textFill>
            <w14:solidFill>
              <w14:schemeClr w14:val="tx1"/>
            </w14:solidFill>
          </w14:textFill>
        </w:rPr>
        <w:t>的</w:t>
      </w:r>
      <w:r>
        <w:rPr>
          <w:bCs/>
          <w:color w:val="000000" w:themeColor="text1"/>
          <w14:textFill>
            <w14:solidFill>
              <w14:schemeClr w14:val="tx1"/>
            </w14:solidFill>
          </w14:textFill>
        </w:rPr>
        <w:t>6%</w:t>
      </w:r>
      <w:r>
        <w:rPr>
          <w:rFonts w:hint="eastAsia"/>
          <w:bCs/>
          <w:color w:val="000000" w:themeColor="text1"/>
          <w14:textFill>
            <w14:solidFill>
              <w14:schemeClr w14:val="tx1"/>
            </w14:solidFill>
          </w14:textFill>
        </w:rPr>
        <w:t>。</w:t>
      </w:r>
    </w:p>
    <w:p>
      <w:pPr>
        <w:spacing w:line="440" w:lineRule="exact"/>
        <w:ind w:left="840" w:leftChars="300" w:hanging="210" w:hangingChars="100"/>
        <w:rPr>
          <w:bCs/>
          <w:color w:val="000000" w:themeColor="text1"/>
          <w14:textFill>
            <w14:solidFill>
              <w14:schemeClr w14:val="tx1"/>
            </w14:solidFill>
          </w14:textFill>
        </w:rPr>
      </w:pPr>
      <w:r>
        <w:rPr>
          <w:bCs/>
          <w:color w:val="000000" w:themeColor="text1"/>
          <w14:textFill>
            <w14:solidFill>
              <w14:schemeClr w14:val="tx1"/>
            </w14:solidFill>
          </w14:textFill>
        </w:rPr>
        <w:t>7</w:t>
      </w:r>
      <w:r>
        <w:rPr>
          <w:rFonts w:hint="eastAsia"/>
          <w:bCs/>
          <w:color w:val="000000" w:themeColor="text1"/>
          <w14:textFill>
            <w14:solidFill>
              <w14:schemeClr w14:val="tx1"/>
            </w14:solidFill>
          </w14:textFill>
        </w:rPr>
        <w:t>）</w:t>
      </w:r>
      <w:r>
        <w:rPr>
          <w:rFonts w:hint="eastAsia"/>
          <w:bCs/>
          <w:color w:val="000000" w:themeColor="text1"/>
          <w:szCs w:val="21"/>
          <w14:textFill>
            <w14:solidFill>
              <w14:schemeClr w14:val="tx1"/>
            </w14:solidFill>
          </w14:textFill>
        </w:rPr>
        <w:t>偏心</w:t>
      </w:r>
      <w:r>
        <w:rPr>
          <w:rFonts w:hint="eastAsia"/>
          <w:bCs/>
          <w:color w:val="000000" w:themeColor="text1"/>
          <w14:textFill>
            <w14:solidFill>
              <w14:schemeClr w14:val="tx1"/>
            </w14:solidFill>
          </w14:textFill>
        </w:rPr>
        <w:t>支撑框架梁的非耗能连梁上下翼缘，应设置侧向支撑，支撑的轴力设计值不得小于梁翼缘轴向承载力设计值</w:t>
      </w:r>
      <m:oMath>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b</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f</m:t>
            </m:r>
            <m:ctrlPr>
              <w:rPr>
                <w:rFonts w:ascii="Cambria Math" w:hAnsi="Cambria Math" w:cs="Times New Roman"/>
                <w:bCs/>
                <w:i/>
                <w:color w:val="000000" w:themeColor="text1"/>
                <w:szCs w:val="20"/>
                <w14:textFill>
                  <w14:solidFill>
                    <w14:schemeClr w14:val="tx1"/>
                  </w14:solidFill>
                </w14:textFill>
              </w:rPr>
            </m:ctrlPr>
          </m:sub>
        </m:sSub>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t</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f</m:t>
            </m:r>
            <m:ctrlPr>
              <w:rPr>
                <w:rFonts w:ascii="Cambria Math" w:hAnsi="Cambria Math" w:cs="Times New Roman"/>
                <w:bCs/>
                <w:i/>
                <w:color w:val="000000" w:themeColor="text1"/>
                <w:szCs w:val="20"/>
                <w14:textFill>
                  <w14:solidFill>
                    <w14:schemeClr w14:val="tx1"/>
                  </w14:solidFill>
                </w14:textFill>
              </w:rPr>
            </m:ctrlPr>
          </m:sub>
        </m:sSub>
        <m:r>
          <w:rPr>
            <w:rFonts w:hint="eastAsia" w:ascii="Cambria Math" w:hAnsi="Cambria Math"/>
            <w:color w:val="000000" w:themeColor="text1"/>
            <w:szCs w:val="21"/>
            <w14:textFill>
              <w14:solidFill>
                <w14:schemeClr w14:val="tx1"/>
              </w14:solidFill>
            </w14:textFill>
          </w:rPr>
          <m:t>ƒ</m:t>
        </m:r>
      </m:oMath>
      <w:r>
        <w:rPr>
          <w:rFonts w:hint="eastAsia"/>
          <w:bCs/>
          <w:color w:val="000000" w:themeColor="text1"/>
          <w14:textFill>
            <w14:solidFill>
              <w14:schemeClr w14:val="tx1"/>
            </w14:solidFill>
          </w14:textFill>
        </w:rPr>
        <w:t>的</w:t>
      </w: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w:t>
      </w:r>
    </w:p>
    <w:p>
      <w:pPr>
        <w:autoSpaceDE w:val="0"/>
        <w:autoSpaceDN w:val="0"/>
        <w:spacing w:line="400" w:lineRule="exact"/>
        <w:ind w:firstLine="0" w:firstLineChars="0"/>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.2.12</w:t>
      </w:r>
      <w:r>
        <w:rPr>
          <w:rFonts w:eastAsia="MS Mincho"/>
          <w:bCs/>
          <w:color w:val="000000" w:themeColor="text1"/>
          <w:kern w:val="0"/>
          <w:szCs w:val="21"/>
          <w:lang w:eastAsia="ja-JP"/>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框架的实腹柱柱脚可采用埋入式、插入式、外包式和外露式，格构柱柱脚宜采用插入式，也可采用外露式。</w:t>
      </w:r>
    </w:p>
    <w:p>
      <w:pPr>
        <w:spacing w:before="156" w:beforeLines="50" w:line="400" w:lineRule="exact"/>
        <w:ind w:firstLine="420"/>
        <w:rPr>
          <w:bCs/>
          <w:color w:val="000000" w:themeColor="text1"/>
          <w:kern w:val="0"/>
          <w:szCs w:val="21"/>
          <w14:textFill>
            <w14:solidFill>
              <w14:schemeClr w14:val="tx1"/>
            </w14:solidFill>
          </w14:textFill>
        </w:rPr>
      </w:pPr>
      <w:r>
        <w:rPr>
          <w:bCs/>
          <w:color w:val="000000" w:themeColor="text1"/>
          <w14:textFill>
            <w14:solidFill>
              <w14:schemeClr w14:val="tx1"/>
            </w14:solidFill>
          </w14:textFill>
        </w:rPr>
        <w:t xml:space="preserve">1 </w:t>
      </w:r>
      <w:r>
        <w:rPr>
          <w:rFonts w:hint="eastAsia"/>
          <w:bCs/>
          <w:color w:val="000000" w:themeColor="text1"/>
          <w:kern w:val="0"/>
          <w:szCs w:val="21"/>
          <w14:textFill>
            <w14:solidFill>
              <w14:schemeClr w14:val="tx1"/>
            </w14:solidFill>
          </w14:textFill>
        </w:rPr>
        <w:t>实腹柱柱脚的极限受弯承载力可按下式验算：</w:t>
      </w:r>
    </w:p>
    <w:p>
      <w:pPr>
        <w:autoSpaceDE w:val="0"/>
        <w:autoSpaceDN w:val="0"/>
        <w:spacing w:line="360" w:lineRule="auto"/>
        <w:ind w:firstLine="420"/>
        <w:jc w:val="right"/>
        <w:rPr>
          <w:bCs/>
          <w:color w:val="000000" w:themeColor="text1"/>
          <w:kern w:val="0"/>
          <w:szCs w:val="21"/>
          <w14:textFill>
            <w14:solidFill>
              <w14:schemeClr w14:val="tx1"/>
            </w14:solidFill>
          </w14:textFill>
        </w:rPr>
      </w:pPr>
      <m:oMath>
        <m:sSub>
          <w:bookmarkStart w:id="198" w:name="_Hlk24029551"/>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M</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jubs</m:t>
            </m:r>
            <m:ctrlPr>
              <w:rPr>
                <w:rFonts w:ascii="Cambria Math" w:hAnsi="Cambria Math" w:cs="宋体"/>
                <w:bCs/>
                <w:i/>
                <w:iCs/>
                <w:snapToGrid w:val="0"/>
                <w:color w:val="000000" w:themeColor="text1"/>
                <w14:textFill>
                  <w14:solidFill>
                    <w14:schemeClr w14:val="tx1"/>
                  </w14:solidFill>
                </w14:textFill>
              </w:rPr>
            </m:ctrlPr>
          </m:sub>
        </m:sSub>
        <m:r>
          <w:rPr>
            <w:rFonts w:ascii="Cambria Math" w:hAnsi="Cambria Math" w:cs="宋体"/>
            <w:snapToGrid w:val="0"/>
            <w:color w:val="000000" w:themeColor="text1"/>
            <w14:textFill>
              <w14:solidFill>
                <w14:schemeClr w14:val="tx1"/>
              </w14:solidFill>
            </w14:textFill>
          </w:rPr>
          <m:t>≥</m:t>
        </m:r>
        <m:sSub>
          <w:bookmarkStart w:id="199" w:name="_Hlk24012512"/>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jba</m:t>
            </m:r>
            <w:bookmarkEnd w:id="199"/>
            <m:ctrlPr>
              <w:rPr>
                <w:rFonts w:ascii="Cambria Math" w:hAnsi="Cambria Math" w:cs="宋体"/>
                <w:bCs/>
                <w:iCs/>
                <w:snapToGrid w:val="0"/>
                <w:color w:val="000000" w:themeColor="text1"/>
                <w14:textFill>
                  <w14:solidFill>
                    <w14:schemeClr w14:val="tx1"/>
                  </w14:solidFill>
                </w14:textFill>
              </w:rPr>
            </m:ctrlPr>
          </m:sub>
        </m:sSub>
        <m:sSub>
          <m:sSubPr>
            <m:ctrlPr>
              <w:rPr>
                <w:rFonts w:ascii="Cambria Math" w:hAnsi="Cambria Math" w:cs="宋体" w:eastAsiaTheme="minorEastAsia"/>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M</m:t>
            </m:r>
            <m:ctrlPr>
              <w:rPr>
                <w:rFonts w:ascii="Cambria Math" w:hAnsi="Cambria Math" w:cs="宋体" w:eastAsiaTheme="minorEastAsia"/>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pc</m:t>
            </m:r>
            <m:ctrlPr>
              <w:rPr>
                <w:rFonts w:ascii="Cambria Math" w:hAnsi="Cambria Math" w:cs="宋体" w:eastAsiaTheme="minorEastAsia"/>
                <w:bCs/>
                <w:i/>
                <w:iCs/>
                <w:snapToGrid w:val="0"/>
                <w:color w:val="000000" w:themeColor="text1"/>
                <w14:textFill>
                  <w14:solidFill>
                    <w14:schemeClr w14:val="tx1"/>
                  </w14:solidFill>
                </w14:textFill>
              </w:rPr>
            </m:ctrlPr>
          </m:sub>
        </m:sSub>
        <m:r>
          <m:rPr>
            <m:sty m:val="p"/>
          </m:rPr>
          <w:rPr>
            <w:rFonts w:hint="eastAsia" w:ascii="Cambria Math" w:hAnsi="Cambria Math" w:cs="宋体"/>
            <w:snapToGrid w:val="0"/>
            <w:color w:val="000000" w:themeColor="text1"/>
            <w14:textFill>
              <w14:solidFill>
                <w14:schemeClr w14:val="tx1"/>
              </w14:solidFill>
            </w14:textFill>
          </w:rPr>
          <m:t>（</m:t>
        </m:r>
        <m:r>
          <m:rPr>
            <m:sty m:val="p"/>
          </m:rPr>
          <w:rPr>
            <w:rFonts w:ascii="Cambria Math" w:hAnsi="Cambria Math" w:cs="宋体"/>
            <w:snapToGrid w:val="0"/>
            <w:color w:val="000000" w:themeColor="text1"/>
            <w14:textFill>
              <w14:solidFill>
                <w14:schemeClr w14:val="tx1"/>
              </w14:solidFill>
            </w14:textFill>
          </w:rPr>
          <m:t>1-</m:t>
        </m:r>
        <m:sSub>
          <m:sSubPr>
            <m:ctrlPr>
              <w:rPr>
                <w:rFonts w:ascii="Cambria Math" w:hAnsi="Cambria Math" w:cs="宋体" w:eastAsiaTheme="minorEastAsia"/>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N</m:t>
            </m:r>
            <m:ctrlPr>
              <w:rPr>
                <w:rFonts w:ascii="Cambria Math" w:hAnsi="Cambria Math" w:cs="宋体" w:eastAsiaTheme="minorEastAsia"/>
                <w:bCs/>
                <w:iCs/>
                <w:snapToGrid w:val="0"/>
                <w:color w:val="000000" w:themeColor="text1"/>
                <w14:textFill>
                  <w14:solidFill>
                    <w14:schemeClr w14:val="tx1"/>
                  </w14:solidFill>
                </w14:textFill>
              </w:rPr>
            </m:ctrlPr>
          </m:e>
          <m:sub>
            <m:r>
              <m:rPr>
                <m:sty m:val="p"/>
              </m:rPr>
              <w:rPr>
                <w:rFonts w:ascii="Cambria Math" w:hAnsi="Cambria Math" w:cs="宋体"/>
                <w:snapToGrid w:val="0"/>
                <w:color w:val="000000" w:themeColor="text1"/>
                <w14:textFill>
                  <w14:solidFill>
                    <w14:schemeClr w14:val="tx1"/>
                  </w14:solidFill>
                </w14:textFill>
              </w:rPr>
              <m:t>E</m:t>
            </m:r>
            <m:ctrlPr>
              <w:rPr>
                <w:rFonts w:ascii="Cambria Math" w:hAnsi="Cambria Math" w:cs="宋体" w:eastAsiaTheme="minorEastAsia"/>
                <w:bCs/>
                <w:iCs/>
                <w:snapToGrid w:val="0"/>
                <w:color w:val="000000" w:themeColor="text1"/>
                <w14:textFill>
                  <w14:solidFill>
                    <w14:schemeClr w14:val="tx1"/>
                  </w14:solidFill>
                </w14:textFill>
              </w:rPr>
            </m:ctrlPr>
          </m:sub>
        </m:sSub>
        <m:r>
          <m:rPr>
            <m:sty m:val="p"/>
          </m:rPr>
          <w:rPr>
            <w:rFonts w:ascii="Cambria Math" w:hAnsi="Cambria Math" w:cs="宋体"/>
            <w:snapToGrid w:val="0"/>
            <w:color w:val="000000" w:themeColor="text1"/>
            <w14:textFill>
              <w14:solidFill>
                <w14:schemeClr w14:val="tx1"/>
              </w14:solidFill>
            </w14:textFill>
          </w:rPr>
          <m:t>/</m:t>
        </m:r>
        <m:sSub>
          <m:sSubPr>
            <m:ctrlPr>
              <w:rPr>
                <w:rFonts w:ascii="Cambria Math" w:hAnsi="Cambria Math" w:cs="宋体" w:eastAsiaTheme="minorEastAsia"/>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N</m:t>
            </m:r>
            <m:ctrlPr>
              <w:rPr>
                <w:rFonts w:ascii="Cambria Math" w:hAnsi="Cambria Math" w:cs="宋体" w:eastAsiaTheme="minorEastAsia"/>
                <w:bCs/>
                <w:iCs/>
                <w:snapToGrid w:val="0"/>
                <w:color w:val="000000" w:themeColor="text1"/>
                <w14:textFill>
                  <w14:solidFill>
                    <w14:schemeClr w14:val="tx1"/>
                  </w14:solidFill>
                </w14:textFill>
              </w:rPr>
            </m:ctrlPr>
          </m:e>
          <m:sub>
            <m:r>
              <m:rPr>
                <m:sty m:val="p"/>
              </m:rPr>
              <w:rPr>
                <w:rFonts w:ascii="Cambria Math" w:hAnsi="Cambria Math" w:cs="宋体"/>
                <w:snapToGrid w:val="0"/>
                <w:color w:val="000000" w:themeColor="text1"/>
                <w14:textFill>
                  <w14:solidFill>
                    <w14:schemeClr w14:val="tx1"/>
                  </w14:solidFill>
                </w14:textFill>
              </w:rPr>
              <m:t>pc</m:t>
            </m:r>
            <m:ctrlPr>
              <w:rPr>
                <w:rFonts w:ascii="Cambria Math" w:hAnsi="Cambria Math" w:cs="宋体" w:eastAsiaTheme="minorEastAsia"/>
                <w:bCs/>
                <w:iCs/>
                <w:snapToGrid w:val="0"/>
                <w:color w:val="000000" w:themeColor="text1"/>
                <w14:textFill>
                  <w14:solidFill>
                    <w14:schemeClr w14:val="tx1"/>
                  </w14:solidFill>
                </w14:textFill>
              </w:rPr>
            </m:ctrlPr>
          </m:sub>
        </m:sSub>
        <m:r>
          <m:rPr>
            <m:sty m:val="p"/>
          </m:rPr>
          <w:rPr>
            <w:rFonts w:hint="eastAsia" w:ascii="Cambria Math" w:hAnsi="Cambria Math" w:cs="宋体"/>
            <w:snapToGrid w:val="0"/>
            <w:color w:val="000000" w:themeColor="text1"/>
            <w14:textFill>
              <w14:solidFill>
                <w14:schemeClr w14:val="tx1"/>
              </w14:solidFill>
            </w14:textFill>
          </w:rPr>
          <m:t>）</m:t>
        </m:r>
      </m:oMath>
      <w:r>
        <w:rPr>
          <w:bCs/>
          <w:color w:val="000000" w:themeColor="text1"/>
          <w:kern w:val="0"/>
          <w:szCs w:val="21"/>
          <w14:textFill>
            <w14:solidFill>
              <w14:schemeClr w14:val="tx1"/>
            </w14:solidFill>
          </w14:textFill>
        </w:rPr>
        <w:t xml:space="preserve"> </w:t>
      </w:r>
      <w:bookmarkEnd w:id="198"/>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.2.12-1</w:t>
      </w:r>
      <w:r>
        <w:rPr>
          <w:rFonts w:hint="eastAsia"/>
          <w:bCs/>
          <w:color w:val="000000" w:themeColor="text1"/>
          <w:kern w:val="0"/>
          <w:szCs w:val="21"/>
          <w14:textFill>
            <w14:solidFill>
              <w14:schemeClr w14:val="tx1"/>
            </w14:solidFill>
          </w14:textFill>
        </w:rPr>
        <w:t>）</w:t>
      </w:r>
    </w:p>
    <w:p>
      <w:pPr>
        <w:autoSpaceDE w:val="0"/>
        <w:autoSpaceDN w:val="0"/>
        <w:spacing w:line="400" w:lineRule="exact"/>
        <w:ind w:firstLine="0" w:firstLineChars="0"/>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式中：</w:t>
      </w:r>
      <m:oMath>
        <m:sSub>
          <m:sSubPr>
            <m:ctrlPr>
              <w:rPr>
                <w:rFonts w:ascii="Cambria Math" w:hAnsi="Cambria Math" w:cs="宋体"/>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M</m:t>
            </m:r>
            <m:ctrlPr>
              <w:rPr>
                <w:rFonts w:ascii="Cambria Math" w:hAnsi="Cambria Math" w:cs="宋体"/>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jubs</m:t>
            </m:r>
            <m:ctrlPr>
              <w:rPr>
                <w:rFonts w:ascii="Cambria Math" w:hAnsi="Cambria Math" w:cs="宋体"/>
                <w:bCs/>
                <w:i/>
                <w:iCs/>
                <w:snapToGrid w:val="0"/>
                <w:color w:val="000000" w:themeColor="text1"/>
                <w14:textFill>
                  <w14:solidFill>
                    <w14:schemeClr w14:val="tx1"/>
                  </w14:solidFill>
                </w14:textFill>
              </w:rPr>
            </m:ctrlPr>
          </m:sub>
        </m:sSub>
      </m:oMath>
      <w:r>
        <w:rPr>
          <w:bCs/>
          <w:color w:val="000000" w:themeColor="text1"/>
          <w:kern w:val="0"/>
          <w:szCs w:val="21"/>
          <w14:textFill>
            <w14:solidFill>
              <w14:schemeClr w14:val="tx1"/>
            </w14:solidFill>
          </w14:textFill>
        </w:rPr>
        <w:t>——</w:t>
      </w:r>
      <w:r>
        <w:rPr>
          <w:rFonts w:hint="eastAsia"/>
          <w:bCs/>
          <w:color w:val="000000" w:themeColor="text1"/>
          <w:kern w:val="0"/>
          <w:szCs w:val="21"/>
          <w14:textFill>
            <w14:solidFill>
              <w14:schemeClr w14:val="tx1"/>
            </w14:solidFill>
          </w14:textFill>
        </w:rPr>
        <w:t>柱脚的极限受弯承载力；</w:t>
      </w:r>
    </w:p>
    <w:p>
      <w:pPr>
        <w:autoSpaceDE w:val="0"/>
        <w:autoSpaceDN w:val="0"/>
        <w:spacing w:line="400" w:lineRule="exact"/>
        <w:ind w:firstLine="638" w:firstLineChars="304"/>
        <w:rPr>
          <w:bCs/>
          <w:color w:val="000000" w:themeColor="text1"/>
          <w:kern w:val="0"/>
          <w:szCs w:val="21"/>
          <w14:textFill>
            <w14:solidFill>
              <w14:schemeClr w14:val="tx1"/>
            </w14:solidFill>
          </w14:textFill>
        </w:rPr>
      </w:pPr>
      <m:oMath>
        <m:sSub>
          <m:sSubPr>
            <m:ctrlPr>
              <w:rPr>
                <w:rFonts w:ascii="Cambria Math" w:hAnsi="Cambria Math" w:cs="宋体"/>
                <w:bCs/>
                <w:iCs/>
                <w:snapToGrid w:val="0"/>
                <w:color w:val="000000" w:themeColor="text1"/>
                <w14:textFill>
                  <w14:solidFill>
                    <w14:schemeClr w14:val="tx1"/>
                  </w14:solidFill>
                </w14:textFill>
              </w:rPr>
            </m:ctrlPr>
          </m:sSubPr>
          <m:e>
            <m:r>
              <m:rPr>
                <m:sty m:val="p"/>
              </m:rPr>
              <w:rPr>
                <w:rFonts w:ascii="Cambria Math" w:hAnsi="Cambria Math" w:cs="宋体"/>
                <w:snapToGrid w:val="0"/>
                <w:color w:val="000000" w:themeColor="text1"/>
                <w14:textFill>
                  <w14:solidFill>
                    <w14:schemeClr w14:val="tx1"/>
                  </w14:solidFill>
                </w14:textFill>
              </w:rPr>
              <m:t>η</m:t>
            </m:r>
            <m:ctrlPr>
              <w:rPr>
                <w:rFonts w:ascii="Cambria Math" w:hAnsi="Cambria Math" w:cs="宋体"/>
                <w:bCs/>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jba</m:t>
            </m:r>
            <m:ctrlPr>
              <w:rPr>
                <w:rFonts w:ascii="Cambria Math" w:hAnsi="Cambria Math" w:cs="宋体"/>
                <w:bCs/>
                <w:iCs/>
                <w:snapToGrid w:val="0"/>
                <w:color w:val="000000" w:themeColor="text1"/>
                <w14:textFill>
                  <w14:solidFill>
                    <w14:schemeClr w14:val="tx1"/>
                  </w14:solidFill>
                </w14:textFill>
              </w:rPr>
            </m:ctrlPr>
          </m:sub>
        </m:sSub>
      </m:oMath>
      <w:r>
        <w:rPr>
          <w:bCs/>
          <w:color w:val="000000" w:themeColor="text1"/>
          <w:kern w:val="0"/>
          <w:szCs w:val="21"/>
          <w14:textFill>
            <w14:solidFill>
              <w14:schemeClr w14:val="tx1"/>
            </w14:solidFill>
          </w14:textFill>
        </w:rPr>
        <w:t>——</w:t>
      </w:r>
      <w:r>
        <w:rPr>
          <w:rFonts w:hint="eastAsia"/>
          <w:bCs/>
          <w:color w:val="000000" w:themeColor="text1"/>
          <w:kern w:val="0"/>
          <w:szCs w:val="21"/>
          <w14:textFill>
            <w14:solidFill>
              <w14:schemeClr w14:val="tx1"/>
            </w14:solidFill>
          </w14:textFill>
        </w:rPr>
        <w:t>柱脚的连接系数，应按表9</w:t>
      </w:r>
      <w:r>
        <w:rPr>
          <w:bCs/>
          <w:color w:val="000000" w:themeColor="text1"/>
          <w:kern w:val="0"/>
          <w:szCs w:val="21"/>
          <w14:textFill>
            <w14:solidFill>
              <w14:schemeClr w14:val="tx1"/>
            </w14:solidFill>
          </w14:textFill>
        </w:rPr>
        <w:t>.2.11-1</w:t>
      </w:r>
      <w:r>
        <w:rPr>
          <w:rFonts w:hint="eastAsia"/>
          <w:bCs/>
          <w:color w:val="000000" w:themeColor="text1"/>
          <w:kern w:val="0"/>
          <w:szCs w:val="21"/>
          <w14:textFill>
            <w14:solidFill>
              <w14:schemeClr w14:val="tx1"/>
            </w14:solidFill>
          </w14:textFill>
        </w:rPr>
        <w:t>选用；</w:t>
      </w:r>
    </w:p>
    <w:p>
      <w:pPr>
        <w:autoSpaceDE w:val="0"/>
        <w:autoSpaceDN w:val="0"/>
        <w:spacing w:before="156" w:beforeLines="50" w:line="400" w:lineRule="exact"/>
        <w:ind w:firstLine="636" w:firstLineChars="303"/>
        <w:rPr>
          <w:bCs/>
          <w:color w:val="000000" w:themeColor="text1"/>
          <w:kern w:val="0"/>
          <w:szCs w:val="21"/>
          <w14:textFill>
            <w14:solidFill>
              <w14:schemeClr w14:val="tx1"/>
            </w14:solidFill>
          </w14:textFill>
        </w:rPr>
      </w:pPr>
      <w:bookmarkStart w:id="200" w:name="_Hlk45052969"/>
      <m:oMath>
        <m:sSub>
          <m:sSubPr>
            <m:ctrlPr>
              <w:rPr>
                <w:rFonts w:ascii="Cambria Math" w:hAnsi="Cambria Math" w:cs="宋体" w:eastAsiaTheme="minorEastAsia"/>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M</m:t>
            </m:r>
            <m:ctrlPr>
              <w:rPr>
                <w:rFonts w:ascii="Cambria Math" w:hAnsi="Cambria Math" w:cs="宋体" w:eastAsiaTheme="minorEastAsia"/>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pc</m:t>
            </m:r>
            <w:bookmarkEnd w:id="200"/>
            <m:ctrlPr>
              <w:rPr>
                <w:rFonts w:ascii="Cambria Math" w:hAnsi="Cambria Math" w:cs="宋体" w:eastAsiaTheme="minorEastAsia"/>
                <w:bCs/>
                <w:i/>
                <w:iCs/>
                <w:snapToGrid w:val="0"/>
                <w:color w:val="000000" w:themeColor="text1"/>
                <w14:textFill>
                  <w14:solidFill>
                    <w14:schemeClr w14:val="tx1"/>
                  </w14:solidFill>
                </w14:textFill>
              </w:rPr>
            </m:ctrlPr>
          </m:sub>
        </m:sSub>
      </m:oMath>
      <w:r>
        <w:rPr>
          <w:bCs/>
          <w:color w:val="000000" w:themeColor="text1"/>
          <w:kern w:val="0"/>
          <w:szCs w:val="21"/>
          <w14:textFill>
            <w14:solidFill>
              <w14:schemeClr w14:val="tx1"/>
            </w14:solidFill>
          </w14:textFill>
        </w:rPr>
        <w:t>——</w:t>
      </w:r>
      <w:r>
        <w:rPr>
          <w:rFonts w:hint="eastAsia"/>
          <w:bCs/>
          <w:color w:val="000000" w:themeColor="text1"/>
          <w:kern w:val="0"/>
          <w:szCs w:val="21"/>
          <w14:textFill>
            <w14:solidFill>
              <w14:schemeClr w14:val="tx1"/>
            </w14:solidFill>
          </w14:textFill>
        </w:rPr>
        <w:t>柱截面全塑性弯矩；</w:t>
      </w:r>
    </w:p>
    <w:p>
      <w:pPr>
        <w:autoSpaceDE w:val="0"/>
        <w:autoSpaceDN w:val="0"/>
        <w:spacing w:before="156" w:beforeLines="50" w:line="400" w:lineRule="exact"/>
        <w:ind w:firstLine="636" w:firstLineChars="303"/>
        <w:rPr>
          <w:bCs/>
          <w:color w:val="000000" w:themeColor="text1"/>
          <w:kern w:val="0"/>
          <w:szCs w:val="21"/>
          <w14:textFill>
            <w14:solidFill>
              <w14:schemeClr w14:val="tx1"/>
            </w14:solidFill>
          </w14:textFill>
        </w:rPr>
      </w:pPr>
      <m:oMath>
        <m:sSub>
          <m:sSubPr>
            <m:ctrlPr>
              <w:rPr>
                <w:rFonts w:ascii="Cambria Math" w:hAnsi="Cambria Math" w:cs="宋体" w:eastAsiaTheme="minorEastAsia"/>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N</m:t>
            </m:r>
            <m:ctrlPr>
              <w:rPr>
                <w:rFonts w:ascii="Cambria Math" w:hAnsi="Cambria Math" w:cs="宋体" w:eastAsiaTheme="minorEastAsia"/>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E</m:t>
            </m:r>
            <m:ctrlPr>
              <w:rPr>
                <w:rFonts w:ascii="Cambria Math" w:hAnsi="Cambria Math" w:cs="宋体" w:eastAsiaTheme="minorEastAsia"/>
                <w:bCs/>
                <w:i/>
                <w:iCs/>
                <w:snapToGrid w:val="0"/>
                <w:color w:val="000000" w:themeColor="text1"/>
                <w14:textFill>
                  <w14:solidFill>
                    <w14:schemeClr w14:val="tx1"/>
                  </w14:solidFill>
                </w14:textFill>
              </w:rPr>
            </m:ctrlPr>
          </m:sub>
        </m:sSub>
      </m:oMath>
      <w:r>
        <w:rPr>
          <w:bCs/>
          <w:color w:val="000000" w:themeColor="text1"/>
          <w:kern w:val="0"/>
          <w:szCs w:val="21"/>
          <w14:textFill>
            <w14:solidFill>
              <w14:schemeClr w14:val="tx1"/>
            </w14:solidFill>
          </w14:textFill>
        </w:rPr>
        <w:t>——</w:t>
      </w:r>
      <w:r>
        <w:rPr>
          <w:rFonts w:hint="eastAsia"/>
          <w:bCs/>
          <w:color w:val="000000" w:themeColor="text1"/>
          <w:kern w:val="0"/>
          <w:szCs w:val="21"/>
          <w14:textFill>
            <w14:solidFill>
              <w14:schemeClr w14:val="tx1"/>
            </w14:solidFill>
          </w14:textFill>
        </w:rPr>
        <w:t>实腹柱的地震基本组合的轴力；</w:t>
      </w:r>
    </w:p>
    <w:p>
      <w:pPr>
        <w:autoSpaceDE w:val="0"/>
        <w:autoSpaceDN w:val="0"/>
        <w:spacing w:before="156" w:beforeLines="50" w:line="400" w:lineRule="exact"/>
        <w:ind w:firstLine="636" w:firstLineChars="303"/>
        <w:rPr>
          <w:bCs/>
          <w:color w:val="000000" w:themeColor="text1"/>
          <w:kern w:val="0"/>
          <w:szCs w:val="21"/>
          <w14:textFill>
            <w14:solidFill>
              <w14:schemeClr w14:val="tx1"/>
            </w14:solidFill>
          </w14:textFill>
        </w:rPr>
      </w:pPr>
      <m:oMath>
        <m:sSub>
          <m:sSubPr>
            <m:ctrlPr>
              <w:rPr>
                <w:rFonts w:ascii="Cambria Math" w:hAnsi="Cambria Math" w:cs="宋体" w:eastAsiaTheme="minorEastAsia"/>
                <w:bCs/>
                <w:i/>
                <w:iCs/>
                <w:snapToGrid w:val="0"/>
                <w:color w:val="000000" w:themeColor="text1"/>
                <w14:textFill>
                  <w14:solidFill>
                    <w14:schemeClr w14:val="tx1"/>
                  </w14:solidFill>
                </w14:textFill>
              </w:rPr>
            </m:ctrlPr>
          </m:sSubPr>
          <m:e>
            <m:r>
              <w:rPr>
                <w:rFonts w:ascii="Cambria Math" w:hAnsi="Cambria Math" w:cs="宋体"/>
                <w:snapToGrid w:val="0"/>
                <w:color w:val="000000" w:themeColor="text1"/>
                <w14:textFill>
                  <w14:solidFill>
                    <w14:schemeClr w14:val="tx1"/>
                  </w14:solidFill>
                </w14:textFill>
              </w:rPr>
              <m:t>N</m:t>
            </m:r>
            <m:ctrlPr>
              <w:rPr>
                <w:rFonts w:ascii="Cambria Math" w:hAnsi="Cambria Math" w:cs="宋体" w:eastAsiaTheme="minorEastAsia"/>
                <w:bCs/>
                <w:i/>
                <w:iCs/>
                <w:snapToGrid w:val="0"/>
                <w:color w:val="000000" w:themeColor="text1"/>
                <w14:textFill>
                  <w14:solidFill>
                    <w14:schemeClr w14:val="tx1"/>
                  </w14:solidFill>
                </w14:textFill>
              </w:rPr>
            </m:ctrlPr>
          </m:e>
          <m:sub>
            <m:r>
              <w:rPr>
                <w:rFonts w:ascii="Cambria Math" w:hAnsi="Cambria Math" w:cs="宋体"/>
                <w:snapToGrid w:val="0"/>
                <w:color w:val="000000" w:themeColor="text1"/>
                <w14:textFill>
                  <w14:solidFill>
                    <w14:schemeClr w14:val="tx1"/>
                  </w14:solidFill>
                </w14:textFill>
              </w:rPr>
              <m:t>pc</m:t>
            </m:r>
            <m:ctrlPr>
              <w:rPr>
                <w:rFonts w:ascii="Cambria Math" w:hAnsi="Cambria Math" w:cs="宋体" w:eastAsiaTheme="minorEastAsia"/>
                <w:bCs/>
                <w:i/>
                <w:iCs/>
                <w:snapToGrid w:val="0"/>
                <w:color w:val="000000" w:themeColor="text1"/>
                <w14:textFill>
                  <w14:solidFill>
                    <w14:schemeClr w14:val="tx1"/>
                  </w14:solidFill>
                </w14:textFill>
              </w:rPr>
            </m:ctrlPr>
          </m:sub>
        </m:sSub>
      </m:oMath>
      <w:r>
        <w:rPr>
          <w:rFonts w:hint="eastAsia"/>
          <w:bCs/>
          <w:color w:val="000000" w:themeColor="text1"/>
          <w:kern w:val="0"/>
          <w:szCs w:val="21"/>
          <w14:textFill>
            <w14:solidFill>
              <w14:schemeClr w14:val="tx1"/>
            </w14:solidFill>
          </w14:textFill>
        </w:rPr>
        <w:t>——实腹柱的全截面塑性轴力。</w:t>
      </w:r>
    </w:p>
    <w:p>
      <w:pPr>
        <w:autoSpaceDE w:val="0"/>
        <w:autoSpaceDN w:val="0"/>
        <w:spacing w:before="156" w:beforeLines="50" w:line="400" w:lineRule="exact"/>
        <w:ind w:firstLine="42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表9.2</w:t>
      </w:r>
      <w:r>
        <w:rPr>
          <w:bCs/>
          <w:color w:val="000000" w:themeColor="text1"/>
          <w:kern w:val="0"/>
          <w:szCs w:val="21"/>
          <w14:textFill>
            <w14:solidFill>
              <w14:schemeClr w14:val="tx1"/>
            </w14:solidFill>
          </w14:textFill>
        </w:rPr>
        <w:t xml:space="preserve">.12-1    </w:t>
      </w:r>
      <w:r>
        <w:rPr>
          <w:rFonts w:hint="eastAsia"/>
          <w:bCs/>
          <w:color w:val="000000" w:themeColor="text1"/>
          <w:kern w:val="0"/>
          <w:szCs w:val="21"/>
          <w14:textFill>
            <w14:solidFill>
              <w14:schemeClr w14:val="tx1"/>
            </w14:solidFill>
          </w14:textFill>
        </w:rPr>
        <w:t>实腹柱柱脚的连接系数</w:t>
      </w:r>
      <w:r>
        <w:rPr>
          <w:rFonts w:cs="Times New Roman"/>
          <w:bCs/>
          <w:color w:val="000000" w:themeColor="text1"/>
          <w:kern w:val="0"/>
          <w:position w:val="-14"/>
          <w:szCs w:val="21"/>
          <w14:textFill>
            <w14:solidFill>
              <w14:schemeClr w14:val="tx1"/>
            </w14:solidFill>
          </w14:textFill>
        </w:rPr>
        <w:object>
          <v:shape id="_x0000_i1056" o:spt="75" type="#_x0000_t75" style="height:20.5pt;width:20.5pt;" o:ole="t" filled="f" o:preferrelative="t" stroked="f" coordsize="21600,21600">
            <v:path/>
            <v:fill on="f" focussize="0,0"/>
            <v:stroke on="f" joinstyle="miter"/>
            <v:imagedata r:id="rId121" o:title=""/>
            <o:lock v:ext="edit" aspectratio="t"/>
            <w10:wrap type="none"/>
            <w10:anchorlock/>
          </v:shape>
          <o:OLEObject Type="Embed" ProgID="Equation.KSEE3" ShapeID="_x0000_i1056" DrawAspect="Content" ObjectID="_1468075756" r:id="rId120">
            <o:LockedField>false</o:LockedField>
          </o:OLEObject>
        </w:object>
      </w:r>
    </w:p>
    <w:tbl>
      <w:tblPr>
        <w:tblStyle w:val="32"/>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2000"/>
        <w:gridCol w:w="1687"/>
        <w:gridCol w:w="1687"/>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3" w:type="dxa"/>
            <w:gridSpan w:val="2"/>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钢柱的钢材牌号</w:t>
            </w:r>
          </w:p>
        </w:tc>
        <w:tc>
          <w:tcPr>
            <w:tcW w:w="1687"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Q235</w:t>
            </w:r>
          </w:p>
        </w:tc>
        <w:tc>
          <w:tcPr>
            <w:tcW w:w="1687"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Q345</w:t>
            </w:r>
          </w:p>
        </w:tc>
        <w:tc>
          <w:tcPr>
            <w:tcW w:w="1688"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sz w:val="18"/>
                <w:szCs w:val="18"/>
                <w14:textFill>
                  <w14:solidFill>
                    <w14:schemeClr w14:val="tx1"/>
                  </w14:solidFill>
                </w14:textFill>
              </w:rPr>
            </w:pPr>
            <w:r>
              <w:rPr>
                <w:bCs/>
                <w:color w:val="000000" w:themeColor="text1"/>
                <w:kern w:val="0"/>
                <w:sz w:val="18"/>
                <w:szCs w:val="18"/>
                <w14:textFill>
                  <w14:solidFill>
                    <w14:schemeClr w14:val="tx1"/>
                  </w14:solidFill>
                </w14:textFill>
              </w:rPr>
              <w:t>Q345GJ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243"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柱脚</w:t>
            </w:r>
          </w:p>
        </w:tc>
        <w:tc>
          <w:tcPr>
            <w:tcW w:w="2000"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塑性结构</w:t>
            </w:r>
            <w:r>
              <w:rPr>
                <w:bCs/>
                <w:color w:val="000000" w:themeColor="text1"/>
                <w:kern w:val="0"/>
                <w:sz w:val="18"/>
                <w:szCs w:val="18"/>
                <w14:textFill>
                  <w14:solidFill>
                    <w14:schemeClr w14:val="tx1"/>
                  </w14:solidFill>
                </w14:textFill>
              </w:rPr>
              <w:t>PS1</w:t>
            </w:r>
            <w:r>
              <w:rPr>
                <w:rFonts w:hint="eastAsia"/>
                <w:bCs/>
                <w:color w:val="000000" w:themeColor="text1"/>
                <w:kern w:val="0"/>
                <w:sz w:val="18"/>
                <w:szCs w:val="18"/>
                <w14:textFill>
                  <w14:solidFill>
                    <w14:schemeClr w14:val="tx1"/>
                  </w14:solidFill>
                </w14:textFill>
              </w:rPr>
              <w:t>、</w:t>
            </w:r>
            <w:r>
              <w:rPr>
                <w:bCs/>
                <w:color w:val="000000" w:themeColor="text1"/>
                <w:kern w:val="0"/>
                <w:sz w:val="18"/>
                <w:szCs w:val="18"/>
                <w14:textFill>
                  <w14:solidFill>
                    <w14:schemeClr w14:val="tx1"/>
                  </w14:solidFill>
                </w14:textFill>
              </w:rPr>
              <w:t>PS2</w:t>
            </w:r>
          </w:p>
        </w:tc>
        <w:tc>
          <w:tcPr>
            <w:tcW w:w="1687"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1.30</w:t>
            </w:r>
          </w:p>
        </w:tc>
        <w:tc>
          <w:tcPr>
            <w:tcW w:w="1687"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1.25</w:t>
            </w:r>
          </w:p>
        </w:tc>
        <w:tc>
          <w:tcPr>
            <w:tcW w:w="1688"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243"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kern w:val="0"/>
                <w:sz w:val="18"/>
                <w:szCs w:val="18"/>
                <w14:textFill>
                  <w14:solidFill>
                    <w14:schemeClr w14:val="tx1"/>
                  </w14:solidFill>
                </w14:textFill>
              </w:rPr>
            </w:pPr>
          </w:p>
        </w:tc>
        <w:tc>
          <w:tcPr>
            <w:tcW w:w="2000"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弹塑性结构</w:t>
            </w:r>
            <w:r>
              <w:rPr>
                <w:bCs/>
                <w:color w:val="000000" w:themeColor="text1"/>
                <w:kern w:val="0"/>
                <w:sz w:val="18"/>
                <w:szCs w:val="18"/>
                <w14:textFill>
                  <w14:solidFill>
                    <w14:schemeClr w14:val="tx1"/>
                  </w14:solidFill>
                </w14:textFill>
              </w:rPr>
              <w:t>PES</w:t>
            </w:r>
          </w:p>
        </w:tc>
        <w:tc>
          <w:tcPr>
            <w:tcW w:w="1687"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1.15</w:t>
            </w:r>
          </w:p>
        </w:tc>
        <w:tc>
          <w:tcPr>
            <w:tcW w:w="1687"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1.10</w:t>
            </w:r>
          </w:p>
        </w:tc>
        <w:tc>
          <w:tcPr>
            <w:tcW w:w="1688"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243"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kern w:val="0"/>
                <w:sz w:val="18"/>
                <w:szCs w:val="18"/>
                <w14:textFill>
                  <w14:solidFill>
                    <w14:schemeClr w14:val="tx1"/>
                  </w14:solidFill>
                </w14:textFill>
              </w:rPr>
            </w:pPr>
          </w:p>
        </w:tc>
        <w:tc>
          <w:tcPr>
            <w:tcW w:w="2000"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rFonts w:hint="eastAsia"/>
                <w:bCs/>
                <w:color w:val="000000" w:themeColor="text1"/>
                <w:kern w:val="0"/>
                <w:sz w:val="18"/>
                <w:szCs w:val="18"/>
                <w14:textFill>
                  <w14:solidFill>
                    <w14:schemeClr w14:val="tx1"/>
                  </w14:solidFill>
                </w14:textFill>
              </w:rPr>
              <w:t>弹性结构</w:t>
            </w:r>
            <w:r>
              <w:rPr>
                <w:bCs/>
                <w:color w:val="000000" w:themeColor="text1"/>
                <w:kern w:val="0"/>
                <w:sz w:val="18"/>
                <w:szCs w:val="18"/>
                <w14:textFill>
                  <w14:solidFill>
                    <w14:schemeClr w14:val="tx1"/>
                  </w14:solidFill>
                </w14:textFill>
              </w:rPr>
              <w:t>ES1</w:t>
            </w:r>
          </w:p>
        </w:tc>
        <w:tc>
          <w:tcPr>
            <w:tcW w:w="1687"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1.10</w:t>
            </w:r>
          </w:p>
        </w:tc>
        <w:tc>
          <w:tcPr>
            <w:tcW w:w="1687"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1.05</w:t>
            </w:r>
          </w:p>
        </w:tc>
        <w:tc>
          <w:tcPr>
            <w:tcW w:w="1688"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1.0</w:t>
            </w:r>
          </w:p>
        </w:tc>
      </w:tr>
    </w:tbl>
    <w:p>
      <w:pPr>
        <w:spacing w:before="156" w:beforeLines="50" w:line="360" w:lineRule="auto"/>
        <w:ind w:firstLine="420"/>
        <w:rPr>
          <w:rFonts w:cs="Times New Roman"/>
          <w:bCs/>
          <w:color w:val="000000" w:themeColor="text1"/>
          <w:kern w:val="0"/>
          <w:szCs w:val="21"/>
          <w14:textFill>
            <w14:solidFill>
              <w14:schemeClr w14:val="tx1"/>
            </w14:solidFill>
          </w14:textFill>
        </w:rPr>
      </w:pPr>
      <w:r>
        <w:rPr>
          <w:bCs/>
          <w:color w:val="000000" w:themeColor="text1"/>
          <w14:textFill>
            <w14:solidFill>
              <w14:schemeClr w14:val="tx1"/>
            </w14:solidFill>
          </w14:textFill>
        </w:rPr>
        <w:t xml:space="preserve">2 </w:t>
      </w:r>
      <w:r>
        <w:rPr>
          <w:rFonts w:hint="eastAsia"/>
          <w:bCs/>
          <w:color w:val="000000" w:themeColor="text1"/>
          <w:kern w:val="0"/>
          <w:szCs w:val="21"/>
          <w14:textFill>
            <w14:solidFill>
              <w14:schemeClr w14:val="tx1"/>
            </w14:solidFill>
          </w14:textFill>
        </w:rPr>
        <w:t>当格构柱采用插入式柱脚时，应符合下列公式的要求：</w:t>
      </w:r>
    </w:p>
    <w:p>
      <w:pPr>
        <w:spacing w:line="360" w:lineRule="auto"/>
        <w:ind w:firstLine="630" w:firstLineChars="3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）格构柱的插入深度，应满足下式的要求：</w:t>
      </w:r>
    </w:p>
    <w:p>
      <w:pPr>
        <w:spacing w:line="360" w:lineRule="auto"/>
        <w:ind w:left="840" w:firstLine="420"/>
        <w:rPr>
          <w:rFonts w:cs="Times New Roman"/>
          <w:bCs/>
          <w:color w:val="000000" w:themeColor="text1"/>
          <w:szCs w:val="21"/>
          <w14:textFill>
            <w14:solidFill>
              <w14:schemeClr w14:val="tx1"/>
            </w14:solidFill>
          </w14:textFill>
        </w:rPr>
      </w:pPr>
      <w:r>
        <w:rPr>
          <w:rFonts w:hint="eastAsia" w:cs="Times New Roman"/>
          <w:bCs/>
          <w:color w:val="000000" w:themeColor="text1"/>
          <w:szCs w:val="21"/>
          <w14:textFill>
            <w14:solidFill>
              <w14:schemeClr w14:val="tx1"/>
            </w14:solidFill>
          </w14:textFill>
        </w:rPr>
        <w:t>受拉肢：</w:t>
      </w:r>
    </w:p>
    <w:p>
      <w:pPr>
        <w:spacing w:line="360" w:lineRule="auto"/>
        <w:ind w:firstLine="567" w:firstLineChars="270"/>
        <w:jc w:val="right"/>
        <w:rPr>
          <w:bCs/>
          <w:color w:val="000000" w:themeColor="text1"/>
          <w:kern w:val="0"/>
          <w:szCs w:val="21"/>
          <w14:textFill>
            <w14:solidFill>
              <w14:schemeClr w14:val="tx1"/>
            </w14:solidFill>
          </w14:textFill>
        </w:rPr>
      </w:pPr>
      <m:oMath>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N</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E1</m:t>
            </m:r>
            <m:ctrlPr>
              <w:rPr>
                <w:rFonts w:ascii="Cambria Math" w:hAnsi="Cambria Math" w:cs="Times New Roman"/>
                <w:bCs/>
                <w:i/>
                <w:color w:val="000000" w:themeColor="text1"/>
                <w:szCs w:val="20"/>
                <w14:textFill>
                  <w14:solidFill>
                    <w14:schemeClr w14:val="tx1"/>
                  </w14:solidFill>
                </w14:textFill>
              </w:rPr>
            </m:ctrlPr>
          </m:sub>
        </m:sSub>
        <m:r>
          <w:rPr>
            <w:rFonts w:ascii="Cambria Math" w:hAnsi="Cambria Math" w:cs="Times New Roman"/>
            <w:color w:val="000000" w:themeColor="text1"/>
            <w:szCs w:val="20"/>
            <w14:textFill>
              <w14:solidFill>
                <w14:schemeClr w14:val="tx1"/>
              </w14:solidFill>
            </w14:textFill>
          </w:rPr>
          <m:t>≤0.75</m:t>
        </m:r>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t</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Sd</m:t>
        </m:r>
      </m:oMath>
      <w:r>
        <w:rPr>
          <w:bCs/>
          <w:color w:val="000000" w:themeColor="text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（9</w:t>
      </w:r>
      <w:r>
        <w:rPr>
          <w:bCs/>
          <w:color w:val="000000" w:themeColor="text1"/>
          <w:kern w:val="0"/>
          <w:szCs w:val="21"/>
          <w14:textFill>
            <w14:solidFill>
              <w14:schemeClr w14:val="tx1"/>
            </w14:solidFill>
          </w14:textFill>
        </w:rPr>
        <w:t>.2.12-2</w:t>
      </w:r>
      <w:r>
        <w:rPr>
          <w:rFonts w:hint="eastAsia"/>
          <w:bCs/>
          <w:color w:val="000000" w:themeColor="text1"/>
          <w:kern w:val="0"/>
          <w:szCs w:val="21"/>
          <w14:textFill>
            <w14:solidFill>
              <w14:schemeClr w14:val="tx1"/>
            </w14:solidFill>
          </w14:textFill>
        </w:rPr>
        <w:t>）</w:t>
      </w:r>
    </w:p>
    <w:p>
      <w:pPr>
        <w:spacing w:line="360" w:lineRule="auto"/>
        <w:ind w:left="840" w:firstLine="420"/>
        <w:rPr>
          <w:rFonts w:cs="Times New Roman"/>
          <w:bCs/>
          <w:color w:val="000000" w:themeColor="text1"/>
          <w:szCs w:val="21"/>
          <w14:textFill>
            <w14:solidFill>
              <w14:schemeClr w14:val="tx1"/>
            </w14:solidFill>
          </w14:textFill>
        </w:rPr>
      </w:pPr>
      <w:r>
        <w:rPr>
          <w:rFonts w:hint="eastAsia" w:cs="Times New Roman"/>
          <w:bCs/>
          <w:color w:val="000000" w:themeColor="text1"/>
          <w:kern w:val="0"/>
          <w:szCs w:val="21"/>
          <w14:textFill>
            <w14:solidFill>
              <w14:schemeClr w14:val="tx1"/>
            </w14:solidFill>
          </w14:textFill>
        </w:rPr>
        <w:t>受压肢：</w:t>
      </w:r>
    </w:p>
    <w:p>
      <w:pPr>
        <w:widowControl/>
        <w:spacing w:line="360" w:lineRule="auto"/>
        <w:ind w:left="851" w:firstLine="0" w:firstLineChars="0"/>
        <w:jc w:val="right"/>
        <w:rPr>
          <w:rFonts w:cs="Times New Roman"/>
          <w:bCs/>
          <w:color w:val="000000" w:themeColor="text1"/>
          <w:szCs w:val="21"/>
          <w14:textFill>
            <w14:solidFill>
              <w14:schemeClr w14:val="tx1"/>
            </w14:solidFill>
          </w14:textFill>
        </w:rPr>
      </w:pPr>
      <m:oMath>
        <m:sSub>
          <m:sSubPr>
            <m:ctrlPr>
              <w:rPr>
                <w:rFonts w:ascii="Cambria Math" w:hAnsi="Cambria Math" w:cs="Times New Roman"/>
                <w:bCs/>
                <w:i/>
                <w:color w:val="000000" w:themeColor="text1"/>
                <w:szCs w:val="20"/>
                <w14:textFill>
                  <w14:solidFill>
                    <w14:schemeClr w14:val="tx1"/>
                  </w14:solidFill>
                </w14:textFill>
              </w:rPr>
            </m:ctrlPr>
          </m:sSubPr>
          <m:e>
            <m:r>
              <w:rPr>
                <w:rFonts w:ascii="Cambria Math" w:hAnsi="Cambria Math" w:cs="Times New Roman"/>
                <w:color w:val="000000" w:themeColor="text1"/>
                <w:szCs w:val="20"/>
                <w14:textFill>
                  <w14:solidFill>
                    <w14:schemeClr w14:val="tx1"/>
                  </w14:solidFill>
                </w14:textFill>
              </w:rPr>
              <m:t>N</m:t>
            </m:r>
            <m:ctrlPr>
              <w:rPr>
                <w:rFonts w:ascii="Cambria Math" w:hAnsi="Cambria Math" w:cs="Times New Roman"/>
                <w:bCs/>
                <w:i/>
                <w:color w:val="000000" w:themeColor="text1"/>
                <w:szCs w:val="20"/>
                <w14:textFill>
                  <w14:solidFill>
                    <w14:schemeClr w14:val="tx1"/>
                  </w14:solidFill>
                </w14:textFill>
              </w:rPr>
            </m:ctrlPr>
          </m:e>
          <m:sub>
            <m:r>
              <w:rPr>
                <w:rFonts w:ascii="Cambria Math" w:hAnsi="Cambria Math" w:cs="Times New Roman"/>
                <w:color w:val="000000" w:themeColor="text1"/>
                <w:szCs w:val="20"/>
                <w14:textFill>
                  <w14:solidFill>
                    <w14:schemeClr w14:val="tx1"/>
                  </w14:solidFill>
                </w14:textFill>
              </w:rPr>
              <m:t>E2</m:t>
            </m:r>
            <m:ctrlPr>
              <w:rPr>
                <w:rFonts w:ascii="Cambria Math" w:hAnsi="Cambria Math" w:cs="Times New Roman"/>
                <w:bCs/>
                <w:i/>
                <w:color w:val="000000" w:themeColor="text1"/>
                <w:szCs w:val="20"/>
                <w14:textFill>
                  <w14:solidFill>
                    <w14:schemeClr w14:val="tx1"/>
                  </w14:solidFill>
                </w14:textFill>
              </w:rPr>
            </m:ctrlPr>
          </m:sub>
        </m:sSub>
        <m:r>
          <w:rPr>
            <w:rFonts w:ascii="Cambria Math" w:hAnsi="Cambria Math" w:cs="Times New Roman"/>
            <w:color w:val="000000" w:themeColor="text1"/>
            <w:szCs w:val="20"/>
            <w14:textFill>
              <w14:solidFill>
                <w14:schemeClr w14:val="tx1"/>
              </w14:solidFill>
            </w14:textFill>
          </w:rPr>
          <m:t>≤0.75</m:t>
        </m:r>
        <m:sSub>
          <m:sSubPr>
            <m:ctrlPr>
              <w:rPr>
                <w:rFonts w:ascii="Cambria Math" w:hAnsi="Cambria Math" w:cs="Times New Roman"/>
                <w:bCs/>
                <w:i/>
                <w:color w:val="000000" w:themeColor="text1"/>
                <w:szCs w:val="21"/>
                <w14:textFill>
                  <w14:solidFill>
                    <w14:schemeClr w14:val="tx1"/>
                  </w14:solidFill>
                </w14:textFill>
              </w:rPr>
            </m:ctrlPr>
          </m:sSubPr>
          <m:e>
            <m: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t</m:t>
            </m:r>
            <m:ctrlPr>
              <w:rPr>
                <w:rFonts w:ascii="Cambria Math" w:hAnsi="Cambria Math" w:cs="Times New Roman"/>
                <w:bCs/>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Sd+β</m:t>
        </m:r>
        <m:sSub>
          <m:sSubPr>
            <m:ctrlPr>
              <w:rPr>
                <w:rFonts w:ascii="Cambria Math" w:hAnsi="Cambria Math" w:cs="Times New Roman"/>
                <w:bCs/>
                <w:i/>
                <w:color w:val="000000" w:themeColor="text1"/>
                <w:szCs w:val="21"/>
                <w14:textFill>
                  <w14:solidFill>
                    <w14:schemeClr w14:val="tx1"/>
                  </w14:solidFill>
                </w14:textFill>
              </w:rPr>
            </m:ctrlPr>
          </m:sSubPr>
          <m:e>
            <m: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m:t>
            </m:r>
            <m:ctrlPr>
              <w:rPr>
                <w:rFonts w:ascii="Cambria Math" w:hAnsi="Cambria Math" w:cs="Times New Roman"/>
                <w:bCs/>
                <w:i/>
                <w:color w:val="000000" w:themeColor="text1"/>
                <w:szCs w:val="21"/>
                <w14:textFill>
                  <w14:solidFill>
                    <w14:schemeClr w14:val="tx1"/>
                  </w14:solidFill>
                </w14:textFill>
              </w:rPr>
            </m:ctrlPr>
          </m:sub>
        </m:sSub>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m:t>
            </m:r>
            <m:ctrlPr>
              <w:rPr>
                <w:rFonts w:ascii="Cambria Math" w:hAnsi="Cambria Math" w:cs="Times New Roman"/>
                <w:bCs/>
                <w:i/>
                <w:color w:val="000000" w:themeColor="text1"/>
                <w:szCs w:val="21"/>
                <w14:textFill>
                  <w14:solidFill>
                    <w14:schemeClr w14:val="tx1"/>
                  </w14:solidFill>
                </w14:textFill>
              </w:rPr>
            </m:ctrlPr>
          </m:sub>
        </m:sSub>
      </m:oMath>
      <w:r>
        <w:rPr>
          <w:rFonts w:cs="Times New Roman"/>
          <w:bCs/>
          <w:color w:val="000000" w:themeColor="text1"/>
          <w:szCs w:val="21"/>
          <w14:textFill>
            <w14:solidFill>
              <w14:schemeClr w14:val="tx1"/>
            </w14:solidFill>
          </w14:textFill>
        </w:rPr>
        <w:t xml:space="preserve">                  </w:t>
      </w:r>
      <w:r>
        <w:rPr>
          <w:rFonts w:hint="eastAsia" w:cs="Times New Roman"/>
          <w:bCs/>
          <w:color w:val="000000" w:themeColor="text1"/>
          <w:szCs w:val="21"/>
          <w14:textFill>
            <w14:solidFill>
              <w14:schemeClr w14:val="tx1"/>
            </w14:solidFill>
          </w14:textFill>
        </w:rPr>
        <w:t>（9</w:t>
      </w:r>
      <w:r>
        <w:rPr>
          <w:rFonts w:cs="Times New Roman"/>
          <w:bCs/>
          <w:color w:val="000000" w:themeColor="text1"/>
          <w:szCs w:val="21"/>
          <w14:textFill>
            <w14:solidFill>
              <w14:schemeClr w14:val="tx1"/>
            </w14:solidFill>
          </w14:textFill>
        </w:rPr>
        <w:t>.2.12-3</w:t>
      </w:r>
      <w:r>
        <w:rPr>
          <w:rFonts w:hint="eastAsia" w:cs="Times New Roman"/>
          <w:bCs/>
          <w:color w:val="000000" w:themeColor="text1"/>
          <w:szCs w:val="21"/>
          <w14:textFill>
            <w14:solidFill>
              <w14:schemeClr w14:val="tx1"/>
            </w14:solidFill>
          </w14:textFill>
        </w:rPr>
        <w:t>）</w:t>
      </w:r>
    </w:p>
    <w:p>
      <w:pPr>
        <w:widowControl/>
        <w:spacing w:line="360" w:lineRule="auto"/>
        <w:ind w:firstLine="485" w:firstLineChars="231"/>
        <w:jc w:val="right"/>
        <w:rPr>
          <w:bCs/>
          <w:color w:val="000000" w:themeColor="text1"/>
          <w:szCs w:val="21"/>
          <w14:textFill>
            <w14:solidFill>
              <w14:schemeClr w14:val="tx1"/>
            </w14:solidFill>
          </w14:textFill>
        </w:rPr>
      </w:pPr>
      <m:oMath>
        <m:r>
          <w:rPr>
            <w:rFonts w:ascii="Cambria Math" w:hAnsi="Cambria Math"/>
            <w:color w:val="000000" w:themeColor="text1"/>
            <w:szCs w:val="21"/>
            <w14:textFill>
              <w14:solidFill>
                <w14:schemeClr w14:val="tx1"/>
              </w14:solidFill>
            </w14:textFill>
          </w:rPr>
          <m:t>β=</m:t>
        </m:r>
        <m:rad>
          <m:radPr>
            <m:degHide m:val="1"/>
            <m:ctrlPr>
              <w:rPr>
                <w:rFonts w:ascii="Cambria Math" w:hAnsi="Cambria Math"/>
                <w:bCs/>
                <w:i/>
                <w:color w:val="000000" w:themeColor="text1"/>
                <w:szCs w:val="21"/>
                <w14:textFill>
                  <w14:solidFill>
                    <w14:schemeClr w14:val="tx1"/>
                  </w14:solidFill>
                </w14:textFill>
              </w:rPr>
            </m:ctrlPr>
          </m:radPr>
          <m:deg>
            <m:ctrlPr>
              <w:rPr>
                <w:rFonts w:ascii="Cambria Math" w:hAnsi="Cambria Math"/>
                <w:bCs/>
                <w:i/>
                <w:color w:val="000000" w:themeColor="text1"/>
                <w:szCs w:val="21"/>
                <w14:textFill>
                  <w14:solidFill>
                    <w14:schemeClr w14:val="tx1"/>
                  </w14:solidFill>
                </w14:textFill>
              </w:rPr>
            </m:ctrlPr>
          </m:deg>
          <m:e>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d</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A</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c</m:t>
                </m:r>
                <m:ctrlPr>
                  <w:rPr>
                    <w:rFonts w:ascii="Cambria Math" w:hAnsi="Cambria Math" w:cs="Times New Roman"/>
                    <w:bCs/>
                    <w:i/>
                    <w:color w:val="000000" w:themeColor="text1"/>
                    <w:szCs w:val="21"/>
                    <w14:textFill>
                      <w14:solidFill>
                        <w14:schemeClr w14:val="tx1"/>
                      </w14:solidFill>
                    </w14:textFill>
                  </w:rPr>
                </m:ctrlPr>
              </m:sub>
            </m:sSub>
            <m:ctrlPr>
              <w:rPr>
                <w:rFonts w:ascii="Cambria Math" w:hAnsi="Cambria Math"/>
                <w:bCs/>
                <w:i/>
                <w:color w:val="000000" w:themeColor="text1"/>
                <w:szCs w:val="21"/>
                <w14:textFill>
                  <w14:solidFill>
                    <w14:schemeClr w14:val="tx1"/>
                  </w14:solidFill>
                </w14:textFill>
              </w:rPr>
            </m:ctrlPr>
          </m:e>
        </m:rad>
      </m:oMath>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.2.12-4</w:t>
      </w:r>
      <w:r>
        <w:rPr>
          <w:rFonts w:hint="eastAsia"/>
          <w:bCs/>
          <w:color w:val="000000" w:themeColor="text1"/>
          <w:szCs w:val="21"/>
          <w14:textFill>
            <w14:solidFill>
              <w14:schemeClr w14:val="tx1"/>
            </w14:solidFill>
          </w14:textFill>
        </w:rPr>
        <w:t>）</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式中：</w:t>
      </w:r>
      <w:r>
        <w:rPr>
          <w:bCs/>
          <w:color w:val="000000" w:themeColor="text1"/>
          <w14:textFill>
            <w14:solidFill>
              <w14:schemeClr w14:val="tx1"/>
            </w14:solidFill>
          </w14:textFill>
        </w:rPr>
        <w:t>N</w:t>
      </w:r>
      <w:r>
        <w:rPr>
          <w:bCs/>
          <w:color w:val="000000" w:themeColor="text1"/>
          <w:vertAlign w:val="subscript"/>
          <w14:textFill>
            <w14:solidFill>
              <w14:schemeClr w14:val="tx1"/>
            </w14:solidFill>
          </w14:textFill>
        </w:rPr>
        <w:t>E1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N</w:t>
      </w:r>
      <w:r>
        <w:rPr>
          <w:bCs/>
          <w:color w:val="000000" w:themeColor="text1"/>
          <w:vertAlign w:val="subscript"/>
          <w14:textFill>
            <w14:solidFill>
              <w14:schemeClr w14:val="tx1"/>
            </w14:solidFill>
          </w14:textFill>
        </w:rPr>
        <w:t>E2</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分别为格构柱</w:t>
      </w:r>
      <w:r>
        <w:rPr>
          <w:rFonts w:hint="eastAsia"/>
          <w:bCs/>
          <w:color w:val="000000" w:themeColor="text1"/>
          <w:szCs w:val="21"/>
          <w14:textFill>
            <w14:solidFill>
              <w14:schemeClr w14:val="tx1"/>
            </w14:solidFill>
          </w14:textFill>
        </w:rPr>
        <w:t>受</w:t>
      </w:r>
      <w:r>
        <w:rPr>
          <w:rFonts w:hint="eastAsia"/>
          <w:bCs/>
          <w:color w:val="000000" w:themeColor="text1"/>
          <w14:textFill>
            <w14:solidFill>
              <w14:schemeClr w14:val="tx1"/>
            </w14:solidFill>
          </w14:textFill>
        </w:rPr>
        <w:t>拉肢、受压肢的地震组合最大轴力设计值；</w:t>
      </w:r>
    </w:p>
    <w:p>
      <w:pPr>
        <w:autoSpaceDE w:val="0"/>
        <w:autoSpaceDN w:val="0"/>
        <w:spacing w:line="360" w:lineRule="auto"/>
        <w:ind w:firstLine="619" w:firstLineChars="295"/>
        <w:rPr>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t</m:t>
            </m:r>
            <m:ctrlPr>
              <w:rPr>
                <w:rFonts w:ascii="Cambria Math" w:hAnsi="Cambria Math"/>
                <w:bCs/>
                <w:i/>
                <w:color w:val="000000" w:themeColor="text1"/>
                <w:szCs w:val="21"/>
                <w14:textFill>
                  <w14:solidFill>
                    <w14:schemeClr w14:val="tx1"/>
                  </w14:solidFill>
                </w14:textFill>
              </w:rPr>
            </m:ctrlPr>
          </m:sub>
        </m:sSub>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基础混凝土抗拉强度设计值；</w:t>
      </w:r>
    </w:p>
    <w:p>
      <w:pPr>
        <w:autoSpaceDE w:val="0"/>
        <w:autoSpaceDN w:val="0"/>
        <w:spacing w:line="360" w:lineRule="auto"/>
        <w:ind w:firstLine="619" w:firstLineChars="2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S——</w:t>
      </w:r>
      <w:r>
        <w:rPr>
          <w:rFonts w:hint="eastAsia"/>
          <w:bCs/>
          <w:color w:val="000000" w:themeColor="text1"/>
          <w:szCs w:val="21"/>
          <w14:textFill>
            <w14:solidFill>
              <w14:schemeClr w14:val="tx1"/>
            </w14:solidFill>
          </w14:textFill>
        </w:rPr>
        <w:t>插入段实腹柱截面的周长；</w:t>
      </w:r>
    </w:p>
    <w:p>
      <w:pPr>
        <w:autoSpaceDE w:val="0"/>
        <w:autoSpaceDN w:val="0"/>
        <w:spacing w:line="360" w:lineRule="auto"/>
        <w:ind w:firstLine="619" w:firstLineChars="2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d——</w:t>
      </w:r>
      <w:r>
        <w:rPr>
          <w:rFonts w:hint="eastAsia"/>
          <w:bCs/>
          <w:color w:val="000000" w:themeColor="text1"/>
          <w:szCs w:val="21"/>
          <w14:textFill>
            <w14:solidFill>
              <w14:schemeClr w14:val="tx1"/>
            </w14:solidFill>
          </w14:textFill>
        </w:rPr>
        <w:t>柱肢插入深度；</w:t>
      </w:r>
    </w:p>
    <w:p>
      <w:pPr>
        <w:autoSpaceDE w:val="0"/>
        <w:autoSpaceDN w:val="0"/>
        <w:spacing w:line="360" w:lineRule="auto"/>
        <w:ind w:firstLine="619" w:firstLineChars="295"/>
        <w:rPr>
          <w:bCs/>
          <w:color w:val="000000" w:themeColor="text1"/>
          <w:szCs w:val="21"/>
          <w14:textFill>
            <w14:solidFill>
              <w14:schemeClr w14:val="tx1"/>
            </w14:solidFill>
          </w14:textFill>
        </w:rPr>
      </w:pPr>
      <m:oMath>
        <m:r>
          <w:rPr>
            <w:rFonts w:ascii="Cambria Math" w:hAnsi="Cambria Math"/>
            <w:color w:val="000000" w:themeColor="text1"/>
            <w:szCs w:val="21"/>
            <w14:textFill>
              <w14:solidFill>
                <w14:schemeClr w14:val="tx1"/>
              </w14:solidFill>
            </w14:textFill>
          </w:rPr>
          <m:t>β</m:t>
        </m:r>
      </m:oMath>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混凝土局部受压的强度提高系数；</w:t>
      </w:r>
    </w:p>
    <w:p>
      <w:pPr>
        <w:autoSpaceDE w:val="0"/>
        <w:autoSpaceDN w:val="0"/>
        <w:spacing w:line="360" w:lineRule="auto"/>
        <w:ind w:firstLine="619" w:firstLineChars="2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A</w:t>
      </w:r>
      <w:r>
        <w:rPr>
          <w:bCs/>
          <w:color w:val="000000" w:themeColor="text1"/>
          <w:szCs w:val="21"/>
          <w:vertAlign w:val="subscript"/>
          <w14:textFill>
            <w14:solidFill>
              <w14:schemeClr w14:val="tx1"/>
            </w14:solidFill>
          </w14:textFill>
        </w:rPr>
        <w:t>c</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柱肢底板面积，无底板时取</w:t>
      </w:r>
      <w:r>
        <w:rPr>
          <w:bCs/>
          <w:color w:val="000000" w:themeColor="text1"/>
          <w:szCs w:val="21"/>
          <w14:textFill>
            <w14:solidFill>
              <w14:schemeClr w14:val="tx1"/>
            </w14:solidFill>
          </w14:textFill>
        </w:rPr>
        <w:t>0</w:t>
      </w:r>
      <w:r>
        <w:rPr>
          <w:rFonts w:hint="eastAsia"/>
          <w:bCs/>
          <w:color w:val="000000" w:themeColor="text1"/>
          <w:szCs w:val="21"/>
          <w14:textFill>
            <w14:solidFill>
              <w14:schemeClr w14:val="tx1"/>
            </w14:solidFill>
          </w14:textFill>
        </w:rPr>
        <w:t>；</w:t>
      </w:r>
    </w:p>
    <w:p>
      <w:pPr>
        <w:autoSpaceDE w:val="0"/>
        <w:autoSpaceDN w:val="0"/>
        <w:spacing w:line="360" w:lineRule="auto"/>
        <w:ind w:firstLine="619" w:firstLineChars="2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A</w:t>
      </w:r>
      <w:r>
        <w:rPr>
          <w:bCs/>
          <w:color w:val="000000" w:themeColor="text1"/>
          <w:szCs w:val="21"/>
          <w:vertAlign w:val="subscript"/>
          <w14:textFill>
            <w14:solidFill>
              <w14:schemeClr w14:val="tx1"/>
            </w14:solidFill>
          </w14:textFill>
        </w:rPr>
        <w:t>d</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局部承压的计算面积。</w:t>
      </w:r>
    </w:p>
    <w:p>
      <w:pPr>
        <w:spacing w:before="156" w:beforeLines="50" w:line="400" w:lineRule="exact"/>
        <w:ind w:firstLine="630" w:firstLineChars="300"/>
        <w:rPr>
          <w:rFonts w:cs="Times New Roman"/>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w:t>
      </w:r>
      <w:r>
        <w:rPr>
          <w:rFonts w:hint="eastAsia"/>
          <w:bCs/>
          <w:color w:val="000000" w:themeColor="text1"/>
          <w:kern w:val="0"/>
          <w:szCs w:val="21"/>
          <w14:textFill>
            <w14:solidFill>
              <w14:schemeClr w14:val="tx1"/>
            </w14:solidFill>
          </w14:textFill>
        </w:rPr>
        <w:t>受</w:t>
      </w:r>
      <w:r>
        <w:rPr>
          <w:rFonts w:hint="eastAsia"/>
          <w:bCs/>
          <w:color w:val="000000" w:themeColor="text1"/>
          <w:szCs w:val="21"/>
          <w14:textFill>
            <w14:solidFill>
              <w14:schemeClr w14:val="tx1"/>
            </w14:solidFill>
          </w14:textFill>
        </w:rPr>
        <w:t>拉肢和受压肢，应按下列公式验算基础的冲切强度：</w:t>
      </w:r>
    </w:p>
    <w:p>
      <w:pPr>
        <w:wordWrap w:val="0"/>
        <w:spacing w:after="120" w:line="480" w:lineRule="auto"/>
        <w:ind w:left="420" w:leftChars="200" w:firstLine="420"/>
        <w:jc w:val="right"/>
        <w:rPr>
          <w:rFonts w:cs="Times New Roman"/>
          <w:bCs/>
          <w:color w:val="000000" w:themeColor="text1"/>
          <w:szCs w:val="21"/>
          <w14:textFill>
            <w14:solidFill>
              <w14:schemeClr w14:val="tx1"/>
            </w14:solidFill>
          </w14:textFill>
        </w:rPr>
      </w:pPr>
      <m:oMath>
        <m:f>
          <m:fPr>
            <m:ctrlPr>
              <w:rPr>
                <w:rFonts w:ascii="Cambria Math" w:hAnsi="Cambria Math" w:cs="Times New Roman"/>
                <w:bCs/>
                <w:i/>
                <w:color w:val="000000" w:themeColor="text1"/>
                <w:szCs w:val="21"/>
                <w14:textFill>
                  <w14:solidFill>
                    <w14:schemeClr w14:val="tx1"/>
                  </w14:solidFill>
                </w14:textFill>
              </w:rPr>
            </m:ctrlPr>
          </m:fPr>
          <m:num>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E1</m:t>
                </m:r>
                <m:ctrlPr>
                  <w:rPr>
                    <w:rFonts w:ascii="Cambria Math" w:hAnsi="Cambria Math" w:cs="Times New Roman"/>
                    <w:bCs/>
                    <w:i/>
                    <w:color w:val="000000" w:themeColor="text1"/>
                    <w:szCs w:val="21"/>
                    <w14:textFill>
                      <w14:solidFill>
                        <w14:schemeClr w14:val="tx1"/>
                      </w14:solidFill>
                    </w14:textFill>
                  </w:rPr>
                </m:ctrlPr>
              </m:sub>
            </m:sSub>
            <m:ctrlPr>
              <w:rPr>
                <w:rFonts w:ascii="Cambria Math" w:hAnsi="Cambria Math" w:cs="Times New Roman"/>
                <w:bCs/>
                <w:i/>
                <w:color w:val="000000" w:themeColor="text1"/>
                <w:szCs w:val="21"/>
                <w14:textFill>
                  <w14:solidFill>
                    <w14:schemeClr w14:val="tx1"/>
                  </w14:solidFill>
                </w14:textFill>
              </w:rPr>
            </m:ctrlPr>
          </m:num>
          <m:den>
            <m:r>
              <w:rPr>
                <w:rFonts w:ascii="Cambria Math" w:hAnsi="Cambria Math" w:cs="Times New Roman"/>
                <w:color w:val="000000" w:themeColor="text1"/>
                <w:szCs w:val="21"/>
                <w14:textFill>
                  <w14:solidFill>
                    <w14:schemeClr w14:val="tx1"/>
                  </w14:solidFill>
                </w14:textFill>
              </w:rPr>
              <m:t>0.6</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μ</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bCs/>
                    <w:i/>
                    <w:color w:val="000000" w:themeColor="text1"/>
                    <w:szCs w:val="21"/>
                    <w14:textFill>
                      <w14:solidFill>
                        <w14:schemeClr w14:val="tx1"/>
                      </w14:solidFill>
                    </w14:textFill>
                  </w:rPr>
                </m:ctrlPr>
              </m:sub>
            </m:sSub>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h</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01</m:t>
                </m:r>
                <m:ctrlPr>
                  <w:rPr>
                    <w:rFonts w:ascii="Cambria Math" w:hAnsi="Cambria Math" w:cs="Times New Roman"/>
                    <w:bCs/>
                    <w:i/>
                    <w:color w:val="000000" w:themeColor="text1"/>
                    <w:szCs w:val="21"/>
                    <w14:textFill>
                      <w14:solidFill>
                        <w14:schemeClr w14:val="tx1"/>
                      </w14:solidFill>
                    </w14:textFill>
                  </w:rPr>
                </m:ctrlPr>
              </m:sub>
            </m:sSub>
            <m:ctrlPr>
              <w:rPr>
                <w:rFonts w:ascii="Cambria Math" w:hAnsi="Cambria Math" w:cs="Times New Roman"/>
                <w:bCs/>
                <w:i/>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bCs/>
                <w:i/>
                <w:color w:val="000000" w:themeColor="text1"/>
                <w:sz w:val="24"/>
                <w:szCs w:val="21"/>
                <w14:textFill>
                  <w14:solidFill>
                    <w14:schemeClr w14:val="tx1"/>
                  </w14:solidFill>
                </w14:textFill>
              </w:rPr>
            </m:ctrlPr>
          </m:sSubPr>
          <m:e>
            <m:r>
              <w:rPr>
                <w:rFonts w:hint="eastAsia" w:ascii="Cambria Math" w:hAnsi="Cambria Math" w:cs="Times New Roman"/>
                <w:color w:val="000000" w:themeColor="text1"/>
                <w:sz w:val="24"/>
                <w:szCs w:val="21"/>
                <w14:textFill>
                  <w14:solidFill>
                    <w14:schemeClr w14:val="tx1"/>
                  </w14:solidFill>
                </w14:textFill>
              </w:rPr>
              <m:t>ƒ</m:t>
            </m:r>
            <m:ctrlPr>
              <w:rPr>
                <w:rFonts w:ascii="Cambria Math" w:hAnsi="Cambria Math" w:cs="Times New Roman"/>
                <w:bCs/>
                <w:i/>
                <w:color w:val="000000" w:themeColor="text1"/>
                <w:sz w:val="24"/>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t</m:t>
            </m:r>
            <m:ctrlPr>
              <w:rPr>
                <w:rFonts w:ascii="Cambria Math" w:hAnsi="Cambria Math" w:cs="Times New Roman"/>
                <w:bCs/>
                <w:i/>
                <w:color w:val="000000" w:themeColor="text1"/>
                <w:sz w:val="24"/>
                <w:szCs w:val="21"/>
                <w14:textFill>
                  <w14:solidFill>
                    <w14:schemeClr w14:val="tx1"/>
                  </w14:solidFill>
                </w14:textFill>
              </w:rPr>
            </m:ctrlPr>
          </m:sub>
        </m:sSub>
      </m:oMath>
      <w:r>
        <w:rPr>
          <w:rFonts w:cs="Times New Roman"/>
          <w:bCs/>
          <w:color w:val="000000" w:themeColor="text1"/>
          <w:szCs w:val="21"/>
          <w14:textFill>
            <w14:solidFill>
              <w14:schemeClr w14:val="tx1"/>
            </w14:solidFill>
          </w14:textFill>
        </w:rPr>
        <w:t xml:space="preserve">                     </w:t>
      </w:r>
      <w:r>
        <w:rPr>
          <w:rFonts w:hint="eastAsia" w:cs="Times New Roman"/>
          <w:bCs/>
          <w:color w:val="000000" w:themeColor="text1"/>
          <w:szCs w:val="21"/>
          <w14:textFill>
            <w14:solidFill>
              <w14:schemeClr w14:val="tx1"/>
            </w14:solidFill>
          </w14:textFill>
        </w:rPr>
        <w:t>（9</w:t>
      </w:r>
      <w:r>
        <w:rPr>
          <w:rFonts w:cs="Times New Roman"/>
          <w:bCs/>
          <w:color w:val="000000" w:themeColor="text1"/>
          <w:szCs w:val="21"/>
          <w14:textFill>
            <w14:solidFill>
              <w14:schemeClr w14:val="tx1"/>
            </w14:solidFill>
          </w14:textFill>
        </w:rPr>
        <w:t>.</w:t>
      </w:r>
      <w:r>
        <w:rPr>
          <w:rFonts w:cs="Times New Roman"/>
          <w:bCs/>
          <w:color w:val="000000" w:themeColor="text1"/>
          <w:kern w:val="0"/>
          <w:szCs w:val="21"/>
          <w14:textFill>
            <w14:solidFill>
              <w14:schemeClr w14:val="tx1"/>
            </w14:solidFill>
          </w14:textFill>
        </w:rPr>
        <w:t>2.12</w:t>
      </w:r>
      <w:r>
        <w:rPr>
          <w:rFonts w:cs="Times New Roman"/>
          <w:bCs/>
          <w:color w:val="000000" w:themeColor="text1"/>
          <w:szCs w:val="21"/>
          <w14:textFill>
            <w14:solidFill>
              <w14:schemeClr w14:val="tx1"/>
            </w14:solidFill>
          </w14:textFill>
        </w:rPr>
        <w:t>-5</w:t>
      </w:r>
      <w:r>
        <w:rPr>
          <w:rFonts w:hint="eastAsia" w:cs="Times New Roman"/>
          <w:bCs/>
          <w:color w:val="000000" w:themeColor="text1"/>
          <w:szCs w:val="21"/>
          <w14:textFill>
            <w14:solidFill>
              <w14:schemeClr w14:val="tx1"/>
            </w14:solidFill>
          </w14:textFill>
        </w:rPr>
        <w:t>）</w:t>
      </w:r>
    </w:p>
    <w:p>
      <w:pPr>
        <w:spacing w:after="120" w:line="480" w:lineRule="auto"/>
        <w:ind w:left="420" w:leftChars="200" w:firstLine="420"/>
        <w:jc w:val="right"/>
        <w:rPr>
          <w:rFonts w:cs="Times New Roman"/>
          <w:bCs/>
          <w:color w:val="000000" w:themeColor="text1"/>
          <w:szCs w:val="21"/>
          <w14:textFill>
            <w14:solidFill>
              <w14:schemeClr w14:val="tx1"/>
            </w14:solidFill>
          </w14:textFill>
        </w:rPr>
      </w:pPr>
      <m:oMath>
        <m:f>
          <m:fPr>
            <m:ctrlPr>
              <w:rPr>
                <w:rFonts w:ascii="Cambria Math" w:hAnsi="Cambria Math" w:cs="Times New Roman"/>
                <w:bCs/>
                <w:i/>
                <w:color w:val="000000" w:themeColor="text1"/>
                <w:szCs w:val="21"/>
                <w14:textFill>
                  <w14:solidFill>
                    <w14:schemeClr w14:val="tx1"/>
                  </w14:solidFill>
                </w14:textFill>
              </w:rPr>
            </m:ctrlPr>
          </m:fPr>
          <m:num>
            <m:r>
              <w:rPr>
                <w:rFonts w:ascii="Cambria Math" w:hAnsi="Cambria Math" w:cs="Times New Roman"/>
                <w:color w:val="000000" w:themeColor="text1"/>
                <w:szCs w:val="21"/>
                <w14:textFill>
                  <w14:solidFill>
                    <w14:schemeClr w14:val="tx1"/>
                  </w14:solidFill>
                </w14:textFill>
              </w:rPr>
              <m:t xml:space="preserve"> </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E2</m:t>
                </m:r>
                <m:ctrlPr>
                  <w:rPr>
                    <w:rFonts w:ascii="Cambria Math" w:hAnsi="Cambria Math" w:cs="Times New Roman"/>
                    <w:bCs/>
                    <w:i/>
                    <w:color w:val="000000" w:themeColor="text1"/>
                    <w:szCs w:val="21"/>
                    <w14:textFill>
                      <w14:solidFill>
                        <w14:schemeClr w14:val="tx1"/>
                      </w14:solidFill>
                    </w14:textFill>
                  </w:rPr>
                </m:ctrlPr>
              </m:sub>
            </m:sSub>
            <m:ctrlPr>
              <w:rPr>
                <w:rFonts w:ascii="Cambria Math" w:hAnsi="Cambria Math" w:cs="Times New Roman"/>
                <w:bCs/>
                <w:i/>
                <w:color w:val="000000" w:themeColor="text1"/>
                <w:szCs w:val="21"/>
                <w14:textFill>
                  <w14:solidFill>
                    <w14:schemeClr w14:val="tx1"/>
                  </w14:solidFill>
                </w14:textFill>
              </w:rPr>
            </m:ctrlPr>
          </m:num>
          <m:den>
            <m:r>
              <w:rPr>
                <w:rFonts w:ascii="Cambria Math" w:hAnsi="Cambria Math" w:cs="Times New Roman"/>
                <w:color w:val="000000" w:themeColor="text1"/>
                <w:szCs w:val="21"/>
                <w14:textFill>
                  <w14:solidFill>
                    <w14:schemeClr w14:val="tx1"/>
                  </w14:solidFill>
                </w14:textFill>
              </w:rPr>
              <m:t>0.6</m:t>
            </m:r>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μ</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bCs/>
                    <w:i/>
                    <w:color w:val="000000" w:themeColor="text1"/>
                    <w:szCs w:val="21"/>
                    <w14:textFill>
                      <w14:solidFill>
                        <w14:schemeClr w14:val="tx1"/>
                      </w14:solidFill>
                    </w14:textFill>
                  </w:rPr>
                </m:ctrlPr>
              </m:sub>
            </m:sSub>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h</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02</m:t>
                </m:r>
                <m:ctrlPr>
                  <w:rPr>
                    <w:rFonts w:ascii="Cambria Math" w:hAnsi="Cambria Math" w:cs="Times New Roman"/>
                    <w:bCs/>
                    <w:i/>
                    <w:color w:val="000000" w:themeColor="text1"/>
                    <w:szCs w:val="21"/>
                    <w14:textFill>
                      <w14:solidFill>
                        <w14:schemeClr w14:val="tx1"/>
                      </w14:solidFill>
                    </w14:textFill>
                  </w:rPr>
                </m:ctrlPr>
              </m:sub>
            </m:sSub>
            <m:ctrlPr>
              <w:rPr>
                <w:rFonts w:ascii="Cambria Math" w:hAnsi="Cambria Math" w:cs="Times New Roman"/>
                <w:bCs/>
                <w:i/>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bCs/>
                <w:i/>
                <w:color w:val="000000" w:themeColor="text1"/>
                <w:sz w:val="24"/>
                <w:szCs w:val="21"/>
                <w14:textFill>
                  <w14:solidFill>
                    <w14:schemeClr w14:val="tx1"/>
                  </w14:solidFill>
                </w14:textFill>
              </w:rPr>
            </m:ctrlPr>
          </m:sSubPr>
          <m:e>
            <m:r>
              <w:rPr>
                <w:rFonts w:hint="eastAsia" w:ascii="Cambria Math" w:hAnsi="Cambria Math" w:cs="Times New Roman"/>
                <w:color w:val="000000" w:themeColor="text1"/>
                <w:sz w:val="24"/>
                <w:szCs w:val="21"/>
                <w14:textFill>
                  <w14:solidFill>
                    <w14:schemeClr w14:val="tx1"/>
                  </w14:solidFill>
                </w14:textFill>
              </w:rPr>
              <m:t>ƒ</m:t>
            </m:r>
            <m:ctrlPr>
              <w:rPr>
                <w:rFonts w:ascii="Cambria Math" w:hAnsi="Cambria Math" w:cs="Times New Roman"/>
                <w:bCs/>
                <w:i/>
                <w:color w:val="000000" w:themeColor="text1"/>
                <w:sz w:val="24"/>
                <w:szCs w:val="21"/>
                <w14:textFill>
                  <w14:solidFill>
                    <w14:schemeClr w14:val="tx1"/>
                  </w14:solidFill>
                </w14:textFill>
              </w:rPr>
            </m:ctrlPr>
          </m:e>
          <m:sub>
            <m:r>
              <w:rPr>
                <w:rFonts w:ascii="Cambria Math" w:hAnsi="Cambria Math" w:cs="Times New Roman"/>
                <w:color w:val="000000" w:themeColor="text1"/>
                <w:sz w:val="24"/>
                <w:szCs w:val="21"/>
                <w14:textFill>
                  <w14:solidFill>
                    <w14:schemeClr w14:val="tx1"/>
                  </w14:solidFill>
                </w14:textFill>
              </w:rPr>
              <m:t>t</m:t>
            </m:r>
            <m:ctrlPr>
              <w:rPr>
                <w:rFonts w:ascii="Cambria Math" w:hAnsi="Cambria Math" w:cs="Times New Roman"/>
                <w:bCs/>
                <w:i/>
                <w:color w:val="000000" w:themeColor="text1"/>
                <w:sz w:val="24"/>
                <w:szCs w:val="21"/>
                <w14:textFill>
                  <w14:solidFill>
                    <w14:schemeClr w14:val="tx1"/>
                  </w14:solidFill>
                </w14:textFill>
              </w:rPr>
            </m:ctrlPr>
          </m:sub>
        </m:sSub>
      </m:oMath>
      <w:r>
        <w:rPr>
          <w:rFonts w:cs="Times New Roman"/>
          <w:bCs/>
          <w:color w:val="000000" w:themeColor="text1"/>
          <w:szCs w:val="21"/>
          <w14:textFill>
            <w14:solidFill>
              <w14:schemeClr w14:val="tx1"/>
            </w14:solidFill>
          </w14:textFill>
        </w:rPr>
        <w:t xml:space="preserve">                    </w:t>
      </w:r>
      <w:r>
        <w:rPr>
          <w:rFonts w:hint="eastAsia" w:cs="Times New Roman"/>
          <w:bCs/>
          <w:color w:val="000000" w:themeColor="text1"/>
          <w:szCs w:val="21"/>
          <w14:textFill>
            <w14:solidFill>
              <w14:schemeClr w14:val="tx1"/>
            </w14:solidFill>
          </w14:textFill>
        </w:rPr>
        <w:t>（9</w:t>
      </w:r>
      <w:r>
        <w:rPr>
          <w:rFonts w:cs="Times New Roman"/>
          <w:bCs/>
          <w:color w:val="000000" w:themeColor="text1"/>
          <w:szCs w:val="21"/>
          <w14:textFill>
            <w14:solidFill>
              <w14:schemeClr w14:val="tx1"/>
            </w14:solidFill>
          </w14:textFill>
        </w:rPr>
        <w:t>.2.12-6</w:t>
      </w:r>
      <w:r>
        <w:rPr>
          <w:rFonts w:hint="eastAsia" w:cs="Times New Roman"/>
          <w:bCs/>
          <w:color w:val="000000" w:themeColor="text1"/>
          <w:szCs w:val="21"/>
          <w14:textFill>
            <w14:solidFill>
              <w14:schemeClr w14:val="tx1"/>
            </w14:solidFill>
          </w14:textFill>
        </w:rPr>
        <w:t>）</w:t>
      </w:r>
    </w:p>
    <w:p>
      <w:pPr>
        <w:spacing w:line="400" w:lineRule="exact"/>
        <w:ind w:firstLine="199" w:firstLineChars="95"/>
        <w:rPr>
          <w:bCs/>
          <w:color w:val="000000" w:themeColor="text1"/>
          <w14:textFill>
            <w14:solidFill>
              <w14:schemeClr w14:val="tx1"/>
            </w14:solidFill>
          </w14:textFill>
        </w:rPr>
      </w:pPr>
      <w:r>
        <w:rPr>
          <w:rFonts w:hint="eastAsia"/>
          <w:bCs/>
          <w:color w:val="000000" w:themeColor="text1"/>
          <w:szCs w:val="21"/>
          <w14:textFill>
            <w14:solidFill>
              <w14:schemeClr w14:val="tx1"/>
            </w14:solidFill>
          </w14:textFill>
        </w:rPr>
        <w:t>式</w:t>
      </w:r>
      <w:r>
        <w:rPr>
          <w:rFonts w:hint="eastAsia"/>
          <w:bCs/>
          <w:color w:val="000000" w:themeColor="text1"/>
          <w14:textFill>
            <w14:solidFill>
              <w14:schemeClr w14:val="tx1"/>
            </w14:solidFill>
          </w14:textFill>
        </w:rPr>
        <w:t>中：</w:t>
      </w:r>
    </w:p>
    <w:p>
      <w:pPr>
        <w:spacing w:line="400" w:lineRule="exact"/>
        <w:ind w:firstLine="619" w:firstLineChars="295"/>
        <w:rPr>
          <w:bCs/>
          <w:color w:val="000000" w:themeColor="text1"/>
          <w:szCs w:val="20"/>
          <w14:textFill>
            <w14:solidFill>
              <w14:schemeClr w14:val="tx1"/>
            </w14:solidFill>
          </w14:textFill>
        </w:rPr>
      </w:pPr>
      <w:r>
        <w:rPr>
          <w:bCs/>
          <w:color w:val="000000" w:themeColor="text1"/>
          <w14:textFill>
            <w14:solidFill>
              <w14:schemeClr w14:val="tx1"/>
            </w14:solidFill>
          </w14:textFill>
        </w:rPr>
        <w:t>h</w:t>
      </w:r>
      <w:r>
        <w:rPr>
          <w:bCs/>
          <w:color w:val="000000" w:themeColor="text1"/>
          <w:vertAlign w:val="subscript"/>
          <w14:textFill>
            <w14:solidFill>
              <w14:schemeClr w14:val="tx1"/>
            </w14:solidFill>
          </w14:textFill>
        </w:rPr>
        <w:t>01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h</w:t>
      </w:r>
      <w:r>
        <w:rPr>
          <w:bCs/>
          <w:color w:val="000000" w:themeColor="text1"/>
          <w:vertAlign w:val="subscript"/>
          <w14:textFill>
            <w14:solidFill>
              <w14:schemeClr w14:val="tx1"/>
            </w14:solidFill>
          </w14:textFill>
        </w:rPr>
        <w:t>02</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冲切的计算高度，按图9</w:t>
      </w:r>
      <w:r>
        <w:rPr>
          <w:bCs/>
          <w:color w:val="000000" w:themeColor="text1"/>
          <w14:textFill>
            <w14:solidFill>
              <w14:schemeClr w14:val="tx1"/>
            </w14:solidFill>
          </w14:textFill>
        </w:rPr>
        <w:t>.2.12</w:t>
      </w:r>
      <w:r>
        <w:rPr>
          <w:rFonts w:hint="eastAsia"/>
          <w:bCs/>
          <w:color w:val="000000" w:themeColor="text1"/>
          <w14:textFill>
            <w14:solidFill>
              <w14:schemeClr w14:val="tx1"/>
            </w14:solidFill>
          </w14:textFill>
        </w:rPr>
        <w:t>-1</w:t>
      </w:r>
      <w:r>
        <w:rPr>
          <w:rFonts w:hint="eastAsia"/>
          <w:bCs/>
          <w:color w:val="000000" w:themeColor="text1"/>
          <w:szCs w:val="21"/>
          <w14:textFill>
            <w14:solidFill>
              <w14:schemeClr w14:val="tx1"/>
            </w14:solidFill>
          </w14:textFill>
        </w:rPr>
        <w:t>所</w:t>
      </w:r>
      <w:r>
        <w:rPr>
          <w:rFonts w:hint="eastAsia"/>
          <w:bCs/>
          <w:color w:val="000000" w:themeColor="text1"/>
          <w14:textFill>
            <w14:solidFill>
              <w14:schemeClr w14:val="tx1"/>
            </w14:solidFill>
          </w14:textFill>
        </w:rPr>
        <w:t>示采用；</w:t>
      </w:r>
    </w:p>
    <w:p>
      <w:pPr>
        <w:autoSpaceDE w:val="0"/>
        <w:autoSpaceDN w:val="0"/>
        <w:spacing w:line="400" w:lineRule="exact"/>
        <w:ind w:firstLine="619" w:firstLineChars="295"/>
        <w:rPr>
          <w:bCs/>
          <w:color w:val="000000" w:themeColor="text1"/>
          <w:szCs w:val="21"/>
          <w14:textFill>
            <w14:solidFill>
              <w14:schemeClr w14:val="tx1"/>
            </w14:solidFill>
          </w14:textFill>
        </w:rPr>
      </w:pPr>
      <m:oMath>
        <m:sSub>
          <m:sSubPr>
            <m:ctrlPr>
              <w:rPr>
                <w:rFonts w:ascii="Cambria Math" w:hAnsi="Cambria Math" w:cs="Times New Roman"/>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μ</m:t>
            </m:r>
            <m:ctrlPr>
              <w:rPr>
                <w:rFonts w:ascii="Cambria Math" w:hAnsi="Cambria Math" w:cs="Times New Roman"/>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m</m:t>
            </m:r>
            <m:ctrlPr>
              <w:rPr>
                <w:rFonts w:ascii="Cambria Math" w:hAnsi="Cambria Math" w:cs="Times New Roman"/>
                <w:bCs/>
                <w:i/>
                <w:color w:val="000000" w:themeColor="text1"/>
                <w:szCs w:val="21"/>
                <w14:textFill>
                  <w14:solidFill>
                    <w14:schemeClr w14:val="tx1"/>
                  </w14:solidFill>
                </w14:textFill>
              </w:rPr>
            </m:ctrlPr>
          </m:sub>
        </m:sSub>
      </m:oMath>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冲切计算高度</w:t>
      </w:r>
      <w:r>
        <w:rPr>
          <w:bCs/>
          <w:color w:val="000000" w:themeColor="text1"/>
          <w14:textFill>
            <w14:solidFill>
              <w14:schemeClr w14:val="tx1"/>
            </w14:solidFill>
          </w14:textFill>
        </w:rPr>
        <w:t>1/2</w:t>
      </w:r>
      <w:r>
        <w:rPr>
          <w:rFonts w:hint="eastAsia"/>
          <w:bCs/>
          <w:color w:val="000000" w:themeColor="text1"/>
          <w14:textFill>
            <w14:solidFill>
              <w14:schemeClr w14:val="tx1"/>
            </w14:solidFill>
          </w14:textFill>
        </w:rPr>
        <w:t>处的周长。</w:t>
      </w:r>
    </w:p>
    <w:p>
      <w:pPr>
        <w:spacing w:line="360" w:lineRule="auto"/>
        <w:ind w:firstLine="0" w:firstLineChars="0"/>
        <w:jc w:val="center"/>
        <w:rPr>
          <w:rFonts w:cs="Times New Roman"/>
          <w:bCs/>
          <w:color w:val="000000" w:themeColor="text1"/>
          <w:szCs w:val="20"/>
          <w14:textFill>
            <w14:solidFill>
              <w14:schemeClr w14:val="tx1"/>
            </w14:solidFill>
          </w14:textFill>
        </w:rPr>
      </w:pPr>
      <w:r>
        <w:rPr>
          <w:rFonts w:cs="Times New Roman"/>
          <w:bCs/>
          <w:color w:val="000000" w:themeColor="text1"/>
          <w:szCs w:val="20"/>
          <w14:textFill>
            <w14:solidFill>
              <w14:schemeClr w14:val="tx1"/>
            </w14:solidFill>
          </w14:textFill>
        </w:rPr>
        <w:drawing>
          <wp:inline distT="0" distB="0" distL="0" distR="0">
            <wp:extent cx="4108450" cy="2101850"/>
            <wp:effectExtent l="0" t="0" r="635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4108450" cy="2101850"/>
                    </a:xfrm>
                    <a:prstGeom prst="rect">
                      <a:avLst/>
                    </a:prstGeom>
                    <a:noFill/>
                    <a:ln>
                      <a:noFill/>
                    </a:ln>
                  </pic:spPr>
                </pic:pic>
              </a:graphicData>
            </a:graphic>
          </wp:inline>
        </w:drawing>
      </w:r>
    </w:p>
    <w:p>
      <w:pPr>
        <w:spacing w:line="360" w:lineRule="auto"/>
        <w:ind w:firstLine="0" w:firstLineChars="0"/>
        <w:jc w:val="center"/>
        <w:rPr>
          <w:rFonts w:cs="Times New Roman"/>
          <w:bCs/>
          <w:color w:val="000000" w:themeColor="text1"/>
          <w:sz w:val="18"/>
          <w:szCs w:val="21"/>
          <w14:textFill>
            <w14:solidFill>
              <w14:schemeClr w14:val="tx1"/>
            </w14:solidFill>
          </w14:textFill>
        </w:rPr>
      </w:pPr>
      <w:r>
        <w:rPr>
          <w:rFonts w:hint="eastAsia" w:cs="Times New Roman"/>
          <w:bCs/>
          <w:color w:val="000000" w:themeColor="text1"/>
          <w:sz w:val="18"/>
          <w:szCs w:val="21"/>
          <w14:textFill>
            <w14:solidFill>
              <w14:schemeClr w14:val="tx1"/>
            </w14:solidFill>
          </w14:textFill>
        </w:rPr>
        <w:t>图9</w:t>
      </w:r>
      <w:r>
        <w:rPr>
          <w:rFonts w:cs="Times New Roman"/>
          <w:bCs/>
          <w:color w:val="000000" w:themeColor="text1"/>
          <w:sz w:val="18"/>
          <w:szCs w:val="21"/>
          <w14:textFill>
            <w14:solidFill>
              <w14:schemeClr w14:val="tx1"/>
            </w14:solidFill>
          </w14:textFill>
        </w:rPr>
        <w:t>.2.12</w:t>
      </w:r>
      <w:r>
        <w:rPr>
          <w:rFonts w:hint="eastAsia" w:cs="Times New Roman"/>
          <w:bCs/>
          <w:color w:val="000000" w:themeColor="text1"/>
          <w:sz w:val="18"/>
          <w:szCs w:val="21"/>
          <w14:textFill>
            <w14:solidFill>
              <w14:schemeClr w14:val="tx1"/>
            </w14:solidFill>
          </w14:textFill>
        </w:rPr>
        <w:t>-1</w:t>
      </w:r>
      <w:r>
        <w:rPr>
          <w:rFonts w:cs="Times New Roman"/>
          <w:bCs/>
          <w:color w:val="000000" w:themeColor="text1"/>
          <w:sz w:val="18"/>
          <w:szCs w:val="21"/>
          <w14:textFill>
            <w14:solidFill>
              <w14:schemeClr w14:val="tx1"/>
            </w14:solidFill>
          </w14:textFill>
        </w:rPr>
        <w:t xml:space="preserve">  </w:t>
      </w:r>
      <w:r>
        <w:rPr>
          <w:rFonts w:hint="eastAsia" w:cs="Times New Roman"/>
          <w:bCs/>
          <w:color w:val="000000" w:themeColor="text1"/>
          <w:sz w:val="18"/>
          <w:szCs w:val="21"/>
          <w14:textFill>
            <w14:solidFill>
              <w14:schemeClr w14:val="tx1"/>
            </w14:solidFill>
          </w14:textFill>
        </w:rPr>
        <w:t>格构柱杯口插入式柱脚</w:t>
      </w:r>
    </w:p>
    <w:p>
      <w:pPr>
        <w:spacing w:line="400" w:lineRule="exact"/>
        <w:ind w:firstLine="42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3  ES1</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ES2</w:t>
      </w:r>
      <w:r>
        <w:rPr>
          <w:rFonts w:hint="eastAsia"/>
          <w:bCs/>
          <w:color w:val="000000" w:themeColor="text1"/>
          <w:kern w:val="0"/>
          <w:szCs w:val="21"/>
          <w14:textFill>
            <w14:solidFill>
              <w14:schemeClr w14:val="tx1"/>
            </w14:solidFill>
          </w14:textFill>
        </w:rPr>
        <w:t>和</w:t>
      </w:r>
      <w:r>
        <w:rPr>
          <w:bCs/>
          <w:color w:val="000000" w:themeColor="text1"/>
          <w:kern w:val="0"/>
          <w:szCs w:val="21"/>
          <w14:textFill>
            <w14:solidFill>
              <w14:schemeClr w14:val="tx1"/>
            </w14:solidFill>
          </w14:textFill>
        </w:rPr>
        <w:t>PES</w:t>
      </w:r>
      <w:r>
        <w:rPr>
          <w:rFonts w:hint="eastAsia"/>
          <w:bCs/>
          <w:color w:val="000000" w:themeColor="text1"/>
          <w:kern w:val="0"/>
          <w:szCs w:val="21"/>
          <w14:textFill>
            <w14:solidFill>
              <w14:schemeClr w14:val="tx1"/>
            </w14:solidFill>
          </w14:textFill>
        </w:rPr>
        <w:t>采用外露</w:t>
      </w:r>
      <w:r>
        <w:rPr>
          <w:rFonts w:hint="eastAsia"/>
          <w:bCs/>
          <w:color w:val="000000" w:themeColor="text1"/>
          <w14:textFill>
            <w14:solidFill>
              <w14:schemeClr w14:val="tx1"/>
            </w14:solidFill>
          </w14:textFill>
        </w:rPr>
        <w:t>式</w:t>
      </w:r>
      <w:r>
        <w:rPr>
          <w:rFonts w:hint="eastAsia"/>
          <w:bCs/>
          <w:color w:val="000000" w:themeColor="text1"/>
          <w:kern w:val="0"/>
          <w:szCs w:val="21"/>
          <w14:textFill>
            <w14:solidFill>
              <w14:schemeClr w14:val="tx1"/>
            </w14:solidFill>
          </w14:textFill>
        </w:rPr>
        <w:t>柱</w:t>
      </w:r>
      <w:r>
        <w:rPr>
          <w:rFonts w:hint="eastAsia"/>
          <w:bCs/>
          <w:color w:val="000000" w:themeColor="text1"/>
          <w14:textFill>
            <w14:solidFill>
              <w14:schemeClr w14:val="tx1"/>
            </w14:solidFill>
          </w14:textFill>
        </w:rPr>
        <w:t>脚时</w:t>
      </w:r>
      <w:r>
        <w:rPr>
          <w:rFonts w:hint="eastAsia"/>
          <w:bCs/>
          <w:color w:val="000000" w:themeColor="text1"/>
          <w:kern w:val="0"/>
          <w:szCs w:val="21"/>
          <w14:textFill>
            <w14:solidFill>
              <w14:schemeClr w14:val="tx1"/>
            </w14:solidFill>
          </w14:textFill>
        </w:rPr>
        <w:t>，也可采用地震组合进行承载力弹性设计，但应符合下列规定：</w:t>
      </w:r>
    </w:p>
    <w:p>
      <w:pPr>
        <w:spacing w:line="400" w:lineRule="exact"/>
        <w:ind w:left="1050" w:leftChars="400" w:hanging="210" w:hangingChars="10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1</w:t>
      </w:r>
      <w:r>
        <w:rPr>
          <w:rFonts w:hint="eastAsia"/>
          <w:bCs/>
          <w:color w:val="000000" w:themeColor="text1"/>
          <w:kern w:val="0"/>
          <w:szCs w:val="21"/>
          <w14:textFill>
            <w14:solidFill>
              <w14:schemeClr w14:val="tx1"/>
            </w14:solidFill>
          </w14:textFill>
        </w:rPr>
        <w:t>）刚接柱脚可按其地震组合弯矩乘以表9</w:t>
      </w:r>
      <w:r>
        <w:rPr>
          <w:bCs/>
          <w:color w:val="000000" w:themeColor="text1"/>
          <w:kern w:val="0"/>
          <w:szCs w:val="21"/>
          <w14:textFill>
            <w14:solidFill>
              <w14:schemeClr w14:val="tx1"/>
            </w14:solidFill>
          </w14:textFill>
        </w:rPr>
        <w:t>.2.1</w:t>
      </w:r>
      <w:r>
        <w:rPr>
          <w:rFonts w:hint="eastAsia"/>
          <w:bCs/>
          <w:color w:val="000000" w:themeColor="text1"/>
          <w:kern w:val="0"/>
          <w:szCs w:val="21"/>
          <w14:textFill>
            <w14:solidFill>
              <w14:schemeClr w14:val="tx1"/>
            </w14:solidFill>
          </w14:textFill>
        </w:rPr>
        <w:t>2</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的柱脚的内力调整系数进行锚栓的承载力弹性设计。</w:t>
      </w:r>
    </w:p>
    <w:p>
      <w:pPr>
        <w:spacing w:line="400" w:lineRule="exact"/>
        <w:ind w:left="1050" w:leftChars="400" w:hanging="210" w:hangingChars="10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ES2</w:t>
      </w:r>
      <w:r>
        <w:rPr>
          <w:rFonts w:hint="eastAsia"/>
          <w:bCs/>
          <w:color w:val="000000" w:themeColor="text1"/>
          <w:kern w:val="0"/>
          <w:szCs w:val="21"/>
          <w14:textFill>
            <w14:solidFill>
              <w14:schemeClr w14:val="tx1"/>
            </w14:solidFill>
          </w14:textFill>
        </w:rPr>
        <w:t>的实腹柱采用铰接柱脚时，应按取</w:t>
      </w:r>
      <w:r>
        <w:rPr>
          <w:bCs/>
          <w:color w:val="000000" w:themeColor="text1"/>
          <w:kern w:val="0"/>
          <w:szCs w:val="21"/>
          <w14:textFill>
            <w14:solidFill>
              <w14:schemeClr w14:val="tx1"/>
            </w14:solidFill>
          </w14:textFill>
        </w:rPr>
        <w:t>q=2</w:t>
      </w:r>
      <w:r>
        <w:rPr>
          <w:rFonts w:hint="eastAsia"/>
          <w:bCs/>
          <w:color w:val="000000" w:themeColor="text1"/>
          <w:kern w:val="0"/>
          <w:szCs w:val="21"/>
          <w14:textFill>
            <w14:solidFill>
              <w14:schemeClr w14:val="tx1"/>
            </w14:solidFill>
          </w14:textFill>
        </w:rPr>
        <w:t>的地震组合拔力乘以表9</w:t>
      </w:r>
      <w:r>
        <w:rPr>
          <w:bCs/>
          <w:color w:val="000000" w:themeColor="text1"/>
          <w:kern w:val="0"/>
          <w:szCs w:val="21"/>
          <w14:textFill>
            <w14:solidFill>
              <w14:schemeClr w14:val="tx1"/>
            </w14:solidFill>
          </w14:textFill>
        </w:rPr>
        <w:t>.2.1</w:t>
      </w:r>
      <w:r>
        <w:rPr>
          <w:rFonts w:hint="eastAsia"/>
          <w:bCs/>
          <w:color w:val="000000" w:themeColor="text1"/>
          <w:kern w:val="0"/>
          <w:szCs w:val="21"/>
          <w14:textFill>
            <w14:solidFill>
              <w14:schemeClr w14:val="tx1"/>
            </w14:solidFill>
          </w14:textFill>
        </w:rPr>
        <w:t>2</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的柱脚的调整系数进行锚栓的承载力弹性设计。</w:t>
      </w:r>
    </w:p>
    <w:p>
      <w:pPr>
        <w:spacing w:line="400" w:lineRule="exact"/>
        <w:ind w:left="1050" w:leftChars="400" w:hanging="210" w:hangingChars="100"/>
        <w:rPr>
          <w:bCs/>
          <w:color w:val="000000" w:themeColor="text1"/>
          <w:kern w:val="0"/>
          <w:szCs w:val="21"/>
          <w14:textFill>
            <w14:solidFill>
              <w14:schemeClr w14:val="tx1"/>
            </w14:solidFill>
          </w14:textFill>
        </w:rPr>
      </w:pPr>
    </w:p>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hint="eastAsia" w:cs="Times New Roman"/>
          <w:bCs/>
          <w:color w:val="000000" w:themeColor="text1"/>
          <w:kern w:val="0"/>
          <w:szCs w:val="21"/>
          <w14:textFill>
            <w14:solidFill>
              <w14:schemeClr w14:val="tx1"/>
            </w14:solidFill>
          </w14:textFill>
        </w:rPr>
        <w:t>表9</w:t>
      </w:r>
      <w:r>
        <w:rPr>
          <w:rFonts w:cs="Times New Roman"/>
          <w:bCs/>
          <w:color w:val="000000" w:themeColor="text1"/>
          <w:kern w:val="0"/>
          <w:szCs w:val="21"/>
          <w14:textFill>
            <w14:solidFill>
              <w14:schemeClr w14:val="tx1"/>
            </w14:solidFill>
          </w14:textFill>
        </w:rPr>
        <w:t>.2.12-</w:t>
      </w:r>
      <w:r>
        <w:rPr>
          <w:rFonts w:hint="eastAsia" w:cs="Times New Roman"/>
          <w:bCs/>
          <w:color w:val="000000" w:themeColor="text1"/>
          <w:kern w:val="0"/>
          <w:szCs w:val="21"/>
          <w14:textFill>
            <w14:solidFill>
              <w14:schemeClr w14:val="tx1"/>
            </w14:solidFill>
          </w14:textFill>
        </w:rPr>
        <w:t>2</w:t>
      </w:r>
      <w:r>
        <w:rPr>
          <w:rFonts w:cs="Times New Roman"/>
          <w:bCs/>
          <w:color w:val="000000" w:themeColor="text1"/>
          <w:kern w:val="0"/>
          <w:szCs w:val="21"/>
          <w14:textFill>
            <w14:solidFill>
              <w14:schemeClr w14:val="tx1"/>
            </w14:solidFill>
          </w14:textFill>
        </w:rPr>
        <w:t xml:space="preserve">  </w:t>
      </w:r>
      <w:r>
        <w:rPr>
          <w:rFonts w:hint="eastAsia" w:cs="Times New Roman"/>
          <w:bCs/>
          <w:color w:val="000000" w:themeColor="text1"/>
          <w:kern w:val="0"/>
          <w:szCs w:val="21"/>
          <w14:textFill>
            <w14:solidFill>
              <w14:schemeClr w14:val="tx1"/>
            </w14:solidFill>
          </w14:textFill>
        </w:rPr>
        <w:t>外露式刚接柱脚锚栓设计的内力调整系数</w:t>
      </w:r>
    </w:p>
    <w:tbl>
      <w:tblPr>
        <w:tblStyle w:val="32"/>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2130"/>
        <w:gridCol w:w="2131"/>
        <w:gridCol w:w="2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9"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 w:val="18"/>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结构类别</w:t>
            </w:r>
          </w:p>
        </w:tc>
        <w:tc>
          <w:tcPr>
            <w:tcW w:w="21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 w:val="18"/>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弹性结构（</w:t>
            </w:r>
            <w:r>
              <w:rPr>
                <w:rFonts w:cs="Times New Roman"/>
                <w:bCs/>
                <w:i/>
                <w:iCs/>
                <w:color w:val="000000" w:themeColor="text1"/>
                <w:kern w:val="0"/>
                <w:sz w:val="18"/>
                <w:szCs w:val="21"/>
                <w14:textFill>
                  <w14:solidFill>
                    <w14:schemeClr w14:val="tx1"/>
                  </w14:solidFill>
                </w14:textFill>
              </w:rPr>
              <w:t>q</w:t>
            </w:r>
            <w:r>
              <w:rPr>
                <w:rFonts w:hint="eastAsia" w:cs="Times New Roman"/>
                <w:bCs/>
                <w:color w:val="000000" w:themeColor="text1"/>
                <w:kern w:val="0"/>
                <w:sz w:val="18"/>
                <w:szCs w:val="21"/>
                <w14:textFill>
                  <w14:solidFill>
                    <w14:schemeClr w14:val="tx1"/>
                  </w14:solidFill>
                </w14:textFill>
              </w:rPr>
              <w:t>＝</w:t>
            </w:r>
            <w:r>
              <w:rPr>
                <w:rFonts w:cs="Times New Roman"/>
                <w:bCs/>
                <w:color w:val="000000" w:themeColor="text1"/>
                <w:kern w:val="0"/>
                <w:sz w:val="18"/>
                <w:szCs w:val="21"/>
                <w14:textFill>
                  <w14:solidFill>
                    <w14:schemeClr w14:val="tx1"/>
                  </w14:solidFill>
                </w14:textFill>
              </w:rPr>
              <w:t>2</w:t>
            </w:r>
            <w:r>
              <w:rPr>
                <w:rFonts w:hint="eastAsia" w:cs="Times New Roman"/>
                <w:bCs/>
                <w:color w:val="000000" w:themeColor="text1"/>
                <w:kern w:val="0"/>
                <w:sz w:val="18"/>
                <w:szCs w:val="21"/>
                <w14:textFill>
                  <w14:solidFill>
                    <w14:schemeClr w14:val="tx1"/>
                  </w14:solidFill>
                </w14:textFill>
              </w:rPr>
              <w:t>）</w:t>
            </w:r>
          </w:p>
        </w:tc>
        <w:tc>
          <w:tcPr>
            <w:tcW w:w="2131"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 w:val="18"/>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弹塑性结构（</w:t>
            </w:r>
            <w:r>
              <w:rPr>
                <w:rFonts w:cs="Times New Roman"/>
                <w:bCs/>
                <w:i/>
                <w:iCs/>
                <w:color w:val="000000" w:themeColor="text1"/>
                <w:kern w:val="0"/>
                <w:sz w:val="18"/>
                <w:szCs w:val="21"/>
                <w14:textFill>
                  <w14:solidFill>
                    <w14:schemeClr w14:val="tx1"/>
                  </w14:solidFill>
                </w14:textFill>
              </w:rPr>
              <w:t>q</w:t>
            </w:r>
            <w:r>
              <w:rPr>
                <w:rFonts w:cs="Times New Roman"/>
                <w:bCs/>
                <w:color w:val="000000" w:themeColor="text1"/>
                <w:kern w:val="0"/>
                <w:sz w:val="18"/>
                <w:szCs w:val="21"/>
                <w14:textFill>
                  <w14:solidFill>
                    <w14:schemeClr w14:val="tx1"/>
                  </w14:solidFill>
                </w14:textFill>
              </w:rPr>
              <w:t>=1.5</w:t>
            </w:r>
            <w:r>
              <w:rPr>
                <w:rFonts w:hint="eastAsia" w:cs="Times New Roman"/>
                <w:bCs/>
                <w:color w:val="000000" w:themeColor="text1"/>
                <w:kern w:val="0"/>
                <w:sz w:val="18"/>
                <w:szCs w:val="21"/>
                <w14:textFill>
                  <w14:solidFill>
                    <w14:schemeClr w14:val="tx1"/>
                  </w14:solidFill>
                </w14:textFill>
              </w:rPr>
              <w:t>）</w:t>
            </w:r>
          </w:p>
        </w:tc>
        <w:tc>
          <w:tcPr>
            <w:tcW w:w="20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 w:val="18"/>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塑性结构（</w:t>
            </w:r>
            <w:r>
              <w:rPr>
                <w:rFonts w:cs="Times New Roman"/>
                <w:bCs/>
                <w:i/>
                <w:iCs/>
                <w:color w:val="000000" w:themeColor="text1"/>
                <w:kern w:val="0"/>
                <w:sz w:val="18"/>
                <w:szCs w:val="21"/>
                <w14:textFill>
                  <w14:solidFill>
                    <w14:schemeClr w14:val="tx1"/>
                  </w14:solidFill>
                </w14:textFill>
              </w:rPr>
              <w:t>q</w:t>
            </w:r>
            <w:r>
              <w:rPr>
                <w:rFonts w:cs="Times New Roman"/>
                <w:bCs/>
                <w:color w:val="000000" w:themeColor="text1"/>
                <w:kern w:val="0"/>
                <w:sz w:val="18"/>
                <w:szCs w:val="21"/>
                <w14:textFill>
                  <w14:solidFill>
                    <w14:schemeClr w14:val="tx1"/>
                  </w14:solidFill>
                </w14:textFill>
              </w:rPr>
              <w:t>=1</w:t>
            </w:r>
            <w:r>
              <w:rPr>
                <w:rFonts w:hint="eastAsia" w:cs="Times New Roman"/>
                <w:bCs/>
                <w:color w:val="000000" w:themeColor="text1"/>
                <w:kern w:val="0"/>
                <w:sz w:val="18"/>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9"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21"/>
                <w14:textFill>
                  <w14:solidFill>
                    <w14:schemeClr w14:val="tx1"/>
                  </w14:solidFill>
                </w14:textFill>
              </w:rPr>
            </w:pPr>
          </w:p>
        </w:tc>
        <w:tc>
          <w:tcPr>
            <w:tcW w:w="21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实腹柱、格构柱</w:t>
            </w:r>
          </w:p>
        </w:tc>
        <w:tc>
          <w:tcPr>
            <w:tcW w:w="2131"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实腹柱、格构柱</w:t>
            </w:r>
          </w:p>
        </w:tc>
        <w:tc>
          <w:tcPr>
            <w:tcW w:w="20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格构柱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9"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框架柱脚</w:t>
            </w:r>
          </w:p>
        </w:tc>
        <w:tc>
          <w:tcPr>
            <w:tcW w:w="21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0.6</w:t>
            </w:r>
          </w:p>
        </w:tc>
        <w:tc>
          <w:tcPr>
            <w:tcW w:w="2131"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0.8</w:t>
            </w:r>
          </w:p>
        </w:tc>
        <w:tc>
          <w:tcPr>
            <w:tcW w:w="20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202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bCs/>
                <w:color w:val="000000" w:themeColor="text1"/>
                <w:kern w:val="0"/>
                <w:szCs w:val="21"/>
                <w14:textFill>
                  <w14:solidFill>
                    <w14:schemeClr w14:val="tx1"/>
                  </w14:solidFill>
                </w14:textFill>
              </w:rPr>
            </w:pPr>
            <w:r>
              <w:rPr>
                <w:rFonts w:hint="eastAsia" w:cs="Times New Roman"/>
                <w:bCs/>
                <w:color w:val="000000" w:themeColor="text1"/>
                <w:kern w:val="0"/>
                <w:sz w:val="18"/>
                <w:szCs w:val="21"/>
                <w14:textFill>
                  <w14:solidFill>
                    <w14:schemeClr w14:val="tx1"/>
                  </w14:solidFill>
                </w14:textFill>
              </w:rPr>
              <w:t>与支撑相连框架柱脚</w:t>
            </w:r>
          </w:p>
        </w:tc>
        <w:tc>
          <w:tcPr>
            <w:tcW w:w="2130"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0.75</w:t>
            </w:r>
          </w:p>
        </w:tc>
        <w:tc>
          <w:tcPr>
            <w:tcW w:w="2131"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1.0</w:t>
            </w:r>
          </w:p>
        </w:tc>
        <w:tc>
          <w:tcPr>
            <w:tcW w:w="20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1.5</w:t>
            </w:r>
          </w:p>
        </w:tc>
      </w:tr>
    </w:tbl>
    <w:p>
      <w:pPr>
        <w:spacing w:line="400" w:lineRule="exact"/>
        <w:ind w:firstLine="0" w:firstLineChars="0"/>
        <w:rPr>
          <w:bCs/>
          <w:color w:val="000000" w:themeColor="text1"/>
          <w:kern w:val="0"/>
          <w:szCs w:val="21"/>
          <w14:textFill>
            <w14:solidFill>
              <w14:schemeClr w14:val="tx1"/>
            </w14:solidFill>
          </w14:textFill>
        </w:rPr>
      </w:pPr>
    </w:p>
    <w:p>
      <w:pPr>
        <w:spacing w:line="400" w:lineRule="exact"/>
        <w:ind w:firstLine="840" w:firstLineChars="40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3</w:t>
      </w:r>
      <w:r>
        <w:rPr>
          <w:rFonts w:hint="eastAsia"/>
          <w:bCs/>
          <w:color w:val="000000" w:themeColor="text1"/>
          <w:kern w:val="0"/>
          <w:szCs w:val="21"/>
          <w14:textFill>
            <w14:solidFill>
              <w14:schemeClr w14:val="tx1"/>
            </w14:solidFill>
          </w14:textFill>
        </w:rPr>
        <w:t>）采用地震组合内力设计外露式柱脚时，其最小承载力宜符合下列要求：</w:t>
      </w:r>
    </w:p>
    <w:p>
      <w:pPr>
        <w:spacing w:line="400" w:lineRule="exact"/>
        <w:ind w:left="1268" w:leftChars="504" w:hanging="210" w:hangingChars="1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a）实腹柱刚</w:t>
      </w:r>
      <w:r>
        <w:rPr>
          <w:rFonts w:hint="eastAsia"/>
          <w:bCs/>
          <w:color w:val="000000" w:themeColor="text1"/>
          <w:kern w:val="0"/>
          <w:szCs w:val="21"/>
          <w14:textFill>
            <w14:solidFill>
              <w14:schemeClr w14:val="tx1"/>
            </w14:solidFill>
          </w14:textFill>
        </w:rPr>
        <w:t>接</w:t>
      </w:r>
      <w:r>
        <w:rPr>
          <w:rFonts w:hint="eastAsia"/>
          <w:bCs/>
          <w:color w:val="000000" w:themeColor="text1"/>
          <w:szCs w:val="21"/>
          <w14:textFill>
            <w14:solidFill>
              <w14:schemeClr w14:val="tx1"/>
            </w14:solidFill>
          </w14:textFill>
        </w:rPr>
        <w:t>柱脚按锚栓毛截面屈服计算的受弯承载力，不宜低于钢柱截面全塑性受弯承载力的</w:t>
      </w:r>
      <w:r>
        <w:rPr>
          <w:bCs/>
          <w:color w:val="000000" w:themeColor="text1"/>
          <w:szCs w:val="21"/>
          <w14:textFill>
            <w14:solidFill>
              <w14:schemeClr w14:val="tx1"/>
            </w14:solidFill>
          </w14:textFill>
        </w:rPr>
        <w:t>0.5</w:t>
      </w:r>
      <w:r>
        <w:rPr>
          <w:rFonts w:hint="eastAsia"/>
          <w:bCs/>
          <w:color w:val="000000" w:themeColor="text1"/>
          <w:szCs w:val="21"/>
          <w14:textFill>
            <w14:solidFill>
              <w14:schemeClr w14:val="tx1"/>
            </w14:solidFill>
          </w14:textFill>
        </w:rPr>
        <w:t>倍。</w:t>
      </w:r>
    </w:p>
    <w:p>
      <w:pPr>
        <w:spacing w:line="400" w:lineRule="exact"/>
        <w:ind w:left="1373" w:leftChars="554"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b</w:t>
      </w:r>
      <w:r>
        <w:rPr>
          <w:rFonts w:hint="eastAsia"/>
          <w:bCs/>
          <w:color w:val="000000" w:themeColor="text1"/>
          <w:szCs w:val="21"/>
          <w14:textFill>
            <w14:solidFill>
              <w14:schemeClr w14:val="tx1"/>
            </w14:solidFill>
          </w14:textFill>
        </w:rPr>
        <w:t>）格构柱采用</w:t>
      </w:r>
      <w:r>
        <w:rPr>
          <w:rFonts w:hint="eastAsia"/>
          <w:bCs/>
          <w:color w:val="000000" w:themeColor="text1"/>
          <w:kern w:val="0"/>
          <w:szCs w:val="21"/>
          <w14:textFill>
            <w14:solidFill>
              <w14:schemeClr w14:val="tx1"/>
            </w14:solidFill>
          </w14:textFill>
        </w:rPr>
        <w:t>分离式</w:t>
      </w:r>
      <w:r>
        <w:rPr>
          <w:rFonts w:hint="eastAsia"/>
          <w:bCs/>
          <w:color w:val="000000" w:themeColor="text1"/>
          <w:szCs w:val="21"/>
          <w14:textFill>
            <w14:solidFill>
              <w14:schemeClr w14:val="tx1"/>
            </w14:solidFill>
          </w14:textFill>
        </w:rPr>
        <w:t>柱脚时，受拉肢的锚栓毛截面计算的受拉屈服承载力，不宜小于分肢受拉屈服承载力的</w:t>
      </w:r>
      <w:r>
        <w:rPr>
          <w:bCs/>
          <w:color w:val="000000" w:themeColor="text1"/>
          <w:szCs w:val="21"/>
          <w14:textFill>
            <w14:solidFill>
              <w14:schemeClr w14:val="tx1"/>
            </w14:solidFill>
          </w14:textFill>
        </w:rPr>
        <w:t>0.5</w:t>
      </w:r>
      <w:r>
        <w:rPr>
          <w:rFonts w:hint="eastAsia"/>
          <w:bCs/>
          <w:color w:val="000000" w:themeColor="text1"/>
          <w:szCs w:val="21"/>
          <w14:textFill>
            <w14:solidFill>
              <w14:schemeClr w14:val="tx1"/>
            </w14:solidFill>
          </w14:textFill>
        </w:rPr>
        <w:t>倍。</w:t>
      </w:r>
    </w:p>
    <w:p>
      <w:pPr>
        <w:spacing w:line="400" w:lineRule="exact"/>
        <w:ind w:left="1373" w:leftChars="554"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c</w:t>
      </w:r>
      <w:r>
        <w:rPr>
          <w:rFonts w:hint="eastAsia"/>
          <w:bCs/>
          <w:color w:val="000000" w:themeColor="text1"/>
          <w:szCs w:val="21"/>
          <w14:textFill>
            <w14:solidFill>
              <w14:schemeClr w14:val="tx1"/>
            </w14:solidFill>
          </w14:textFill>
        </w:rPr>
        <w:t>）格构柱采用整体式柱脚时，按锚栓毛截面屈服计算的受弯承载力，不宜小于分肢截面拉压屈服状态的弯矩的</w:t>
      </w:r>
      <w:r>
        <w:rPr>
          <w:bCs/>
          <w:color w:val="000000" w:themeColor="text1"/>
          <w:szCs w:val="21"/>
          <w14:textFill>
            <w14:solidFill>
              <w14:schemeClr w14:val="tx1"/>
            </w14:solidFill>
          </w14:textFill>
        </w:rPr>
        <w:t>0.5</w:t>
      </w:r>
      <w:r>
        <w:rPr>
          <w:rFonts w:hint="eastAsia"/>
          <w:bCs/>
          <w:color w:val="000000" w:themeColor="text1"/>
          <w:szCs w:val="21"/>
          <w14:textFill>
            <w14:solidFill>
              <w14:schemeClr w14:val="tx1"/>
            </w14:solidFill>
          </w14:textFill>
        </w:rPr>
        <w:t>倍。</w:t>
      </w:r>
    </w:p>
    <w:p>
      <w:pPr>
        <w:spacing w:line="400" w:lineRule="exact"/>
        <w:ind w:left="1268" w:leftChars="504" w:hanging="210" w:hangingChars="100"/>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d</w:t>
      </w:r>
      <w:r>
        <w:rPr>
          <w:rFonts w:hint="eastAsia"/>
          <w:bCs/>
          <w:color w:val="000000" w:themeColor="text1"/>
          <w:kern w:val="0"/>
          <w:szCs w:val="21"/>
          <w14:textFill>
            <w14:solidFill>
              <w14:schemeClr w14:val="tx1"/>
            </w14:solidFill>
          </w14:textFill>
        </w:rPr>
        <w:t>）</w:t>
      </w:r>
      <w:r>
        <w:rPr>
          <w:rFonts w:hint="eastAsia"/>
          <w:bCs/>
          <w:color w:val="000000" w:themeColor="text1"/>
          <w:szCs w:val="21"/>
          <w14:textFill>
            <w14:solidFill>
              <w14:schemeClr w14:val="tx1"/>
            </w14:solidFill>
          </w14:textFill>
        </w:rPr>
        <w:t>铰接柱脚，锚</w:t>
      </w:r>
      <w:r>
        <w:rPr>
          <w:rFonts w:hint="eastAsia"/>
          <w:bCs/>
          <w:color w:val="000000" w:themeColor="text1"/>
          <w:kern w:val="0"/>
          <w:szCs w:val="21"/>
          <w14:textFill>
            <w14:solidFill>
              <w14:schemeClr w14:val="tx1"/>
            </w14:solidFill>
          </w14:textFill>
        </w:rPr>
        <w:t>栓</w:t>
      </w:r>
      <w:r>
        <w:rPr>
          <w:rFonts w:hint="eastAsia"/>
          <w:bCs/>
          <w:color w:val="000000" w:themeColor="text1"/>
          <w:szCs w:val="21"/>
          <w14:textFill>
            <w14:solidFill>
              <w14:schemeClr w14:val="tx1"/>
            </w14:solidFill>
          </w14:textFill>
        </w:rPr>
        <w:t>毛截面受拉屈服承载力不宜小于钢柱最小截面受拉屈服承载力的</w:t>
      </w:r>
      <w:r>
        <w:rPr>
          <w:bCs/>
          <w:color w:val="000000" w:themeColor="text1"/>
          <w:szCs w:val="21"/>
          <w14:textFill>
            <w14:solidFill>
              <w14:schemeClr w14:val="tx1"/>
            </w14:solidFill>
          </w14:textFill>
        </w:rPr>
        <w:t>0.2</w:t>
      </w:r>
      <w:r>
        <w:rPr>
          <w:rFonts w:hint="eastAsia"/>
          <w:bCs/>
          <w:color w:val="000000" w:themeColor="text1"/>
          <w:szCs w:val="21"/>
          <w14:textFill>
            <w14:solidFill>
              <w14:schemeClr w14:val="tx1"/>
            </w14:solidFill>
          </w14:textFill>
        </w:rPr>
        <w:t>倍。</w:t>
      </w:r>
    </w:p>
    <w:p>
      <w:pPr>
        <w:spacing w:before="156" w:beforeLines="50" w:line="400" w:lineRule="exact"/>
        <w:ind w:firstLine="420"/>
        <w:rPr>
          <w:bCs/>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 xml:space="preserve">4 </w:t>
      </w:r>
      <w:r>
        <w:rPr>
          <w:rFonts w:hint="eastAsia"/>
          <w:bCs/>
          <w:color w:val="000000" w:themeColor="text1"/>
          <w:szCs w:val="21"/>
          <w14:textFill>
            <w14:solidFill>
              <w14:schemeClr w14:val="tx1"/>
            </w14:solidFill>
          </w14:textFill>
        </w:rPr>
        <w:t>抗震</w:t>
      </w:r>
      <w:r>
        <w:rPr>
          <w:rFonts w:hint="eastAsia"/>
          <w:bCs/>
          <w:color w:val="000000" w:themeColor="text1"/>
          <w:kern w:val="0"/>
          <w:szCs w:val="21"/>
          <w14:textFill>
            <w14:solidFill>
              <w14:schemeClr w14:val="tx1"/>
            </w14:solidFill>
          </w14:textFill>
        </w:rPr>
        <w:t>构造措施</w:t>
      </w:r>
    </w:p>
    <w:p>
      <w:pPr>
        <w:snapToGrid/>
        <w:spacing w:line="400" w:lineRule="exact"/>
        <w:ind w:left="840" w:leftChars="300" w:hanging="210" w:hangingChars="100"/>
        <w:rPr>
          <w:rFonts w:cs="Times New Roman"/>
          <w:bCs/>
          <w:color w:val="000000" w:themeColor="text1"/>
          <w:szCs w:val="21"/>
          <w14:textFill>
            <w14:solidFill>
              <w14:schemeClr w14:val="tx1"/>
            </w14:solidFill>
          </w14:textFill>
        </w:rPr>
      </w:pPr>
      <w:r>
        <w:rPr>
          <w:rFonts w:cs="Times New Roman"/>
          <w:bCs/>
          <w:color w:val="000000" w:themeColor="text1"/>
          <w:szCs w:val="21"/>
          <w14:textFill>
            <w14:solidFill>
              <w14:schemeClr w14:val="tx1"/>
            </w14:solidFill>
          </w14:textFill>
        </w:rPr>
        <w:t>1）埋入</w:t>
      </w:r>
      <w:r>
        <w:rPr>
          <w:rFonts w:cs="Times New Roman"/>
          <w:bCs/>
          <w:color w:val="000000" w:themeColor="text1"/>
          <w:kern w:val="0"/>
          <w:szCs w:val="21"/>
          <w14:textFill>
            <w14:solidFill>
              <w14:schemeClr w14:val="tx1"/>
            </w14:solidFill>
          </w14:textFill>
        </w:rPr>
        <w:t>式、插入式</w:t>
      </w:r>
      <w:r>
        <w:rPr>
          <w:rFonts w:hint="eastAsia" w:cs="Times New Roman"/>
          <w:bCs/>
          <w:color w:val="000000" w:themeColor="text1"/>
          <w:kern w:val="0"/>
          <w:szCs w:val="21"/>
          <w14:textFill>
            <w14:solidFill>
              <w14:schemeClr w14:val="tx1"/>
            </w14:solidFill>
          </w14:textFill>
        </w:rPr>
        <w:t>实腹柱</w:t>
      </w:r>
      <w:r>
        <w:rPr>
          <w:rFonts w:cs="Times New Roman"/>
          <w:bCs/>
          <w:color w:val="000000" w:themeColor="text1"/>
          <w:kern w:val="0"/>
          <w:szCs w:val="21"/>
          <w14:textFill>
            <w14:solidFill>
              <w14:schemeClr w14:val="tx1"/>
            </w14:solidFill>
          </w14:textFill>
        </w:rPr>
        <w:t>柱脚的埋入（插入）深度，</w:t>
      </w:r>
      <w:r>
        <w:rPr>
          <w:rFonts w:hint="eastAsia" w:cs="Times New Roman"/>
          <w:bCs/>
          <w:color w:val="000000" w:themeColor="text1"/>
          <w:kern w:val="0"/>
          <w:szCs w:val="21"/>
          <w14:textFill>
            <w14:solidFill>
              <w14:schemeClr w14:val="tx1"/>
            </w14:solidFill>
          </w14:textFill>
        </w:rPr>
        <w:t>H形截面柱</w:t>
      </w:r>
      <w:r>
        <w:rPr>
          <w:rFonts w:cs="Times New Roman"/>
          <w:bCs/>
          <w:color w:val="000000" w:themeColor="text1"/>
          <w:kern w:val="0"/>
          <w:szCs w:val="21"/>
          <w14:textFill>
            <w14:solidFill>
              <w14:schemeClr w14:val="tx1"/>
            </w14:solidFill>
          </w14:textFill>
        </w:rPr>
        <w:t>不应小于2倍的柱截面高度</w:t>
      </w:r>
      <w:r>
        <w:rPr>
          <w:rFonts w:hint="eastAsia" w:cs="Times New Roman"/>
          <w:bCs/>
          <w:color w:val="000000" w:themeColor="text1"/>
          <w:kern w:val="0"/>
          <w:szCs w:val="21"/>
          <w14:textFill>
            <w14:solidFill>
              <w14:schemeClr w14:val="tx1"/>
            </w14:solidFill>
          </w14:textFill>
        </w:rPr>
        <w:t>，钢管、钢管混凝土不应小于2.5倍的柱截面高度（或外径）</w:t>
      </w:r>
      <w:r>
        <w:rPr>
          <w:rFonts w:cs="Times New Roman"/>
          <w:bCs/>
          <w:color w:val="000000" w:themeColor="text1"/>
          <w:kern w:val="0"/>
          <w:szCs w:val="21"/>
          <w14:textFill>
            <w14:solidFill>
              <w14:schemeClr w14:val="tx1"/>
            </w14:solidFill>
          </w14:textFill>
        </w:rPr>
        <w:t>。有抗拔要求时，可在埋入</w:t>
      </w:r>
      <w:r>
        <w:rPr>
          <w:rFonts w:hint="eastAsia" w:cs="Times New Roman"/>
          <w:bCs/>
          <w:color w:val="000000" w:themeColor="text1"/>
          <w:kern w:val="0"/>
          <w:szCs w:val="21"/>
          <w14:textFill>
            <w14:solidFill>
              <w14:schemeClr w14:val="tx1"/>
            </w14:solidFill>
          </w14:textFill>
        </w:rPr>
        <w:t>（插入）柱段</w:t>
      </w:r>
      <w:r>
        <w:rPr>
          <w:rFonts w:cs="Times New Roman"/>
          <w:bCs/>
          <w:color w:val="000000" w:themeColor="text1"/>
          <w:kern w:val="0"/>
          <w:szCs w:val="21"/>
          <w14:textFill>
            <w14:solidFill>
              <w14:schemeClr w14:val="tx1"/>
            </w14:solidFill>
          </w14:textFill>
        </w:rPr>
        <w:t>设置栓钉。</w:t>
      </w:r>
    </w:p>
    <w:p>
      <w:pPr>
        <w:snapToGrid/>
        <w:spacing w:line="400" w:lineRule="exact"/>
        <w:ind w:left="840" w:leftChars="300" w:hanging="210" w:hangingChars="100"/>
        <w:rPr>
          <w:rFonts w:cs="Times New Roman"/>
          <w:bCs/>
          <w:color w:val="000000" w:themeColor="text1"/>
          <w:kern w:val="0"/>
          <w:szCs w:val="21"/>
          <w14:textFill>
            <w14:solidFill>
              <w14:schemeClr w14:val="tx1"/>
            </w14:solidFill>
          </w14:textFill>
        </w:rPr>
      </w:pPr>
      <w:r>
        <w:rPr>
          <w:rFonts w:cs="Times New Roman"/>
          <w:bCs/>
          <w:color w:val="000000" w:themeColor="text1"/>
          <w:kern w:val="0"/>
          <w:szCs w:val="21"/>
          <w14:textFill>
            <w14:solidFill>
              <w14:schemeClr w14:val="tx1"/>
            </w14:solidFill>
          </w14:textFill>
        </w:rPr>
        <w:t>2）格构柱插入式柱脚的插入深度不得小于柱总宽度的0.5倍，且</w:t>
      </w:r>
      <w:r>
        <w:rPr>
          <w:rFonts w:hint="eastAsia" w:cs="Times New Roman"/>
          <w:bCs/>
          <w:color w:val="000000" w:themeColor="text1"/>
          <w:kern w:val="0"/>
          <w:szCs w:val="21"/>
          <w14:textFill>
            <w14:solidFill>
              <w14:schemeClr w14:val="tx1"/>
            </w14:solidFill>
          </w14:textFill>
        </w:rPr>
        <w:t>H截面</w:t>
      </w:r>
      <w:r>
        <w:rPr>
          <w:rFonts w:cs="Times New Roman"/>
          <w:bCs/>
          <w:color w:val="000000" w:themeColor="text1"/>
          <w:kern w:val="0"/>
          <w:szCs w:val="21"/>
          <w14:textFill>
            <w14:solidFill>
              <w14:schemeClr w14:val="tx1"/>
            </w14:solidFill>
          </w14:textFill>
        </w:rPr>
        <w:t>不得小于2.0倍的单肢截面高度</w:t>
      </w:r>
      <w:r>
        <w:rPr>
          <w:rFonts w:hint="eastAsia" w:cs="Times New Roman"/>
          <w:bCs/>
          <w:color w:val="000000" w:themeColor="text1"/>
          <w:kern w:val="0"/>
          <w:szCs w:val="21"/>
          <w14:textFill>
            <w14:solidFill>
              <w14:schemeClr w14:val="tx1"/>
            </w14:solidFill>
          </w14:textFill>
        </w:rPr>
        <w:t>，钢管、钢管混凝土柱不宜小于2.5倍的截面高度</w:t>
      </w:r>
      <w:r>
        <w:rPr>
          <w:rFonts w:cs="Times New Roman"/>
          <w:bCs/>
          <w:color w:val="000000" w:themeColor="text1"/>
          <w:kern w:val="0"/>
          <w:szCs w:val="21"/>
          <w14:textFill>
            <w14:solidFill>
              <w14:schemeClr w14:val="tx1"/>
            </w14:solidFill>
          </w14:textFill>
        </w:rPr>
        <w:t>（或外径）。有抗拔要求时，可在</w:t>
      </w:r>
      <w:r>
        <w:rPr>
          <w:rFonts w:hint="eastAsia" w:cs="Times New Roman"/>
          <w:bCs/>
          <w:color w:val="000000" w:themeColor="text1"/>
          <w:kern w:val="0"/>
          <w:szCs w:val="21"/>
          <w14:textFill>
            <w14:solidFill>
              <w14:schemeClr w14:val="tx1"/>
            </w14:solidFill>
          </w14:textFill>
        </w:rPr>
        <w:t>插入柱段</w:t>
      </w:r>
      <w:r>
        <w:rPr>
          <w:rFonts w:cs="Times New Roman"/>
          <w:bCs/>
          <w:color w:val="000000" w:themeColor="text1"/>
          <w:kern w:val="0"/>
          <w:szCs w:val="21"/>
          <w14:textFill>
            <w14:solidFill>
              <w14:schemeClr w14:val="tx1"/>
            </w14:solidFill>
          </w14:textFill>
        </w:rPr>
        <w:t>设置栓钉。</w:t>
      </w:r>
    </w:p>
    <w:p>
      <w:pPr>
        <w:spacing w:line="400" w:lineRule="exact"/>
        <w:ind w:left="945" w:leftChars="300" w:hanging="315" w:hangingChars="150"/>
        <w:rPr>
          <w:bCs/>
          <w:color w:val="000000" w:themeColor="text1"/>
          <w:szCs w:val="21"/>
          <w14:textFill>
            <w14:solidFill>
              <w14:schemeClr w14:val="tx1"/>
            </w14:solidFill>
          </w14:textFill>
        </w:rPr>
      </w:pPr>
      <w:r>
        <w:rPr>
          <w:rFonts w:hint="eastAsia" w:cs="Times New Roman"/>
          <w:bCs/>
          <w:color w:val="000000" w:themeColor="text1"/>
          <w:kern w:val="0"/>
          <w:szCs w:val="21"/>
          <w14:textFill>
            <w14:solidFill>
              <w14:schemeClr w14:val="tx1"/>
            </w14:solidFill>
          </w14:textFill>
        </w:rPr>
        <w:t>3）</w:t>
      </w:r>
      <w:r>
        <w:rPr>
          <w:rFonts w:hint="eastAsia" w:cs="Times New Roman"/>
          <w:bCs/>
          <w:color w:val="000000" w:themeColor="text1"/>
          <w14:textFill>
            <w14:solidFill>
              <w14:schemeClr w14:val="tx1"/>
            </w14:solidFill>
          </w14:textFill>
        </w:rPr>
        <w:t>钢管混凝土柱采用埋入式、插入式柱脚时，钢管与底板的连接焊缝宜采用坡口全熔透焊缝，焊缝等级为二级；当采用非埋入式柱脚时，钢管与柱脚底板的连接应采用坡口全熔透焊缝，焊缝等级为一级</w:t>
      </w:r>
      <w:r>
        <w:rPr>
          <w:rFonts w:cs="Times New Roman"/>
          <w:bCs/>
          <w:color w:val="000000" w:themeColor="text1"/>
          <w14:textFill>
            <w14:solidFill>
              <w14:schemeClr w14:val="tx1"/>
            </w14:solidFill>
          </w14:textFill>
        </w:rPr>
        <w:t>。</w:t>
      </w:r>
    </w:p>
    <w:p>
      <w:pPr>
        <w:spacing w:line="400" w:lineRule="exact"/>
        <w:ind w:firstLine="630" w:firstLineChars="300"/>
        <w:rPr>
          <w:bCs/>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4）外包式柱脚应符合下列要求：</w:t>
      </w:r>
    </w:p>
    <w:p>
      <w:pPr>
        <w:spacing w:line="400" w:lineRule="exact"/>
        <w:ind w:left="1268" w:leftChars="454" w:hanging="315" w:hangingChars="15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a</w:t>
      </w:r>
      <w:r>
        <w:rPr>
          <w:rFonts w:hint="eastAsia"/>
          <w:bCs/>
          <w:color w:val="000000" w:themeColor="text1"/>
          <w:szCs w:val="21"/>
          <w14:textFill>
            <w14:solidFill>
              <w14:schemeClr w14:val="tx1"/>
            </w14:solidFill>
          </w14:textFill>
        </w:rPr>
        <w:t>）外包式柱脚的外包</w:t>
      </w:r>
      <w:r>
        <w:rPr>
          <w:rFonts w:hint="eastAsia"/>
          <w:bCs/>
          <w:color w:val="000000" w:themeColor="text1"/>
          <w:kern w:val="0"/>
          <w:szCs w:val="21"/>
          <w14:textFill>
            <w14:solidFill>
              <w14:schemeClr w14:val="tx1"/>
            </w14:solidFill>
          </w14:textFill>
        </w:rPr>
        <w:t>混凝土</w:t>
      </w:r>
      <w:r>
        <w:rPr>
          <w:rFonts w:hint="eastAsia"/>
          <w:bCs/>
          <w:color w:val="000000" w:themeColor="text1"/>
          <w:szCs w:val="21"/>
          <w14:textFill>
            <w14:solidFill>
              <w14:schemeClr w14:val="tx1"/>
            </w14:solidFill>
          </w14:textFill>
        </w:rPr>
        <w:t>高度不小于钢柱截面高度的</w:t>
      </w:r>
      <w:r>
        <w:rPr>
          <w:bCs/>
          <w:color w:val="000000" w:themeColor="text1"/>
          <w:szCs w:val="21"/>
          <w14:textFill>
            <w14:solidFill>
              <w14:schemeClr w14:val="tx1"/>
            </w14:solidFill>
          </w14:textFill>
        </w:rPr>
        <w:t>2.5</w:t>
      </w:r>
      <w:r>
        <w:rPr>
          <w:rFonts w:hint="eastAsia"/>
          <w:bCs/>
          <w:color w:val="000000" w:themeColor="text1"/>
          <w:szCs w:val="21"/>
          <w14:textFill>
            <w14:solidFill>
              <w14:schemeClr w14:val="tx1"/>
            </w14:solidFill>
          </w14:textFill>
        </w:rPr>
        <w:t>倍，且外包混凝土顶部箍筋到柱底板的距离</w:t>
      </w:r>
      <w:r>
        <w:rPr>
          <w:bCs/>
          <w:color w:val="000000" w:themeColor="text1"/>
          <w:szCs w:val="21"/>
          <w14:textFill>
            <w14:solidFill>
              <w14:schemeClr w14:val="tx1"/>
            </w14:solidFill>
          </w14:textFill>
        </w:rPr>
        <w:t>L</w:t>
      </w:r>
      <w:r>
        <w:rPr>
          <w:bCs/>
          <w:color w:val="000000" w:themeColor="text1"/>
          <w:szCs w:val="21"/>
          <w:vertAlign w:val="subscript"/>
          <w14:textFill>
            <w14:solidFill>
              <w14:schemeClr w14:val="tx1"/>
            </w14:solidFill>
          </w14:textFill>
        </w:rPr>
        <w:t>r</w:t>
      </w:r>
      <w:r>
        <w:rPr>
          <w:rFonts w:hint="eastAsia"/>
          <w:bCs/>
          <w:color w:val="000000" w:themeColor="text1"/>
          <w:szCs w:val="21"/>
          <w14:textFill>
            <w14:solidFill>
              <w14:schemeClr w14:val="tx1"/>
            </w14:solidFill>
          </w14:textFill>
        </w:rPr>
        <w:t>与受拉钢筋合力点至混凝土受压区边缘的距离</w:t>
      </w:r>
      <w:r>
        <w:rPr>
          <w:bCs/>
          <w:color w:val="000000" w:themeColor="text1"/>
          <w:szCs w:val="21"/>
          <w14:textFill>
            <w14:solidFill>
              <w14:schemeClr w14:val="tx1"/>
            </w14:solidFill>
          </w14:textFill>
        </w:rPr>
        <w:t>h</w:t>
      </w:r>
      <w:r>
        <w:rPr>
          <w:bCs/>
          <w:color w:val="000000" w:themeColor="text1"/>
          <w:szCs w:val="21"/>
          <w:vertAlign w:val="subscript"/>
          <w14:textFill>
            <w14:solidFill>
              <w14:schemeClr w14:val="tx1"/>
            </w14:solidFill>
          </w14:textFill>
        </w:rPr>
        <w:t>r0</w:t>
      </w:r>
      <w:r>
        <w:rPr>
          <w:rFonts w:hint="eastAsia"/>
          <w:bCs/>
          <w:color w:val="000000" w:themeColor="text1"/>
          <w:szCs w:val="21"/>
          <w14:textFill>
            <w14:solidFill>
              <w14:schemeClr w14:val="tx1"/>
            </w14:solidFill>
          </w14:textFill>
        </w:rPr>
        <w:t>之比不小于</w:t>
      </w:r>
      <w:r>
        <w:rPr>
          <w:bCs/>
          <w:color w:val="000000" w:themeColor="text1"/>
          <w:szCs w:val="21"/>
          <w14:textFill>
            <w14:solidFill>
              <w14:schemeClr w14:val="tx1"/>
            </w14:solidFill>
          </w14:textFill>
        </w:rPr>
        <w:t>1.0</w:t>
      </w:r>
      <w:r>
        <w:rPr>
          <w:rFonts w:hint="eastAsia"/>
          <w:bCs/>
          <w:color w:val="000000" w:themeColor="text1"/>
          <w:szCs w:val="21"/>
          <w14:textFill>
            <w14:solidFill>
              <w14:schemeClr w14:val="tx1"/>
            </w14:solidFill>
          </w14:textFill>
        </w:rPr>
        <w:t>。</w:t>
      </w:r>
    </w:p>
    <w:p>
      <w:pPr>
        <w:spacing w:line="400" w:lineRule="exact"/>
        <w:ind w:left="1268" w:leftChars="454" w:hanging="315" w:hangingChars="15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b</w:t>
      </w:r>
      <w:r>
        <w:rPr>
          <w:rFonts w:hint="eastAsia"/>
          <w:bCs/>
          <w:color w:val="000000" w:themeColor="text1"/>
          <w:szCs w:val="21"/>
          <w14:textFill>
            <w14:solidFill>
              <w14:schemeClr w14:val="tx1"/>
            </w14:solidFill>
          </w14:textFill>
        </w:rPr>
        <w:t>）外包混凝土的纵向</w:t>
      </w:r>
      <w:r>
        <w:rPr>
          <w:rFonts w:hint="eastAsia"/>
          <w:bCs/>
          <w:color w:val="000000" w:themeColor="text1"/>
          <w:kern w:val="0"/>
          <w:szCs w:val="21"/>
          <w14:textFill>
            <w14:solidFill>
              <w14:schemeClr w14:val="tx1"/>
            </w14:solidFill>
          </w14:textFill>
        </w:rPr>
        <w:t>钢筋</w:t>
      </w:r>
      <w:r>
        <w:rPr>
          <w:rFonts w:hint="eastAsia"/>
          <w:bCs/>
          <w:color w:val="000000" w:themeColor="text1"/>
          <w:szCs w:val="21"/>
          <w14:textFill>
            <w14:solidFill>
              <w14:schemeClr w14:val="tx1"/>
            </w14:solidFill>
          </w14:textFill>
        </w:rPr>
        <w:t>在顶部应设置弯钩，底部锚固长度不小于</w:t>
      </w:r>
      <w:r>
        <w:rPr>
          <w:bCs/>
          <w:color w:val="000000" w:themeColor="text1"/>
          <w:szCs w:val="21"/>
          <w14:textFill>
            <w14:solidFill>
              <w14:schemeClr w14:val="tx1"/>
            </w14:solidFill>
          </w14:textFill>
        </w:rPr>
        <w:t>25d</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d</w:t>
      </w:r>
      <w:r>
        <w:rPr>
          <w:rFonts w:hint="eastAsia"/>
          <w:bCs/>
          <w:color w:val="000000" w:themeColor="text1"/>
          <w:szCs w:val="21"/>
          <w14:textFill>
            <w14:solidFill>
              <w14:schemeClr w14:val="tx1"/>
            </w14:solidFill>
          </w14:textFill>
        </w:rPr>
        <w:t>为纵筋直径）。</w:t>
      </w:r>
    </w:p>
    <w:p>
      <w:pPr>
        <w:spacing w:line="400" w:lineRule="exact"/>
        <w:ind w:left="743" w:leftChars="354" w:firstLine="210" w:firstLine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c</w:t>
      </w:r>
      <w:r>
        <w:rPr>
          <w:rFonts w:hint="eastAsia"/>
          <w:bCs/>
          <w:color w:val="000000" w:themeColor="text1"/>
          <w:szCs w:val="21"/>
          <w14:textFill>
            <w14:solidFill>
              <w14:schemeClr w14:val="tx1"/>
            </w14:solidFill>
          </w14:textFill>
        </w:rPr>
        <w:t>）外包混凝土的顶部应</w:t>
      </w:r>
      <w:r>
        <w:rPr>
          <w:rFonts w:hint="eastAsia"/>
          <w:bCs/>
          <w:color w:val="000000" w:themeColor="text1"/>
          <w:kern w:val="0"/>
          <w:szCs w:val="21"/>
          <w14:textFill>
            <w14:solidFill>
              <w14:schemeClr w14:val="tx1"/>
            </w14:solidFill>
          </w14:textFill>
        </w:rPr>
        <w:t>至少</w:t>
      </w:r>
      <w:r>
        <w:rPr>
          <w:rFonts w:hint="eastAsia"/>
          <w:bCs/>
          <w:color w:val="000000" w:themeColor="text1"/>
          <w:szCs w:val="21"/>
          <w14:textFill>
            <w14:solidFill>
              <w14:schemeClr w14:val="tx1"/>
            </w14:solidFill>
          </w14:textFill>
        </w:rPr>
        <w:t>设置</w:t>
      </w: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道箍筋，间距可取</w:t>
      </w:r>
      <w:r>
        <w:rPr>
          <w:bCs/>
          <w:color w:val="000000" w:themeColor="text1"/>
          <w:szCs w:val="21"/>
          <w14:textFill>
            <w14:solidFill>
              <w14:schemeClr w14:val="tx1"/>
            </w14:solidFill>
          </w14:textFill>
        </w:rPr>
        <w:t>30~50mm</w:t>
      </w:r>
      <w:r>
        <w:rPr>
          <w:rFonts w:hint="eastAsia"/>
          <w:bCs/>
          <w:color w:val="000000" w:themeColor="text1"/>
          <w:szCs w:val="21"/>
          <w14:textFill>
            <w14:solidFill>
              <w14:schemeClr w14:val="tx1"/>
            </w14:solidFill>
          </w14:textFill>
        </w:rPr>
        <w:t>。</w:t>
      </w:r>
    </w:p>
    <w:p>
      <w:pPr>
        <w:spacing w:line="400" w:lineRule="exact"/>
        <w:ind w:left="743" w:leftChars="354" w:firstLine="210" w:firstLine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d</w:t>
      </w:r>
      <w:r>
        <w:rPr>
          <w:rFonts w:hint="eastAsia"/>
          <w:bCs/>
          <w:color w:val="000000" w:themeColor="text1"/>
          <w:szCs w:val="21"/>
          <w14:textFill>
            <w14:solidFill>
              <w14:schemeClr w14:val="tx1"/>
            </w14:solidFill>
          </w14:textFill>
        </w:rPr>
        <w:t>）钢柱在顶部箍筋处应</w:t>
      </w:r>
      <w:r>
        <w:rPr>
          <w:rFonts w:hint="eastAsia"/>
          <w:bCs/>
          <w:color w:val="000000" w:themeColor="text1"/>
          <w:kern w:val="0"/>
          <w:szCs w:val="21"/>
          <w14:textFill>
            <w14:solidFill>
              <w14:schemeClr w14:val="tx1"/>
            </w14:solidFill>
          </w14:textFill>
        </w:rPr>
        <w:t>设置</w:t>
      </w:r>
      <w:r>
        <w:rPr>
          <w:rFonts w:hint="eastAsia"/>
          <w:bCs/>
          <w:color w:val="000000" w:themeColor="text1"/>
          <w:szCs w:val="21"/>
          <w14:textFill>
            <w14:solidFill>
              <w14:schemeClr w14:val="tx1"/>
            </w14:solidFill>
          </w14:textFill>
        </w:rPr>
        <w:t>水平加劲肋或横隔板等局部加强措施。</w:t>
      </w:r>
    </w:p>
    <w:p>
      <w:pPr>
        <w:spacing w:line="400" w:lineRule="exact"/>
        <w:ind w:firstLine="630" w:firstLineChars="300"/>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5）外露式柱脚应符合下列构造要求：</w:t>
      </w:r>
    </w:p>
    <w:p>
      <w:pPr>
        <w:spacing w:line="400" w:lineRule="exact"/>
        <w:ind w:firstLine="945" w:firstLineChars="45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a</w:t>
      </w:r>
      <w:r>
        <w:rPr>
          <w:rFonts w:hint="eastAsia"/>
          <w:bCs/>
          <w:color w:val="000000" w:themeColor="text1"/>
          <w:szCs w:val="21"/>
          <w14:textFill>
            <w14:solidFill>
              <w14:schemeClr w14:val="tx1"/>
            </w14:solidFill>
          </w14:textFill>
        </w:rPr>
        <w:t>）柱与底板之间宜</w:t>
      </w:r>
      <w:r>
        <w:rPr>
          <w:rFonts w:hint="eastAsia"/>
          <w:bCs/>
          <w:color w:val="000000" w:themeColor="text1"/>
          <w:kern w:val="0"/>
          <w:szCs w:val="21"/>
          <w14:textFill>
            <w14:solidFill>
              <w14:schemeClr w14:val="tx1"/>
            </w14:solidFill>
          </w14:textFill>
        </w:rPr>
        <w:t>采用</w:t>
      </w:r>
      <w:r>
        <w:rPr>
          <w:rFonts w:hint="eastAsia"/>
          <w:bCs/>
          <w:color w:val="000000" w:themeColor="text1"/>
          <w:szCs w:val="21"/>
          <w14:textFill>
            <w14:solidFill>
              <w14:schemeClr w14:val="tx1"/>
            </w14:solidFill>
          </w14:textFill>
        </w:rPr>
        <w:t>熔透焊。</w:t>
      </w:r>
    </w:p>
    <w:p>
      <w:pPr>
        <w:spacing w:line="400" w:lineRule="exact"/>
        <w:ind w:left="1268" w:leftChars="454" w:hanging="315" w:hangingChars="15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b</w:t>
      </w:r>
      <w:r>
        <w:rPr>
          <w:rFonts w:hint="eastAsia"/>
          <w:bCs/>
          <w:color w:val="000000" w:themeColor="text1"/>
          <w:szCs w:val="21"/>
          <w14:textFill>
            <w14:solidFill>
              <w14:schemeClr w14:val="tx1"/>
            </w14:solidFill>
          </w14:textFill>
        </w:rPr>
        <w:t>）柱脚锚栓不宜用以</w:t>
      </w:r>
      <w:r>
        <w:rPr>
          <w:rFonts w:hint="eastAsia"/>
          <w:bCs/>
          <w:color w:val="000000" w:themeColor="text1"/>
          <w:kern w:val="0"/>
          <w:szCs w:val="21"/>
          <w14:textFill>
            <w14:solidFill>
              <w14:schemeClr w14:val="tx1"/>
            </w14:solidFill>
          </w14:textFill>
        </w:rPr>
        <w:t>承受</w:t>
      </w:r>
      <w:r>
        <w:rPr>
          <w:rFonts w:hint="eastAsia"/>
          <w:bCs/>
          <w:color w:val="000000" w:themeColor="text1"/>
          <w:szCs w:val="21"/>
          <w14:textFill>
            <w14:solidFill>
              <w14:schemeClr w14:val="tx1"/>
            </w14:solidFill>
          </w14:textFill>
        </w:rPr>
        <w:t>柱脚底部的水平反力，水平力宜由底板与混凝土基础间的摩擦力（摩擦系数可取</w:t>
      </w:r>
      <w:r>
        <w:rPr>
          <w:bCs/>
          <w:color w:val="000000" w:themeColor="text1"/>
          <w:szCs w:val="21"/>
          <w14:textFill>
            <w14:solidFill>
              <w14:schemeClr w14:val="tx1"/>
            </w14:solidFill>
          </w14:textFill>
        </w:rPr>
        <w:t>0.4</w:t>
      </w:r>
      <w:r>
        <w:rPr>
          <w:rFonts w:hint="eastAsia"/>
          <w:bCs/>
          <w:color w:val="000000" w:themeColor="text1"/>
          <w:szCs w:val="21"/>
          <w14:textFill>
            <w14:solidFill>
              <w14:schemeClr w14:val="tx1"/>
            </w14:solidFill>
          </w14:textFill>
        </w:rPr>
        <w:t>）或设置抗剪键承受。</w:t>
      </w:r>
    </w:p>
    <w:p>
      <w:pPr>
        <w:spacing w:line="400" w:lineRule="exact"/>
        <w:ind w:firstLine="945" w:firstLineChars="45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c</w:t>
      </w:r>
      <w:r>
        <w:rPr>
          <w:rFonts w:hint="eastAsia"/>
          <w:bCs/>
          <w:color w:val="000000" w:themeColor="text1"/>
          <w:kern w:val="0"/>
          <w:szCs w:val="21"/>
          <w14:textFill>
            <w14:solidFill>
              <w14:schemeClr w14:val="tx1"/>
            </w14:solidFill>
          </w14:textFill>
        </w:rPr>
        <w:t>）锚栓与基础应</w:t>
      </w:r>
      <w:r>
        <w:rPr>
          <w:rFonts w:hint="eastAsia"/>
          <w:bCs/>
          <w:color w:val="000000" w:themeColor="text1"/>
          <w:szCs w:val="21"/>
          <w14:textFill>
            <w14:solidFill>
              <w14:schemeClr w14:val="tx1"/>
            </w14:solidFill>
          </w14:textFill>
        </w:rPr>
        <w:t>可靠</w:t>
      </w:r>
      <w:r>
        <w:rPr>
          <w:rFonts w:hint="eastAsia"/>
          <w:bCs/>
          <w:color w:val="000000" w:themeColor="text1"/>
          <w:kern w:val="0"/>
          <w:szCs w:val="21"/>
          <w14:textFill>
            <w14:solidFill>
              <w14:schemeClr w14:val="tx1"/>
            </w14:solidFill>
          </w14:textFill>
        </w:rPr>
        <w:t>锚固，并应</w:t>
      </w:r>
      <w:r>
        <w:rPr>
          <w:rFonts w:hint="eastAsia"/>
          <w:bCs/>
          <w:color w:val="000000" w:themeColor="text1"/>
          <w:szCs w:val="21"/>
          <w14:textFill>
            <w14:solidFill>
              <w14:schemeClr w14:val="tx1"/>
            </w14:solidFill>
          </w14:textFill>
        </w:rPr>
        <w:t>采用</w:t>
      </w:r>
      <w:r>
        <w:rPr>
          <w:rFonts w:hint="eastAsia"/>
          <w:bCs/>
          <w:color w:val="000000" w:themeColor="text1"/>
          <w:kern w:val="0"/>
          <w:szCs w:val="21"/>
          <w14:textFill>
            <w14:solidFill>
              <w14:schemeClr w14:val="tx1"/>
            </w14:solidFill>
          </w14:textFill>
        </w:rPr>
        <w:t>双螺母拧紧。</w:t>
      </w:r>
    </w:p>
    <w:p>
      <w:pPr>
        <w:spacing w:line="400" w:lineRule="exact"/>
        <w:ind w:left="1268" w:leftChars="454" w:hanging="315" w:hangingChars="15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d</w:t>
      </w:r>
      <w:r>
        <w:rPr>
          <w:rFonts w:hint="eastAsia"/>
          <w:bCs/>
          <w:color w:val="000000" w:themeColor="text1"/>
          <w:kern w:val="0"/>
          <w:szCs w:val="21"/>
          <w14:textFill>
            <w14:solidFill>
              <w14:schemeClr w14:val="tx1"/>
            </w14:solidFill>
          </w14:textFill>
        </w:rPr>
        <w:t>）锚栓</w:t>
      </w:r>
      <w:r>
        <w:rPr>
          <w:rFonts w:hint="eastAsia"/>
          <w:bCs/>
          <w:color w:val="000000" w:themeColor="text1"/>
          <w:szCs w:val="21"/>
          <w14:textFill>
            <w14:solidFill>
              <w14:schemeClr w14:val="tx1"/>
            </w14:solidFill>
          </w14:textFill>
        </w:rPr>
        <w:t>可</w:t>
      </w:r>
      <w:r>
        <w:rPr>
          <w:rFonts w:hint="eastAsia"/>
          <w:bCs/>
          <w:color w:val="000000" w:themeColor="text1"/>
          <w:kern w:val="0"/>
          <w:szCs w:val="21"/>
          <w14:textFill>
            <w14:solidFill>
              <w14:schemeClr w14:val="tx1"/>
            </w14:solidFill>
          </w14:textFill>
        </w:rPr>
        <w:t>采用</w:t>
      </w:r>
      <w:r>
        <w:rPr>
          <w:bCs/>
          <w:color w:val="000000" w:themeColor="text1"/>
          <w:kern w:val="0"/>
          <w:szCs w:val="21"/>
          <w14:textFill>
            <w14:solidFill>
              <w14:schemeClr w14:val="tx1"/>
            </w14:solidFill>
          </w14:textFill>
        </w:rPr>
        <w:t>Q235</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Q3</w:t>
      </w:r>
      <w:r>
        <w:rPr>
          <w:rFonts w:hint="eastAsia"/>
          <w:bCs/>
          <w:color w:val="000000" w:themeColor="text1"/>
          <w:kern w:val="0"/>
          <w:szCs w:val="21"/>
          <w14:textFill>
            <w14:solidFill>
              <w14:schemeClr w14:val="tx1"/>
            </w14:solidFill>
          </w14:textFill>
        </w:rPr>
        <w:t>5</w:t>
      </w:r>
      <w:r>
        <w:rPr>
          <w:bCs/>
          <w:color w:val="000000" w:themeColor="text1"/>
          <w:kern w:val="0"/>
          <w:szCs w:val="21"/>
          <w14:textFill>
            <w14:solidFill>
              <w14:schemeClr w14:val="tx1"/>
            </w14:solidFill>
          </w14:textFill>
        </w:rPr>
        <w:t>5</w:t>
      </w:r>
      <w:r>
        <w:rPr>
          <w:rFonts w:hint="eastAsia"/>
          <w:bCs/>
          <w:color w:val="000000" w:themeColor="text1"/>
          <w:kern w:val="0"/>
          <w:szCs w:val="21"/>
          <w14:textFill>
            <w14:solidFill>
              <w14:schemeClr w14:val="tx1"/>
            </w14:solidFill>
          </w14:textFill>
        </w:rPr>
        <w:t>钢材制作；采用</w:t>
      </w:r>
      <w:r>
        <w:rPr>
          <w:rFonts w:hint="eastAsia"/>
          <w:bCs/>
          <w:color w:val="000000" w:themeColor="text1"/>
          <w:szCs w:val="21"/>
          <w14:textFill>
            <w14:solidFill>
              <w14:schemeClr w14:val="tx1"/>
            </w14:solidFill>
          </w14:textFill>
        </w:rPr>
        <w:t>更</w:t>
      </w:r>
      <w:r>
        <w:rPr>
          <w:rFonts w:hint="eastAsia"/>
          <w:bCs/>
          <w:color w:val="000000" w:themeColor="text1"/>
          <w:kern w:val="0"/>
          <w:szCs w:val="21"/>
          <w14:textFill>
            <w14:solidFill>
              <w14:schemeClr w14:val="tx1"/>
            </w14:solidFill>
          </w14:textFill>
        </w:rPr>
        <w:t>高强度等级钢材替换螺栓钢材时，其直径不宜小于采用</w:t>
      </w:r>
      <w:r>
        <w:rPr>
          <w:bCs/>
          <w:color w:val="000000" w:themeColor="text1"/>
          <w:kern w:val="0"/>
          <w:szCs w:val="21"/>
          <w14:textFill>
            <w14:solidFill>
              <w14:schemeClr w14:val="tx1"/>
            </w14:solidFill>
          </w14:textFill>
        </w:rPr>
        <w:t>Q3</w:t>
      </w:r>
      <w:r>
        <w:rPr>
          <w:rFonts w:hint="eastAsia"/>
          <w:bCs/>
          <w:color w:val="000000" w:themeColor="text1"/>
          <w:kern w:val="0"/>
          <w:szCs w:val="21"/>
          <w14:textFill>
            <w14:solidFill>
              <w14:schemeClr w14:val="tx1"/>
            </w14:solidFill>
          </w14:textFill>
        </w:rPr>
        <w:t>5</w:t>
      </w:r>
      <w:r>
        <w:rPr>
          <w:bCs/>
          <w:color w:val="000000" w:themeColor="text1"/>
          <w:kern w:val="0"/>
          <w:szCs w:val="21"/>
          <w14:textFill>
            <w14:solidFill>
              <w14:schemeClr w14:val="tx1"/>
            </w14:solidFill>
          </w14:textFill>
        </w:rPr>
        <w:t>5</w:t>
      </w:r>
      <w:r>
        <w:rPr>
          <w:rFonts w:hint="eastAsia"/>
          <w:bCs/>
          <w:color w:val="000000" w:themeColor="text1"/>
          <w:kern w:val="0"/>
          <w:szCs w:val="21"/>
          <w14:textFill>
            <w14:solidFill>
              <w14:schemeClr w14:val="tx1"/>
            </w14:solidFill>
          </w14:textFill>
        </w:rPr>
        <w:t>钢的计算值。</w:t>
      </w:r>
    </w:p>
    <w:p>
      <w:pPr>
        <w:spacing w:line="360" w:lineRule="auto"/>
        <w:ind w:left="420" w:firstLine="420"/>
        <w:rPr>
          <w:bCs/>
          <w:color w:val="000000" w:themeColor="text1"/>
          <w:szCs w:val="21"/>
          <w14:textFill>
            <w14:solidFill>
              <w14:schemeClr w14:val="tx1"/>
            </w14:solidFill>
          </w14:textFill>
        </w:rPr>
      </w:pPr>
    </w:p>
    <w:p>
      <w:pPr>
        <w:spacing w:line="360" w:lineRule="auto"/>
        <w:ind w:left="420" w:firstLine="420"/>
        <w:rPr>
          <w:bCs/>
          <w:color w:val="000000" w:themeColor="text1"/>
          <w:szCs w:val="21"/>
          <w14:textFill>
            <w14:solidFill>
              <w14:schemeClr w14:val="tx1"/>
            </w14:solidFill>
          </w14:textFill>
        </w:rPr>
      </w:pPr>
    </w:p>
    <w:p>
      <w:pPr>
        <w:spacing w:line="360" w:lineRule="auto"/>
        <w:ind w:left="420" w:firstLine="420"/>
        <w:rPr>
          <w:bCs/>
          <w:color w:val="000000" w:themeColor="text1"/>
          <w:szCs w:val="21"/>
          <w14:textFill>
            <w14:solidFill>
              <w14:schemeClr w14:val="tx1"/>
            </w14:solidFill>
          </w14:textFill>
        </w:rPr>
      </w:pPr>
    </w:p>
    <w:p>
      <w:pPr>
        <w:widowControl/>
        <w:adjustRightInd/>
        <w:snapToGrid/>
        <w:ind w:firstLine="0" w:firstLineChars="0"/>
        <w:jc w:val="left"/>
        <w:rPr>
          <w:rFonts w:cs="Times New Roman"/>
          <w:b/>
          <w:color w:val="000000" w:themeColor="text1"/>
          <w:kern w:val="44"/>
          <w:sz w:val="30"/>
          <w:szCs w:val="20"/>
          <w:lang w:val="zh-CN"/>
          <w14:textFill>
            <w14:solidFill>
              <w14:schemeClr w14:val="tx1"/>
            </w14:solidFill>
          </w14:textFill>
        </w:rPr>
      </w:pPr>
      <w:r>
        <w:rPr>
          <w:color w:val="000000" w:themeColor="text1"/>
          <w14:textFill>
            <w14:solidFill>
              <w14:schemeClr w14:val="tx1"/>
            </w14:solidFill>
          </w14:textFill>
        </w:rPr>
        <w:br w:type="page"/>
      </w:r>
    </w:p>
    <w:p>
      <w:pPr>
        <w:pStyle w:val="2"/>
        <w:numPr>
          <w:ilvl w:val="0"/>
          <w:numId w:val="1"/>
        </w:numPr>
        <w:rPr>
          <w:color w:val="000000" w:themeColor="text1"/>
          <w14:textFill>
            <w14:solidFill>
              <w14:schemeClr w14:val="tx1"/>
            </w14:solidFill>
          </w14:textFill>
        </w:rPr>
      </w:pPr>
      <w:bookmarkStart w:id="201" w:name="_Toc48841051"/>
      <w:r>
        <w:rPr>
          <w:rFonts w:hint="eastAsia"/>
          <w:color w:val="000000" w:themeColor="text1"/>
          <w14:textFill>
            <w14:solidFill>
              <w14:schemeClr w14:val="tx1"/>
            </w14:solidFill>
          </w14:textFill>
        </w:rPr>
        <w:t>单层钢结构</w:t>
      </w:r>
      <w:bookmarkEnd w:id="201"/>
    </w:p>
    <w:p>
      <w:pPr>
        <w:pStyle w:val="3"/>
      </w:pPr>
      <w:bookmarkStart w:id="202" w:name="_Toc48841052"/>
      <w:r>
        <w:rPr>
          <w:rFonts w:hint="eastAsia"/>
        </w:rPr>
        <w:t>一般规定</w:t>
      </w:r>
      <w:bookmarkEnd w:id="202"/>
    </w:p>
    <w:p>
      <w:pPr>
        <w:autoSpaceDE w:val="0"/>
        <w:autoSpaceDN w:val="0"/>
        <w:spacing w:line="360" w:lineRule="auto"/>
        <w:ind w:firstLine="0" w:firstLineChars="0"/>
        <w:jc w:val="center"/>
        <w:rPr>
          <w:bCs/>
          <w:color w:val="000000" w:themeColor="text1"/>
          <w:kern w:val="0"/>
          <w:szCs w:val="21"/>
          <w14:textFill>
            <w14:solidFill>
              <w14:schemeClr w14:val="tx1"/>
            </w14:solidFill>
          </w14:textFill>
        </w:rPr>
      </w:pP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10.1.</w:t>
      </w:r>
      <w:r>
        <w:rPr>
          <w:bCs/>
          <w:color w:val="000000" w:themeColor="text1"/>
          <w:kern w:val="0"/>
          <w:szCs w:val="21"/>
          <w14:textFill>
            <w14:solidFill>
              <w14:schemeClr w14:val="tx1"/>
            </w14:solidFill>
          </w14:textFill>
        </w:rPr>
        <w:t xml:space="preserve">1 </w:t>
      </w:r>
      <w:r>
        <w:rPr>
          <w:rFonts w:hint="eastAsia"/>
          <w:bCs/>
          <w:color w:val="000000" w:themeColor="text1"/>
          <w:kern w:val="0"/>
          <w:szCs w:val="21"/>
          <w14:textFill>
            <w14:solidFill>
              <w14:schemeClr w14:val="tx1"/>
            </w14:solidFill>
          </w14:textFill>
        </w:rPr>
        <w:t>本节适用于采用轻型围护或砌体围护的轻屋盖单层钢结构厂房，重屋盖单层钢结构厂房的抗震设计可按现行国家标准《建筑抗震设计规范》</w:t>
      </w:r>
      <w:r>
        <w:rPr>
          <w:bCs/>
          <w:color w:val="000000" w:themeColor="text1"/>
          <w:kern w:val="0"/>
          <w:szCs w:val="21"/>
          <w14:textFill>
            <w14:solidFill>
              <w14:schemeClr w14:val="tx1"/>
            </w14:solidFill>
          </w14:textFill>
        </w:rPr>
        <w:t>GB50011</w:t>
      </w:r>
      <w:r>
        <w:rPr>
          <w:rFonts w:hint="eastAsia"/>
          <w:bCs/>
          <w:color w:val="000000" w:themeColor="text1"/>
          <w:kern w:val="0"/>
          <w:szCs w:val="21"/>
          <w14:textFill>
            <w14:solidFill>
              <w14:schemeClr w14:val="tx1"/>
            </w14:solidFill>
          </w14:textFill>
        </w:rPr>
        <w:t>的规定执行。</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10.1.</w:t>
      </w:r>
      <w:r>
        <w:rPr>
          <w:bCs/>
          <w:color w:val="000000" w:themeColor="text1"/>
          <w:kern w:val="0"/>
          <w:szCs w:val="21"/>
          <w14:textFill>
            <w14:solidFill>
              <w14:schemeClr w14:val="tx1"/>
            </w14:solidFill>
          </w14:textFill>
        </w:rPr>
        <w:t xml:space="preserve">2 </w:t>
      </w:r>
      <w:r>
        <w:rPr>
          <w:rFonts w:hint="eastAsia"/>
          <w:bCs/>
          <w:color w:val="000000" w:themeColor="text1"/>
          <w:kern w:val="0"/>
          <w:szCs w:val="21"/>
          <w14:textFill>
            <w14:solidFill>
              <w14:schemeClr w14:val="tx1"/>
            </w14:solidFill>
          </w14:textFill>
        </w:rPr>
        <w:t>轻屋盖厂房宜采用弹性结构</w:t>
      </w:r>
      <w:r>
        <w:rPr>
          <w:bCs/>
          <w:color w:val="000000" w:themeColor="text1"/>
          <w:kern w:val="0"/>
          <w:szCs w:val="21"/>
          <w14:textFill>
            <w14:solidFill>
              <w14:schemeClr w14:val="tx1"/>
            </w14:solidFill>
          </w14:textFill>
        </w:rPr>
        <w:t>ES1</w:t>
      </w:r>
      <w:r>
        <w:rPr>
          <w:rFonts w:hint="eastAsia"/>
          <w:bCs/>
          <w:color w:val="000000" w:themeColor="text1"/>
          <w:kern w:val="0"/>
          <w:szCs w:val="21"/>
          <w14:textFill>
            <w14:solidFill>
              <w14:schemeClr w14:val="tx1"/>
            </w14:solidFill>
          </w14:textFill>
        </w:rPr>
        <w:t>，也可据需采用弹塑性结构</w:t>
      </w:r>
      <w:r>
        <w:rPr>
          <w:bCs/>
          <w:color w:val="000000" w:themeColor="text1"/>
          <w:kern w:val="0"/>
          <w:szCs w:val="21"/>
          <w14:textFill>
            <w14:solidFill>
              <w14:schemeClr w14:val="tx1"/>
            </w14:solidFill>
          </w14:textFill>
        </w:rPr>
        <w:t>PES</w:t>
      </w:r>
      <w:r>
        <w:rPr>
          <w:rFonts w:hint="eastAsia"/>
          <w:bCs/>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10.1.</w:t>
      </w:r>
      <w:r>
        <w:rPr>
          <w:bCs/>
          <w:color w:val="000000" w:themeColor="text1"/>
          <w:kern w:val="0"/>
          <w:szCs w:val="21"/>
          <w14:textFill>
            <w14:solidFill>
              <w14:schemeClr w14:val="tx1"/>
            </w14:solidFill>
          </w14:textFill>
        </w:rPr>
        <w:t xml:space="preserve">3 </w:t>
      </w:r>
      <w:r>
        <w:rPr>
          <w:rFonts w:hint="eastAsia"/>
          <w:bCs/>
          <w:color w:val="000000" w:themeColor="text1"/>
          <w:kern w:val="0"/>
          <w:szCs w:val="21"/>
          <w14:textFill>
            <w14:solidFill>
              <w14:schemeClr w14:val="tx1"/>
            </w14:solidFill>
          </w14:textFill>
        </w:rPr>
        <w:t>轻屋盖厂房采用弹性结构</w:t>
      </w:r>
      <w:r>
        <w:rPr>
          <w:bCs/>
          <w:color w:val="000000" w:themeColor="text1"/>
          <w:kern w:val="0"/>
          <w:szCs w:val="21"/>
          <w14:textFill>
            <w14:solidFill>
              <w14:schemeClr w14:val="tx1"/>
            </w14:solidFill>
          </w14:textFill>
        </w:rPr>
        <w:t>ES2</w:t>
      </w:r>
      <w:r>
        <w:rPr>
          <w:rFonts w:hint="eastAsia"/>
          <w:bCs/>
          <w:color w:val="000000" w:themeColor="text1"/>
          <w:kern w:val="0"/>
          <w:szCs w:val="21"/>
          <w14:textFill>
            <w14:solidFill>
              <w14:schemeClr w14:val="tx1"/>
            </w14:solidFill>
          </w14:textFill>
        </w:rPr>
        <w:t>时，高度不应大于</w:t>
      </w:r>
      <w:r>
        <w:rPr>
          <w:bCs/>
          <w:color w:val="000000" w:themeColor="text1"/>
          <w:kern w:val="0"/>
          <w:szCs w:val="21"/>
          <w14:textFill>
            <w14:solidFill>
              <w14:schemeClr w14:val="tx1"/>
            </w14:solidFill>
          </w14:textFill>
        </w:rPr>
        <w:t>18m</w:t>
      </w:r>
      <w:r>
        <w:rPr>
          <w:rFonts w:hint="eastAsia"/>
          <w:bCs/>
          <w:color w:val="000000" w:themeColor="text1"/>
          <w:kern w:val="0"/>
          <w:szCs w:val="21"/>
          <w14:textFill>
            <w14:solidFill>
              <w14:schemeClr w14:val="tx1"/>
            </w14:solidFill>
          </w14:textFill>
        </w:rPr>
        <w:t>，高宽比不宜大于</w:t>
      </w:r>
      <w:r>
        <w:rPr>
          <w:bCs/>
          <w:color w:val="000000" w:themeColor="text1"/>
          <w:kern w:val="0"/>
          <w:szCs w:val="21"/>
          <w14:textFill>
            <w14:solidFill>
              <w14:schemeClr w14:val="tx1"/>
            </w14:solidFill>
          </w14:textFill>
        </w:rPr>
        <w:t>1</w:t>
      </w:r>
      <w:r>
        <w:rPr>
          <w:rFonts w:hint="eastAsia"/>
          <w:bCs/>
          <w:color w:val="000000" w:themeColor="text1"/>
          <w:kern w:val="0"/>
          <w:szCs w:val="21"/>
          <w14:textFill>
            <w14:solidFill>
              <w14:schemeClr w14:val="tx1"/>
            </w14:solidFill>
          </w14:textFill>
        </w:rPr>
        <w:t>。此时当设置桥式起重机时，起重量不应大于</w:t>
      </w:r>
      <w:r>
        <w:rPr>
          <w:bCs/>
          <w:color w:val="000000" w:themeColor="text1"/>
          <w:kern w:val="0"/>
          <w:szCs w:val="21"/>
          <w14:textFill>
            <w14:solidFill>
              <w14:schemeClr w14:val="tx1"/>
            </w14:solidFill>
          </w14:textFill>
        </w:rPr>
        <w:t>20t</w:t>
      </w:r>
      <w:r>
        <w:rPr>
          <w:rFonts w:hint="eastAsia"/>
          <w:bCs/>
          <w:color w:val="000000" w:themeColor="text1"/>
          <w:kern w:val="0"/>
          <w:szCs w:val="21"/>
          <w14:textFill>
            <w14:solidFill>
              <w14:schemeClr w14:val="tx1"/>
            </w14:solidFill>
          </w14:textFill>
        </w:rPr>
        <w:t>，工作制应限制在</w:t>
      </w:r>
      <w:r>
        <w:rPr>
          <w:bCs/>
          <w:color w:val="000000" w:themeColor="text1"/>
          <w:kern w:val="0"/>
          <w:szCs w:val="21"/>
          <w14:textFill>
            <w14:solidFill>
              <w14:schemeClr w14:val="tx1"/>
            </w14:solidFill>
          </w14:textFill>
        </w:rPr>
        <w:t>A1</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A5</w:t>
      </w:r>
      <w:r>
        <w:rPr>
          <w:rFonts w:hint="eastAsia"/>
          <w:bCs/>
          <w:color w:val="000000" w:themeColor="text1"/>
          <w:kern w:val="0"/>
          <w:szCs w:val="21"/>
          <w14:textFill>
            <w14:solidFill>
              <w14:schemeClr w14:val="tx1"/>
            </w14:solidFill>
          </w14:textFill>
        </w:rPr>
        <w:t>级范围内；当设置悬挂式起重机时，起重量不应大于</w:t>
      </w:r>
      <w:r>
        <w:rPr>
          <w:bCs/>
          <w:color w:val="000000" w:themeColor="text1"/>
          <w:kern w:val="0"/>
          <w:szCs w:val="21"/>
          <w14:textFill>
            <w14:solidFill>
              <w14:schemeClr w14:val="tx1"/>
            </w14:solidFill>
          </w14:textFill>
        </w:rPr>
        <w:t>3t</w:t>
      </w:r>
      <w:r>
        <w:rPr>
          <w:rFonts w:hint="eastAsia"/>
          <w:bCs/>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10.1.4</w:t>
      </w:r>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采用弹性结构</w:t>
      </w:r>
      <w:r>
        <w:rPr>
          <w:bCs/>
          <w:color w:val="000000" w:themeColor="text1"/>
          <w:kern w:val="0"/>
          <w:szCs w:val="21"/>
          <w14:textFill>
            <w14:solidFill>
              <w14:schemeClr w14:val="tx1"/>
            </w14:solidFill>
          </w14:textFill>
        </w:rPr>
        <w:t>ES1</w:t>
      </w:r>
      <w:r>
        <w:rPr>
          <w:rFonts w:hint="eastAsia"/>
          <w:bCs/>
          <w:color w:val="000000" w:themeColor="text1"/>
          <w:kern w:val="0"/>
          <w:szCs w:val="21"/>
          <w14:textFill>
            <w14:solidFill>
              <w14:schemeClr w14:val="tx1"/>
            </w14:solidFill>
          </w14:textFill>
        </w:rPr>
        <w:t>、弹塑性结构</w:t>
      </w:r>
      <w:r>
        <w:rPr>
          <w:bCs/>
          <w:color w:val="000000" w:themeColor="text1"/>
          <w:kern w:val="0"/>
          <w:szCs w:val="21"/>
          <w14:textFill>
            <w14:solidFill>
              <w14:schemeClr w14:val="tx1"/>
            </w14:solidFill>
          </w14:textFill>
        </w:rPr>
        <w:t>PES</w:t>
      </w:r>
      <w:r>
        <w:rPr>
          <w:rFonts w:hint="eastAsia"/>
          <w:bCs/>
          <w:color w:val="000000" w:themeColor="text1"/>
          <w:kern w:val="0"/>
          <w:szCs w:val="21"/>
          <w14:textFill>
            <w14:solidFill>
              <w14:schemeClr w14:val="tx1"/>
            </w14:solidFill>
          </w14:textFill>
        </w:rPr>
        <w:t>的厂房结构体系，宜符合下列要求：</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1</w:t>
      </w:r>
      <w:r>
        <w:rPr>
          <w:rFonts w:hint="eastAsia"/>
          <w:bCs/>
          <w:color w:val="000000" w:themeColor="text1"/>
          <w:kern w:val="0"/>
          <w:szCs w:val="21"/>
          <w14:textFill>
            <w14:solidFill>
              <w14:schemeClr w14:val="tx1"/>
            </w14:solidFill>
          </w14:textFill>
        </w:rPr>
        <w:t xml:space="preserve"> 横向抗侧力体系，可采用刚接框架、铰接框架、门式刚架或其他结构体系；厂房的纵向抗侧力体系，应采用柱间支撑。当抗侧刚度有可靠保证时，也可采用刚接框架；</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 xml:space="preserve"> 设置桥式起重机时，吊车梁系统构件与厂房柱的连接应能可靠传递纵向水平地震作用；</w:t>
      </w:r>
    </w:p>
    <w:p>
      <w:pPr>
        <w:autoSpaceDE w:val="0"/>
        <w:autoSpaceDN w:val="0"/>
        <w:spacing w:line="360" w:lineRule="auto"/>
        <w:ind w:firstLine="409" w:firstLineChars="195"/>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3</w:t>
      </w:r>
      <w:r>
        <w:rPr>
          <w:rFonts w:hint="eastAsia"/>
          <w:bCs/>
          <w:color w:val="000000" w:themeColor="text1"/>
          <w:kern w:val="0"/>
          <w:szCs w:val="21"/>
          <w14:textFill>
            <w14:solidFill>
              <w14:schemeClr w14:val="tx1"/>
            </w14:solidFill>
          </w14:textFill>
        </w:rPr>
        <w:t xml:space="preserve"> 应按本节规定设置完整的屋盖支撑系统；</w:t>
      </w:r>
    </w:p>
    <w:p>
      <w:pPr>
        <w:autoSpaceDE w:val="0"/>
        <w:autoSpaceDN w:val="0"/>
        <w:spacing w:line="360" w:lineRule="auto"/>
        <w:ind w:firstLine="409" w:firstLineChars="195"/>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4</w:t>
      </w:r>
      <w:r>
        <w:rPr>
          <w:rFonts w:hint="eastAsia"/>
          <w:bCs/>
          <w:color w:val="000000" w:themeColor="text1"/>
          <w:kern w:val="0"/>
          <w:szCs w:val="21"/>
          <w14:textFill>
            <w14:solidFill>
              <w14:schemeClr w14:val="tx1"/>
            </w14:solidFill>
          </w14:textFill>
        </w:rPr>
        <w:t xml:space="preserve"> 屋架在柱顶铰接时，宜采用端斜杆上承式，并宜采用高强度螺栓连接；</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5</w:t>
      </w:r>
      <w:r>
        <w:rPr>
          <w:rFonts w:hint="eastAsia"/>
          <w:bCs/>
          <w:color w:val="000000" w:themeColor="text1"/>
          <w:kern w:val="0"/>
          <w:szCs w:val="21"/>
          <w14:textFill>
            <w14:solidFill>
              <w14:schemeClr w14:val="tx1"/>
            </w14:solidFill>
          </w14:textFill>
        </w:rPr>
        <w:t xml:space="preserve"> 多跨厂房宜采用等高布置（双坡屋面）。当采用高低跨布置时，低跨屋盖横梁与高跨柱的连接位置，应选择在可靠传递低跨屋盖横梁水平地震作用的高跨柱部位，并应采用合理的连接构造方式；</w:t>
      </w:r>
    </w:p>
    <w:p>
      <w:pPr>
        <w:autoSpaceDE w:val="0"/>
        <w:autoSpaceDN w:val="0"/>
        <w:spacing w:line="360" w:lineRule="auto"/>
        <w:ind w:firstLine="409" w:firstLineChars="195"/>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6</w:t>
      </w:r>
      <w:r>
        <w:rPr>
          <w:rFonts w:hint="eastAsia"/>
          <w:bCs/>
          <w:color w:val="000000" w:themeColor="text1"/>
          <w:kern w:val="0"/>
          <w:szCs w:val="21"/>
          <w14:textFill>
            <w14:solidFill>
              <w14:schemeClr w14:val="tx1"/>
            </w14:solidFill>
          </w14:textFill>
        </w:rPr>
        <w:t xml:space="preserve"> 同一结构单元内，不宜采用不同的结构形式；</w:t>
      </w:r>
    </w:p>
    <w:p>
      <w:pPr>
        <w:autoSpaceDE w:val="0"/>
        <w:autoSpaceDN w:val="0"/>
        <w:spacing w:line="360" w:lineRule="auto"/>
        <w:ind w:firstLine="409" w:firstLineChars="195"/>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7</w:t>
      </w:r>
      <w:r>
        <w:rPr>
          <w:rFonts w:hint="eastAsia"/>
          <w:bCs/>
          <w:color w:val="000000" w:themeColor="text1"/>
          <w:kern w:val="0"/>
          <w:szCs w:val="21"/>
          <w14:textFill>
            <w14:solidFill>
              <w14:schemeClr w14:val="tx1"/>
            </w14:solidFill>
          </w14:textFill>
        </w:rPr>
        <w:t xml:space="preserve"> 厂房端部应设置屋盖横梁，不应采用山墙承重。</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10.1.5</w:t>
      </w:r>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采用弹性结构</w:t>
      </w:r>
      <w:r>
        <w:rPr>
          <w:bCs/>
          <w:color w:val="000000" w:themeColor="text1"/>
          <w:kern w:val="0"/>
          <w:szCs w:val="21"/>
          <w14:textFill>
            <w14:solidFill>
              <w14:schemeClr w14:val="tx1"/>
            </w14:solidFill>
          </w14:textFill>
        </w:rPr>
        <w:t>ES2</w:t>
      </w:r>
      <w:r>
        <w:rPr>
          <w:rFonts w:hint="eastAsia"/>
          <w:bCs/>
          <w:color w:val="000000" w:themeColor="text1"/>
          <w:kern w:val="0"/>
          <w:szCs w:val="21"/>
          <w14:textFill>
            <w14:solidFill>
              <w14:schemeClr w14:val="tx1"/>
            </w14:solidFill>
          </w14:textFill>
        </w:rPr>
        <w:t>的厂房结构体系，宜符合下列要求：</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1</w:t>
      </w:r>
      <w:r>
        <w:rPr>
          <w:rFonts w:hint="eastAsia"/>
          <w:bCs/>
          <w:color w:val="000000" w:themeColor="text1"/>
          <w:kern w:val="0"/>
          <w:szCs w:val="21"/>
          <w14:textFill>
            <w14:solidFill>
              <w14:schemeClr w14:val="tx1"/>
            </w14:solidFill>
          </w14:textFill>
        </w:rPr>
        <w:t xml:space="preserve"> 横向抗侧力体系宜采用梁柱端板刚性连接的门式刚架，也可采用其他结构形式。纵向抗侧力体系，应采用柱间支撑；</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 xml:space="preserve"> 无桥式起重机时，宜采用铰接柱脚，多跨厂房中间纵向柱列可采用摇摆柱；设置桥式起重机时，宜采用刚接柱脚，有吊车梁的柱列应设置柱间支撑，无桥式起重机跨也可采用摇摆柱；</w:t>
      </w:r>
    </w:p>
    <w:p>
      <w:pPr>
        <w:autoSpaceDE w:val="0"/>
        <w:autoSpaceDN w:val="0"/>
        <w:spacing w:line="360" w:lineRule="auto"/>
        <w:ind w:firstLine="428" w:firstLineChars="204"/>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3</w:t>
      </w:r>
      <w:r>
        <w:rPr>
          <w:rFonts w:hint="eastAsia"/>
          <w:bCs/>
          <w:color w:val="000000" w:themeColor="text1"/>
          <w:kern w:val="0"/>
          <w:szCs w:val="21"/>
          <w14:textFill>
            <w14:solidFill>
              <w14:schemeClr w14:val="tx1"/>
            </w14:solidFill>
          </w14:textFill>
        </w:rPr>
        <w:t xml:space="preserve"> 屋盖应按本节规定设置横向支撑，据需设置纵向支撑；</w:t>
      </w:r>
    </w:p>
    <w:p>
      <w:pPr>
        <w:autoSpaceDE w:val="0"/>
        <w:autoSpaceDN w:val="0"/>
        <w:spacing w:line="360" w:lineRule="auto"/>
        <w:ind w:firstLine="428" w:firstLineChars="204"/>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4</w:t>
      </w:r>
      <w:r>
        <w:rPr>
          <w:rFonts w:hint="eastAsia"/>
          <w:bCs/>
          <w:color w:val="000000" w:themeColor="text1"/>
          <w:kern w:val="0"/>
          <w:szCs w:val="21"/>
          <w14:textFill>
            <w14:solidFill>
              <w14:schemeClr w14:val="tx1"/>
            </w14:solidFill>
          </w14:textFill>
        </w:rPr>
        <w:t xml:space="preserve"> 多跨厂房宜采用等高布置。</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10.1.6</w:t>
      </w:r>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厂房防震缝的宽度应根据设防烈度、与相邻房屋可能碰撞的最高点高度、厂房的结构布置等情况确定，一般可取按设防地震烈度计算的可能碰撞点高度的水平位移值的</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倍，并不宜小于混凝土柱单层厂房防震缝宽度的</w:t>
      </w:r>
      <w:r>
        <w:rPr>
          <w:bCs/>
          <w:color w:val="000000" w:themeColor="text1"/>
          <w:kern w:val="0"/>
          <w:szCs w:val="21"/>
          <w14:textFill>
            <w14:solidFill>
              <w14:schemeClr w14:val="tx1"/>
            </w14:solidFill>
          </w14:textFill>
        </w:rPr>
        <w:t>1.5</w:t>
      </w:r>
      <w:r>
        <w:rPr>
          <w:rFonts w:hint="eastAsia"/>
          <w:bCs/>
          <w:color w:val="000000" w:themeColor="text1"/>
          <w:kern w:val="0"/>
          <w:szCs w:val="21"/>
          <w14:textFill>
            <w14:solidFill>
              <w14:schemeClr w14:val="tx1"/>
            </w14:solidFill>
          </w14:textFill>
        </w:rPr>
        <w:t>倍。</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10.1.7</w:t>
      </w:r>
      <w:r>
        <w:rPr>
          <w:bCs/>
          <w:color w:val="000000" w:themeColor="text1"/>
          <w:kern w:val="0"/>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厂房的墙、屋面应符合下列规定：</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1</w:t>
      </w:r>
      <w:r>
        <w:rPr>
          <w:rFonts w:hint="eastAsia"/>
          <w:bCs/>
          <w:color w:val="000000" w:themeColor="text1"/>
          <w:kern w:val="0"/>
          <w:szCs w:val="21"/>
          <w14:textFill>
            <w14:solidFill>
              <w14:schemeClr w14:val="tx1"/>
            </w14:solidFill>
          </w14:textFill>
        </w:rPr>
        <w:t xml:space="preserve"> 围护墙、非承重填充墙和屋面宜采用轻质板材。当采用砌体墙时，厂房上柱柱顶弹性位移角不宜超过</w:t>
      </w:r>
      <w:r>
        <w:rPr>
          <w:bCs/>
          <w:color w:val="000000" w:themeColor="text1"/>
          <w:kern w:val="0"/>
          <w:szCs w:val="21"/>
          <w14:textFill>
            <w14:solidFill>
              <w14:schemeClr w14:val="tx1"/>
            </w14:solidFill>
          </w14:textFill>
        </w:rPr>
        <w:t>q/240</w:t>
      </w:r>
      <w:r>
        <w:rPr>
          <w:rFonts w:hint="eastAsia"/>
          <w:bCs/>
          <w:color w:val="000000" w:themeColor="text1"/>
          <w:kern w:val="0"/>
          <w:szCs w:val="21"/>
          <w14:textFill>
            <w14:solidFill>
              <w14:schemeClr w14:val="tx1"/>
            </w14:solidFill>
          </w14:textFill>
        </w:rPr>
        <w:t>；</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当围护墙和非承重填充墙采用砌体时，应紧贴柱边砌筑且宜采用不约束框架结构变形的柔性连接方式。当不能采用柔性连接时，地震作用计算和构件抗震验算均应计入其不利影响，且不得考虑其有利作用。</w:t>
      </w:r>
    </w:p>
    <w:p>
      <w:pPr>
        <w:autoSpaceDE w:val="0"/>
        <w:autoSpaceDN w:val="0"/>
        <w:spacing w:line="360" w:lineRule="auto"/>
        <w:ind w:firstLine="420"/>
        <w:jc w:val="left"/>
        <w:rPr>
          <w:bCs/>
          <w:color w:val="000000" w:themeColor="text1"/>
          <w:kern w:val="0"/>
          <w:szCs w:val="21"/>
          <w14:textFill>
            <w14:solidFill>
              <w14:schemeClr w14:val="tx1"/>
            </w14:solidFill>
          </w14:textFill>
        </w:rPr>
      </w:pPr>
    </w:p>
    <w:p>
      <w:pPr>
        <w:pStyle w:val="3"/>
      </w:pPr>
      <w:bookmarkStart w:id="203" w:name="_Toc48841053"/>
      <w:r>
        <w:rPr>
          <w:rFonts w:hint="eastAsia"/>
        </w:rPr>
        <w:t>抗震验算（</w:t>
      </w:r>
      <w:r>
        <w:t>1</w:t>
      </w:r>
      <w:r>
        <w:rPr>
          <w:rFonts w:hint="eastAsia"/>
        </w:rPr>
        <w:t>）</w:t>
      </w:r>
      <w:r>
        <w:t>——</w:t>
      </w:r>
      <w:r>
        <w:rPr>
          <w:rFonts w:hint="eastAsia"/>
        </w:rPr>
        <w:t>结构地震作用计算</w:t>
      </w:r>
      <w:bookmarkEnd w:id="203"/>
    </w:p>
    <w:p>
      <w:pPr>
        <w:autoSpaceDE w:val="0"/>
        <w:autoSpaceDN w:val="0"/>
        <w:spacing w:line="360" w:lineRule="auto"/>
        <w:ind w:firstLine="0" w:firstLineChars="0"/>
        <w:rPr>
          <w:bCs/>
          <w:color w:val="000000" w:themeColor="text1"/>
          <w:kern w:val="0"/>
          <w:szCs w:val="21"/>
          <w14:textFill>
            <w14:solidFill>
              <w14:schemeClr w14:val="tx1"/>
            </w14:solidFill>
          </w14:textFill>
        </w:rPr>
      </w:pP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10.2.</w:t>
      </w:r>
      <w:r>
        <w:rPr>
          <w:bCs/>
          <w:color w:val="000000" w:themeColor="text1"/>
          <w:kern w:val="0"/>
          <w:szCs w:val="21"/>
          <w14:textFill>
            <w14:solidFill>
              <w14:schemeClr w14:val="tx1"/>
            </w14:solidFill>
          </w14:textFill>
        </w:rPr>
        <w:t xml:space="preserve">1 </w:t>
      </w:r>
      <w:r>
        <w:rPr>
          <w:rFonts w:hint="eastAsia"/>
          <w:bCs/>
          <w:color w:val="000000" w:themeColor="text1"/>
          <w:kern w:val="0"/>
          <w:szCs w:val="21"/>
          <w14:textFill>
            <w14:solidFill>
              <w14:schemeClr w14:val="tx1"/>
            </w14:solidFill>
          </w14:textFill>
        </w:rPr>
        <w:t>厂房在风荷载作用下的底部剪力，大于设防烈度地震作用下的底部剪力时，可按现行国家标准《钢结构设计标准》</w:t>
      </w:r>
      <w:r>
        <w:rPr>
          <w:bCs/>
          <w:color w:val="000000" w:themeColor="text1"/>
          <w:kern w:val="0"/>
          <w:szCs w:val="21"/>
          <w14:textFill>
            <w14:solidFill>
              <w14:schemeClr w14:val="tx1"/>
            </w14:solidFill>
          </w14:textFill>
        </w:rPr>
        <w:t>GB 50017</w:t>
      </w:r>
      <w:r>
        <w:rPr>
          <w:rFonts w:hint="eastAsia"/>
          <w:bCs/>
          <w:color w:val="000000" w:themeColor="text1"/>
          <w:kern w:val="0"/>
          <w:szCs w:val="21"/>
          <w14:textFill>
            <w14:solidFill>
              <w14:schemeClr w14:val="tx1"/>
            </w14:solidFill>
          </w14:textFill>
        </w:rPr>
        <w:t>的要求进行设计；当采用弹性结构</w:t>
      </w:r>
      <w:r>
        <w:rPr>
          <w:bCs/>
          <w:color w:val="000000" w:themeColor="text1"/>
          <w:kern w:val="0"/>
          <w:szCs w:val="21"/>
          <w14:textFill>
            <w14:solidFill>
              <w14:schemeClr w14:val="tx1"/>
            </w14:solidFill>
          </w14:textFill>
        </w:rPr>
        <w:t>ES2</w:t>
      </w:r>
      <w:r>
        <w:rPr>
          <w:rFonts w:hint="eastAsia"/>
          <w:bCs/>
          <w:color w:val="000000" w:themeColor="text1"/>
          <w:kern w:val="0"/>
          <w:szCs w:val="21"/>
          <w14:textFill>
            <w14:solidFill>
              <w14:schemeClr w14:val="tx1"/>
            </w14:solidFill>
          </w14:textFill>
        </w:rPr>
        <w:t>的门式刚架厂房时，也可执行现行国家标准</w:t>
      </w:r>
      <w:r>
        <w:rPr>
          <w:rFonts w:hint="eastAsia"/>
          <w:bCs/>
          <w:color w:val="000000" w:themeColor="text1"/>
          <w:szCs w:val="21"/>
          <w14:textFill>
            <w14:solidFill>
              <w14:schemeClr w14:val="tx1"/>
            </w14:solidFill>
          </w14:textFill>
        </w:rPr>
        <w:t>《门式刚架轻型房屋钢结构技术规范》</w:t>
      </w:r>
      <w:r>
        <w:rPr>
          <w:bCs/>
          <w:color w:val="000000" w:themeColor="text1"/>
          <w:szCs w:val="21"/>
          <w14:textFill>
            <w14:solidFill>
              <w14:schemeClr w14:val="tx1"/>
            </w14:solidFill>
          </w14:textFill>
        </w:rPr>
        <w:t>GB 51022</w:t>
      </w:r>
      <w:r>
        <w:rPr>
          <w:rFonts w:hint="eastAsia"/>
          <w:bCs/>
          <w:color w:val="000000" w:themeColor="text1"/>
          <w:szCs w:val="21"/>
          <w14:textFill>
            <w14:solidFill>
              <w14:schemeClr w14:val="tx1"/>
            </w14:solidFill>
          </w14:textFill>
        </w:rPr>
        <w:t>的要求进行设计</w:t>
      </w:r>
      <w:r>
        <w:rPr>
          <w:rFonts w:hint="eastAsia"/>
          <w:bCs/>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10.2.</w:t>
      </w:r>
      <w:r>
        <w:rPr>
          <w:bCs/>
          <w:color w:val="000000" w:themeColor="text1"/>
          <w:kern w:val="0"/>
          <w:szCs w:val="21"/>
          <w14:textFill>
            <w14:solidFill>
              <w14:schemeClr w14:val="tx1"/>
            </w14:solidFill>
          </w14:textFill>
        </w:rPr>
        <w:t xml:space="preserve">2 </w:t>
      </w:r>
      <w:r>
        <w:rPr>
          <w:rFonts w:hint="eastAsia"/>
          <w:bCs/>
          <w:color w:val="000000" w:themeColor="text1"/>
          <w:kern w:val="0"/>
          <w:szCs w:val="21"/>
          <w14:textFill>
            <w14:solidFill>
              <w14:schemeClr w14:val="tx1"/>
            </w14:solidFill>
          </w14:textFill>
        </w:rPr>
        <w:t>地震作用计算确定性能系数</w:t>
      </w:r>
      <w:r>
        <w:rPr>
          <w:bCs/>
          <w:color w:val="000000" w:themeColor="text1"/>
          <w:kern w:val="0"/>
          <w:szCs w:val="21"/>
          <w14:textFill>
            <w14:solidFill>
              <w14:schemeClr w14:val="tx1"/>
            </w14:solidFill>
          </w14:textFill>
        </w:rPr>
        <w:t>q</w:t>
      </w:r>
      <w:r>
        <w:rPr>
          <w:rFonts w:hint="eastAsia"/>
          <w:bCs/>
          <w:color w:val="000000" w:themeColor="text1"/>
          <w:kern w:val="0"/>
          <w:szCs w:val="21"/>
          <w14:textFill>
            <w14:solidFill>
              <w14:schemeClr w14:val="tx1"/>
            </w14:solidFill>
          </w14:textFill>
        </w:rPr>
        <w:t>时，除应执行表9</w:t>
      </w:r>
      <w:r>
        <w:rPr>
          <w:bCs/>
          <w:color w:val="000000" w:themeColor="text1"/>
          <w:kern w:val="0"/>
          <w:szCs w:val="21"/>
          <w14:textFill>
            <w14:solidFill>
              <w14:schemeClr w14:val="tx1"/>
            </w14:solidFill>
          </w14:textFill>
        </w:rPr>
        <w:t>.2.2</w:t>
      </w:r>
      <w:r>
        <w:rPr>
          <w:rFonts w:hint="eastAsia"/>
          <w:bCs/>
          <w:color w:val="000000" w:themeColor="text1"/>
          <w:kern w:val="0"/>
          <w:szCs w:val="21"/>
          <w14:textFill>
            <w14:solidFill>
              <w14:schemeClr w14:val="tx1"/>
            </w14:solidFill>
          </w14:textFill>
        </w:rPr>
        <w:t>-1的规定外，尚应符合下列规定：</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1 H</w:t>
      </w:r>
      <w:r>
        <w:rPr>
          <w:rFonts w:hint="eastAsia"/>
          <w:bCs/>
          <w:color w:val="000000" w:themeColor="text1"/>
          <w:kern w:val="0"/>
          <w:szCs w:val="21"/>
          <w14:textFill>
            <w14:solidFill>
              <w14:schemeClr w14:val="tx1"/>
            </w14:solidFill>
          </w14:textFill>
        </w:rPr>
        <w:t>截面上柱、或下柱的弱轴垂直于纵向柱列线布置时，弹塑性结构、弹性结构</w:t>
      </w:r>
      <w:r>
        <w:rPr>
          <w:bCs/>
          <w:color w:val="000000" w:themeColor="text1"/>
          <w:kern w:val="0"/>
          <w:szCs w:val="21"/>
          <w14:textFill>
            <w14:solidFill>
              <w14:schemeClr w14:val="tx1"/>
            </w14:solidFill>
          </w14:textFill>
        </w:rPr>
        <w:t>ES1</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ES2</w:t>
      </w:r>
      <w:r>
        <w:rPr>
          <w:rFonts w:hint="eastAsia"/>
          <w:bCs/>
          <w:color w:val="000000" w:themeColor="text1"/>
          <w:kern w:val="0"/>
          <w:szCs w:val="21"/>
          <w14:textFill>
            <w14:solidFill>
              <w14:schemeClr w14:val="tx1"/>
            </w14:solidFill>
          </w14:textFill>
        </w:rPr>
        <w:t>的纵向框架均可取性能系数</w:t>
      </w:r>
      <w:r>
        <w:rPr>
          <w:bCs/>
          <w:color w:val="000000" w:themeColor="text1"/>
          <w:kern w:val="0"/>
          <w:szCs w:val="21"/>
          <w14:textFill>
            <w14:solidFill>
              <w14:schemeClr w14:val="tx1"/>
            </w14:solidFill>
          </w14:textFill>
        </w:rPr>
        <w:t>q</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进行抗震计算；</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 xml:space="preserve"> 高度大于</w:t>
      </w:r>
      <w:r>
        <w:rPr>
          <w:bCs/>
          <w:color w:val="000000" w:themeColor="text1"/>
          <w:kern w:val="0"/>
          <w:szCs w:val="21"/>
          <w14:textFill>
            <w14:solidFill>
              <w14:schemeClr w14:val="tx1"/>
            </w14:solidFill>
          </w14:textFill>
        </w:rPr>
        <w:t>40m</w:t>
      </w:r>
      <w:r>
        <w:rPr>
          <w:rFonts w:hint="eastAsia"/>
          <w:bCs/>
          <w:color w:val="000000" w:themeColor="text1"/>
          <w:kern w:val="0"/>
          <w:szCs w:val="21"/>
          <w14:textFill>
            <w14:solidFill>
              <w14:schemeClr w14:val="tx1"/>
            </w14:solidFill>
          </w14:textFill>
        </w:rPr>
        <w:t>，或质量和刚度分布显著不均匀的不规则厂房，采用弹性结构</w:t>
      </w:r>
      <w:r>
        <w:rPr>
          <w:bCs/>
          <w:color w:val="000000" w:themeColor="text1"/>
          <w:kern w:val="0"/>
          <w:szCs w:val="21"/>
          <w14:textFill>
            <w14:solidFill>
              <w14:schemeClr w14:val="tx1"/>
            </w14:solidFill>
          </w14:textFill>
        </w:rPr>
        <w:t>ES1</w:t>
      </w:r>
      <w:r>
        <w:rPr>
          <w:rFonts w:hint="eastAsia"/>
          <w:bCs/>
          <w:color w:val="000000" w:themeColor="text1"/>
          <w:kern w:val="0"/>
          <w:szCs w:val="21"/>
          <w14:textFill>
            <w14:solidFill>
              <w14:schemeClr w14:val="tx1"/>
            </w14:solidFill>
          </w14:textFill>
        </w:rPr>
        <w:t>的厂房，宜按弹塑性结构的要求选用截面等级；</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3</w:t>
      </w:r>
      <w:r>
        <w:rPr>
          <w:rFonts w:hint="eastAsia"/>
          <w:bCs/>
          <w:color w:val="000000" w:themeColor="text1"/>
          <w:kern w:val="0"/>
          <w:szCs w:val="21"/>
          <w14:textFill>
            <w14:solidFill>
              <w14:schemeClr w14:val="tx1"/>
            </w14:solidFill>
          </w14:textFill>
        </w:rPr>
        <w:t xml:space="preserve"> 厂房纵向柱列高差显著的厂房，采用弹性结构</w:t>
      </w:r>
      <w:r>
        <w:rPr>
          <w:bCs/>
          <w:color w:val="000000" w:themeColor="text1"/>
          <w:kern w:val="0"/>
          <w:szCs w:val="21"/>
          <w14:textFill>
            <w14:solidFill>
              <w14:schemeClr w14:val="tx1"/>
            </w14:solidFill>
          </w14:textFill>
        </w:rPr>
        <w:t>ES1</w:t>
      </w:r>
      <w:r>
        <w:rPr>
          <w:rFonts w:hint="eastAsia"/>
          <w:bCs/>
          <w:color w:val="000000" w:themeColor="text1"/>
          <w:kern w:val="0"/>
          <w:szCs w:val="21"/>
          <w14:textFill>
            <w14:solidFill>
              <w14:schemeClr w14:val="tx1"/>
            </w14:solidFill>
          </w14:textFill>
        </w:rPr>
        <w:t>的厂房的较高部分框架，宜按弹塑性结构的要求选用截面等级；</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4</w:t>
      </w:r>
      <w:r>
        <w:rPr>
          <w:rFonts w:hint="eastAsia"/>
          <w:bCs/>
          <w:color w:val="000000" w:themeColor="text1"/>
          <w:kern w:val="0"/>
          <w:szCs w:val="21"/>
          <w14:textFill>
            <w14:solidFill>
              <w14:schemeClr w14:val="tx1"/>
            </w14:solidFill>
          </w14:textFill>
        </w:rPr>
        <w:t xml:space="preserve"> 设置桥式吊车的格构下柱，可采用型钢柱和钢管混凝土柱，并可取用相同的性能系数</w:t>
      </w:r>
      <w:r>
        <w:rPr>
          <w:bCs/>
          <w:color w:val="000000" w:themeColor="text1"/>
          <w:kern w:val="0"/>
          <w:szCs w:val="21"/>
          <w14:textFill>
            <w14:solidFill>
              <w14:schemeClr w14:val="tx1"/>
            </w14:solidFill>
          </w14:textFill>
        </w:rPr>
        <w:t>q</w:t>
      </w:r>
      <w:r>
        <w:rPr>
          <w:rFonts w:hint="eastAsia"/>
          <w:bCs/>
          <w:color w:val="000000" w:themeColor="text1"/>
          <w:kern w:val="0"/>
          <w:szCs w:val="21"/>
          <w14:textFill>
            <w14:solidFill>
              <w14:schemeClr w14:val="tx1"/>
            </w14:solidFill>
          </w14:textFill>
        </w:rPr>
        <w:t>进行抗震计算；</w:t>
      </w:r>
    </w:p>
    <w:p>
      <w:pPr>
        <w:autoSpaceDE w:val="0"/>
        <w:autoSpaceDN w:val="0"/>
        <w:spacing w:line="360" w:lineRule="auto"/>
        <w:ind w:firstLine="420"/>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5</w:t>
      </w:r>
      <w:r>
        <w:rPr>
          <w:rFonts w:hint="eastAsia"/>
          <w:bCs/>
          <w:color w:val="000000" w:themeColor="text1"/>
          <w:kern w:val="0"/>
          <w:szCs w:val="21"/>
          <w14:textFill>
            <w14:solidFill>
              <w14:schemeClr w14:val="tx1"/>
            </w14:solidFill>
          </w14:textFill>
        </w:rPr>
        <w:t xml:space="preserve"> 设置桥式吊车的格构下柱，当无工作平台等与其相连时，弹塑性结构可按弹性结构</w:t>
      </w:r>
      <w:r>
        <w:rPr>
          <w:bCs/>
          <w:color w:val="000000" w:themeColor="text1"/>
          <w:kern w:val="0"/>
          <w:szCs w:val="21"/>
          <w14:textFill>
            <w14:solidFill>
              <w14:schemeClr w14:val="tx1"/>
            </w14:solidFill>
          </w14:textFill>
        </w:rPr>
        <w:t>ES1</w:t>
      </w:r>
      <w:r>
        <w:rPr>
          <w:rFonts w:hint="eastAsia"/>
          <w:bCs/>
          <w:color w:val="000000" w:themeColor="text1"/>
          <w:kern w:val="0"/>
          <w:szCs w:val="21"/>
          <w14:textFill>
            <w14:solidFill>
              <w14:schemeClr w14:val="tx1"/>
            </w14:solidFill>
          </w14:textFill>
        </w:rPr>
        <w:t>的要求选用截面等级；</w:t>
      </w:r>
    </w:p>
    <w:p>
      <w:pPr>
        <w:autoSpaceDE w:val="0"/>
        <w:autoSpaceDN w:val="0"/>
        <w:spacing w:line="360" w:lineRule="auto"/>
        <w:ind w:firstLine="409" w:firstLineChars="195"/>
        <w:jc w:val="left"/>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6</w:t>
      </w:r>
      <w:r>
        <w:rPr>
          <w:rFonts w:hint="eastAsia"/>
          <w:bCs/>
          <w:color w:val="000000" w:themeColor="text1"/>
          <w:kern w:val="0"/>
          <w:szCs w:val="21"/>
          <w14:textFill>
            <w14:solidFill>
              <w14:schemeClr w14:val="tx1"/>
            </w14:solidFill>
          </w14:textFill>
        </w:rPr>
        <w:t xml:space="preserve"> 受力复杂的厂房局部框架，可据需提高截面等级。</w:t>
      </w:r>
    </w:p>
    <w:p>
      <w:pPr>
        <w:autoSpaceDE w:val="0"/>
        <w:autoSpaceDN w:val="0"/>
        <w:spacing w:line="360" w:lineRule="auto"/>
        <w:ind w:firstLine="0" w:firstLineChars="0"/>
        <w:jc w:val="left"/>
        <w:rPr>
          <w:bCs/>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10.2.</w:t>
      </w:r>
      <w:r>
        <w:rPr>
          <w:bCs/>
          <w:color w:val="000000" w:themeColor="text1"/>
          <w:kern w:val="0"/>
          <w:szCs w:val="21"/>
          <w14:textFill>
            <w14:solidFill>
              <w14:schemeClr w14:val="tx1"/>
            </w14:solidFill>
          </w14:textFill>
        </w:rPr>
        <w:t xml:space="preserve">3 </w:t>
      </w:r>
      <w:r>
        <w:rPr>
          <w:rFonts w:hint="eastAsia"/>
          <w:bCs/>
          <w:color w:val="000000" w:themeColor="text1"/>
          <w:kern w:val="0"/>
          <w:szCs w:val="21"/>
          <w14:textFill>
            <w14:solidFill>
              <w14:schemeClr w14:val="tx1"/>
            </w14:solidFill>
          </w14:textFill>
        </w:rPr>
        <w:t>地震作用计算</w:t>
      </w:r>
      <w:r>
        <w:rPr>
          <w:rFonts w:hint="eastAsia"/>
          <w:bCs/>
          <w:color w:val="000000" w:themeColor="text1"/>
          <w:szCs w:val="21"/>
          <w14:textFill>
            <w14:solidFill>
              <w14:schemeClr w14:val="tx1"/>
            </w14:solidFill>
          </w14:textFill>
        </w:rPr>
        <w:t>应</w:t>
      </w:r>
      <w:r>
        <w:rPr>
          <w:rFonts w:hint="eastAsia"/>
          <w:bCs/>
          <w:color w:val="000000" w:themeColor="text1"/>
          <w:kern w:val="0"/>
          <w:szCs w:val="21"/>
          <w14:textFill>
            <w14:solidFill>
              <w14:schemeClr w14:val="tx1"/>
            </w14:solidFill>
          </w14:textFill>
        </w:rPr>
        <w:t>根据</w:t>
      </w:r>
      <w:r>
        <w:rPr>
          <w:rFonts w:hint="eastAsia"/>
          <w:bCs/>
          <w:color w:val="000000" w:themeColor="text1"/>
          <w:szCs w:val="21"/>
          <w14:textFill>
            <w14:solidFill>
              <w14:schemeClr w14:val="tx1"/>
            </w14:solidFill>
          </w14:textFill>
        </w:rPr>
        <w:t>屋盖高差、起重机设置情况，采用与实际工作状况相适应的计算模型。</w:t>
      </w:r>
    </w:p>
    <w:p>
      <w:pPr>
        <w:autoSpaceDE w:val="0"/>
        <w:autoSpaceDN w:val="0"/>
        <w:spacing w:line="360" w:lineRule="auto"/>
        <w:ind w:firstLine="42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质量分布、刚度分布明显不对称的结构，应计算双向地震作用并计入扭转效应；</w:t>
      </w:r>
    </w:p>
    <w:p>
      <w:pPr>
        <w:autoSpaceDE w:val="0"/>
        <w:autoSpaceDN w:val="0"/>
        <w:spacing w:line="360" w:lineRule="auto"/>
        <w:ind w:firstLine="42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一般的厂房，可按纵、横两个方向分别进行计算，其计算简图宜符合下列要求：</w:t>
      </w:r>
    </w:p>
    <w:p>
      <w:pPr>
        <w:autoSpaceDE w:val="0"/>
        <w:autoSpaceDN w:val="0"/>
        <w:spacing w:line="360" w:lineRule="auto"/>
        <w:ind w:left="840" w:leftChars="400" w:firstLine="0" w:firstLineChars="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）横向框架柱的计算高度，梁柱铰接框架可取基础面至柱顶（图10</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3-1</w:t>
      </w:r>
      <w:r>
        <w:rPr>
          <w:bCs/>
          <w:color w:val="000000" w:themeColor="text1"/>
          <w:szCs w:val="21"/>
          <w14:textFill>
            <w14:solidFill>
              <w14:schemeClr w14:val="tx1"/>
            </w14:solidFill>
          </w14:textFill>
        </w:rPr>
        <w:t>a</w:t>
      </w:r>
      <w:r>
        <w:rPr>
          <w:rFonts w:hint="eastAsia"/>
          <w:bCs/>
          <w:color w:val="000000" w:themeColor="text1"/>
          <w:szCs w:val="21"/>
          <w14:textFill>
            <w14:solidFill>
              <w14:schemeClr w14:val="tx1"/>
            </w14:solidFill>
          </w14:textFill>
        </w:rPr>
        <w:t>）；梁柱刚接框架可取基础面至屋架下弦轴线（图10</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3-1</w:t>
      </w:r>
      <w:r>
        <w:rPr>
          <w:bCs/>
          <w:color w:val="000000" w:themeColor="text1"/>
          <w:szCs w:val="21"/>
          <w14:textFill>
            <w14:solidFill>
              <w14:schemeClr w14:val="tx1"/>
            </w14:solidFill>
          </w14:textFill>
        </w:rPr>
        <w:t>b</w:t>
      </w:r>
      <w:r>
        <w:rPr>
          <w:rFonts w:hint="eastAsia"/>
          <w:bCs/>
          <w:color w:val="000000" w:themeColor="text1"/>
          <w:szCs w:val="21"/>
          <w14:textFill>
            <w14:solidFill>
              <w14:schemeClr w14:val="tx1"/>
            </w14:solidFill>
          </w14:textFill>
        </w:rPr>
        <w:t>）、实腹屋面梁中心线（图10</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c</w:t>
      </w:r>
      <w:r>
        <w:rPr>
          <w:rFonts w:hint="eastAsia"/>
          <w:bCs/>
          <w:color w:val="000000" w:themeColor="text1"/>
          <w:szCs w:val="21"/>
          <w14:textFill>
            <w14:solidFill>
              <w14:schemeClr w14:val="tx1"/>
            </w14:solidFill>
          </w14:textFill>
        </w:rPr>
        <w:t>）；</w:t>
      </w:r>
    </w:p>
    <w:p>
      <w:pPr>
        <w:autoSpaceDE w:val="0"/>
        <w:autoSpaceDN w:val="0"/>
        <w:spacing w:line="360" w:lineRule="auto"/>
        <w:ind w:left="840" w:leftChars="400" w:firstLine="0" w:firstLineChars="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H</w:t>
      </w:r>
      <w:r>
        <w:rPr>
          <w:rFonts w:hint="eastAsia"/>
          <w:bCs/>
          <w:color w:val="000000" w:themeColor="text1"/>
          <w:szCs w:val="21"/>
          <w14:textFill>
            <w14:solidFill>
              <w14:schemeClr w14:val="tx1"/>
            </w14:solidFill>
          </w14:textFill>
        </w:rPr>
        <w:t>截面下柱弱轴平行于横向框架或采用外露式柱脚的纵向框架计算时，可取柱底为铰接；</w:t>
      </w:r>
      <w:r>
        <w:rPr>
          <w:bCs/>
          <w:color w:val="000000" w:themeColor="text1"/>
          <w:szCs w:val="21"/>
          <w14:textFill>
            <w14:solidFill>
              <w14:schemeClr w14:val="tx1"/>
            </w14:solidFill>
          </w14:textFill>
        </w:rPr>
        <w:t>H</w:t>
      </w:r>
      <w:r>
        <w:rPr>
          <w:rFonts w:hint="eastAsia"/>
          <w:bCs/>
          <w:color w:val="000000" w:themeColor="text1"/>
          <w:szCs w:val="21"/>
          <w14:textFill>
            <w14:solidFill>
              <w14:schemeClr w14:val="tx1"/>
            </w14:solidFill>
          </w14:textFill>
        </w:rPr>
        <w:t>截面柱弱轴垂直于横向框架或钢管混凝土柱采用插入式、埋入式、外包式柱脚，可取钢柱在基础面刚接，采用砌体围护时也可取为铰接；</w:t>
      </w:r>
    </w:p>
    <w:p>
      <w:pPr>
        <w:autoSpaceDE w:val="0"/>
        <w:autoSpaceDN w:val="0"/>
        <w:spacing w:line="360" w:lineRule="auto"/>
        <w:ind w:firstLine="420"/>
        <w:jc w:val="left"/>
        <w:rPr>
          <w:bCs/>
          <w:color w:val="000000" w:themeColor="text1"/>
          <w:szCs w:val="21"/>
          <w14:textFill>
            <w14:solidFill>
              <w14:schemeClr w14:val="tx1"/>
            </w14:solidFill>
          </w14:textFill>
        </w:rPr>
      </w:pPr>
    </w:p>
    <w:p>
      <w:pPr>
        <w:autoSpaceDE w:val="0"/>
        <w:autoSpaceDN w:val="0"/>
        <w:spacing w:line="360" w:lineRule="auto"/>
        <w:ind w:firstLine="420"/>
        <w:jc w:val="center"/>
        <w:rPr>
          <w:bCs/>
          <w:color w:val="000000" w:themeColor="text1"/>
          <w:szCs w:val="21"/>
          <w14:textFill>
            <w14:solidFill>
              <w14:schemeClr w14:val="tx1"/>
            </w14:solidFill>
          </w14:textFill>
        </w:rPr>
      </w:pPr>
      <w:r>
        <w:rPr>
          <w:bCs/>
          <w:color w:val="000000" w:themeColor="text1"/>
          <w14:textFill>
            <w14:solidFill>
              <w14:schemeClr w14:val="tx1"/>
            </w14:solidFill>
          </w14:textFill>
        </w:rPr>
        <w:drawing>
          <wp:inline distT="0" distB="0" distL="0" distR="0">
            <wp:extent cx="3543300" cy="11811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3543300" cy="1181100"/>
                    </a:xfrm>
                    <a:prstGeom prst="rect">
                      <a:avLst/>
                    </a:prstGeom>
                    <a:noFill/>
                    <a:ln>
                      <a:noFill/>
                    </a:ln>
                  </pic:spPr>
                </pic:pic>
              </a:graphicData>
            </a:graphic>
          </wp:inline>
        </w:drawing>
      </w:r>
    </w:p>
    <w:p>
      <w:pPr>
        <w:autoSpaceDE w:val="0"/>
        <w:autoSpaceDN w:val="0"/>
        <w:spacing w:line="360" w:lineRule="auto"/>
        <w:ind w:firstLine="420"/>
        <w:jc w:val="center"/>
        <w:rPr>
          <w:bCs/>
          <w:color w:val="000000" w:themeColor="text1"/>
          <w:szCs w:val="21"/>
          <w14:textFill>
            <w14:solidFill>
              <w14:schemeClr w14:val="tx1"/>
            </w14:solidFill>
          </w14:textFill>
        </w:rPr>
      </w:pPr>
    </w:p>
    <w:p>
      <w:pPr>
        <w:autoSpaceDE w:val="0"/>
        <w:autoSpaceDN w:val="0"/>
        <w:spacing w:line="360" w:lineRule="auto"/>
        <w:ind w:firstLine="36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a</w:t>
      </w: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 xml:space="preserve">                  </w:t>
      </w: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b</w:t>
      </w: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 xml:space="preserve">                     </w:t>
      </w: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c</w:t>
      </w:r>
      <w:r>
        <w:rPr>
          <w:rFonts w:hint="eastAsia"/>
          <w:bCs/>
          <w:color w:val="000000" w:themeColor="text1"/>
          <w:sz w:val="18"/>
          <w:szCs w:val="21"/>
          <w14:textFill>
            <w14:solidFill>
              <w14:schemeClr w14:val="tx1"/>
            </w14:solidFill>
          </w14:textFill>
        </w:rPr>
        <w:t>）</w:t>
      </w:r>
    </w:p>
    <w:p>
      <w:pPr>
        <w:autoSpaceDE w:val="0"/>
        <w:autoSpaceDN w:val="0"/>
        <w:spacing w:line="360" w:lineRule="auto"/>
        <w:ind w:firstLine="360"/>
        <w:jc w:val="center"/>
        <w:rPr>
          <w:bCs/>
          <w:color w:val="000000" w:themeColor="text1"/>
          <w:kern w:val="0"/>
          <w:sz w:val="18"/>
          <w:szCs w:val="21"/>
          <w14:textFill>
            <w14:solidFill>
              <w14:schemeClr w14:val="tx1"/>
            </w14:solidFill>
          </w14:textFill>
        </w:rPr>
      </w:pPr>
      <w:r>
        <w:rPr>
          <w:rFonts w:hint="eastAsia"/>
          <w:bCs/>
          <w:color w:val="000000" w:themeColor="text1"/>
          <w:kern w:val="0"/>
          <w:sz w:val="18"/>
          <w:szCs w:val="21"/>
          <w14:textFill>
            <w14:solidFill>
              <w14:schemeClr w14:val="tx1"/>
            </w14:solidFill>
          </w14:textFill>
        </w:rPr>
        <w:t>图10</w:t>
      </w:r>
      <w:r>
        <w:rPr>
          <w:bCs/>
          <w:color w:val="000000" w:themeColor="text1"/>
          <w:kern w:val="0"/>
          <w:sz w:val="18"/>
          <w:szCs w:val="21"/>
          <w14:textFill>
            <w14:solidFill>
              <w14:schemeClr w14:val="tx1"/>
            </w14:solidFill>
          </w14:textFill>
        </w:rPr>
        <w:t>.</w:t>
      </w:r>
      <w:r>
        <w:rPr>
          <w:rFonts w:hint="eastAsia"/>
          <w:bCs/>
          <w:color w:val="000000" w:themeColor="text1"/>
          <w:kern w:val="0"/>
          <w:sz w:val="18"/>
          <w:szCs w:val="21"/>
          <w14:textFill>
            <w14:solidFill>
              <w14:schemeClr w14:val="tx1"/>
            </w14:solidFill>
          </w14:textFill>
        </w:rPr>
        <w:t>2.</w:t>
      </w:r>
      <w:r>
        <w:rPr>
          <w:bCs/>
          <w:color w:val="000000" w:themeColor="text1"/>
          <w:kern w:val="0"/>
          <w:sz w:val="18"/>
          <w:szCs w:val="21"/>
          <w14:textFill>
            <w14:solidFill>
              <w14:schemeClr w14:val="tx1"/>
            </w14:solidFill>
          </w14:textFill>
        </w:rPr>
        <w:t>3</w:t>
      </w:r>
      <w:r>
        <w:rPr>
          <w:rFonts w:hint="eastAsia"/>
          <w:bCs/>
          <w:color w:val="000000" w:themeColor="text1"/>
          <w:kern w:val="0"/>
          <w:sz w:val="18"/>
          <w:szCs w:val="21"/>
          <w14:textFill>
            <w14:solidFill>
              <w14:schemeClr w14:val="tx1"/>
            </w14:solidFill>
          </w14:textFill>
        </w:rPr>
        <w:t>-1</w:t>
      </w:r>
      <w:r>
        <w:rPr>
          <w:bCs/>
          <w:color w:val="000000" w:themeColor="text1"/>
          <w:kern w:val="0"/>
          <w:sz w:val="18"/>
          <w:szCs w:val="21"/>
          <w14:textFill>
            <w14:solidFill>
              <w14:schemeClr w14:val="tx1"/>
            </w14:solidFill>
          </w14:textFill>
        </w:rPr>
        <w:t xml:space="preserve"> </w:t>
      </w:r>
      <w:r>
        <w:rPr>
          <w:rFonts w:hint="eastAsia"/>
          <w:bCs/>
          <w:color w:val="000000" w:themeColor="text1"/>
          <w:kern w:val="0"/>
          <w:sz w:val="18"/>
          <w:szCs w:val="21"/>
          <w14:textFill>
            <w14:solidFill>
              <w14:schemeClr w14:val="tx1"/>
            </w14:solidFill>
          </w14:textFill>
        </w:rPr>
        <w:t>厂房框架柱的计算高度</w:t>
      </w:r>
    </w:p>
    <w:p>
      <w:pPr>
        <w:autoSpaceDE w:val="0"/>
        <w:autoSpaceDN w:val="0"/>
        <w:spacing w:line="360" w:lineRule="auto"/>
        <w:ind w:firstLine="409" w:firstLineChars="195"/>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3 中间柱列的计算周期，宜乘以</w:t>
      </w:r>
      <w:r>
        <w:rPr>
          <w:bCs/>
          <w:color w:val="000000" w:themeColor="text1"/>
          <w:szCs w:val="21"/>
          <w14:textFill>
            <w14:solidFill>
              <w14:schemeClr w14:val="tx1"/>
            </w14:solidFill>
          </w14:textFill>
        </w:rPr>
        <w:t>0.8</w:t>
      </w:r>
      <w:r>
        <w:rPr>
          <w:rFonts w:hint="eastAsia"/>
          <w:bCs/>
          <w:color w:val="000000" w:themeColor="text1"/>
          <w:szCs w:val="21"/>
          <w14:textFill>
            <w14:solidFill>
              <w14:schemeClr w14:val="tx1"/>
            </w14:solidFill>
          </w14:textFill>
        </w:rPr>
        <w:t>系数折减。</w:t>
      </w:r>
    </w:p>
    <w:p>
      <w:pPr>
        <w:autoSpaceDE w:val="0"/>
        <w:autoSpaceDN w:val="0"/>
        <w:spacing w:line="360" w:lineRule="auto"/>
        <w:ind w:firstLine="0" w:firstLineChars="0"/>
        <w:jc w:val="left"/>
        <w:rPr>
          <w:bCs/>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10.2.</w:t>
      </w:r>
      <w:r>
        <w:rPr>
          <w:bCs/>
          <w:color w:val="000000" w:themeColor="text1"/>
          <w:kern w:val="0"/>
          <w:szCs w:val="21"/>
          <w14:textFill>
            <w14:solidFill>
              <w14:schemeClr w14:val="tx1"/>
            </w14:solidFill>
          </w14:textFill>
        </w:rPr>
        <w:t>4</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地震作用计算时，厂房围护</w:t>
      </w:r>
      <w:r>
        <w:rPr>
          <w:rFonts w:hint="eastAsia"/>
          <w:bCs/>
          <w:color w:val="000000" w:themeColor="text1"/>
          <w:kern w:val="0"/>
          <w:szCs w:val="21"/>
          <w14:textFill>
            <w14:solidFill>
              <w14:schemeClr w14:val="tx1"/>
            </w14:solidFill>
          </w14:textFill>
        </w:rPr>
        <w:t>墙体</w:t>
      </w:r>
      <w:r>
        <w:rPr>
          <w:rFonts w:hint="eastAsia"/>
          <w:bCs/>
          <w:color w:val="000000" w:themeColor="text1"/>
          <w:szCs w:val="21"/>
          <w14:textFill>
            <w14:solidFill>
              <w14:schemeClr w14:val="tx1"/>
            </w14:solidFill>
          </w14:textFill>
        </w:rPr>
        <w:t>的自重和刚度，应按下列规定取值：</w:t>
      </w:r>
    </w:p>
    <w:p>
      <w:pPr>
        <w:spacing w:line="360" w:lineRule="auto"/>
        <w:ind w:firstLine="409" w:firstLineChars="1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轻型墙板或与柱柔性连接的墙板，应计入其全部自重，但不应计入其刚度；</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柱边贴砌且与柱有拉结的砌体围护墙，应计入其全部自重；当沿墙体纵向进行地震作用计算时，尚可计入砌体墙的折算刚度，折算系数，</w:t>
      </w:r>
      <w:r>
        <w:rPr>
          <w:bCs/>
          <w:color w:val="000000" w:themeColor="text1"/>
          <w:szCs w:val="21"/>
          <w14:textFill>
            <w14:solidFill>
              <w14:schemeClr w14:val="tx1"/>
            </w14:solidFill>
          </w14:textFill>
        </w:rPr>
        <w:t>7</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8</w:t>
      </w:r>
      <w:r>
        <w:rPr>
          <w:rFonts w:hint="eastAsia"/>
          <w:bCs/>
          <w:color w:val="000000" w:themeColor="text1"/>
          <w:szCs w:val="21"/>
          <w14:textFill>
            <w14:solidFill>
              <w14:schemeClr w14:val="tx1"/>
            </w14:solidFill>
          </w14:textFill>
        </w:rPr>
        <w:t>和</w:t>
      </w:r>
      <w:r>
        <w:rPr>
          <w:bCs/>
          <w:color w:val="000000" w:themeColor="text1"/>
          <w:szCs w:val="21"/>
          <w14:textFill>
            <w14:solidFill>
              <w14:schemeClr w14:val="tx1"/>
            </w14:solidFill>
          </w14:textFill>
        </w:rPr>
        <w:t>9</w:t>
      </w:r>
      <w:r>
        <w:rPr>
          <w:rFonts w:hint="eastAsia"/>
          <w:bCs/>
          <w:color w:val="000000" w:themeColor="text1"/>
          <w:szCs w:val="21"/>
          <w14:textFill>
            <w14:solidFill>
              <w14:schemeClr w14:val="tx1"/>
            </w14:solidFill>
          </w14:textFill>
        </w:rPr>
        <w:t>度可分别取</w:t>
      </w:r>
      <w:r>
        <w:rPr>
          <w:bCs/>
          <w:color w:val="000000" w:themeColor="text1"/>
          <w:szCs w:val="21"/>
          <w14:textFill>
            <w14:solidFill>
              <w14:schemeClr w14:val="tx1"/>
            </w14:solidFill>
          </w14:textFill>
        </w:rPr>
        <w:t>0.6</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0.4</w:t>
      </w:r>
      <w:r>
        <w:rPr>
          <w:rFonts w:hint="eastAsia"/>
          <w:bCs/>
          <w:color w:val="000000" w:themeColor="text1"/>
          <w:szCs w:val="21"/>
          <w14:textFill>
            <w14:solidFill>
              <w14:schemeClr w14:val="tx1"/>
            </w14:solidFill>
          </w14:textFill>
        </w:rPr>
        <w:t>和</w:t>
      </w:r>
      <w:r>
        <w:rPr>
          <w:bCs/>
          <w:color w:val="000000" w:themeColor="text1"/>
          <w:szCs w:val="21"/>
          <w14:textFill>
            <w14:solidFill>
              <w14:schemeClr w14:val="tx1"/>
            </w14:solidFill>
          </w14:textFill>
        </w:rPr>
        <w:t>0.2</w:t>
      </w:r>
      <w:r>
        <w:rPr>
          <w:rFonts w:hint="eastAsia"/>
          <w:bCs/>
          <w:color w:val="000000" w:themeColor="text1"/>
          <w:szCs w:val="21"/>
          <w14:textFill>
            <w14:solidFill>
              <w14:schemeClr w14:val="tx1"/>
            </w14:solidFill>
          </w14:textFill>
        </w:rPr>
        <w:t>。</w:t>
      </w:r>
    </w:p>
    <w:p>
      <w:pPr>
        <w:autoSpaceDE w:val="0"/>
        <w:autoSpaceDN w:val="0"/>
        <w:spacing w:line="360" w:lineRule="auto"/>
        <w:ind w:firstLine="0" w:firstLineChars="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10.2.</w:t>
      </w:r>
      <w:r>
        <w:rPr>
          <w:bCs/>
          <w:color w:val="000000" w:themeColor="text1"/>
          <w:szCs w:val="21"/>
          <w14:textFill>
            <w14:solidFill>
              <w14:schemeClr w14:val="tx1"/>
            </w14:solidFill>
          </w14:textFill>
        </w:rPr>
        <w:t xml:space="preserve">5 </w:t>
      </w:r>
      <w:r>
        <w:rPr>
          <w:rFonts w:hint="eastAsia"/>
          <w:bCs/>
          <w:color w:val="000000" w:themeColor="text1"/>
          <w:szCs w:val="21"/>
          <w14:textFill>
            <w14:solidFill>
              <w14:schemeClr w14:val="tx1"/>
            </w14:solidFill>
          </w14:textFill>
        </w:rPr>
        <w:t>横向框架的抗震计算，可采用下列方法：</w:t>
      </w:r>
    </w:p>
    <w:p>
      <w:pPr>
        <w:spacing w:line="360" w:lineRule="auto"/>
        <w:ind w:firstLine="409" w:firstLineChars="1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一般情况下，宜采用考虑屋盖弹性变形的空间分析方法；</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w:t>
      </w:r>
      <w:r>
        <w:rPr>
          <w:rFonts w:hint="eastAsia"/>
          <w:bCs/>
          <w:color w:val="000000" w:themeColor="text1"/>
          <w:kern w:val="0"/>
          <w:szCs w:val="21"/>
          <w14:textFill>
            <w14:solidFill>
              <w14:schemeClr w14:val="tx1"/>
            </w14:solidFill>
          </w14:textFill>
        </w:rPr>
        <w:t>可略去扭转影响的厂房</w:t>
      </w:r>
      <w:r>
        <w:rPr>
          <w:rFonts w:hint="eastAsia"/>
          <w:bCs/>
          <w:color w:val="000000" w:themeColor="text1"/>
          <w:szCs w:val="21"/>
          <w14:textFill>
            <w14:solidFill>
              <w14:schemeClr w14:val="tx1"/>
            </w14:solidFill>
          </w14:textFill>
        </w:rPr>
        <w:t>，</w:t>
      </w:r>
      <w:r>
        <w:rPr>
          <w:rFonts w:hint="eastAsia"/>
          <w:bCs/>
          <w:color w:val="000000" w:themeColor="text1"/>
          <w:kern w:val="0"/>
          <w:szCs w:val="21"/>
          <w14:textFill>
            <w14:solidFill>
              <w14:schemeClr w14:val="tx1"/>
            </w14:solidFill>
          </w14:textFill>
        </w:rPr>
        <w:t>可取较小的计算单元按平面模型进行计算。平面规则、侧向刚度均匀的结构单元，</w:t>
      </w:r>
      <w:r>
        <w:rPr>
          <w:rFonts w:hint="eastAsia"/>
          <w:bCs/>
          <w:color w:val="000000" w:themeColor="text1"/>
          <w:szCs w:val="21"/>
          <w14:textFill>
            <w14:solidFill>
              <w14:schemeClr w14:val="tx1"/>
            </w14:solidFill>
          </w14:textFill>
        </w:rPr>
        <w:t>可按平面框架进行计算。等高厂房可采用底部剪力法，高低跨厂房、屋顶设置纵向气楼的厂房应采用振型分解反应谱法。</w:t>
      </w:r>
    </w:p>
    <w:p>
      <w:pPr>
        <w:autoSpaceDE w:val="0"/>
        <w:autoSpaceDN w:val="0"/>
        <w:spacing w:line="360" w:lineRule="auto"/>
        <w:ind w:firstLine="0" w:firstLineChars="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10.2.6</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纵向框架的抗震计算，可采用下列方法：</w:t>
      </w:r>
    </w:p>
    <w:p>
      <w:pPr>
        <w:spacing w:line="360" w:lineRule="auto"/>
        <w:ind w:firstLine="409" w:firstLineChars="1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柱列沿纵向不等高的结构单元，应采用振型分解反应谱法；</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柱列沿纵向等高的结构单元，采用轻型板材围护墙或与柱柔性连接墙板时，可采用底部剪力法计算，各纵向柱列的地震作用可按纵向柱列承受的重力荷载代表值的比例分配；</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3 采用柱边贴砌且与柱拉结的砌体围护墙厂房，可参照本标准第</w:t>
      </w:r>
      <w:r>
        <w:rPr>
          <w:bCs/>
          <w:color w:val="000000" w:themeColor="text1"/>
          <w:szCs w:val="21"/>
          <w14:textFill>
            <w14:solidFill>
              <w14:schemeClr w14:val="tx1"/>
            </w14:solidFill>
          </w14:textFill>
        </w:rPr>
        <w:t>6</w:t>
      </w:r>
      <w:r>
        <w:rPr>
          <w:rFonts w:hint="eastAsia"/>
          <w:bCs/>
          <w:color w:val="000000" w:themeColor="text1"/>
          <w:szCs w:val="21"/>
          <w14:textFill>
            <w14:solidFill>
              <w14:schemeClr w14:val="tx1"/>
            </w14:solidFill>
          </w14:textFill>
        </w:rPr>
        <w:t>章钢筋混凝土柱厂房的规定进行计算。</w:t>
      </w:r>
    </w:p>
    <w:p>
      <w:pPr>
        <w:spacing w:line="360" w:lineRule="auto"/>
        <w:ind w:firstLine="420"/>
        <w:rPr>
          <w:bCs/>
          <w:color w:val="000000" w:themeColor="text1"/>
          <w:szCs w:val="21"/>
          <w14:textFill>
            <w14:solidFill>
              <w14:schemeClr w14:val="tx1"/>
            </w14:solidFill>
          </w14:textFill>
        </w:rPr>
      </w:pPr>
    </w:p>
    <w:p>
      <w:pPr>
        <w:pStyle w:val="3"/>
      </w:pPr>
      <w:bookmarkStart w:id="204" w:name="_Toc48841054"/>
      <w:r>
        <w:rPr>
          <w:rFonts w:hint="eastAsia"/>
        </w:rPr>
        <w:t>抗震验算（</w:t>
      </w:r>
      <w:r>
        <w:t>2</w:t>
      </w:r>
      <w:r>
        <w:rPr>
          <w:rFonts w:hint="eastAsia"/>
        </w:rPr>
        <w:t>）</w:t>
      </w:r>
      <w:r>
        <w:t>——</w:t>
      </w:r>
      <w:r>
        <w:rPr>
          <w:rFonts w:hint="eastAsia"/>
        </w:rPr>
        <w:t>结构构件地震作用及效应的调整</w:t>
      </w:r>
      <w:bookmarkEnd w:id="204"/>
    </w:p>
    <w:p>
      <w:pPr>
        <w:spacing w:line="360" w:lineRule="auto"/>
        <w:ind w:left="420" w:firstLine="0" w:firstLineChars="0"/>
        <w:rPr>
          <w:bCs/>
          <w:color w:val="000000" w:themeColor="text1"/>
          <w:kern w:val="0"/>
          <w:szCs w:val="21"/>
          <w14:textFill>
            <w14:solidFill>
              <w14:schemeClr w14:val="tx1"/>
            </w14:solidFill>
          </w14:textFill>
        </w:rPr>
      </w:pP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10.3.</w:t>
      </w:r>
      <w:r>
        <w:rPr>
          <w:bCs/>
          <w:color w:val="000000" w:themeColor="text1"/>
          <w:szCs w:val="21"/>
          <w14:textFill>
            <w14:solidFill>
              <w14:schemeClr w14:val="tx1"/>
            </w14:solidFill>
          </w14:textFill>
        </w:rPr>
        <w:t xml:space="preserve">1 </w:t>
      </w:r>
      <w:r>
        <w:rPr>
          <w:rFonts w:hint="eastAsia"/>
          <w:bCs/>
          <w:color w:val="000000" w:themeColor="text1"/>
          <w:szCs w:val="21"/>
          <w14:textFill>
            <w14:solidFill>
              <w14:schemeClr w14:val="tx1"/>
            </w14:solidFill>
          </w14:textFill>
        </w:rPr>
        <w:t>当</w:t>
      </w:r>
      <w:r>
        <w:rPr>
          <w:bCs/>
          <w:color w:val="000000" w:themeColor="text1"/>
          <w:szCs w:val="21"/>
          <w14:textFill>
            <w14:solidFill>
              <w14:schemeClr w14:val="tx1"/>
            </w14:solidFill>
          </w14:textFill>
        </w:rPr>
        <w:t>X</w:t>
      </w:r>
      <w:r>
        <w:rPr>
          <w:rFonts w:hint="eastAsia"/>
          <w:bCs/>
          <w:color w:val="000000" w:themeColor="text1"/>
          <w:szCs w:val="21"/>
          <w14:textFill>
            <w14:solidFill>
              <w14:schemeClr w14:val="tx1"/>
            </w14:solidFill>
          </w14:textFill>
        </w:rPr>
        <w:t>形柱间支撑采用</w:t>
      </w:r>
      <w:r>
        <w:rPr>
          <w:bCs/>
          <w:color w:val="000000" w:themeColor="text1"/>
          <w:szCs w:val="21"/>
          <w14:textFill>
            <w14:solidFill>
              <w14:schemeClr w14:val="tx1"/>
            </w14:solidFill>
          </w14:textFill>
        </w:rPr>
        <w:t>B2-2</w:t>
      </w:r>
      <w:r>
        <w:rPr>
          <w:rFonts w:hint="eastAsia"/>
          <w:bCs/>
          <w:color w:val="000000" w:themeColor="text1"/>
          <w:szCs w:val="21"/>
          <w14:textFill>
            <w14:solidFill>
              <w14:schemeClr w14:val="tx1"/>
            </w14:solidFill>
          </w14:textFill>
        </w:rPr>
        <w:t>级或采用长细比大于</w:t>
      </w:r>
      <w:r>
        <w:rPr>
          <w:bCs/>
          <w:color w:val="000000" w:themeColor="text1"/>
          <w:szCs w:val="21"/>
          <w14:textFill>
            <w14:solidFill>
              <w14:schemeClr w14:val="tx1"/>
            </w14:solidFill>
          </w14:textFill>
        </w:rPr>
        <w:t>130</w:t>
      </w:r>
      <w:r>
        <w:rPr>
          <w:rFonts w:hint="eastAsia"/>
          <w:bCs/>
          <w:color w:val="000000" w:themeColor="text1"/>
          <w:szCs w:val="21"/>
          <w14:textFill>
            <w14:solidFill>
              <w14:schemeClr w14:val="tx1"/>
            </w14:solidFill>
          </w14:textFill>
        </w:rPr>
        <w:t>的</w:t>
      </w:r>
      <w:r>
        <w:rPr>
          <w:bCs/>
          <w:color w:val="000000" w:themeColor="text1"/>
          <w:szCs w:val="21"/>
          <w14:textFill>
            <w14:solidFill>
              <w14:schemeClr w14:val="tx1"/>
            </w14:solidFill>
          </w14:textFill>
        </w:rPr>
        <w:t>B3</w:t>
      </w:r>
      <w:r>
        <w:rPr>
          <w:rFonts w:hint="eastAsia"/>
          <w:bCs/>
          <w:color w:val="000000" w:themeColor="text1"/>
          <w:szCs w:val="21"/>
          <w14:textFill>
            <w14:solidFill>
              <w14:schemeClr w14:val="tx1"/>
            </w14:solidFill>
          </w14:textFill>
        </w:rPr>
        <w:t>级型钢支撑时，可按单根支撑杆受拉进行抗震计算，并应按下列规定进行地震作用及效应的调整：</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弹塑性结构采用</w:t>
      </w:r>
      <w:r>
        <w:rPr>
          <w:bCs/>
          <w:color w:val="000000" w:themeColor="text1"/>
          <w:szCs w:val="21"/>
          <w14:textFill>
            <w14:solidFill>
              <w14:schemeClr w14:val="tx1"/>
            </w14:solidFill>
          </w14:textFill>
        </w:rPr>
        <w:t>q=1.5</w:t>
      </w:r>
      <w:r>
        <w:rPr>
          <w:rFonts w:hint="eastAsia"/>
          <w:bCs/>
          <w:color w:val="000000" w:themeColor="text1"/>
          <w:szCs w:val="21"/>
          <w14:textFill>
            <w14:solidFill>
              <w14:schemeClr w14:val="tx1"/>
            </w14:solidFill>
          </w14:textFill>
        </w:rPr>
        <w:t>计算时，受拉支撑杆的截面应力比不宜大于</w:t>
      </w:r>
      <w:r>
        <w:rPr>
          <w:bCs/>
          <w:color w:val="000000" w:themeColor="text1"/>
          <w:szCs w:val="21"/>
          <w14:textFill>
            <w14:solidFill>
              <w14:schemeClr w14:val="tx1"/>
            </w14:solidFill>
          </w14:textFill>
        </w:rPr>
        <w:t>0.75</w:t>
      </w:r>
      <w:r>
        <w:rPr>
          <w:rFonts w:hint="eastAsia"/>
          <w:bCs/>
          <w:color w:val="000000" w:themeColor="text1"/>
          <w:szCs w:val="21"/>
          <w14:textFill>
            <w14:solidFill>
              <w14:schemeClr w14:val="tx1"/>
            </w14:solidFill>
          </w14:textFill>
        </w:rPr>
        <w:t>；弹性结构</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采用</w:t>
      </w:r>
      <w:r>
        <w:rPr>
          <w:bCs/>
          <w:color w:val="000000" w:themeColor="text1"/>
          <w:szCs w:val="21"/>
          <w14:textFill>
            <w14:solidFill>
              <w14:schemeClr w14:val="tx1"/>
            </w14:solidFill>
          </w14:textFill>
        </w:rPr>
        <w:t>q=2</w:t>
      </w:r>
      <w:r>
        <w:rPr>
          <w:rFonts w:hint="eastAsia"/>
          <w:bCs/>
          <w:color w:val="000000" w:themeColor="text1"/>
          <w:szCs w:val="21"/>
          <w14:textFill>
            <w14:solidFill>
              <w14:schemeClr w14:val="tx1"/>
            </w14:solidFill>
          </w14:textFill>
        </w:rPr>
        <w:t>计算时，受拉支撑杆的截面应力比宜接近于</w:t>
      </w: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t xml:space="preserve"> H</w:t>
      </w:r>
      <w:r>
        <w:rPr>
          <w:rFonts w:hint="eastAsia"/>
          <w:bCs/>
          <w:color w:val="000000" w:themeColor="text1"/>
          <w:szCs w:val="21"/>
          <w14:textFill>
            <w14:solidFill>
              <w14:schemeClr w14:val="tx1"/>
            </w14:solidFill>
          </w14:textFill>
        </w:rPr>
        <w:t>截面弱轴垂直于纵向列线线的上柱、柱顶系杆，在上柱支撑受拉屈服的拉力作用下不应发生整体屈曲，柱顶系杆的轴力可按本章9</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9条第1款的规定进行计算。</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10.3.</w:t>
      </w:r>
      <w:r>
        <w:rPr>
          <w:bCs/>
          <w:color w:val="000000" w:themeColor="text1"/>
          <w:szCs w:val="21"/>
          <w14:textFill>
            <w14:solidFill>
              <w14:schemeClr w14:val="tx1"/>
            </w14:solidFill>
          </w14:textFill>
        </w:rPr>
        <w:t xml:space="preserve">2  </w:t>
      </w:r>
      <w:r>
        <w:rPr>
          <w:rFonts w:hint="eastAsia"/>
          <w:bCs/>
          <w:color w:val="000000" w:themeColor="text1"/>
          <w:szCs w:val="21"/>
          <w14:textFill>
            <w14:solidFill>
              <w14:schemeClr w14:val="tx1"/>
            </w14:solidFill>
          </w14:textFill>
        </w:rPr>
        <w:t>当</w:t>
      </w:r>
      <w:r>
        <w:rPr>
          <w:bCs/>
          <w:color w:val="000000" w:themeColor="text1"/>
          <w:szCs w:val="21"/>
          <w14:textFill>
            <w14:solidFill>
              <w14:schemeClr w14:val="tx1"/>
            </w14:solidFill>
          </w14:textFill>
        </w:rPr>
        <w:t>V</w:t>
      </w:r>
      <w:r>
        <w:rPr>
          <w:rFonts w:hint="eastAsia"/>
          <w:bCs/>
          <w:color w:val="000000" w:themeColor="text1"/>
          <w:szCs w:val="21"/>
          <w14:textFill>
            <w14:solidFill>
              <w14:schemeClr w14:val="tx1"/>
            </w14:solidFill>
          </w14:textFill>
        </w:rPr>
        <w:t>形或</w:t>
      </w:r>
      <w:r>
        <w:rPr>
          <w:bCs/>
          <w:color w:val="000000" w:themeColor="text1"/>
          <w:szCs w:val="21"/>
          <w14:textFill>
            <w14:solidFill>
              <w14:schemeClr w14:val="tx1"/>
            </w14:solidFill>
          </w14:textFill>
        </w:rPr>
        <w:t>Λ</w:t>
      </w:r>
      <w:r>
        <w:rPr>
          <w:rFonts w:hint="eastAsia"/>
          <w:bCs/>
          <w:color w:val="000000" w:themeColor="text1"/>
          <w:szCs w:val="21"/>
          <w14:textFill>
            <w14:solidFill>
              <w14:schemeClr w14:val="tx1"/>
            </w14:solidFill>
          </w14:textFill>
        </w:rPr>
        <w:t>形柱间支撑采用</w:t>
      </w:r>
      <w:r>
        <w:rPr>
          <w:bCs/>
          <w:color w:val="000000" w:themeColor="text1"/>
          <w:szCs w:val="21"/>
          <w14:textFill>
            <w14:solidFill>
              <w14:schemeClr w14:val="tx1"/>
            </w14:solidFill>
          </w14:textFill>
        </w:rPr>
        <w:t>B3</w:t>
      </w:r>
      <w:r>
        <w:rPr>
          <w:rFonts w:hint="eastAsia"/>
          <w:bCs/>
          <w:color w:val="000000" w:themeColor="text1"/>
          <w:szCs w:val="21"/>
          <w14:textFill>
            <w14:solidFill>
              <w14:schemeClr w14:val="tx1"/>
            </w14:solidFill>
          </w14:textFill>
        </w:rPr>
        <w:t>级支撑时，其长细比不应大于</w:t>
      </w:r>
      <w:r>
        <w:rPr>
          <w:bCs/>
          <w:color w:val="000000" w:themeColor="text1"/>
          <w:szCs w:val="21"/>
          <w14:textFill>
            <w14:solidFill>
              <w14:schemeClr w14:val="tx1"/>
            </w14:solidFill>
          </w14:textFill>
        </w:rPr>
        <w:t>150</w:t>
      </w:r>
      <w:r>
        <w:rPr>
          <w:rFonts w:hint="eastAsia"/>
          <w:bCs/>
          <w:color w:val="000000" w:themeColor="text1"/>
          <w:szCs w:val="21"/>
          <w14:textFill>
            <w14:solidFill>
              <w14:schemeClr w14:val="tx1"/>
            </w14:solidFill>
          </w14:textFill>
        </w:rPr>
        <w:t>，并应按下列规定进行地震作用及效应的调整：</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采用</w:t>
      </w:r>
      <w:r>
        <w:rPr>
          <w:bCs/>
          <w:color w:val="000000" w:themeColor="text1"/>
          <w:szCs w:val="21"/>
          <w14:textFill>
            <w14:solidFill>
              <w14:schemeClr w14:val="tx1"/>
            </w14:solidFill>
          </w14:textFill>
        </w:rPr>
        <w:t>B3</w:t>
      </w:r>
      <w:r>
        <w:rPr>
          <w:rFonts w:hint="eastAsia"/>
          <w:bCs/>
          <w:color w:val="000000" w:themeColor="text1"/>
          <w:szCs w:val="21"/>
          <w14:textFill>
            <w14:solidFill>
              <w14:schemeClr w14:val="tx1"/>
            </w14:solidFill>
          </w14:textFill>
        </w:rPr>
        <w:t>级</w:t>
      </w:r>
      <w:r>
        <w:rPr>
          <w:bCs/>
          <w:color w:val="000000" w:themeColor="text1"/>
          <w:szCs w:val="21"/>
          <w14:textFill>
            <w14:solidFill>
              <w14:schemeClr w14:val="tx1"/>
            </w14:solidFill>
          </w14:textFill>
        </w:rPr>
        <w:t>V</w:t>
      </w:r>
      <w:r>
        <w:rPr>
          <w:rFonts w:hint="eastAsia"/>
          <w:bCs/>
          <w:color w:val="000000" w:themeColor="text1"/>
          <w:szCs w:val="21"/>
          <w14:textFill>
            <w14:solidFill>
              <w14:schemeClr w14:val="tx1"/>
            </w14:solidFill>
          </w14:textFill>
        </w:rPr>
        <w:t>形或</w:t>
      </w:r>
      <w:r>
        <w:rPr>
          <w:bCs/>
          <w:color w:val="000000" w:themeColor="text1"/>
          <w:szCs w:val="21"/>
          <w14:textFill>
            <w14:solidFill>
              <w14:schemeClr w14:val="tx1"/>
            </w14:solidFill>
          </w14:textFill>
        </w:rPr>
        <w:t>Λ</w:t>
      </w:r>
      <w:r>
        <w:rPr>
          <w:rFonts w:hint="eastAsia"/>
          <w:bCs/>
          <w:color w:val="000000" w:themeColor="text1"/>
          <w:szCs w:val="21"/>
          <w14:textFill>
            <w14:solidFill>
              <w14:schemeClr w14:val="tx1"/>
            </w14:solidFill>
          </w14:textFill>
        </w:rPr>
        <w:t>形布置的柱间支撑时，弹性结构、弹塑性结构均应采用性能系数</w:t>
      </w:r>
      <w:r>
        <w:rPr>
          <w:bCs/>
          <w:color w:val="000000" w:themeColor="text1"/>
          <w:szCs w:val="21"/>
          <w14:textFill>
            <w14:solidFill>
              <w14:schemeClr w14:val="tx1"/>
            </w14:solidFill>
          </w14:textFill>
        </w:rPr>
        <w:t>q</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的计算内力进行支撑系统的弹性设计；</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与</w:t>
      </w:r>
      <w:r>
        <w:rPr>
          <w:bCs/>
          <w:color w:val="000000" w:themeColor="text1"/>
          <w:szCs w:val="21"/>
          <w14:textFill>
            <w14:solidFill>
              <w14:schemeClr w14:val="tx1"/>
            </w14:solidFill>
          </w14:textFill>
        </w:rPr>
        <w:t>V</w:t>
      </w:r>
      <w:r>
        <w:rPr>
          <w:rFonts w:hint="eastAsia"/>
          <w:bCs/>
          <w:color w:val="000000" w:themeColor="text1"/>
          <w:szCs w:val="21"/>
          <w14:textFill>
            <w14:solidFill>
              <w14:schemeClr w14:val="tx1"/>
            </w14:solidFill>
          </w14:textFill>
        </w:rPr>
        <w:t>形</w:t>
      </w:r>
      <w:r>
        <w:rPr>
          <w:bCs/>
          <w:color w:val="000000" w:themeColor="text1"/>
          <w:szCs w:val="21"/>
          <w14:textFill>
            <w14:solidFill>
              <w14:schemeClr w14:val="tx1"/>
            </w14:solidFill>
          </w14:textFill>
        </w:rPr>
        <w:t>Λ</w:t>
      </w:r>
      <w:r>
        <w:rPr>
          <w:rFonts w:hint="eastAsia"/>
          <w:bCs/>
          <w:color w:val="000000" w:themeColor="text1"/>
          <w:szCs w:val="21"/>
          <w14:textFill>
            <w14:solidFill>
              <w14:schemeClr w14:val="tx1"/>
            </w14:solidFill>
          </w14:textFill>
        </w:rPr>
        <w:t>形支撑尖顶相连的横梁宜采用竖向桁架，也可采用单根型钢横杆。横梁应采用第9.2.9第1款的规定计算的轴向力和竖向不平衡力进行弹性设计。</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10.3.</w:t>
      </w:r>
      <w:r>
        <w:rPr>
          <w:bCs/>
          <w:color w:val="000000" w:themeColor="text1"/>
          <w:szCs w:val="21"/>
          <w14:textFill>
            <w14:solidFill>
              <w14:schemeClr w14:val="tx1"/>
            </w14:solidFill>
          </w14:textFill>
        </w:rPr>
        <w:t xml:space="preserve">3  </w:t>
      </w:r>
      <w:r>
        <w:rPr>
          <w:rFonts w:hint="eastAsia"/>
          <w:bCs/>
          <w:color w:val="000000" w:themeColor="text1"/>
          <w:szCs w:val="21"/>
          <w14:textFill>
            <w14:solidFill>
              <w14:schemeClr w14:val="tx1"/>
            </w14:solidFill>
          </w14:textFill>
        </w:rPr>
        <w:t>桁架式门形柱间支撑，弹性结构</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、弹塑性结构均应采用</w:t>
      </w:r>
      <w:r>
        <w:rPr>
          <w:bCs/>
          <w:color w:val="000000" w:themeColor="text1"/>
          <w:szCs w:val="21"/>
          <w14:textFill>
            <w14:solidFill>
              <w14:schemeClr w14:val="tx1"/>
            </w14:solidFill>
          </w14:textFill>
        </w:rPr>
        <w:t>q</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的计算内力进行弹性设计。当桁架杆件的长细比大于</w:t>
      </w:r>
      <w:r>
        <w:rPr>
          <w:bCs/>
          <w:color w:val="000000" w:themeColor="text1"/>
          <w:szCs w:val="21"/>
          <w14:textFill>
            <w14:solidFill>
              <w14:schemeClr w14:val="tx1"/>
            </w14:solidFill>
          </w14:textFill>
        </w:rPr>
        <w:t>150</w:t>
      </w:r>
      <w:r>
        <w:rPr>
          <w:rFonts w:hint="eastAsia"/>
          <w:bCs/>
          <w:color w:val="000000" w:themeColor="text1"/>
          <w:szCs w:val="21"/>
          <w14:textFill>
            <w14:solidFill>
              <w14:schemeClr w14:val="tx1"/>
            </w14:solidFill>
          </w14:textFill>
        </w:rPr>
        <w:t>时，其受压承载力应乘以</w:t>
      </w:r>
      <w:r>
        <w:rPr>
          <w:bCs/>
          <w:color w:val="000000" w:themeColor="text1"/>
          <w:szCs w:val="21"/>
          <w14:textFill>
            <w14:solidFill>
              <w14:schemeClr w14:val="tx1"/>
            </w14:solidFill>
          </w14:textFill>
        </w:rPr>
        <w:t>0.5</w:t>
      </w:r>
      <w:r>
        <w:rPr>
          <w:rFonts w:hint="eastAsia"/>
          <w:bCs/>
          <w:color w:val="000000" w:themeColor="text1"/>
          <w:szCs w:val="21"/>
          <w14:textFill>
            <w14:solidFill>
              <w14:schemeClr w14:val="tx1"/>
            </w14:solidFill>
          </w14:textFill>
        </w:rPr>
        <w:t>系数折减。</w:t>
      </w:r>
    </w:p>
    <w:p>
      <w:pPr>
        <w:spacing w:line="360" w:lineRule="auto"/>
        <w:ind w:firstLine="0" w:firstLineChars="0"/>
        <w:rPr>
          <w:bCs/>
          <w:color w:val="000000" w:themeColor="text1"/>
          <w:sz w:val="24"/>
          <w:szCs w:val="20"/>
          <w14:textFill>
            <w14:solidFill>
              <w14:schemeClr w14:val="tx1"/>
            </w14:solidFill>
          </w14:textFill>
        </w:rPr>
      </w:pPr>
      <w:r>
        <w:rPr>
          <w:rFonts w:hint="eastAsia"/>
          <w:bCs/>
          <w:color w:val="000000" w:themeColor="text1"/>
          <w:szCs w:val="21"/>
          <w14:textFill>
            <w14:solidFill>
              <w14:schemeClr w14:val="tx1"/>
            </w14:solidFill>
          </w14:textFill>
        </w:rPr>
        <w:t>10.3.</w:t>
      </w:r>
      <w:r>
        <w:rPr>
          <w:bCs/>
          <w:color w:val="000000" w:themeColor="text1"/>
          <w:szCs w:val="21"/>
          <w14:textFill>
            <w14:solidFill>
              <w14:schemeClr w14:val="tx1"/>
            </w14:solidFill>
          </w14:textFill>
        </w:rPr>
        <w:t xml:space="preserve">4  </w:t>
      </w:r>
      <w:r>
        <w:rPr>
          <w:rFonts w:hint="eastAsia"/>
          <w:bCs/>
          <w:color w:val="000000" w:themeColor="text1"/>
          <w:szCs w:val="21"/>
          <w14:textFill>
            <w14:solidFill>
              <w14:schemeClr w14:val="tx1"/>
            </w14:solidFill>
          </w14:textFill>
        </w:rPr>
        <w:t>屋盖横向水平支撑、纵向水平支撑的交叉斜杆均按拉杆设计，并取相同的截面面积；直压杆可按斜拉杆受拉屈服时承受的压力设计。</w:t>
      </w:r>
    </w:p>
    <w:p>
      <w:pPr>
        <w:autoSpaceDE w:val="0"/>
        <w:autoSpaceDN w:val="0"/>
        <w:spacing w:line="360" w:lineRule="auto"/>
        <w:ind w:firstLine="0" w:firstLineChars="0"/>
        <w:jc w:val="lef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10.3.</w:t>
      </w:r>
      <w:r>
        <w:rPr>
          <w:bCs/>
          <w:color w:val="000000" w:themeColor="text1"/>
          <w:szCs w:val="21"/>
          <w14:textFill>
            <w14:solidFill>
              <w14:schemeClr w14:val="tx1"/>
            </w14:solidFill>
          </w14:textFill>
        </w:rPr>
        <w:t>5  8</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9</w:t>
      </w:r>
      <w:r>
        <w:rPr>
          <w:rFonts w:hint="eastAsia"/>
          <w:bCs/>
          <w:color w:val="000000" w:themeColor="text1"/>
          <w:szCs w:val="21"/>
          <w14:textFill>
            <w14:solidFill>
              <w14:schemeClr w14:val="tx1"/>
            </w14:solidFill>
          </w14:textFill>
        </w:rPr>
        <w:t>度时，除了执行本标准第4章规定者外，支承跨度大于</w:t>
      </w:r>
      <w:r>
        <w:rPr>
          <w:bCs/>
          <w:color w:val="000000" w:themeColor="text1"/>
          <w:szCs w:val="21"/>
          <w14:textFill>
            <w14:solidFill>
              <w14:schemeClr w14:val="tx1"/>
            </w14:solidFill>
          </w14:textFill>
        </w:rPr>
        <w:t>24m</w:t>
      </w:r>
      <w:r>
        <w:rPr>
          <w:rFonts w:hint="eastAsia"/>
          <w:bCs/>
          <w:color w:val="000000" w:themeColor="text1"/>
          <w:szCs w:val="21"/>
          <w14:textFill>
            <w14:solidFill>
              <w14:schemeClr w14:val="tx1"/>
            </w14:solidFill>
          </w14:textFill>
        </w:rPr>
        <w:t>的屋盖横梁的托架应按本标准第4章的规定计算竖向地震作用。屋盖横梁、竖向支承桁架上设置荷重较大设备时，屋盖横梁应计入竖向地震作用。</w:t>
      </w:r>
    </w:p>
    <w:p>
      <w:pPr>
        <w:autoSpaceDE w:val="0"/>
        <w:autoSpaceDN w:val="0"/>
        <w:spacing w:line="360" w:lineRule="auto"/>
        <w:ind w:firstLine="0" w:firstLineChars="0"/>
        <w:jc w:val="left"/>
        <w:rPr>
          <w:bCs/>
          <w:color w:val="000000" w:themeColor="text1"/>
          <w:kern w:val="0"/>
          <w:szCs w:val="21"/>
          <w14:textFill>
            <w14:solidFill>
              <w14:schemeClr w14:val="tx1"/>
            </w14:solidFill>
          </w14:textFill>
        </w:rPr>
      </w:pPr>
    </w:p>
    <w:p>
      <w:pPr>
        <w:pStyle w:val="3"/>
      </w:pPr>
      <w:bookmarkStart w:id="205" w:name="_Toc48841055"/>
      <w:r>
        <w:rPr>
          <w:rFonts w:hint="eastAsia"/>
        </w:rPr>
        <w:t>抗震验算（</w:t>
      </w:r>
      <w:r>
        <w:t>3</w:t>
      </w:r>
      <w:r>
        <w:rPr>
          <w:rFonts w:hint="eastAsia"/>
        </w:rPr>
        <w:t>）</w:t>
      </w:r>
      <w:r>
        <w:t>——</w:t>
      </w:r>
      <w:bookmarkStart w:id="206" w:name="_Hlk16348229"/>
      <w:r>
        <w:rPr>
          <w:rFonts w:hint="eastAsia"/>
        </w:rPr>
        <w:t>框架梁、柱及其连接节点</w:t>
      </w:r>
      <w:bookmarkEnd w:id="205"/>
      <w:bookmarkEnd w:id="206"/>
    </w:p>
    <w:p>
      <w:pPr>
        <w:pStyle w:val="53"/>
        <w:autoSpaceDE w:val="0"/>
        <w:autoSpaceDN w:val="0"/>
        <w:spacing w:line="360" w:lineRule="auto"/>
        <w:ind w:left="780" w:firstLine="0" w:firstLineChars="0"/>
        <w:rPr>
          <w:bCs/>
          <w:color w:val="000000" w:themeColor="text1"/>
          <w:kern w:val="0"/>
          <w:szCs w:val="21"/>
          <w14:textFill>
            <w14:solidFill>
              <w14:schemeClr w14:val="tx1"/>
            </w14:solidFill>
          </w14:textFill>
        </w:rPr>
      </w:pPr>
    </w:p>
    <w:p>
      <w:pPr>
        <w:spacing w:line="400" w:lineRule="atLeast"/>
        <w:ind w:firstLine="0" w:firstLineChars="0"/>
        <w:rPr>
          <w:bCs/>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 xml:space="preserve">10.4.1 </w:t>
      </w:r>
      <w:r>
        <w:rPr>
          <w:rFonts w:hint="eastAsia"/>
          <w:bCs/>
          <w:color w:val="000000" w:themeColor="text1"/>
          <w:szCs w:val="21"/>
          <w14:textFill>
            <w14:solidFill>
              <w14:schemeClr w14:val="tx1"/>
            </w14:solidFill>
          </w14:textFill>
        </w:rPr>
        <w:t>单层钢结构厂房的构件和节点的抗震承载力，除本章有专门说明或规定者外，均应按现行国家标准《钢结构设计标准》</w:t>
      </w:r>
      <w:r>
        <w:rPr>
          <w:bCs/>
          <w:color w:val="000000" w:themeColor="text1"/>
          <w:szCs w:val="21"/>
          <w14:textFill>
            <w14:solidFill>
              <w14:schemeClr w14:val="tx1"/>
            </w14:solidFill>
          </w14:textFill>
        </w:rPr>
        <w:t>GB 50017</w:t>
      </w:r>
      <w:r>
        <w:rPr>
          <w:rFonts w:hint="eastAsia"/>
          <w:bCs/>
          <w:color w:val="000000" w:themeColor="text1"/>
          <w:szCs w:val="21"/>
          <w14:textFill>
            <w14:solidFill>
              <w14:schemeClr w14:val="tx1"/>
            </w14:solidFill>
          </w14:textFill>
        </w:rPr>
        <w:t>等的有关公式和规定，采用本标准第</w:t>
      </w: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章的地震作用效应组合进行弹性阶段的验算。</w:t>
      </w:r>
    </w:p>
    <w:p>
      <w:pPr>
        <w:spacing w:line="400" w:lineRule="atLeas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10.4.</w:t>
      </w:r>
      <w:r>
        <w:rPr>
          <w:bCs/>
          <w:color w:val="000000" w:themeColor="text1"/>
          <w:szCs w:val="21"/>
          <w14:textFill>
            <w14:solidFill>
              <w14:schemeClr w14:val="tx1"/>
            </w14:solidFill>
          </w14:textFill>
        </w:rPr>
        <w:t xml:space="preserve">2 </w:t>
      </w:r>
      <w:r>
        <w:rPr>
          <w:rFonts w:hint="eastAsia"/>
          <w:bCs/>
          <w:color w:val="000000" w:themeColor="text1"/>
          <w:szCs w:val="21"/>
          <w14:textFill>
            <w14:solidFill>
              <w14:schemeClr w14:val="tx1"/>
            </w14:solidFill>
          </w14:textFill>
        </w:rPr>
        <w:t>框架柱的长细比，宜符合下列要求：</w:t>
      </w:r>
    </w:p>
    <w:p>
      <w:pPr>
        <w:spacing w:line="400" w:lineRule="atLeas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弹性结构</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，地震组合（按</w:t>
      </w:r>
      <w:r>
        <w:rPr>
          <w:bCs/>
          <w:color w:val="000000" w:themeColor="text1"/>
          <w:szCs w:val="21"/>
          <w14:textFill>
            <w14:solidFill>
              <w14:schemeClr w14:val="tx1"/>
            </w14:solidFill>
          </w14:textFill>
        </w:rPr>
        <w:t>q=2</w:t>
      </w:r>
      <w:r>
        <w:rPr>
          <w:rFonts w:hint="eastAsia"/>
          <w:bCs/>
          <w:color w:val="000000" w:themeColor="text1"/>
          <w:szCs w:val="21"/>
          <w14:textFill>
            <w14:solidFill>
              <w14:schemeClr w14:val="tx1"/>
            </w14:solidFill>
          </w14:textFill>
        </w:rPr>
        <w:t>计算）的轴压比小于</w:t>
      </w:r>
      <w:r>
        <w:rPr>
          <w:bCs/>
          <w:color w:val="000000" w:themeColor="text1"/>
          <w:szCs w:val="21"/>
          <w14:textFill>
            <w14:solidFill>
              <w14:schemeClr w14:val="tx1"/>
            </w14:solidFill>
          </w14:textFill>
        </w:rPr>
        <w:t>0.3</w:t>
      </w:r>
      <w:r>
        <w:rPr>
          <w:rFonts w:hint="eastAsia"/>
          <w:bCs/>
          <w:color w:val="000000" w:themeColor="text1"/>
          <w:szCs w:val="21"/>
          <w14:textFill>
            <w14:solidFill>
              <w14:schemeClr w14:val="tx1"/>
            </w14:solidFill>
          </w14:textFill>
        </w:rPr>
        <w:t>时不宜大于</w:t>
      </w:r>
      <w:r>
        <w:rPr>
          <w:bCs/>
          <w:color w:val="000000" w:themeColor="text1"/>
          <w:szCs w:val="21"/>
          <w14:textFill>
            <w14:solidFill>
              <w14:schemeClr w14:val="tx1"/>
            </w14:solidFill>
          </w14:textFill>
        </w:rPr>
        <w:t>150</w:t>
      </w:r>
      <w:r>
        <w:rPr>
          <w:rFonts w:hint="eastAsia"/>
          <w:bCs/>
          <w:color w:val="000000" w:themeColor="text1"/>
          <w:szCs w:val="21"/>
          <w14:textFill>
            <w14:solidFill>
              <w14:schemeClr w14:val="tx1"/>
            </w14:solidFill>
          </w14:textFill>
        </w:rPr>
        <w:t>；不小于</w:t>
      </w:r>
      <w:r>
        <w:rPr>
          <w:bCs/>
          <w:color w:val="000000" w:themeColor="text1"/>
          <w:szCs w:val="21"/>
          <w14:textFill>
            <w14:solidFill>
              <w14:schemeClr w14:val="tx1"/>
            </w14:solidFill>
          </w14:textFill>
        </w:rPr>
        <w:t>0.3</w:t>
      </w:r>
      <w:r>
        <w:rPr>
          <w:rFonts w:hint="eastAsia"/>
          <w:bCs/>
          <w:color w:val="000000" w:themeColor="text1"/>
          <w:szCs w:val="21"/>
          <w14:textFill>
            <w14:solidFill>
              <w14:schemeClr w14:val="tx1"/>
            </w14:solidFill>
          </w14:textFill>
        </w:rPr>
        <w:t>时，不宜大于</w:t>
      </w:r>
      <w:r>
        <w:rPr>
          <w:bCs/>
          <w:color w:val="000000" w:themeColor="text1"/>
          <w:szCs w:val="21"/>
          <w14:textFill>
            <w14:solidFill>
              <w14:schemeClr w14:val="tx1"/>
            </w14:solidFill>
          </w14:textFill>
        </w:rPr>
        <w:t>120</w:t>
      </w:r>
      <w:r>
        <w:rPr>
          <w:rFonts w:cs="Times New Roman"/>
          <w:bCs/>
          <w:color w:val="000000" w:themeColor="text1"/>
          <w:position w:val="-10"/>
          <w:szCs w:val="21"/>
          <w14:textFill>
            <w14:solidFill>
              <w14:schemeClr w14:val="tx1"/>
            </w14:solidFill>
          </w14:textFill>
        </w:rPr>
        <w:object>
          <v:shape id="_x0000_i1057" o:spt="75" type="#_x0000_t75" style="height:15.5pt;width:15.5pt;" o:ole="t" filled="f" o:preferrelative="t" stroked="f" coordsize="21600,21600">
            <v:path/>
            <v:fill on="f" focussize="0,0"/>
            <v:stroke on="f" joinstyle="miter"/>
            <v:imagedata r:id="rId125" o:title=""/>
            <o:lock v:ext="edit" aspectratio="t"/>
            <w10:wrap type="none"/>
            <w10:anchorlock/>
          </v:shape>
          <o:OLEObject Type="Embed" ProgID="Equation.KSEE3" ShapeID="_x0000_i1057" DrawAspect="Content" ObjectID="_1468075757" r:id="rId124">
            <o:LockedField>false</o:LockedField>
          </o:OLEObject>
        </w:object>
      </w:r>
      <w:r>
        <w:rPr>
          <w:rFonts w:hint="eastAsia"/>
          <w:bCs/>
          <w:color w:val="000000" w:themeColor="text1"/>
          <w:szCs w:val="21"/>
          <w14:textFill>
            <w14:solidFill>
              <w14:schemeClr w14:val="tx1"/>
            </w14:solidFill>
          </w14:textFill>
        </w:rPr>
        <w:t>。</w:t>
      </w:r>
    </w:p>
    <w:p>
      <w:pPr>
        <w:spacing w:line="400" w:lineRule="atLeas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弹性结构</w:t>
      </w:r>
      <w:r>
        <w:rPr>
          <w:bCs/>
          <w:color w:val="000000" w:themeColor="text1"/>
          <w:szCs w:val="21"/>
          <w14:textFill>
            <w14:solidFill>
              <w14:schemeClr w14:val="tx1"/>
            </w14:solidFill>
          </w14:textFill>
        </w:rPr>
        <w:t>ES2</w:t>
      </w:r>
      <w:r>
        <w:rPr>
          <w:rFonts w:hint="eastAsia"/>
          <w:bCs/>
          <w:color w:val="000000" w:themeColor="text1"/>
          <w:szCs w:val="21"/>
          <w14:textFill>
            <w14:solidFill>
              <w14:schemeClr w14:val="tx1"/>
            </w14:solidFill>
          </w14:textFill>
        </w:rPr>
        <w:t>，不宜大于</w:t>
      </w:r>
      <w:r>
        <w:rPr>
          <w:bCs/>
          <w:color w:val="000000" w:themeColor="text1"/>
          <w:szCs w:val="21"/>
          <w14:textFill>
            <w14:solidFill>
              <w14:schemeClr w14:val="tx1"/>
            </w14:solidFill>
          </w14:textFill>
        </w:rPr>
        <w:t>150</w:t>
      </w:r>
      <w:r>
        <w:rPr>
          <w:rFonts w:hint="eastAsia"/>
          <w:bCs/>
          <w:color w:val="000000" w:themeColor="text1"/>
          <w:szCs w:val="21"/>
          <w14:textFill>
            <w14:solidFill>
              <w14:schemeClr w14:val="tx1"/>
            </w14:solidFill>
          </w14:textFill>
        </w:rPr>
        <w:t>。</w:t>
      </w:r>
    </w:p>
    <w:p>
      <w:pPr>
        <w:spacing w:line="400" w:lineRule="atLeas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 xml:space="preserve"> 弹塑性结构</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，不宜大于</w:t>
      </w:r>
      <w:r>
        <w:rPr>
          <w:bCs/>
          <w:color w:val="000000" w:themeColor="text1"/>
          <w:szCs w:val="21"/>
          <w14:textFill>
            <w14:solidFill>
              <w14:schemeClr w14:val="tx1"/>
            </w14:solidFill>
          </w14:textFill>
        </w:rPr>
        <w:t>120</w:t>
      </w:r>
      <w:r>
        <w:rPr>
          <w:rFonts w:cs="Times New Roman"/>
          <w:bCs/>
          <w:color w:val="000000" w:themeColor="text1"/>
          <w:position w:val="-10"/>
          <w:szCs w:val="21"/>
          <w14:textFill>
            <w14:solidFill>
              <w14:schemeClr w14:val="tx1"/>
            </w14:solidFill>
          </w14:textFill>
        </w:rPr>
        <w:object>
          <v:shape id="_x0000_i1058" o:spt="75" type="#_x0000_t75" style="height:15.5pt;width:15.5pt;" o:ole="t" filled="f" o:preferrelative="t" stroked="f" coordsize="21600,21600">
            <v:path/>
            <v:fill on="f" focussize="0,0"/>
            <v:stroke on="f" joinstyle="miter"/>
            <v:imagedata r:id="rId125" o:title=""/>
            <o:lock v:ext="edit" aspectratio="t"/>
            <w10:wrap type="none"/>
            <w10:anchorlock/>
          </v:shape>
          <o:OLEObject Type="Embed" ProgID="Equation.KSEE3" ShapeID="_x0000_i1058" DrawAspect="Content" ObjectID="_1468075758" r:id="rId126">
            <o:LockedField>false</o:LockedField>
          </o:OLEObject>
        </w:object>
      </w:r>
      <w:r>
        <w:rPr>
          <w:rFonts w:hint="eastAsia"/>
          <w:bCs/>
          <w:color w:val="000000" w:themeColor="text1"/>
          <w:szCs w:val="21"/>
          <w14:textFill>
            <w14:solidFill>
              <w14:schemeClr w14:val="tx1"/>
            </w14:solidFill>
          </w14:textFill>
        </w:rPr>
        <w:t>。</w:t>
      </w:r>
    </w:p>
    <w:p>
      <w:pPr>
        <w:spacing w:line="400" w:lineRule="atLeas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10.4.</w:t>
      </w:r>
      <w:r>
        <w:rPr>
          <w:bCs/>
          <w:color w:val="000000" w:themeColor="text1"/>
          <w:szCs w:val="21"/>
          <w14:textFill>
            <w14:solidFill>
              <w14:schemeClr w14:val="tx1"/>
            </w14:solidFill>
          </w14:textFill>
        </w:rPr>
        <w:t xml:space="preserve">3 </w:t>
      </w:r>
      <w:r>
        <w:rPr>
          <w:rFonts w:hint="eastAsia"/>
          <w:bCs/>
          <w:color w:val="000000" w:themeColor="text1"/>
          <w:szCs w:val="21"/>
          <w14:textFill>
            <w14:solidFill>
              <w14:schemeClr w14:val="tx1"/>
            </w14:solidFill>
          </w14:textFill>
        </w:rPr>
        <w:t>框架柱、梁的截面板件宽厚比，应据采用的结构类别，按本章第9</w:t>
      </w:r>
      <w:r>
        <w:rPr>
          <w:bCs/>
          <w:color w:val="000000" w:themeColor="text1"/>
          <w:szCs w:val="21"/>
          <w14:textFill>
            <w14:solidFill>
              <w14:schemeClr w14:val="tx1"/>
            </w14:solidFill>
          </w14:textFill>
        </w:rPr>
        <w:t>.2.2</w:t>
      </w:r>
      <w:r>
        <w:rPr>
          <w:rFonts w:hint="eastAsia"/>
          <w:bCs/>
          <w:color w:val="000000" w:themeColor="text1"/>
          <w:szCs w:val="21"/>
          <w14:textFill>
            <w14:solidFill>
              <w14:schemeClr w14:val="tx1"/>
            </w14:solidFill>
          </w14:textFill>
        </w:rPr>
        <w:t>条的规定选用。</w:t>
      </w:r>
    </w:p>
    <w:p>
      <w:pPr>
        <w:spacing w:line="380" w:lineRule="exact"/>
        <w:ind w:firstLine="0" w:firstLineChars="0"/>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10.4.</w:t>
      </w:r>
      <w:r>
        <w:rPr>
          <w:bCs/>
          <w:color w:val="000000" w:themeColor="text1"/>
          <w:kern w:val="0"/>
          <w:szCs w:val="21"/>
          <w14:textFill>
            <w14:solidFill>
              <w14:schemeClr w14:val="tx1"/>
            </w14:solidFill>
          </w14:textFill>
        </w:rPr>
        <w:t xml:space="preserve">4 </w:t>
      </w:r>
      <w:r>
        <w:rPr>
          <w:rFonts w:hint="eastAsia"/>
          <w:bCs/>
          <w:color w:val="000000" w:themeColor="text1"/>
          <w:kern w:val="0"/>
          <w:szCs w:val="21"/>
          <w14:textFill>
            <w14:solidFill>
              <w14:schemeClr w14:val="tx1"/>
            </w14:solidFill>
          </w14:textFill>
        </w:rPr>
        <w:t>框架的主要节点及构件可</w:t>
      </w:r>
      <w:r>
        <w:rPr>
          <w:rFonts w:hint="eastAsia"/>
          <w:bCs/>
          <w:color w:val="000000" w:themeColor="text1"/>
          <w:szCs w:val="21"/>
          <w14:textFill>
            <w14:solidFill>
              <w14:schemeClr w14:val="tx1"/>
            </w14:solidFill>
          </w14:textFill>
        </w:rPr>
        <w:t>采用</w:t>
      </w:r>
      <w:r>
        <w:rPr>
          <w:rFonts w:hint="eastAsia"/>
          <w:bCs/>
          <w:color w:val="000000" w:themeColor="text1"/>
          <w:kern w:val="0"/>
          <w:szCs w:val="21"/>
          <w14:textFill>
            <w14:solidFill>
              <w14:schemeClr w14:val="tx1"/>
            </w14:solidFill>
          </w14:textFill>
        </w:rPr>
        <w:t>高强度螺栓连接、焊接连接，不应采用普通螺栓连接，并应符合下列要求：</w:t>
      </w:r>
    </w:p>
    <w:p>
      <w:pPr>
        <w:spacing w:line="380" w:lineRule="exact"/>
        <w:ind w:firstLine="409" w:firstLineChars="195"/>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1</w:t>
      </w:r>
      <w:r>
        <w:rPr>
          <w:rFonts w:hint="eastAsia"/>
          <w:bCs/>
          <w:color w:val="000000" w:themeColor="text1"/>
          <w:kern w:val="0"/>
          <w:szCs w:val="21"/>
          <w14:textFill>
            <w14:solidFill>
              <w14:schemeClr w14:val="tx1"/>
            </w14:solidFill>
          </w14:textFill>
        </w:rPr>
        <w:t xml:space="preserve"> 高强度螺栓，应</w:t>
      </w:r>
      <w:r>
        <w:rPr>
          <w:rFonts w:hint="eastAsia"/>
          <w:bCs/>
          <w:color w:val="000000" w:themeColor="text1"/>
          <w:szCs w:val="21"/>
          <w14:textFill>
            <w14:solidFill>
              <w14:schemeClr w14:val="tx1"/>
            </w14:solidFill>
          </w14:textFill>
        </w:rPr>
        <w:t>采用</w:t>
      </w:r>
      <w:r>
        <w:rPr>
          <w:rFonts w:hint="eastAsia"/>
          <w:bCs/>
          <w:color w:val="000000" w:themeColor="text1"/>
          <w:kern w:val="0"/>
          <w:szCs w:val="21"/>
          <w14:textFill>
            <w14:solidFill>
              <w14:schemeClr w14:val="tx1"/>
            </w14:solidFill>
          </w14:textFill>
        </w:rPr>
        <w:t>摩擦型连接进行弹性设计，不应采用承压型连接。</w:t>
      </w:r>
    </w:p>
    <w:p>
      <w:pPr>
        <w:spacing w:line="380" w:lineRule="exact"/>
        <w:ind w:firstLine="42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2</w:t>
      </w:r>
      <w:r>
        <w:rPr>
          <w:rFonts w:hint="eastAsia"/>
          <w:bCs/>
          <w:color w:val="000000" w:themeColor="text1"/>
          <w:kern w:val="0"/>
          <w:szCs w:val="21"/>
          <w14:textFill>
            <w14:solidFill>
              <w14:schemeClr w14:val="tx1"/>
            </w14:solidFill>
          </w14:textFill>
        </w:rPr>
        <w:t xml:space="preserve"> 所有传力焊接</w:t>
      </w:r>
      <w:r>
        <w:rPr>
          <w:rFonts w:hint="eastAsia"/>
          <w:bCs/>
          <w:color w:val="000000" w:themeColor="text1"/>
          <w:szCs w:val="21"/>
          <w14:textFill>
            <w14:solidFill>
              <w14:schemeClr w14:val="tx1"/>
            </w14:solidFill>
          </w14:textFill>
        </w:rPr>
        <w:t>连接</w:t>
      </w:r>
      <w:r>
        <w:rPr>
          <w:rFonts w:hint="eastAsia"/>
          <w:bCs/>
          <w:color w:val="000000" w:themeColor="text1"/>
          <w:kern w:val="0"/>
          <w:szCs w:val="21"/>
          <w14:textFill>
            <w14:solidFill>
              <w14:schemeClr w14:val="tx1"/>
            </w14:solidFill>
          </w14:textFill>
        </w:rPr>
        <w:t>不得采用间断焊缝。</w:t>
      </w:r>
    </w:p>
    <w:p>
      <w:pPr>
        <w:spacing w:line="400" w:lineRule="exact"/>
        <w:ind w:firstLine="42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3</w:t>
      </w:r>
      <w:r>
        <w:rPr>
          <w:rFonts w:hint="eastAsia"/>
          <w:bCs/>
          <w:color w:val="000000" w:themeColor="text1"/>
          <w:kern w:val="0"/>
          <w:szCs w:val="21"/>
          <w14:textFill>
            <w14:solidFill>
              <w14:schemeClr w14:val="tx1"/>
            </w14:solidFill>
          </w14:textFill>
        </w:rPr>
        <w:t>钢管混凝土格构柱的缀条及其连接节点应取实际剪力和考虑初始缺陷引起的剪力两者中的较大值进行计算。</w:t>
      </w:r>
    </w:p>
    <w:p>
      <w:pPr>
        <w:spacing w:line="380" w:lineRule="exac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10.4.5</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框架的梁柱连接，应符合下列规定：</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梁柱刚性连接应按本标准第</w:t>
      </w: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章规定的地震组合进行弹性设计，并应据所采用的结构类别，按本标准第9.2.8条的规定进行极限承载力验算。</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刚接框架屋盖横梁的拼接，当位于最大应力区外时，弹性结构</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、弹塑性结构</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宜按与较小被拼接截面等强度设计，弹性结构</w:t>
      </w:r>
      <w:r>
        <w:rPr>
          <w:bCs/>
          <w:color w:val="000000" w:themeColor="text1"/>
          <w:szCs w:val="21"/>
          <w14:textFill>
            <w14:solidFill>
              <w14:schemeClr w14:val="tx1"/>
            </w14:solidFill>
          </w14:textFill>
        </w:rPr>
        <w:t>ES2</w:t>
      </w:r>
      <w:r>
        <w:rPr>
          <w:rFonts w:hint="eastAsia"/>
          <w:bCs/>
          <w:color w:val="000000" w:themeColor="text1"/>
          <w:szCs w:val="21"/>
          <w14:textFill>
            <w14:solidFill>
              <w14:schemeClr w14:val="tx1"/>
            </w14:solidFill>
          </w14:textFill>
        </w:rPr>
        <w:t>可按不小于较小被连接截面承载力的</w:t>
      </w:r>
      <w:r>
        <w:rPr>
          <w:bCs/>
          <w:color w:val="000000" w:themeColor="text1"/>
          <w:szCs w:val="21"/>
          <w14:textFill>
            <w14:solidFill>
              <w14:schemeClr w14:val="tx1"/>
            </w14:solidFill>
          </w14:textFill>
        </w:rPr>
        <w:t>0.5</w:t>
      </w:r>
      <w:r>
        <w:rPr>
          <w:rFonts w:hint="eastAsia"/>
          <w:bCs/>
          <w:color w:val="000000" w:themeColor="text1"/>
          <w:szCs w:val="21"/>
          <w14:textFill>
            <w14:solidFill>
              <w14:schemeClr w14:val="tx1"/>
            </w14:solidFill>
          </w14:textFill>
        </w:rPr>
        <w:t>倍进行设计。</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 xml:space="preserve"> 上柱的拼接位置应选择弯矩较小区域，可按被拼接截面等强度设计，也可按其承载力不小于上柱梁呈塑性铰状态计算的拼接处的内力，且不小于柱全截面受拉屈服承载力的</w:t>
      </w:r>
      <w:r>
        <w:rPr>
          <w:bCs/>
          <w:color w:val="000000" w:themeColor="text1"/>
          <w:szCs w:val="21"/>
          <w14:textFill>
            <w14:solidFill>
              <w14:schemeClr w14:val="tx1"/>
            </w14:solidFill>
          </w14:textFill>
        </w:rPr>
        <w:t>0.5</w:t>
      </w:r>
      <w:r>
        <w:rPr>
          <w:rFonts w:hint="eastAsia"/>
          <w:bCs/>
          <w:color w:val="000000" w:themeColor="text1"/>
          <w:szCs w:val="21"/>
          <w14:textFill>
            <w14:solidFill>
              <w14:schemeClr w14:val="tx1"/>
            </w14:solidFill>
          </w14:textFill>
        </w:rPr>
        <w:t>倍进行设计。</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t xml:space="preserve"> H</w:t>
      </w:r>
      <w:r>
        <w:rPr>
          <w:rFonts w:hint="eastAsia"/>
          <w:bCs/>
          <w:color w:val="000000" w:themeColor="text1"/>
          <w:szCs w:val="21"/>
          <w14:textFill>
            <w14:solidFill>
              <w14:schemeClr w14:val="tx1"/>
            </w14:solidFill>
          </w14:textFill>
        </w:rPr>
        <w:t>形截面上柱与钢管混凝土格构下柱之间的连接，应按第9.2节的要求进行极限承载力验算。</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5</w:t>
      </w:r>
      <w:r>
        <w:rPr>
          <w:rFonts w:hint="eastAsia"/>
          <w:bCs/>
          <w:color w:val="000000" w:themeColor="text1"/>
          <w:szCs w:val="21"/>
          <w14:textFill>
            <w14:solidFill>
              <w14:schemeClr w14:val="tx1"/>
            </w14:solidFill>
          </w14:textFill>
        </w:rPr>
        <w:t xml:space="preserve"> 铰接屋架上弦与柱相连的连接板，在设防烈度地震作用下不应出现塑性变形。</w:t>
      </w:r>
    </w:p>
    <w:p>
      <w:pPr>
        <w:spacing w:line="380" w:lineRule="exac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10.4.6</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柱脚设计应符合下列规定：</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弹性结构</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或弹塑性结构</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厂房，柱脚宜采用插入式，也可采用外露式、外包式，应按本标准第9.2.11条的规定进行抗震承载力验算。</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弹性结构</w:t>
      </w:r>
      <w:r>
        <w:rPr>
          <w:bCs/>
          <w:color w:val="000000" w:themeColor="text1"/>
          <w:szCs w:val="21"/>
          <w14:textFill>
            <w14:solidFill>
              <w14:schemeClr w14:val="tx1"/>
            </w14:solidFill>
          </w14:textFill>
        </w:rPr>
        <w:t>ES2</w:t>
      </w:r>
      <w:r>
        <w:rPr>
          <w:rFonts w:hint="eastAsia"/>
          <w:bCs/>
          <w:color w:val="000000" w:themeColor="text1"/>
          <w:szCs w:val="21"/>
          <w14:textFill>
            <w14:solidFill>
              <w14:schemeClr w14:val="tx1"/>
            </w14:solidFill>
          </w14:textFill>
        </w:rPr>
        <w:t>宜采用外露式平板铰接柱脚，也可采用外露式刚接柱脚，应按本标准第9.2.11条的规定进行抗震承载力验算。当采用门式刚架轻型厂房时，也可按现行国家标准《门式刚架轻型房屋钢结构技术规范》</w:t>
      </w:r>
      <w:r>
        <w:rPr>
          <w:bCs/>
          <w:color w:val="000000" w:themeColor="text1"/>
          <w:szCs w:val="21"/>
          <w14:textFill>
            <w14:solidFill>
              <w14:schemeClr w14:val="tx1"/>
            </w14:solidFill>
          </w14:textFill>
        </w:rPr>
        <w:t>GB51022</w:t>
      </w:r>
      <w:r>
        <w:rPr>
          <w:rFonts w:hint="eastAsia"/>
          <w:bCs/>
          <w:color w:val="000000" w:themeColor="text1"/>
          <w:szCs w:val="21"/>
          <w14:textFill>
            <w14:solidFill>
              <w14:schemeClr w14:val="tx1"/>
            </w14:solidFill>
          </w14:textFill>
        </w:rPr>
        <w:t>进行抗震验算。</w:t>
      </w:r>
    </w:p>
    <w:p>
      <w:pPr>
        <w:spacing w:line="380" w:lineRule="exact"/>
        <w:ind w:firstLine="420"/>
        <w:rPr>
          <w:bCs/>
          <w:color w:val="000000" w:themeColor="text1"/>
          <w:szCs w:val="21"/>
          <w14:textFill>
            <w14:solidFill>
              <w14:schemeClr w14:val="tx1"/>
            </w14:solidFill>
          </w14:textFill>
        </w:rPr>
      </w:pPr>
    </w:p>
    <w:p>
      <w:pPr>
        <w:pStyle w:val="3"/>
      </w:pPr>
      <w:bookmarkStart w:id="207" w:name="_Toc48841056"/>
      <w:r>
        <w:rPr>
          <w:rFonts w:hint="eastAsia"/>
        </w:rPr>
        <w:t>抗震验算（</w:t>
      </w:r>
      <w:r>
        <w:t>4</w:t>
      </w:r>
      <w:r>
        <w:rPr>
          <w:rFonts w:hint="eastAsia"/>
        </w:rPr>
        <w:t>）</w:t>
      </w:r>
      <w:r>
        <w:t>——</w:t>
      </w:r>
      <w:bookmarkStart w:id="208" w:name="_Hlk16348286"/>
      <w:r>
        <w:rPr>
          <w:rFonts w:hint="eastAsia"/>
        </w:rPr>
        <w:t>柱间支撑的抗震设计</w:t>
      </w:r>
      <w:bookmarkEnd w:id="207"/>
      <w:bookmarkEnd w:id="208"/>
    </w:p>
    <w:p>
      <w:pPr>
        <w:pStyle w:val="53"/>
        <w:autoSpaceDE w:val="0"/>
        <w:autoSpaceDN w:val="0"/>
        <w:spacing w:line="380" w:lineRule="exact"/>
        <w:ind w:left="780" w:firstLine="0" w:firstLineChars="0"/>
        <w:rPr>
          <w:bCs/>
          <w:color w:val="000000" w:themeColor="text1"/>
          <w:kern w:val="0"/>
          <w:szCs w:val="21"/>
          <w14:textFill>
            <w14:solidFill>
              <w14:schemeClr w14:val="tx1"/>
            </w14:solidFill>
          </w14:textFill>
        </w:rPr>
      </w:pPr>
    </w:p>
    <w:p>
      <w:pPr>
        <w:spacing w:line="380" w:lineRule="exac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10.5.</w:t>
      </w:r>
      <w:r>
        <w:rPr>
          <w:bCs/>
          <w:color w:val="000000" w:themeColor="text1"/>
          <w:szCs w:val="21"/>
          <w14:textFill>
            <w14:solidFill>
              <w14:schemeClr w14:val="tx1"/>
            </w14:solidFill>
          </w14:textFill>
        </w:rPr>
        <w:t xml:space="preserve">1 </w:t>
      </w:r>
      <w:r>
        <w:rPr>
          <w:rFonts w:hint="eastAsia"/>
          <w:bCs/>
          <w:color w:val="000000" w:themeColor="text1"/>
          <w:szCs w:val="21"/>
          <w14:textFill>
            <w14:solidFill>
              <w14:schemeClr w14:val="tx1"/>
            </w14:solidFill>
          </w14:textFill>
        </w:rPr>
        <w:t>柱间支撑宜采用</w:t>
      </w:r>
      <w:r>
        <w:rPr>
          <w:bCs/>
          <w:color w:val="000000" w:themeColor="text1"/>
          <w:szCs w:val="21"/>
          <w14:textFill>
            <w14:solidFill>
              <w14:schemeClr w14:val="tx1"/>
            </w14:solidFill>
          </w14:textFill>
        </w:rPr>
        <w:t>X</w:t>
      </w:r>
      <w:r>
        <w:rPr>
          <w:rFonts w:hint="eastAsia"/>
          <w:bCs/>
          <w:color w:val="000000" w:themeColor="text1"/>
          <w:szCs w:val="21"/>
          <w14:textFill>
            <w14:solidFill>
              <w14:schemeClr w14:val="tx1"/>
            </w14:solidFill>
          </w14:textFill>
        </w:rPr>
        <w:t>形支撑，也可采用</w:t>
      </w:r>
      <w:r>
        <w:rPr>
          <w:bCs/>
          <w:color w:val="000000" w:themeColor="text1"/>
          <w:szCs w:val="21"/>
          <w14:textFill>
            <w14:solidFill>
              <w14:schemeClr w14:val="tx1"/>
            </w14:solidFill>
          </w14:textFill>
        </w:rPr>
        <w:t>V</w:t>
      </w:r>
      <w:r>
        <w:rPr>
          <w:rFonts w:hint="eastAsia"/>
          <w:bCs/>
          <w:color w:val="000000" w:themeColor="text1"/>
          <w:szCs w:val="21"/>
          <w14:textFill>
            <w14:solidFill>
              <w14:schemeClr w14:val="tx1"/>
            </w14:solidFill>
          </w14:textFill>
        </w:rPr>
        <w:t>形和</w:t>
      </w:r>
      <w:r>
        <w:rPr>
          <w:bCs/>
          <w:color w:val="000000" w:themeColor="text1"/>
          <w:szCs w:val="21"/>
          <w14:textFill>
            <w14:solidFill>
              <w14:schemeClr w14:val="tx1"/>
            </w14:solidFill>
          </w14:textFill>
        </w:rPr>
        <w:t>Λ</w:t>
      </w:r>
      <w:r>
        <w:rPr>
          <w:rFonts w:hint="eastAsia"/>
          <w:bCs/>
          <w:color w:val="000000" w:themeColor="text1"/>
          <w:szCs w:val="21"/>
          <w14:textFill>
            <w14:solidFill>
              <w14:schemeClr w14:val="tx1"/>
            </w14:solidFill>
          </w14:textFill>
        </w:rPr>
        <w:t>形支撑，支撑斜杆与水平面的交角不宜大于</w:t>
      </w:r>
      <w:r>
        <w:rPr>
          <w:bCs/>
          <w:color w:val="000000" w:themeColor="text1"/>
          <w:szCs w:val="21"/>
          <w14:textFill>
            <w14:solidFill>
              <w14:schemeClr w14:val="tx1"/>
            </w14:solidFill>
          </w14:textFill>
        </w:rPr>
        <w:t>55</w:t>
      </w:r>
      <w:r>
        <w:rPr>
          <w:rFonts w:hint="eastAsia"/>
          <w:bCs/>
          <w:color w:val="000000" w:themeColor="text1"/>
          <w:szCs w:val="21"/>
          <w14:textFill>
            <w14:solidFill>
              <w14:schemeClr w14:val="tx1"/>
            </w14:solidFill>
          </w14:textFill>
        </w:rPr>
        <w:t>度。受工艺条件限制时，也可采用格构门式支撑。</w:t>
      </w:r>
    </w:p>
    <w:p>
      <w:pPr>
        <w:spacing w:line="360" w:lineRule="exact"/>
        <w:ind w:firstLine="420"/>
        <w:jc w:val="center"/>
        <w:rPr>
          <w:bCs/>
          <w:snapToGrid w:val="0"/>
          <w:color w:val="000000" w:themeColor="text1"/>
          <w:kern w:val="0"/>
          <w:sz w:val="24"/>
          <w:szCs w:val="20"/>
          <w14:textFill>
            <w14:solidFill>
              <w14:schemeClr w14:val="tx1"/>
            </w14:solidFill>
          </w14:textFill>
        </w:rPr>
      </w:pPr>
      <w:r>
        <w:rPr>
          <w:color w:val="000000" w:themeColor="text1"/>
          <w:szCs w:val="20"/>
          <w14:textFill>
            <w14:solidFill>
              <w14:schemeClr w14:val="tx1"/>
            </w14:solidFill>
          </w14:textFill>
        </w:rPr>
        <w:drawing>
          <wp:anchor distT="0" distB="0" distL="114300" distR="114300" simplePos="0" relativeHeight="251637760" behindDoc="0" locked="0" layoutInCell="1" allowOverlap="1">
            <wp:simplePos x="0" y="0"/>
            <wp:positionH relativeFrom="column">
              <wp:posOffset>1058545</wp:posOffset>
            </wp:positionH>
            <wp:positionV relativeFrom="paragraph">
              <wp:posOffset>41275</wp:posOffset>
            </wp:positionV>
            <wp:extent cx="3234055" cy="805815"/>
            <wp:effectExtent l="0" t="0" r="4445" b="0"/>
            <wp:wrapSquare wrapText="bothSides"/>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3234055" cy="805815"/>
                    </a:xfrm>
                    <a:prstGeom prst="rect">
                      <a:avLst/>
                    </a:prstGeom>
                    <a:noFill/>
                  </pic:spPr>
                </pic:pic>
              </a:graphicData>
            </a:graphic>
          </wp:anchor>
        </w:drawing>
      </w:r>
    </w:p>
    <w:p>
      <w:pPr>
        <w:spacing w:line="360" w:lineRule="exact"/>
        <w:ind w:firstLine="480"/>
        <w:jc w:val="center"/>
        <w:rPr>
          <w:bCs/>
          <w:snapToGrid w:val="0"/>
          <w:color w:val="000000" w:themeColor="text1"/>
          <w:kern w:val="0"/>
          <w:sz w:val="24"/>
          <w14:textFill>
            <w14:solidFill>
              <w14:schemeClr w14:val="tx1"/>
            </w14:solidFill>
          </w14:textFill>
        </w:rPr>
      </w:pPr>
    </w:p>
    <w:p>
      <w:pPr>
        <w:spacing w:line="360" w:lineRule="exact"/>
        <w:ind w:firstLine="480"/>
        <w:jc w:val="center"/>
        <w:rPr>
          <w:bCs/>
          <w:snapToGrid w:val="0"/>
          <w:color w:val="000000" w:themeColor="text1"/>
          <w:kern w:val="0"/>
          <w:sz w:val="24"/>
          <w14:textFill>
            <w14:solidFill>
              <w14:schemeClr w14:val="tx1"/>
            </w14:solidFill>
          </w14:textFill>
        </w:rPr>
      </w:pPr>
    </w:p>
    <w:p>
      <w:pPr>
        <w:spacing w:line="360" w:lineRule="exact"/>
        <w:ind w:firstLine="480"/>
        <w:jc w:val="center"/>
        <w:rPr>
          <w:bCs/>
          <w:snapToGrid w:val="0"/>
          <w:color w:val="000000" w:themeColor="text1"/>
          <w:kern w:val="0"/>
          <w:sz w:val="24"/>
          <w14:textFill>
            <w14:solidFill>
              <w14:schemeClr w14:val="tx1"/>
            </w14:solidFill>
          </w14:textFill>
        </w:rPr>
      </w:pPr>
    </w:p>
    <w:p>
      <w:pPr>
        <w:spacing w:line="360" w:lineRule="exact"/>
        <w:ind w:firstLine="36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w:t>
      </w:r>
      <w:r>
        <w:rPr>
          <w:bCs/>
          <w:snapToGrid w:val="0"/>
          <w:color w:val="000000" w:themeColor="text1"/>
          <w:kern w:val="0"/>
          <w:sz w:val="18"/>
          <w:szCs w:val="18"/>
          <w14:textFill>
            <w14:solidFill>
              <w14:schemeClr w14:val="tx1"/>
            </w14:solidFill>
          </w14:textFill>
        </w:rPr>
        <w:t>a</w:t>
      </w:r>
      <w:r>
        <w:rPr>
          <w:rFonts w:hint="eastAsia"/>
          <w:bCs/>
          <w:snapToGrid w:val="0"/>
          <w:color w:val="000000" w:themeColor="text1"/>
          <w:kern w:val="0"/>
          <w:sz w:val="18"/>
          <w:szCs w:val="18"/>
          <w14:textFill>
            <w14:solidFill>
              <w14:schemeClr w14:val="tx1"/>
            </w14:solidFill>
          </w14:textFill>
        </w:rPr>
        <w:t>）上柱支撑</w:t>
      </w:r>
    </w:p>
    <w:p>
      <w:pPr>
        <w:spacing w:line="360" w:lineRule="exact"/>
        <w:ind w:firstLine="420"/>
        <w:jc w:val="center"/>
        <w:rPr>
          <w:bCs/>
          <w:snapToGrid w:val="0"/>
          <w:color w:val="000000" w:themeColor="text1"/>
          <w:kern w:val="0"/>
          <w:sz w:val="18"/>
          <w:szCs w:val="18"/>
          <w14:textFill>
            <w14:solidFill>
              <w14:schemeClr w14:val="tx1"/>
            </w14:solidFill>
          </w14:textFill>
        </w:rPr>
      </w:pPr>
      <w:r>
        <w:rPr>
          <w:color w:val="000000" w:themeColor="text1"/>
          <w:szCs w:val="20"/>
          <w14:textFill>
            <w14:solidFill>
              <w14:schemeClr w14:val="tx1"/>
            </w14:solidFill>
          </w14:textFill>
        </w:rPr>
        <w:drawing>
          <wp:anchor distT="0" distB="0" distL="114300" distR="114300" simplePos="0" relativeHeight="251638784" behindDoc="0" locked="0" layoutInCell="1" allowOverlap="1">
            <wp:simplePos x="0" y="0"/>
            <wp:positionH relativeFrom="column">
              <wp:posOffset>989330</wp:posOffset>
            </wp:positionH>
            <wp:positionV relativeFrom="paragraph">
              <wp:posOffset>109855</wp:posOffset>
            </wp:positionV>
            <wp:extent cx="3371850" cy="737235"/>
            <wp:effectExtent l="0" t="0" r="0" b="5715"/>
            <wp:wrapSquare wrapText="bothSides"/>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3371850" cy="737235"/>
                    </a:xfrm>
                    <a:prstGeom prst="rect">
                      <a:avLst/>
                    </a:prstGeom>
                    <a:noFill/>
                  </pic:spPr>
                </pic:pic>
              </a:graphicData>
            </a:graphic>
          </wp:anchor>
        </w:drawing>
      </w:r>
    </w:p>
    <w:p>
      <w:pPr>
        <w:spacing w:line="360" w:lineRule="exact"/>
        <w:ind w:firstLine="360"/>
        <w:jc w:val="center"/>
        <w:rPr>
          <w:bCs/>
          <w:snapToGrid w:val="0"/>
          <w:color w:val="000000" w:themeColor="text1"/>
          <w:kern w:val="0"/>
          <w:sz w:val="18"/>
          <w:szCs w:val="18"/>
          <w14:textFill>
            <w14:solidFill>
              <w14:schemeClr w14:val="tx1"/>
            </w14:solidFill>
          </w14:textFill>
        </w:rPr>
      </w:pPr>
    </w:p>
    <w:p>
      <w:pPr>
        <w:spacing w:line="360" w:lineRule="exact"/>
        <w:ind w:firstLine="360"/>
        <w:jc w:val="center"/>
        <w:rPr>
          <w:bCs/>
          <w:snapToGrid w:val="0"/>
          <w:color w:val="000000" w:themeColor="text1"/>
          <w:kern w:val="0"/>
          <w:sz w:val="18"/>
          <w:szCs w:val="18"/>
          <w14:textFill>
            <w14:solidFill>
              <w14:schemeClr w14:val="tx1"/>
            </w14:solidFill>
          </w14:textFill>
        </w:rPr>
      </w:pPr>
    </w:p>
    <w:p>
      <w:pPr>
        <w:spacing w:line="360" w:lineRule="exact"/>
        <w:ind w:firstLine="360"/>
        <w:jc w:val="center"/>
        <w:rPr>
          <w:bCs/>
          <w:snapToGrid w:val="0"/>
          <w:color w:val="000000" w:themeColor="text1"/>
          <w:kern w:val="0"/>
          <w:sz w:val="18"/>
          <w:szCs w:val="18"/>
          <w14:textFill>
            <w14:solidFill>
              <w14:schemeClr w14:val="tx1"/>
            </w14:solidFill>
          </w14:textFill>
        </w:rPr>
      </w:pPr>
    </w:p>
    <w:p>
      <w:pPr>
        <w:spacing w:line="360" w:lineRule="exact"/>
        <w:ind w:firstLine="36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w:t>
      </w:r>
      <w:r>
        <w:rPr>
          <w:bCs/>
          <w:snapToGrid w:val="0"/>
          <w:color w:val="000000" w:themeColor="text1"/>
          <w:kern w:val="0"/>
          <w:sz w:val="18"/>
          <w:szCs w:val="18"/>
          <w14:textFill>
            <w14:solidFill>
              <w14:schemeClr w14:val="tx1"/>
            </w14:solidFill>
          </w14:textFill>
        </w:rPr>
        <w:t>b</w:t>
      </w:r>
      <w:r>
        <w:rPr>
          <w:rFonts w:hint="eastAsia"/>
          <w:bCs/>
          <w:snapToGrid w:val="0"/>
          <w:color w:val="000000" w:themeColor="text1"/>
          <w:kern w:val="0"/>
          <w:sz w:val="18"/>
          <w:szCs w:val="18"/>
          <w14:textFill>
            <w14:solidFill>
              <w14:schemeClr w14:val="tx1"/>
            </w14:solidFill>
          </w14:textFill>
        </w:rPr>
        <w:t>）下柱支撑</w:t>
      </w:r>
    </w:p>
    <w:p>
      <w:pPr>
        <w:spacing w:line="360" w:lineRule="auto"/>
        <w:ind w:firstLine="36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图10</w:t>
      </w:r>
      <w:r>
        <w:rPr>
          <w:bCs/>
          <w:color w:val="000000" w:themeColor="text1"/>
          <w:sz w:val="18"/>
          <w:szCs w:val="21"/>
          <w14:textFill>
            <w14:solidFill>
              <w14:schemeClr w14:val="tx1"/>
            </w14:solidFill>
          </w14:textFill>
        </w:rPr>
        <w:t>.5</w:t>
      </w:r>
      <w:r>
        <w:rPr>
          <w:rFonts w:hint="eastAsia"/>
          <w:bCs/>
          <w:color w:val="000000" w:themeColor="text1"/>
          <w:sz w:val="18"/>
          <w:szCs w:val="21"/>
          <w14:textFill>
            <w14:solidFill>
              <w14:schemeClr w14:val="tx1"/>
            </w14:solidFill>
          </w14:textFill>
        </w:rPr>
        <w:t>.1</w:t>
      </w:r>
      <w:r>
        <w:rPr>
          <w:bCs/>
          <w:color w:val="000000" w:themeColor="text1"/>
          <w:sz w:val="18"/>
          <w:szCs w:val="21"/>
          <w14:textFill>
            <w14:solidFill>
              <w14:schemeClr w14:val="tx1"/>
            </w14:solidFill>
          </w14:textFill>
        </w:rPr>
        <w:t xml:space="preserve">-1 </w:t>
      </w:r>
      <w:r>
        <w:rPr>
          <w:rFonts w:hint="eastAsia"/>
          <w:bCs/>
          <w:color w:val="000000" w:themeColor="text1"/>
          <w:sz w:val="18"/>
          <w:szCs w:val="21"/>
          <w14:textFill>
            <w14:solidFill>
              <w14:schemeClr w14:val="tx1"/>
            </w14:solidFill>
          </w14:textFill>
        </w:rPr>
        <w:t>柱间支撑形式</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10.5.</w:t>
      </w:r>
      <w:r>
        <w:rPr>
          <w:bCs/>
          <w:color w:val="000000" w:themeColor="text1"/>
          <w:szCs w:val="21"/>
          <w14:textFill>
            <w14:solidFill>
              <w14:schemeClr w14:val="tx1"/>
            </w14:solidFill>
          </w14:textFill>
        </w:rPr>
        <w:t xml:space="preserve">2 </w:t>
      </w:r>
      <w:r>
        <w:rPr>
          <w:rFonts w:hint="eastAsia"/>
          <w:bCs/>
          <w:color w:val="000000" w:themeColor="text1"/>
          <w:szCs w:val="21"/>
          <w14:textFill>
            <w14:solidFill>
              <w14:schemeClr w14:val="tx1"/>
            </w14:solidFill>
          </w14:textFill>
        </w:rPr>
        <w:t>柱间支撑应据所采用结构类别按表9</w:t>
      </w:r>
      <w:r>
        <w:rPr>
          <w:bCs/>
          <w:color w:val="000000" w:themeColor="text1"/>
          <w:szCs w:val="21"/>
          <w14:textFill>
            <w14:solidFill>
              <w14:schemeClr w14:val="tx1"/>
            </w14:solidFill>
          </w14:textFill>
        </w:rPr>
        <w:t>.2.2-1</w:t>
      </w:r>
      <w:r>
        <w:rPr>
          <w:rFonts w:hint="eastAsia"/>
          <w:bCs/>
          <w:color w:val="000000" w:themeColor="text1"/>
          <w:szCs w:val="21"/>
          <w14:textFill>
            <w14:solidFill>
              <w14:schemeClr w14:val="tx1"/>
            </w14:solidFill>
          </w14:textFill>
        </w:rPr>
        <w:t>选用相应的等级，型钢中心支撑除应符合表9</w:t>
      </w:r>
      <w:r>
        <w:rPr>
          <w:bCs/>
          <w:color w:val="000000" w:themeColor="text1"/>
          <w:szCs w:val="21"/>
          <w14:textFill>
            <w14:solidFill>
              <w14:schemeClr w14:val="tx1"/>
            </w14:solidFill>
          </w14:textFill>
        </w:rPr>
        <w:t>.2.2-3</w:t>
      </w:r>
      <w:r>
        <w:rPr>
          <w:rFonts w:hint="eastAsia"/>
          <w:bCs/>
          <w:color w:val="000000" w:themeColor="text1"/>
          <w:szCs w:val="21"/>
          <w14:textFill>
            <w14:solidFill>
              <w14:schemeClr w14:val="tx1"/>
            </w14:solidFill>
          </w14:textFill>
        </w:rPr>
        <w:t>的长细比和板件宽厚比的要求外，尚应符合下列要求：</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不应采用螺旋焊接钢管。</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宜采用整根型钢制作。当热轧型钢超过材料最大长度规格时，可采用等强拼接接长。</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 xml:space="preserve"> 有条件时，宜采用约束屈曲支撑。</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10.5.</w:t>
      </w:r>
      <w:r>
        <w:rPr>
          <w:bCs/>
          <w:color w:val="000000" w:themeColor="text1"/>
          <w:szCs w:val="21"/>
          <w14:textFill>
            <w14:solidFill>
              <w14:schemeClr w14:val="tx1"/>
            </w14:solidFill>
          </w14:textFill>
        </w:rPr>
        <w:t xml:space="preserve">3 </w:t>
      </w:r>
      <w:r>
        <w:rPr>
          <w:rFonts w:hint="eastAsia"/>
          <w:bCs/>
          <w:color w:val="000000" w:themeColor="text1"/>
          <w:szCs w:val="21"/>
          <w14:textFill>
            <w14:solidFill>
              <w14:schemeClr w14:val="tx1"/>
            </w14:solidFill>
          </w14:textFill>
        </w:rPr>
        <w:t>弹性结构</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、弹塑性结构</w:t>
      </w:r>
      <w:r>
        <w:rPr>
          <w:bCs/>
          <w:color w:val="000000" w:themeColor="text1"/>
          <w:szCs w:val="21"/>
          <w14:textFill>
            <w14:solidFill>
              <w14:schemeClr w14:val="tx1"/>
            </w14:solidFill>
          </w14:textFill>
        </w:rPr>
        <w:t>PES</w:t>
      </w:r>
      <w:r>
        <w:rPr>
          <w:rFonts w:hint="eastAsia"/>
          <w:bCs/>
          <w:color w:val="000000" w:themeColor="text1"/>
          <w:szCs w:val="21"/>
          <w14:textFill>
            <w14:solidFill>
              <w14:schemeClr w14:val="tx1"/>
            </w14:solidFill>
          </w14:textFill>
        </w:rPr>
        <w:t>厂房的柱间支撑布置，应符合下列要求：</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结构单元的各纵向柱列应在其中部布置一道下柱支撑；当采用轻型围护材料结构单元长度大于</w:t>
      </w:r>
      <w:r>
        <w:rPr>
          <w:bCs/>
          <w:color w:val="000000" w:themeColor="text1"/>
          <w:szCs w:val="21"/>
          <w14:textFill>
            <w14:solidFill>
              <w14:schemeClr w14:val="tx1"/>
            </w14:solidFill>
          </w14:textFill>
        </w:rPr>
        <w:t>120m</w:t>
      </w:r>
      <w:r>
        <w:rPr>
          <w:rFonts w:hint="eastAsia"/>
          <w:bCs/>
          <w:color w:val="000000" w:themeColor="text1"/>
          <w:szCs w:val="21"/>
          <w14:textFill>
            <w14:solidFill>
              <w14:schemeClr w14:val="tx1"/>
            </w14:solidFill>
          </w14:textFill>
        </w:rPr>
        <w:t>时，或采用砌体围护结构单元长度大于</w:t>
      </w:r>
      <w:r>
        <w:rPr>
          <w:bCs/>
          <w:color w:val="000000" w:themeColor="text1"/>
          <w:szCs w:val="21"/>
          <w14:textFill>
            <w14:solidFill>
              <w14:schemeClr w14:val="tx1"/>
            </w14:solidFill>
          </w14:textFill>
        </w:rPr>
        <w:t>90m</w:t>
      </w:r>
      <w:r>
        <w:rPr>
          <w:rFonts w:hint="eastAsia"/>
          <w:bCs/>
          <w:color w:val="000000" w:themeColor="text1"/>
          <w:szCs w:val="21"/>
          <w14:textFill>
            <w14:solidFill>
              <w14:schemeClr w14:val="tx1"/>
            </w14:solidFill>
          </w14:textFill>
        </w:rPr>
        <w:t>时，应在其</w:t>
      </w:r>
      <w:r>
        <w:rPr>
          <w:bCs/>
          <w:color w:val="000000" w:themeColor="text1"/>
          <w:szCs w:val="21"/>
          <w14:textFill>
            <w14:solidFill>
              <w14:schemeClr w14:val="tx1"/>
            </w14:solidFill>
          </w14:textFill>
        </w:rPr>
        <w:t>1/3</w:t>
      </w:r>
      <w:r>
        <w:rPr>
          <w:rFonts w:hint="eastAsia"/>
          <w:bCs/>
          <w:color w:val="000000" w:themeColor="text1"/>
          <w:szCs w:val="21"/>
          <w14:textFill>
            <w14:solidFill>
              <w14:schemeClr w14:val="tx1"/>
            </w14:solidFill>
          </w14:textFill>
        </w:rPr>
        <w:t>区段内各布置一道下柱支撑；当柱间数不超过</w:t>
      </w:r>
      <w:r>
        <w:rPr>
          <w:bCs/>
          <w:color w:val="000000" w:themeColor="text1"/>
          <w:szCs w:val="21"/>
          <w14:textFill>
            <w14:solidFill>
              <w14:schemeClr w14:val="tx1"/>
            </w14:solidFill>
          </w14:textFill>
        </w:rPr>
        <w:t>5</w:t>
      </w:r>
      <w:r>
        <w:rPr>
          <w:rFonts w:hint="eastAsia"/>
          <w:bCs/>
          <w:color w:val="000000" w:themeColor="text1"/>
          <w:szCs w:val="21"/>
          <w14:textFill>
            <w14:solidFill>
              <w14:schemeClr w14:val="tx1"/>
            </w14:solidFill>
          </w14:textFill>
        </w:rPr>
        <w:t>个且厂房长度小于</w:t>
      </w:r>
      <w:r>
        <w:rPr>
          <w:bCs/>
          <w:color w:val="000000" w:themeColor="text1"/>
          <w:szCs w:val="21"/>
          <w14:textFill>
            <w14:solidFill>
              <w14:schemeClr w14:val="tx1"/>
            </w14:solidFill>
          </w14:textFill>
        </w:rPr>
        <w:t>60m</w:t>
      </w:r>
      <w:r>
        <w:rPr>
          <w:rFonts w:hint="eastAsia"/>
          <w:bCs/>
          <w:color w:val="000000" w:themeColor="text1"/>
          <w:szCs w:val="21"/>
          <w14:textFill>
            <w14:solidFill>
              <w14:schemeClr w14:val="tx1"/>
            </w14:solidFill>
          </w14:textFill>
        </w:rPr>
        <w:t>时，亦可在其两端柱间布置下柱支撑。上柱支撑应布置在结构单元两端和设置下柱支撑的柱间；</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多跨厂房各柱列的柱间支撑，宜布置在相同榀横向框架构成的柱间；</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 xml:space="preserve"> 结构单元内，各柱列柱间支撑的刚度应按下列原则合理协调与选定：</w:t>
      </w:r>
    </w:p>
    <w:p>
      <w:pPr>
        <w:spacing w:line="360" w:lineRule="auto"/>
        <w:ind w:firstLine="829" w:firstLineChars="3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）同列柱内上柱的柱间支撑刚度，不宜大于下柱的柱间支撑刚度；</w:t>
      </w:r>
    </w:p>
    <w:p>
      <w:pPr>
        <w:spacing w:line="360" w:lineRule="auto"/>
        <w:ind w:firstLine="829" w:firstLineChars="3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）同一柱间采用双片支撑时，其纵向刚度宜相同；</w:t>
      </w:r>
    </w:p>
    <w:p>
      <w:pPr>
        <w:spacing w:line="360" w:lineRule="auto"/>
        <w:ind w:left="1050" w:leftChars="400" w:hanging="210" w:hangingChars="1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）各柱列柱间支撑的纵向刚度宜相接近，但边列柱柱间支撑的纵向刚度不宜大于中列柱柱间支撑的纵向刚度。</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10.5.</w:t>
      </w:r>
      <w:r>
        <w:rPr>
          <w:bCs/>
          <w:color w:val="000000" w:themeColor="text1"/>
          <w:szCs w:val="21"/>
          <w14:textFill>
            <w14:solidFill>
              <w14:schemeClr w14:val="tx1"/>
            </w14:solidFill>
          </w14:textFill>
        </w:rPr>
        <w:t xml:space="preserve">4 </w:t>
      </w:r>
      <w:r>
        <w:rPr>
          <w:rFonts w:hint="eastAsia"/>
          <w:bCs/>
          <w:color w:val="000000" w:themeColor="text1"/>
          <w:szCs w:val="21"/>
          <w14:textFill>
            <w14:solidFill>
              <w14:schemeClr w14:val="tx1"/>
            </w14:solidFill>
          </w14:textFill>
        </w:rPr>
        <w:t>弹性结构</w:t>
      </w:r>
      <w:r>
        <w:rPr>
          <w:bCs/>
          <w:color w:val="000000" w:themeColor="text1"/>
          <w:szCs w:val="21"/>
          <w14:textFill>
            <w14:solidFill>
              <w14:schemeClr w14:val="tx1"/>
            </w14:solidFill>
          </w14:textFill>
        </w:rPr>
        <w:t>ES2</w:t>
      </w:r>
      <w:r>
        <w:rPr>
          <w:rFonts w:hint="eastAsia"/>
          <w:bCs/>
          <w:color w:val="000000" w:themeColor="text1"/>
          <w:szCs w:val="21"/>
          <w14:textFill>
            <w14:solidFill>
              <w14:schemeClr w14:val="tx1"/>
            </w14:solidFill>
          </w14:textFill>
        </w:rPr>
        <w:t>厂房的柱间支撑，无桥式起重机时，可采用圆钢、钢索</w:t>
      </w:r>
      <w:r>
        <w:rPr>
          <w:bCs/>
          <w:color w:val="000000" w:themeColor="text1"/>
          <w:szCs w:val="21"/>
          <w14:textFill>
            <w14:solidFill>
              <w14:schemeClr w14:val="tx1"/>
            </w14:solidFill>
          </w14:textFill>
        </w:rPr>
        <w:t>X</w:t>
      </w:r>
      <w:r>
        <w:rPr>
          <w:rFonts w:hint="eastAsia"/>
          <w:bCs/>
          <w:color w:val="000000" w:themeColor="text1"/>
          <w:szCs w:val="21"/>
          <w14:textFill>
            <w14:solidFill>
              <w14:schemeClr w14:val="tx1"/>
            </w14:solidFill>
          </w14:textFill>
        </w:rPr>
        <w:t>形柱间支撑，应设置在围护外墙柱列。有桥式起重机时，可采用</w:t>
      </w:r>
      <w:r>
        <w:rPr>
          <w:bCs/>
          <w:color w:val="000000" w:themeColor="text1"/>
          <w:szCs w:val="21"/>
          <w14:textFill>
            <w14:solidFill>
              <w14:schemeClr w14:val="tx1"/>
            </w14:solidFill>
          </w14:textFill>
        </w:rPr>
        <w:t>B4</w:t>
      </w:r>
      <w:r>
        <w:rPr>
          <w:rFonts w:hint="eastAsia"/>
          <w:bCs/>
          <w:color w:val="000000" w:themeColor="text1"/>
          <w:szCs w:val="21"/>
          <w14:textFill>
            <w14:solidFill>
              <w14:schemeClr w14:val="tx1"/>
            </w14:solidFill>
          </w14:textFill>
        </w:rPr>
        <w:t>级</w:t>
      </w:r>
      <w:r>
        <w:rPr>
          <w:bCs/>
          <w:color w:val="000000" w:themeColor="text1"/>
          <w:szCs w:val="21"/>
          <w14:textFill>
            <w14:solidFill>
              <w14:schemeClr w14:val="tx1"/>
            </w14:solidFill>
          </w14:textFill>
        </w:rPr>
        <w:t>X</w:t>
      </w:r>
      <w:r>
        <w:rPr>
          <w:rFonts w:hint="eastAsia"/>
          <w:bCs/>
          <w:color w:val="000000" w:themeColor="text1"/>
          <w:szCs w:val="21"/>
          <w14:textFill>
            <w14:solidFill>
              <w14:schemeClr w14:val="tx1"/>
            </w14:solidFill>
          </w14:textFill>
        </w:rPr>
        <w:t>形型钢支撑，应设置在围护外墙柱列和吊车梁柱列。柱间支撑的布置宜符合下列要求：</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无桥式起重机时，支撑间距不应大于</w:t>
      </w:r>
      <w:r>
        <w:rPr>
          <w:bCs/>
          <w:color w:val="000000" w:themeColor="text1"/>
          <w:szCs w:val="21"/>
          <w14:textFill>
            <w14:solidFill>
              <w14:schemeClr w14:val="tx1"/>
            </w14:solidFill>
          </w14:textFill>
        </w:rPr>
        <w:t>45m</w:t>
      </w:r>
      <w:r>
        <w:rPr>
          <w:rFonts w:hint="eastAsia"/>
          <w:bCs/>
          <w:color w:val="000000" w:themeColor="text1"/>
          <w:szCs w:val="21"/>
          <w14:textFill>
            <w14:solidFill>
              <w14:schemeClr w14:val="tx1"/>
            </w14:solidFill>
          </w14:textFill>
        </w:rPr>
        <w:t>，并结构单元端开间一般应布置；当厂房高度大于</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倍柱距时，柱间支撑应分层设置，并支撑层间应设置长细比不大于</w:t>
      </w:r>
      <w:r>
        <w:rPr>
          <w:bCs/>
          <w:color w:val="000000" w:themeColor="text1"/>
          <w:szCs w:val="21"/>
          <w14:textFill>
            <w14:solidFill>
              <w14:schemeClr w14:val="tx1"/>
            </w14:solidFill>
          </w14:textFill>
        </w:rPr>
        <w:t>150</w:t>
      </w:r>
      <w:r>
        <w:rPr>
          <w:rFonts w:hint="eastAsia"/>
          <w:bCs/>
          <w:color w:val="000000" w:themeColor="text1"/>
          <w:szCs w:val="21"/>
          <w14:textFill>
            <w14:solidFill>
              <w14:schemeClr w14:val="tx1"/>
            </w14:solidFill>
          </w14:textFill>
        </w:rPr>
        <w:t>的受压系杆；</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设置桥式起重机时，支撑间距不应大于</w:t>
      </w:r>
      <w:r>
        <w:rPr>
          <w:bCs/>
          <w:color w:val="000000" w:themeColor="text1"/>
          <w:szCs w:val="21"/>
          <w14:textFill>
            <w14:solidFill>
              <w14:schemeClr w14:val="tx1"/>
            </w14:solidFill>
          </w14:textFill>
        </w:rPr>
        <w:t>45m</w:t>
      </w:r>
      <w:r>
        <w:rPr>
          <w:rFonts w:hint="eastAsia"/>
          <w:bCs/>
          <w:color w:val="000000" w:themeColor="text1"/>
          <w:szCs w:val="21"/>
          <w14:textFill>
            <w14:solidFill>
              <w14:schemeClr w14:val="tx1"/>
            </w14:solidFill>
          </w14:textFill>
        </w:rPr>
        <w:t>。结构单元中部柱间，应设置下柱支撑；结构单元长度大于</w:t>
      </w:r>
      <w:r>
        <w:rPr>
          <w:bCs/>
          <w:color w:val="000000" w:themeColor="text1"/>
          <w:szCs w:val="21"/>
          <w14:textFill>
            <w14:solidFill>
              <w14:schemeClr w14:val="tx1"/>
            </w14:solidFill>
          </w14:textFill>
        </w:rPr>
        <w:t>90m</w:t>
      </w:r>
      <w:r>
        <w:rPr>
          <w:rFonts w:hint="eastAsia"/>
          <w:bCs/>
          <w:color w:val="000000" w:themeColor="text1"/>
          <w:szCs w:val="21"/>
          <w14:textFill>
            <w14:solidFill>
              <w14:schemeClr w14:val="tx1"/>
            </w14:solidFill>
          </w14:textFill>
        </w:rPr>
        <w:t>时，应在其</w:t>
      </w:r>
      <w:r>
        <w:rPr>
          <w:bCs/>
          <w:color w:val="000000" w:themeColor="text1"/>
          <w:szCs w:val="21"/>
          <w14:textFill>
            <w14:solidFill>
              <w14:schemeClr w14:val="tx1"/>
            </w14:solidFill>
          </w14:textFill>
        </w:rPr>
        <w:t>1/3</w:t>
      </w:r>
      <w:r>
        <w:rPr>
          <w:rFonts w:hint="eastAsia"/>
          <w:bCs/>
          <w:color w:val="000000" w:themeColor="text1"/>
          <w:szCs w:val="21"/>
          <w14:textFill>
            <w14:solidFill>
              <w14:schemeClr w14:val="tx1"/>
            </w14:solidFill>
          </w14:textFill>
        </w:rPr>
        <w:t>区段内各布置一道下柱支撑；结构单元端开间、下柱柱间支撑开间，应设置上柱支撑。</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10.5.</w:t>
      </w:r>
      <w:r>
        <w:rPr>
          <w:bCs/>
          <w:color w:val="000000" w:themeColor="text1"/>
          <w:szCs w:val="21"/>
          <w14:textFill>
            <w14:solidFill>
              <w14:schemeClr w14:val="tx1"/>
            </w14:solidFill>
          </w14:textFill>
        </w:rPr>
        <w:t xml:space="preserve">5 </w:t>
      </w:r>
      <w:r>
        <w:rPr>
          <w:rFonts w:hint="eastAsia"/>
          <w:bCs/>
          <w:color w:val="000000" w:themeColor="text1"/>
          <w:szCs w:val="21"/>
          <w14:textFill>
            <w14:solidFill>
              <w14:schemeClr w14:val="tx1"/>
            </w14:solidFill>
          </w14:textFill>
        </w:rPr>
        <w:t>结构单元内，沿各柱列的柱顶宜设置通长的受压系杆。</w:t>
      </w:r>
    </w:p>
    <w:p>
      <w:pPr>
        <w:spacing w:line="360" w:lineRule="auto"/>
        <w:ind w:firstLine="420"/>
        <w:rPr>
          <w:bCs/>
          <w:color w:val="000000" w:themeColor="text1"/>
          <w:szCs w:val="20"/>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w:t>
      </w:r>
      <w:r>
        <w:rPr>
          <w:rFonts w:hint="eastAsia"/>
          <w:bCs/>
          <w:color w:val="000000" w:themeColor="text1"/>
          <w14:textFill>
            <w14:solidFill>
              <w14:schemeClr w14:val="tx1"/>
            </w14:solidFill>
          </w14:textFill>
        </w:rPr>
        <w:t>柱顶系杆的长细比，弹性结构</w:t>
      </w:r>
      <w:r>
        <w:rPr>
          <w:bCs/>
          <w:color w:val="000000" w:themeColor="text1"/>
          <w14:textFill>
            <w14:solidFill>
              <w14:schemeClr w14:val="tx1"/>
            </w14:solidFill>
          </w14:textFill>
        </w:rPr>
        <w:t>ES1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ES2</w:t>
      </w:r>
      <w:r>
        <w:rPr>
          <w:rFonts w:hint="eastAsia"/>
          <w:bCs/>
          <w:color w:val="000000" w:themeColor="text1"/>
          <w14:textFill>
            <w14:solidFill>
              <w14:schemeClr w14:val="tx1"/>
            </w14:solidFill>
          </w14:textFill>
        </w:rPr>
        <w:t>不宜大于</w:t>
      </w:r>
      <w:r>
        <w:rPr>
          <w:bCs/>
          <w:color w:val="000000" w:themeColor="text1"/>
          <w14:textFill>
            <w14:solidFill>
              <w14:schemeClr w14:val="tx1"/>
            </w14:solidFill>
          </w14:textFill>
        </w:rPr>
        <w:t>150</w:t>
      </w:r>
      <w:r>
        <w:rPr>
          <w:rFonts w:hint="eastAsia"/>
          <w:bCs/>
          <w:color w:val="000000" w:themeColor="text1"/>
          <w14:textFill>
            <w14:solidFill>
              <w14:schemeClr w14:val="tx1"/>
            </w14:solidFill>
          </w14:textFill>
        </w:rPr>
        <w:t>，弹塑性结构</w:t>
      </w:r>
      <w:r>
        <w:rPr>
          <w:bCs/>
          <w:color w:val="000000" w:themeColor="text1"/>
          <w14:textFill>
            <w14:solidFill>
              <w14:schemeClr w14:val="tx1"/>
            </w14:solidFill>
          </w14:textFill>
        </w:rPr>
        <w:t>PES</w:t>
      </w:r>
      <w:r>
        <w:rPr>
          <w:rFonts w:hint="eastAsia"/>
          <w:bCs/>
          <w:color w:val="000000" w:themeColor="text1"/>
          <w14:textFill>
            <w14:solidFill>
              <w14:schemeClr w14:val="tx1"/>
            </w14:solidFill>
          </w14:textFill>
        </w:rPr>
        <w:t>不宜大于</w:t>
      </w:r>
      <w:r>
        <w:rPr>
          <w:bCs/>
          <w:color w:val="000000" w:themeColor="text1"/>
          <w14:textFill>
            <w14:solidFill>
              <w14:schemeClr w14:val="tx1"/>
            </w14:solidFill>
          </w14:textFill>
        </w:rPr>
        <w:t>130</w:t>
      </w:r>
      <w:r>
        <w:rPr>
          <w:rFonts w:hint="eastAsia"/>
          <w:bCs/>
          <w:color w:val="000000" w:themeColor="text1"/>
          <w14:textFill>
            <w14:solidFill>
              <w14:schemeClr w14:val="tx1"/>
            </w14:solidFill>
          </w14:textFill>
        </w:rPr>
        <w:t>。当柱顶系杆兼作</w:t>
      </w:r>
      <w:r>
        <w:rPr>
          <w:bCs/>
          <w:color w:val="000000" w:themeColor="text1"/>
          <w14:textFill>
            <w14:solidFill>
              <w14:schemeClr w14:val="tx1"/>
            </w14:solidFill>
          </w14:textFill>
        </w:rPr>
        <w:t>V</w:t>
      </w:r>
      <w:r>
        <w:rPr>
          <w:rFonts w:hint="eastAsia"/>
          <w:bCs/>
          <w:color w:val="000000" w:themeColor="text1"/>
          <w14:textFill>
            <w14:solidFill>
              <w14:schemeClr w14:val="tx1"/>
            </w14:solidFill>
          </w14:textFill>
        </w:rPr>
        <w:t>或</w:t>
      </w:r>
      <w:r>
        <w:rPr>
          <w:bCs/>
          <w:color w:val="000000" w:themeColor="text1"/>
          <w14:textFill>
            <w14:solidFill>
              <w14:schemeClr w14:val="tx1"/>
            </w14:solidFill>
          </w14:textFill>
        </w:rPr>
        <w:t>Λ</w:t>
      </w:r>
      <w:r>
        <w:rPr>
          <w:rFonts w:hint="eastAsia"/>
          <w:bCs/>
          <w:color w:val="000000" w:themeColor="text1"/>
          <w14:textFill>
            <w14:solidFill>
              <w14:schemeClr w14:val="tx1"/>
            </w14:solidFill>
          </w14:textFill>
        </w:rPr>
        <w:t>形柱间支撑的尖顶横梁时，其长细比计算时不得考虑支撑的支点作用。</w:t>
      </w:r>
    </w:p>
    <w:p>
      <w:pPr>
        <w:spacing w:line="360" w:lineRule="auto"/>
        <w:ind w:firstLine="420"/>
        <w:rPr>
          <w:bCs/>
          <w:color w:val="000000" w:themeColor="text1"/>
          <w:szCs w:val="24"/>
          <w14:textFill>
            <w14:solidFill>
              <w14:schemeClr w14:val="tx1"/>
            </w14:solidFill>
          </w14:textFill>
        </w:rPr>
      </w:pP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 xml:space="preserve"> 弹性结构</w:t>
      </w:r>
      <w:r>
        <w:rPr>
          <w:bCs/>
          <w:color w:val="000000" w:themeColor="text1"/>
          <w14:textFill>
            <w14:solidFill>
              <w14:schemeClr w14:val="tx1"/>
            </w14:solidFill>
          </w14:textFill>
        </w:rPr>
        <w:t>ES1</w:t>
      </w:r>
      <w:r>
        <w:rPr>
          <w:rFonts w:hint="eastAsia"/>
          <w:bCs/>
          <w:color w:val="000000" w:themeColor="text1"/>
          <w14:textFill>
            <w14:solidFill>
              <w14:schemeClr w14:val="tx1"/>
            </w14:solidFill>
          </w14:textFill>
        </w:rPr>
        <w:t>、弹塑性结构</w:t>
      </w:r>
      <w:r>
        <w:rPr>
          <w:bCs/>
          <w:color w:val="000000" w:themeColor="text1"/>
          <w14:textFill>
            <w14:solidFill>
              <w14:schemeClr w14:val="tx1"/>
            </w14:solidFill>
          </w14:textFill>
        </w:rPr>
        <w:t>PES</w:t>
      </w:r>
      <w:r>
        <w:rPr>
          <w:rFonts w:hint="eastAsia"/>
          <w:bCs/>
          <w:color w:val="000000" w:themeColor="text1"/>
          <w14:textFill>
            <w14:solidFill>
              <w14:schemeClr w14:val="tx1"/>
            </w14:solidFill>
          </w14:textFill>
        </w:rPr>
        <w:t>的刚接框架柱顶受压系杆，可据屋盖横梁的</w:t>
      </w:r>
      <w:r>
        <w:rPr>
          <w:rFonts w:hint="eastAsia"/>
          <w:bCs/>
          <w:color w:val="000000" w:themeColor="text1"/>
          <w:szCs w:val="24"/>
          <w14:textFill>
            <w14:solidFill>
              <w14:schemeClr w14:val="tx1"/>
            </w14:solidFill>
          </w14:textFill>
        </w:rPr>
        <w:t>梁端高度设置，宜符合下列要求：</w:t>
      </w:r>
    </w:p>
    <w:p>
      <w:pPr>
        <w:spacing w:line="360" w:lineRule="auto"/>
        <w:ind w:firstLine="840" w:firstLineChars="400"/>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1</w:t>
      </w:r>
      <w:r>
        <w:rPr>
          <w:rFonts w:hint="eastAsia"/>
          <w:bCs/>
          <w:color w:val="000000" w:themeColor="text1"/>
          <w:szCs w:val="24"/>
          <w14:textFill>
            <w14:solidFill>
              <w14:schemeClr w14:val="tx1"/>
            </w14:solidFill>
          </w14:textFill>
        </w:rPr>
        <w:t>）梁端高度小于</w:t>
      </w:r>
      <w:r>
        <w:rPr>
          <w:bCs/>
          <w:color w:val="000000" w:themeColor="text1"/>
          <w:szCs w:val="24"/>
          <w14:textFill>
            <w14:solidFill>
              <w14:schemeClr w14:val="tx1"/>
            </w14:solidFill>
          </w14:textFill>
        </w:rPr>
        <w:t>900mm</w:t>
      </w:r>
      <w:r>
        <w:rPr>
          <w:rFonts w:hint="eastAsia"/>
          <w:bCs/>
          <w:color w:val="000000" w:themeColor="text1"/>
          <w:szCs w:val="24"/>
          <w14:textFill>
            <w14:solidFill>
              <w14:schemeClr w14:val="tx1"/>
            </w14:solidFill>
          </w14:textFill>
        </w:rPr>
        <w:t>时，可设置一根；</w:t>
      </w:r>
    </w:p>
    <w:p>
      <w:pPr>
        <w:spacing w:line="360" w:lineRule="auto"/>
        <w:ind w:left="1050" w:leftChars="400" w:hanging="210" w:hangingChars="100"/>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2</w:t>
      </w:r>
      <w:r>
        <w:rPr>
          <w:rFonts w:hint="eastAsia"/>
          <w:bCs/>
          <w:color w:val="000000" w:themeColor="text1"/>
          <w:szCs w:val="24"/>
          <w14:textFill>
            <w14:solidFill>
              <w14:schemeClr w14:val="tx1"/>
            </w14:solidFill>
          </w14:textFill>
        </w:rPr>
        <w:t>）梁端高度</w:t>
      </w:r>
      <w:r>
        <w:rPr>
          <w:bCs/>
          <w:color w:val="000000" w:themeColor="text1"/>
          <w:szCs w:val="24"/>
          <w14:textFill>
            <w14:solidFill>
              <w14:schemeClr w14:val="tx1"/>
            </w14:solidFill>
          </w14:textFill>
        </w:rPr>
        <w:t>900mm</w:t>
      </w:r>
      <w:r>
        <w:rPr>
          <w:rFonts w:hint="eastAsia"/>
          <w:bCs/>
          <w:color w:val="000000" w:themeColor="text1"/>
          <w:szCs w:val="24"/>
          <w14:textFill>
            <w14:solidFill>
              <w14:schemeClr w14:val="tx1"/>
            </w14:solidFill>
          </w14:textFill>
        </w:rPr>
        <w:t>到</w:t>
      </w:r>
      <w:r>
        <w:rPr>
          <w:bCs/>
          <w:color w:val="000000" w:themeColor="text1"/>
          <w:szCs w:val="24"/>
          <w14:textFill>
            <w14:solidFill>
              <w14:schemeClr w14:val="tx1"/>
            </w14:solidFill>
          </w14:textFill>
        </w:rPr>
        <w:t>1500mm</w:t>
      </w:r>
      <w:r>
        <w:rPr>
          <w:rFonts w:hint="eastAsia"/>
          <w:bCs/>
          <w:color w:val="000000" w:themeColor="text1"/>
          <w:szCs w:val="24"/>
          <w14:textFill>
            <w14:solidFill>
              <w14:schemeClr w14:val="tx1"/>
            </w14:solidFill>
          </w14:textFill>
        </w:rPr>
        <w:t>之间时，可采用一根受压系杆伸出隅撑与钢柱在横梁下翼缘（下弦）位置连接（图10.5</w:t>
      </w:r>
      <w:r>
        <w:rPr>
          <w:bCs/>
          <w:color w:val="000000" w:themeColor="text1"/>
          <w:szCs w:val="24"/>
          <w14:textFill>
            <w14:solidFill>
              <w14:schemeClr w14:val="tx1"/>
            </w14:solidFill>
          </w14:textFill>
        </w:rPr>
        <w:t>.5-</w:t>
      </w:r>
      <w:r>
        <w:rPr>
          <w:rFonts w:hint="eastAsia"/>
          <w:bCs/>
          <w:color w:val="000000" w:themeColor="text1"/>
          <w:szCs w:val="24"/>
          <w14:textFill>
            <w14:solidFill>
              <w14:schemeClr w14:val="tx1"/>
            </w14:solidFill>
          </w14:textFill>
        </w:rPr>
        <w:t>1</w:t>
      </w:r>
      <w:r>
        <w:rPr>
          <w:bCs/>
          <w:color w:val="000000" w:themeColor="text1"/>
          <w:szCs w:val="24"/>
          <w14:textFill>
            <w14:solidFill>
              <w14:schemeClr w14:val="tx1"/>
            </w14:solidFill>
          </w14:textFill>
        </w:rPr>
        <w:t>a</w:t>
      </w:r>
      <w:r>
        <w:rPr>
          <w:rFonts w:hint="eastAsia"/>
          <w:bCs/>
          <w:color w:val="000000" w:themeColor="text1"/>
          <w:szCs w:val="24"/>
          <w14:textFill>
            <w14:solidFill>
              <w14:schemeClr w14:val="tx1"/>
            </w14:solidFill>
          </w14:textFill>
        </w:rPr>
        <w:t>）；</w:t>
      </w:r>
    </w:p>
    <w:p>
      <w:pPr>
        <w:spacing w:line="360" w:lineRule="auto"/>
        <w:ind w:left="1050" w:leftChars="400" w:hanging="210" w:hangingChars="100"/>
        <w:rPr>
          <w:bCs/>
          <w:color w:val="000000" w:themeColor="text1"/>
          <w:szCs w:val="24"/>
          <w14:textFill>
            <w14:solidFill>
              <w14:schemeClr w14:val="tx1"/>
            </w14:solidFill>
          </w14:textFill>
        </w:rPr>
      </w:pPr>
      <w:r>
        <w:rPr>
          <w:bCs/>
          <w:color w:val="000000" w:themeColor="text1"/>
          <w:szCs w:val="24"/>
          <w14:textFill>
            <w14:solidFill>
              <w14:schemeClr w14:val="tx1"/>
            </w14:solidFill>
          </w14:textFill>
        </w:rPr>
        <w:t>3</w:t>
      </w:r>
      <w:r>
        <w:rPr>
          <w:rFonts w:hint="eastAsia"/>
          <w:bCs/>
          <w:color w:val="000000" w:themeColor="text1"/>
          <w:szCs w:val="24"/>
          <w14:textFill>
            <w14:solidFill>
              <w14:schemeClr w14:val="tx1"/>
            </w14:solidFill>
          </w14:textFill>
        </w:rPr>
        <w:t>）梁端高度超过</w:t>
      </w:r>
      <w:r>
        <w:rPr>
          <w:bCs/>
          <w:color w:val="000000" w:themeColor="text1"/>
          <w:szCs w:val="24"/>
          <w14:textFill>
            <w14:solidFill>
              <w14:schemeClr w14:val="tx1"/>
            </w14:solidFill>
          </w14:textFill>
        </w:rPr>
        <w:t>1500mm</w:t>
      </w:r>
      <w:r>
        <w:rPr>
          <w:rFonts w:hint="eastAsia"/>
          <w:bCs/>
          <w:color w:val="000000" w:themeColor="text1"/>
          <w:szCs w:val="24"/>
          <w14:textFill>
            <w14:solidFill>
              <w14:schemeClr w14:val="tx1"/>
            </w14:solidFill>
          </w14:textFill>
        </w:rPr>
        <w:t>时，屋盖横梁上下弦（或上下翼缘）标高处各设置一根系杆（图10.5</w:t>
      </w:r>
      <w:r>
        <w:rPr>
          <w:bCs/>
          <w:color w:val="000000" w:themeColor="text1"/>
          <w:szCs w:val="24"/>
          <w14:textFill>
            <w14:solidFill>
              <w14:schemeClr w14:val="tx1"/>
            </w14:solidFill>
          </w14:textFill>
        </w:rPr>
        <w:t>.5-</w:t>
      </w:r>
      <w:r>
        <w:rPr>
          <w:rFonts w:hint="eastAsia"/>
          <w:bCs/>
          <w:color w:val="000000" w:themeColor="text1"/>
          <w:szCs w:val="24"/>
          <w14:textFill>
            <w14:solidFill>
              <w14:schemeClr w14:val="tx1"/>
            </w14:solidFill>
          </w14:textFill>
        </w:rPr>
        <w:t>1</w:t>
      </w:r>
      <w:r>
        <w:rPr>
          <w:bCs/>
          <w:color w:val="000000" w:themeColor="text1"/>
          <w:szCs w:val="24"/>
          <w14:textFill>
            <w14:solidFill>
              <w14:schemeClr w14:val="tx1"/>
            </w14:solidFill>
          </w14:textFill>
        </w:rPr>
        <w:t>b</w:t>
      </w:r>
      <w:r>
        <w:rPr>
          <w:rFonts w:hint="eastAsia"/>
          <w:bCs/>
          <w:color w:val="000000" w:themeColor="text1"/>
          <w:szCs w:val="24"/>
          <w14:textFill>
            <w14:solidFill>
              <w14:schemeClr w14:val="tx1"/>
            </w14:solidFill>
          </w14:textFill>
        </w:rPr>
        <w:t>）。</w:t>
      </w:r>
    </w:p>
    <w:p>
      <w:pPr>
        <w:spacing w:line="360" w:lineRule="auto"/>
        <w:ind w:firstLine="420"/>
        <w:rPr>
          <w:bCs/>
          <w:color w:val="000000" w:themeColor="text1"/>
          <w:szCs w:val="24"/>
          <w14:textFill>
            <w14:solidFill>
              <w14:schemeClr w14:val="tx1"/>
            </w14:solidFill>
          </w14:textFill>
        </w:rPr>
      </w:pPr>
      <w:r>
        <w:rPr>
          <w:bCs/>
          <w:color w:val="000000" w:themeColor="text1"/>
          <w14:textFill>
            <w14:solidFill>
              <w14:schemeClr w14:val="tx1"/>
            </w14:solidFill>
          </w14:textFill>
        </w:rPr>
        <w:drawing>
          <wp:inline distT="0" distB="0" distL="0" distR="0">
            <wp:extent cx="4438650" cy="116205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4438650" cy="1162050"/>
                    </a:xfrm>
                    <a:prstGeom prst="rect">
                      <a:avLst/>
                    </a:prstGeom>
                    <a:noFill/>
                    <a:ln>
                      <a:noFill/>
                    </a:ln>
                  </pic:spPr>
                </pic:pic>
              </a:graphicData>
            </a:graphic>
          </wp:inline>
        </w:drawing>
      </w:r>
    </w:p>
    <w:p>
      <w:pPr>
        <w:spacing w:line="360" w:lineRule="auto"/>
        <w:ind w:firstLine="360"/>
        <w:jc w:val="left"/>
        <w:rPr>
          <w:bCs/>
          <w:color w:val="000000" w:themeColor="text1"/>
          <w:sz w:val="18"/>
          <w:szCs w:val="24"/>
          <w14:textFill>
            <w14:solidFill>
              <w14:schemeClr w14:val="tx1"/>
            </w14:solidFill>
          </w14:textFill>
        </w:rPr>
      </w:pPr>
      <w:r>
        <w:rPr>
          <w:bCs/>
          <w:color w:val="000000" w:themeColor="text1"/>
          <w:sz w:val="18"/>
          <w:szCs w:val="24"/>
          <w14:textFill>
            <w14:solidFill>
              <w14:schemeClr w14:val="tx1"/>
            </w14:solidFill>
          </w14:textFill>
        </w:rPr>
        <w:t xml:space="preserve">     </w:t>
      </w:r>
      <w:r>
        <w:rPr>
          <w:rFonts w:hint="eastAsia"/>
          <w:bCs/>
          <w:color w:val="000000" w:themeColor="text1"/>
          <w:sz w:val="18"/>
          <w:szCs w:val="24"/>
          <w14:textFill>
            <w14:solidFill>
              <w14:schemeClr w14:val="tx1"/>
            </w14:solidFill>
          </w14:textFill>
        </w:rPr>
        <w:t>（</w:t>
      </w:r>
      <w:r>
        <w:rPr>
          <w:bCs/>
          <w:color w:val="000000" w:themeColor="text1"/>
          <w:sz w:val="18"/>
          <w:szCs w:val="24"/>
          <w14:textFill>
            <w14:solidFill>
              <w14:schemeClr w14:val="tx1"/>
            </w14:solidFill>
          </w14:textFill>
        </w:rPr>
        <w:t>a</w:t>
      </w:r>
      <w:r>
        <w:rPr>
          <w:rFonts w:hint="eastAsia"/>
          <w:bCs/>
          <w:color w:val="000000" w:themeColor="text1"/>
          <w:sz w:val="18"/>
          <w:szCs w:val="24"/>
          <w14:textFill>
            <w14:solidFill>
              <w14:schemeClr w14:val="tx1"/>
            </w14:solidFill>
          </w14:textFill>
        </w:rPr>
        <w:t>）柱顶一根受压系杆伸出隅撑构造</w:t>
      </w:r>
      <w:r>
        <w:rPr>
          <w:bCs/>
          <w:color w:val="000000" w:themeColor="text1"/>
          <w:sz w:val="18"/>
          <w:szCs w:val="24"/>
          <w14:textFill>
            <w14:solidFill>
              <w14:schemeClr w14:val="tx1"/>
            </w14:solidFill>
          </w14:textFill>
        </w:rPr>
        <w:t xml:space="preserve">                     </w:t>
      </w:r>
      <w:r>
        <w:rPr>
          <w:rFonts w:hint="eastAsia"/>
          <w:bCs/>
          <w:color w:val="000000" w:themeColor="text1"/>
          <w:sz w:val="18"/>
          <w:szCs w:val="24"/>
          <w14:textFill>
            <w14:solidFill>
              <w14:schemeClr w14:val="tx1"/>
            </w14:solidFill>
          </w14:textFill>
        </w:rPr>
        <w:t>（</w:t>
      </w:r>
      <w:r>
        <w:rPr>
          <w:bCs/>
          <w:color w:val="000000" w:themeColor="text1"/>
          <w:sz w:val="18"/>
          <w:szCs w:val="24"/>
          <w14:textFill>
            <w14:solidFill>
              <w14:schemeClr w14:val="tx1"/>
            </w14:solidFill>
          </w14:textFill>
        </w:rPr>
        <w:t>b</w:t>
      </w:r>
      <w:r>
        <w:rPr>
          <w:rFonts w:hint="eastAsia"/>
          <w:bCs/>
          <w:color w:val="000000" w:themeColor="text1"/>
          <w:sz w:val="18"/>
          <w:szCs w:val="24"/>
          <w14:textFill>
            <w14:solidFill>
              <w14:schemeClr w14:val="tx1"/>
            </w14:solidFill>
          </w14:textFill>
        </w:rPr>
        <w:t>）柱顶两根受压系杆</w:t>
      </w:r>
    </w:p>
    <w:p>
      <w:pPr>
        <w:spacing w:line="360" w:lineRule="auto"/>
        <w:ind w:firstLine="360"/>
        <w:jc w:val="center"/>
        <w:rPr>
          <w:bCs/>
          <w:color w:val="000000" w:themeColor="text1"/>
          <w:sz w:val="18"/>
          <w:szCs w:val="24"/>
          <w14:textFill>
            <w14:solidFill>
              <w14:schemeClr w14:val="tx1"/>
            </w14:solidFill>
          </w14:textFill>
        </w:rPr>
      </w:pPr>
      <w:r>
        <w:rPr>
          <w:rFonts w:hint="eastAsia"/>
          <w:bCs/>
          <w:color w:val="000000" w:themeColor="text1"/>
          <w:sz w:val="18"/>
          <w:szCs w:val="24"/>
          <w14:textFill>
            <w14:solidFill>
              <w14:schemeClr w14:val="tx1"/>
            </w14:solidFill>
          </w14:textFill>
        </w:rPr>
        <w:t>图10.5.5</w:t>
      </w:r>
      <w:r>
        <w:rPr>
          <w:bCs/>
          <w:color w:val="000000" w:themeColor="text1"/>
          <w:sz w:val="18"/>
          <w:szCs w:val="24"/>
          <w14:textFill>
            <w14:solidFill>
              <w14:schemeClr w14:val="tx1"/>
            </w14:solidFill>
          </w14:textFill>
        </w:rPr>
        <w:t>-</w:t>
      </w:r>
      <w:r>
        <w:rPr>
          <w:rFonts w:hint="eastAsia"/>
          <w:bCs/>
          <w:color w:val="000000" w:themeColor="text1"/>
          <w:sz w:val="18"/>
          <w:szCs w:val="24"/>
          <w14:textFill>
            <w14:solidFill>
              <w14:schemeClr w14:val="tx1"/>
            </w14:solidFill>
          </w14:textFill>
        </w:rPr>
        <w:t>1</w:t>
      </w:r>
      <w:r>
        <w:rPr>
          <w:bCs/>
          <w:color w:val="000000" w:themeColor="text1"/>
          <w:sz w:val="18"/>
          <w:szCs w:val="24"/>
          <w14:textFill>
            <w14:solidFill>
              <w14:schemeClr w14:val="tx1"/>
            </w14:solidFill>
          </w14:textFill>
        </w:rPr>
        <w:t xml:space="preserve"> </w:t>
      </w:r>
      <w:r>
        <w:rPr>
          <w:rFonts w:hint="eastAsia"/>
          <w:bCs/>
          <w:color w:val="000000" w:themeColor="text1"/>
          <w:sz w:val="18"/>
          <w:szCs w:val="24"/>
          <w14:textFill>
            <w14:solidFill>
              <w14:schemeClr w14:val="tx1"/>
            </w14:solidFill>
          </w14:textFill>
        </w:rPr>
        <w:t>柱顶受压系杆</w:t>
      </w:r>
    </w:p>
    <w:p>
      <w:pPr>
        <w:spacing w:line="380" w:lineRule="exact"/>
        <w:ind w:left="1050" w:leftChars="400" w:hanging="210" w:hangingChars="100"/>
        <w:rPr>
          <w:bCs/>
          <w:color w:val="000000" w:themeColor="text1"/>
          <w:szCs w:val="24"/>
          <w14:textFill>
            <w14:solidFill>
              <w14:schemeClr w14:val="tx1"/>
            </w14:solidFill>
          </w14:textFill>
        </w:rPr>
      </w:pPr>
      <w:r>
        <w:rPr>
          <w:bCs/>
          <w:color w:val="000000" w:themeColor="text1"/>
          <w14:textFill>
            <w14:solidFill>
              <w14:schemeClr w14:val="tx1"/>
            </w14:solidFill>
          </w14:textFill>
        </w:rPr>
        <w:t>4</w:t>
      </w:r>
      <w:r>
        <w:rPr>
          <w:rFonts w:hint="eastAsia"/>
          <w:bCs/>
          <w:color w:val="000000" w:themeColor="text1"/>
          <w14:textFill>
            <w14:solidFill>
              <w14:schemeClr w14:val="tx1"/>
            </w14:solidFill>
          </w14:textFill>
        </w:rPr>
        <w:t>）柱顶</w:t>
      </w:r>
      <w:r>
        <w:rPr>
          <w:rFonts w:hint="eastAsia"/>
          <w:bCs/>
          <w:color w:val="000000" w:themeColor="text1"/>
          <w:szCs w:val="21"/>
          <w14:textFill>
            <w14:solidFill>
              <w14:schemeClr w14:val="tx1"/>
            </w14:solidFill>
          </w14:textFill>
        </w:rPr>
        <w:t>系杆可与屋</w:t>
      </w:r>
      <w:r>
        <w:rPr>
          <w:rFonts w:hint="eastAsia"/>
          <w:bCs/>
          <w:color w:val="000000" w:themeColor="text1"/>
          <w:szCs w:val="24"/>
          <w14:textFill>
            <w14:solidFill>
              <w14:schemeClr w14:val="tx1"/>
            </w14:solidFill>
          </w14:textFill>
        </w:rPr>
        <w:t>盖</w:t>
      </w:r>
      <w:r>
        <w:rPr>
          <w:rFonts w:hint="eastAsia"/>
          <w:bCs/>
          <w:color w:val="000000" w:themeColor="text1"/>
          <w:szCs w:val="21"/>
          <w14:textFill>
            <w14:solidFill>
              <w14:schemeClr w14:val="tx1"/>
            </w14:solidFill>
          </w14:textFill>
        </w:rPr>
        <w:t>横梁端部系杆合并设置；</w:t>
      </w:r>
      <w:r>
        <w:rPr>
          <w:rFonts w:hint="eastAsia"/>
          <w:bCs/>
          <w:color w:val="000000" w:themeColor="text1"/>
          <w:szCs w:val="24"/>
          <w14:textFill>
            <w14:solidFill>
              <w14:schemeClr w14:val="tx1"/>
            </w14:solidFill>
          </w14:textFill>
        </w:rPr>
        <w:t>梁端截面高度大时，柱顶系杆也可采用下弦支承在屋面梁下翼缘平面，上弦利用屋面檩条的竖向桁架。</w:t>
      </w:r>
    </w:p>
    <w:p>
      <w:pPr>
        <w:spacing w:line="380" w:lineRule="exact"/>
        <w:ind w:left="1050" w:leftChars="400" w:hanging="210" w:hangingChars="100"/>
        <w:rPr>
          <w:bCs/>
          <w:color w:val="000000" w:themeColor="text1"/>
          <w:szCs w:val="20"/>
          <w14:textFill>
            <w14:solidFill>
              <w14:schemeClr w14:val="tx1"/>
            </w14:solidFill>
          </w14:textFill>
        </w:rPr>
      </w:pPr>
      <w:r>
        <w:rPr>
          <w:bCs/>
          <w:color w:val="000000" w:themeColor="text1"/>
          <w:szCs w:val="21"/>
          <w14:textFill>
            <w14:solidFill>
              <w14:schemeClr w14:val="tx1"/>
            </w14:solidFill>
          </w14:textFill>
        </w:rPr>
        <w:t>5</w:t>
      </w:r>
      <w:r>
        <w:rPr>
          <w:rFonts w:hint="eastAsia"/>
          <w:bCs/>
          <w:color w:val="000000" w:themeColor="text1"/>
          <w:szCs w:val="21"/>
          <w14:textFill>
            <w14:solidFill>
              <w14:schemeClr w14:val="tx1"/>
            </w14:solidFill>
          </w14:textFill>
        </w:rPr>
        <w:t>）</w:t>
      </w:r>
      <w:r>
        <w:rPr>
          <w:rFonts w:hint="eastAsia"/>
          <w:bCs/>
          <w:color w:val="000000" w:themeColor="text1"/>
          <w14:textFill>
            <w14:solidFill>
              <w14:schemeClr w14:val="tx1"/>
            </w14:solidFill>
          </w14:textFill>
        </w:rPr>
        <w:t>柱间支撑开间，</w:t>
      </w:r>
      <w:r>
        <w:rPr>
          <w:bCs/>
          <w:color w:val="000000" w:themeColor="text1"/>
          <w14:textFill>
            <w14:solidFill>
              <w14:schemeClr w14:val="tx1"/>
            </w14:solidFill>
          </w14:textFill>
        </w:rPr>
        <w:t>Λ</w:t>
      </w:r>
      <w:r>
        <w:rPr>
          <w:rFonts w:hint="eastAsia"/>
          <w:bCs/>
          <w:color w:val="000000" w:themeColor="text1"/>
          <w14:textFill>
            <w14:solidFill>
              <w14:schemeClr w14:val="tx1"/>
            </w14:solidFill>
          </w14:textFill>
        </w:rPr>
        <w:t>形支撑的尖顶横梁宜</w:t>
      </w:r>
      <w:r>
        <w:rPr>
          <w:rFonts w:hint="eastAsia"/>
          <w:bCs/>
          <w:color w:val="000000" w:themeColor="text1"/>
          <w:szCs w:val="24"/>
          <w14:textFill>
            <w14:solidFill>
              <w14:schemeClr w14:val="tx1"/>
            </w14:solidFill>
          </w14:textFill>
        </w:rPr>
        <w:t>采用</w:t>
      </w:r>
      <w:r>
        <w:rPr>
          <w:rFonts w:hint="eastAsia"/>
          <w:bCs/>
          <w:color w:val="000000" w:themeColor="text1"/>
          <w14:textFill>
            <w14:solidFill>
              <w14:schemeClr w14:val="tx1"/>
            </w14:solidFill>
          </w14:textFill>
        </w:rPr>
        <w:t>竖向支撑形式，并可与屋盖系统的竖向支撑合并。</w:t>
      </w:r>
    </w:p>
    <w:p>
      <w:pPr>
        <w:spacing w:line="380" w:lineRule="exact"/>
        <w:ind w:firstLine="409" w:firstLineChars="195"/>
        <w:rPr>
          <w:bCs/>
          <w:color w:val="000000" w:themeColor="text1"/>
          <w14:textFill>
            <w14:solidFill>
              <w14:schemeClr w14:val="tx1"/>
            </w14:solidFill>
          </w14:textFill>
        </w:rPr>
      </w:pPr>
      <w:r>
        <w:rPr>
          <w:bCs/>
          <w:color w:val="000000" w:themeColor="text1"/>
          <w14:textFill>
            <w14:solidFill>
              <w14:schemeClr w14:val="tx1"/>
            </w14:solidFill>
          </w14:textFill>
        </w:rPr>
        <w:t>3</w:t>
      </w:r>
      <w:r>
        <w:rPr>
          <w:rFonts w:hint="eastAsia"/>
          <w:bCs/>
          <w:color w:val="000000" w:themeColor="text1"/>
          <w14:textFill>
            <w14:solidFill>
              <w14:schemeClr w14:val="tx1"/>
            </w14:solidFill>
          </w14:textFill>
        </w:rPr>
        <w:t xml:space="preserve"> 弹性结构</w:t>
      </w:r>
      <w:r>
        <w:rPr>
          <w:bCs/>
          <w:color w:val="000000" w:themeColor="text1"/>
          <w14:textFill>
            <w14:solidFill>
              <w14:schemeClr w14:val="tx1"/>
            </w14:solidFill>
          </w14:textFill>
        </w:rPr>
        <w:t>ES2</w:t>
      </w:r>
      <w:r>
        <w:rPr>
          <w:rFonts w:hint="eastAsia"/>
          <w:bCs/>
          <w:color w:val="000000" w:themeColor="text1"/>
          <w14:textFill>
            <w14:solidFill>
              <w14:schemeClr w14:val="tx1"/>
            </w14:solidFill>
          </w14:textFill>
        </w:rPr>
        <w:t xml:space="preserve">刚架的柱顶受压系杆，可参照上述 </w:t>
      </w:r>
      <w:r>
        <w:rPr>
          <w:bCs/>
          <w:color w:val="000000" w:themeColor="text1"/>
          <w14:textFill>
            <w14:solidFill>
              <w14:schemeClr w14:val="tx1"/>
            </w14:solidFill>
          </w14:textFill>
        </w:rPr>
        <w:t>1</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2</w:t>
      </w:r>
      <w:r>
        <w:rPr>
          <w:rFonts w:hint="eastAsia"/>
          <w:bCs/>
          <w:color w:val="000000" w:themeColor="text1"/>
          <w14:textFill>
            <w14:solidFill>
              <w14:schemeClr w14:val="tx1"/>
            </w14:solidFill>
          </w14:textFill>
        </w:rPr>
        <w:t>的要求设置。</w:t>
      </w:r>
    </w:p>
    <w:p>
      <w:pPr>
        <w:spacing w:line="380" w:lineRule="exac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5</w:t>
      </w:r>
      <w:r>
        <w:rPr>
          <w:rFonts w:hint="eastAsia"/>
          <w:bCs/>
          <w:color w:val="000000" w:themeColor="text1"/>
          <w:szCs w:val="21"/>
          <w14:textFill>
            <w14:solidFill>
              <w14:schemeClr w14:val="tx1"/>
            </w14:solidFill>
          </w14:textFill>
        </w:rPr>
        <w:t>.6</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弹性结构</w:t>
      </w:r>
      <w:r>
        <w:rPr>
          <w:bCs/>
          <w:color w:val="000000" w:themeColor="text1"/>
          <w:szCs w:val="21"/>
          <w14:textFill>
            <w14:solidFill>
              <w14:schemeClr w14:val="tx1"/>
            </w14:solidFill>
          </w14:textFill>
        </w:rPr>
        <w:t>ES1</w:t>
      </w:r>
      <w:r>
        <w:rPr>
          <w:rFonts w:hint="eastAsia"/>
          <w:bCs/>
          <w:color w:val="000000" w:themeColor="text1"/>
          <w:szCs w:val="21"/>
          <w14:textFill>
            <w14:solidFill>
              <w14:schemeClr w14:val="tx1"/>
            </w14:solidFill>
          </w14:textFill>
        </w:rPr>
        <w:t>、弹塑性结构厂房的柱间支撑连接节点，应符合下列要求：</w:t>
      </w:r>
    </w:p>
    <w:p>
      <w:pPr>
        <w:spacing w:line="380" w:lineRule="exact"/>
        <w:ind w:firstLine="409" w:firstLineChars="1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柱间支撑与框架的连接、支撑构件拼接的应符合本标准第9.2.9条的规定。</w:t>
      </w:r>
    </w:p>
    <w:p>
      <w:pPr>
        <w:spacing w:line="380" w:lineRule="exact"/>
        <w:ind w:firstLine="409" w:firstLineChars="1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t xml:space="preserve"> X</w:t>
      </w:r>
      <w:r>
        <w:rPr>
          <w:rFonts w:hint="eastAsia"/>
          <w:bCs/>
          <w:color w:val="000000" w:themeColor="text1"/>
          <w:szCs w:val="21"/>
          <w14:textFill>
            <w14:solidFill>
              <w14:schemeClr w14:val="tx1"/>
            </w14:solidFill>
          </w14:textFill>
        </w:rPr>
        <w:t>形支撑杆端的连接，单角钢支撑应计入强度折减，不宜采用单面偏心连接。</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t xml:space="preserve"> X</w:t>
      </w:r>
      <w:r>
        <w:rPr>
          <w:rFonts w:hint="eastAsia"/>
          <w:bCs/>
          <w:color w:val="000000" w:themeColor="text1"/>
          <w:szCs w:val="21"/>
          <w14:textFill>
            <w14:solidFill>
              <w14:schemeClr w14:val="tx1"/>
            </w14:solidFill>
          </w14:textFill>
        </w:rPr>
        <w:t>形支撑有一杆中断时，交叉节点板验算截面的屈服承载力、支撑杆与交叉节点板连接的极限承载力，不得小于支撑杆塑性承载力的</w:t>
      </w:r>
      <w:r>
        <w:rPr>
          <w:bCs/>
          <w:color w:val="000000" w:themeColor="text1"/>
          <w:szCs w:val="21"/>
          <w14:textFill>
            <w14:solidFill>
              <w14:schemeClr w14:val="tx1"/>
            </w14:solidFill>
          </w14:textFill>
        </w:rPr>
        <w:t>1.25</w:t>
      </w:r>
      <w:r>
        <w:rPr>
          <w:rFonts w:hint="eastAsia"/>
          <w:bCs/>
          <w:color w:val="000000" w:themeColor="text1"/>
          <w:szCs w:val="21"/>
          <w14:textFill>
            <w14:solidFill>
              <w14:schemeClr w14:val="tx1"/>
            </w14:solidFill>
          </w14:textFill>
        </w:rPr>
        <w:t>倍。</w:t>
      </w:r>
    </w:p>
    <w:p>
      <w:pPr>
        <w:spacing w:line="360" w:lineRule="exact"/>
        <w:ind w:firstLine="420"/>
        <w:rPr>
          <w:bCs/>
          <w:color w:val="000000" w:themeColor="text1"/>
          <w:sz w:val="24"/>
          <w:szCs w:val="20"/>
          <w14:textFill>
            <w14:solidFill>
              <w14:schemeClr w14:val="tx1"/>
            </w14:solidFill>
          </w14:textFill>
        </w:rPr>
      </w:pPr>
      <w:r>
        <w:rPr>
          <w:color w:val="000000" w:themeColor="text1"/>
          <w:szCs w:val="20"/>
          <w14:textFill>
            <w14:solidFill>
              <w14:schemeClr w14:val="tx1"/>
            </w14:solidFill>
          </w14:textFill>
        </w:rPr>
        <w:drawing>
          <wp:anchor distT="0" distB="0" distL="114300" distR="114300" simplePos="0" relativeHeight="251636736" behindDoc="0" locked="0" layoutInCell="1" allowOverlap="1">
            <wp:simplePos x="0" y="0"/>
            <wp:positionH relativeFrom="column">
              <wp:posOffset>1852295</wp:posOffset>
            </wp:positionH>
            <wp:positionV relativeFrom="paragraph">
              <wp:posOffset>5715</wp:posOffset>
            </wp:positionV>
            <wp:extent cx="909955" cy="1062990"/>
            <wp:effectExtent l="0" t="0" r="4445" b="3810"/>
            <wp:wrapSquare wrapText="bothSides"/>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909955" cy="1062990"/>
                    </a:xfrm>
                    <a:prstGeom prst="rect">
                      <a:avLst/>
                    </a:prstGeom>
                    <a:noFill/>
                  </pic:spPr>
                </pic:pic>
              </a:graphicData>
            </a:graphic>
          </wp:anchor>
        </w:drawing>
      </w:r>
    </w:p>
    <w:p>
      <w:pPr>
        <w:spacing w:line="360" w:lineRule="exact"/>
        <w:ind w:firstLine="480"/>
        <w:rPr>
          <w:bCs/>
          <w:color w:val="000000" w:themeColor="text1"/>
          <w:sz w:val="24"/>
          <w14:textFill>
            <w14:solidFill>
              <w14:schemeClr w14:val="tx1"/>
            </w14:solidFill>
          </w14:textFill>
        </w:rPr>
      </w:pPr>
    </w:p>
    <w:p>
      <w:pPr>
        <w:spacing w:line="360" w:lineRule="exact"/>
        <w:ind w:firstLine="480"/>
        <w:rPr>
          <w:bCs/>
          <w:color w:val="000000" w:themeColor="text1"/>
          <w:sz w:val="24"/>
          <w14:textFill>
            <w14:solidFill>
              <w14:schemeClr w14:val="tx1"/>
            </w14:solidFill>
          </w14:textFill>
        </w:rPr>
      </w:pPr>
    </w:p>
    <w:p>
      <w:pPr>
        <w:spacing w:line="360" w:lineRule="exact"/>
        <w:ind w:firstLine="480"/>
        <w:rPr>
          <w:bCs/>
          <w:color w:val="000000" w:themeColor="text1"/>
          <w:sz w:val="24"/>
          <w14:textFill>
            <w14:solidFill>
              <w14:schemeClr w14:val="tx1"/>
            </w14:solidFill>
          </w14:textFill>
        </w:rPr>
      </w:pPr>
    </w:p>
    <w:p>
      <w:pPr>
        <w:spacing w:line="360" w:lineRule="exact"/>
        <w:ind w:firstLine="480"/>
        <w:rPr>
          <w:bCs/>
          <w:color w:val="000000" w:themeColor="text1"/>
          <w:sz w:val="24"/>
          <w14:textFill>
            <w14:solidFill>
              <w14:schemeClr w14:val="tx1"/>
            </w14:solidFill>
          </w14:textFill>
        </w:rPr>
      </w:pPr>
    </w:p>
    <w:p>
      <w:pPr>
        <w:widowControl/>
        <w:spacing w:before="156" w:beforeLines="50" w:line="360" w:lineRule="auto"/>
        <w:ind w:firstLine="0" w:firstLineChars="0"/>
        <w:jc w:val="center"/>
        <w:rPr>
          <w:rFonts w:cs="Times New Roman"/>
          <w:bCs/>
          <w:snapToGrid w:val="0"/>
          <w:color w:val="000000" w:themeColor="text1"/>
          <w:kern w:val="0"/>
          <w:sz w:val="18"/>
          <w:szCs w:val="24"/>
          <w14:textFill>
            <w14:solidFill>
              <w14:schemeClr w14:val="tx1"/>
            </w14:solidFill>
          </w14:textFill>
        </w:rPr>
      </w:pPr>
      <w:r>
        <w:rPr>
          <w:rFonts w:hint="eastAsia" w:cs="Times New Roman"/>
          <w:bCs/>
          <w:snapToGrid w:val="0"/>
          <w:color w:val="000000" w:themeColor="text1"/>
          <w:kern w:val="0"/>
          <w:sz w:val="18"/>
          <w:szCs w:val="21"/>
          <w14:textFill>
            <w14:solidFill>
              <w14:schemeClr w14:val="tx1"/>
            </w14:solidFill>
          </w14:textFill>
        </w:rPr>
        <w:t>图</w:t>
      </w:r>
      <w:r>
        <w:rPr>
          <w:rFonts w:cs="Times New Roman"/>
          <w:bCs/>
          <w:snapToGrid w:val="0"/>
          <w:color w:val="000000" w:themeColor="text1"/>
          <w:kern w:val="0"/>
          <w:sz w:val="18"/>
          <w:szCs w:val="21"/>
          <w14:textFill>
            <w14:solidFill>
              <w14:schemeClr w14:val="tx1"/>
            </w14:solidFill>
          </w14:textFill>
        </w:rPr>
        <w:t xml:space="preserve">7.3.5-3  </w:t>
      </w:r>
      <w:r>
        <w:rPr>
          <w:rFonts w:hint="eastAsia" w:cs="Times New Roman"/>
          <w:bCs/>
          <w:snapToGrid w:val="0"/>
          <w:color w:val="000000" w:themeColor="text1"/>
          <w:kern w:val="0"/>
          <w:sz w:val="18"/>
          <w:szCs w:val="21"/>
          <w14:textFill>
            <w14:solidFill>
              <w14:schemeClr w14:val="tx1"/>
            </w14:solidFill>
          </w14:textFill>
        </w:rPr>
        <w:t>交叉节点板的验算截面</w:t>
      </w:r>
    </w:p>
    <w:p>
      <w:pPr>
        <w:spacing w:line="360" w:lineRule="auto"/>
        <w:ind w:firstLine="409" w:firstLineChars="195"/>
        <w:rPr>
          <w:bCs/>
          <w:color w:val="000000" w:themeColor="text1"/>
          <w:sz w:val="24"/>
          <w14:textFill>
            <w14:solidFill>
              <w14:schemeClr w14:val="tx1"/>
            </w14:solidFill>
          </w14:textFill>
        </w:rPr>
      </w:pP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 xml:space="preserve"> 支撑杆端连接焊缝的重心宜与杆件重心重合。</w:t>
      </w:r>
    </w:p>
    <w:p>
      <w:pPr>
        <w:spacing w:line="360" w:lineRule="auto"/>
        <w:ind w:firstLine="420"/>
        <w:rPr>
          <w:bCs/>
          <w:color w:val="000000" w:themeColor="text1"/>
          <w14:textFill>
            <w14:solidFill>
              <w14:schemeClr w14:val="tx1"/>
            </w14:solidFill>
          </w14:textFill>
        </w:rPr>
      </w:pPr>
      <w:r>
        <w:rPr>
          <w:bCs/>
          <w:color w:val="000000" w:themeColor="text1"/>
          <w14:textFill>
            <w14:solidFill>
              <w14:schemeClr w14:val="tx1"/>
            </w14:solidFill>
          </w14:textFill>
        </w:rPr>
        <w:t>5</w:t>
      </w:r>
      <w:r>
        <w:rPr>
          <w:rFonts w:hint="eastAsia"/>
          <w:bCs/>
          <w:color w:val="000000" w:themeColor="text1"/>
          <w14:textFill>
            <w14:solidFill>
              <w14:schemeClr w14:val="tx1"/>
            </w14:solidFill>
          </w14:textFill>
        </w:rPr>
        <w:t xml:space="preserve"> 钢管支撑与钢柱的汇交节点、</w:t>
      </w:r>
      <w:r>
        <w:rPr>
          <w:bCs/>
          <w:color w:val="000000" w:themeColor="text1"/>
          <w14:textFill>
            <w14:solidFill>
              <w14:schemeClr w14:val="tx1"/>
            </w14:solidFill>
          </w14:textFill>
        </w:rPr>
        <w:t>X</w:t>
      </w:r>
      <w:r>
        <w:rPr>
          <w:rFonts w:hint="eastAsia"/>
          <w:bCs/>
          <w:color w:val="000000" w:themeColor="text1"/>
          <w14:textFill>
            <w14:solidFill>
              <w14:schemeClr w14:val="tx1"/>
            </w14:solidFill>
          </w14:textFill>
        </w:rPr>
        <w:t>形支撑的交叉节点，其相贯节点应采用节点板补强，补强后的相贯节点应采用表9.2.8-1的连接系数进行极限承载力验算。</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10.5.7</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弹性结构</w:t>
      </w:r>
      <w:r>
        <w:rPr>
          <w:bCs/>
          <w:color w:val="000000" w:themeColor="text1"/>
          <w:szCs w:val="21"/>
          <w14:textFill>
            <w14:solidFill>
              <w14:schemeClr w14:val="tx1"/>
            </w14:solidFill>
          </w14:textFill>
        </w:rPr>
        <w:t>ES2</w:t>
      </w:r>
      <w:r>
        <w:rPr>
          <w:rFonts w:hint="eastAsia"/>
          <w:bCs/>
          <w:color w:val="000000" w:themeColor="text1"/>
          <w:szCs w:val="21"/>
          <w14:textFill>
            <w14:solidFill>
              <w14:schemeClr w14:val="tx1"/>
            </w14:solidFill>
          </w14:textFill>
        </w:rPr>
        <w:t>，可采用圆钢、钢索、型钢</w:t>
      </w:r>
      <w:r>
        <w:rPr>
          <w:bCs/>
          <w:color w:val="000000" w:themeColor="text1"/>
          <w:szCs w:val="21"/>
          <w14:textFill>
            <w14:solidFill>
              <w14:schemeClr w14:val="tx1"/>
            </w14:solidFill>
          </w14:textFill>
        </w:rPr>
        <w:t>X</w:t>
      </w:r>
      <w:r>
        <w:rPr>
          <w:rFonts w:hint="eastAsia"/>
          <w:bCs/>
          <w:color w:val="000000" w:themeColor="text1"/>
          <w:szCs w:val="21"/>
          <w14:textFill>
            <w14:solidFill>
              <w14:schemeClr w14:val="tx1"/>
            </w14:solidFill>
          </w14:textFill>
        </w:rPr>
        <w:t>形柱间支撑，其连接节点，宜采用性能系数</w:t>
      </w:r>
      <w:r>
        <w:rPr>
          <w:bCs/>
          <w:color w:val="000000" w:themeColor="text1"/>
          <w:szCs w:val="21"/>
          <w14:textFill>
            <w14:solidFill>
              <w14:schemeClr w14:val="tx1"/>
            </w14:solidFill>
          </w14:textFill>
        </w:rPr>
        <w:t>q</w:t>
      </w: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的计算内力组合，按现行国家标准《门式刚架轻型房屋钢结构技术规范》</w:t>
      </w:r>
      <w:r>
        <w:rPr>
          <w:bCs/>
          <w:color w:val="000000" w:themeColor="text1"/>
          <w:szCs w:val="21"/>
          <w14:textFill>
            <w14:solidFill>
              <w14:schemeClr w14:val="tx1"/>
            </w14:solidFill>
          </w14:textFill>
        </w:rPr>
        <w:t>GB51022</w:t>
      </w:r>
      <w:r>
        <w:rPr>
          <w:rFonts w:hint="eastAsia"/>
          <w:bCs/>
          <w:color w:val="000000" w:themeColor="text1"/>
          <w:szCs w:val="21"/>
          <w14:textFill>
            <w14:solidFill>
              <w14:schemeClr w14:val="tx1"/>
            </w14:solidFill>
          </w14:textFill>
        </w:rPr>
        <w:t>进行弹性设计。</w:t>
      </w:r>
    </w:p>
    <w:p>
      <w:pPr>
        <w:spacing w:line="360" w:lineRule="auto"/>
        <w:ind w:firstLine="0" w:firstLineChars="0"/>
        <w:rPr>
          <w:bCs/>
          <w:color w:val="000000" w:themeColor="text1"/>
          <w:szCs w:val="21"/>
          <w14:textFill>
            <w14:solidFill>
              <w14:schemeClr w14:val="tx1"/>
            </w14:solidFill>
          </w14:textFill>
        </w:rPr>
      </w:pPr>
    </w:p>
    <w:p>
      <w:pPr>
        <w:pStyle w:val="53"/>
        <w:numPr>
          <w:ilvl w:val="1"/>
          <w:numId w:val="6"/>
        </w:numPr>
        <w:autoSpaceDE w:val="0"/>
        <w:autoSpaceDN w:val="0"/>
        <w:spacing w:line="360" w:lineRule="auto"/>
        <w:ind w:firstLineChars="0"/>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抗震验算（</w:t>
      </w:r>
      <w:r>
        <w:rPr>
          <w:bCs/>
          <w:color w:val="000000" w:themeColor="text1"/>
          <w:kern w:val="0"/>
          <w:szCs w:val="21"/>
          <w14:textFill>
            <w14:solidFill>
              <w14:schemeClr w14:val="tx1"/>
            </w14:solidFill>
          </w14:textFill>
        </w:rPr>
        <w:t>5</w:t>
      </w:r>
      <w:r>
        <w:rPr>
          <w:rFonts w:hint="eastAsia"/>
          <w:bCs/>
          <w:color w:val="000000" w:themeColor="text1"/>
          <w:kern w:val="0"/>
          <w:szCs w:val="21"/>
          <w14:textFill>
            <w14:solidFill>
              <w14:schemeClr w14:val="tx1"/>
            </w14:solidFill>
          </w14:textFill>
        </w:rPr>
        <w:t>）</w:t>
      </w:r>
      <w:r>
        <w:rPr>
          <w:bCs/>
          <w:color w:val="000000" w:themeColor="text1"/>
          <w:kern w:val="0"/>
          <w:szCs w:val="21"/>
          <w14:textFill>
            <w14:solidFill>
              <w14:schemeClr w14:val="tx1"/>
            </w14:solidFill>
          </w14:textFill>
        </w:rPr>
        <w:t>——</w:t>
      </w:r>
      <w:bookmarkStart w:id="209" w:name="_Hlk16348412"/>
      <w:r>
        <w:rPr>
          <w:rFonts w:hint="eastAsia"/>
          <w:bCs/>
          <w:color w:val="000000" w:themeColor="text1"/>
          <w:kern w:val="0"/>
          <w:szCs w:val="21"/>
          <w14:textFill>
            <w14:solidFill>
              <w14:schemeClr w14:val="tx1"/>
            </w14:solidFill>
          </w14:textFill>
        </w:rPr>
        <w:t>屋盖支撑抗震设计</w:t>
      </w:r>
      <w:bookmarkEnd w:id="209"/>
    </w:p>
    <w:p>
      <w:pPr>
        <w:pStyle w:val="53"/>
        <w:autoSpaceDE w:val="0"/>
        <w:autoSpaceDN w:val="0"/>
        <w:spacing w:line="360" w:lineRule="auto"/>
        <w:ind w:left="780" w:firstLine="0" w:firstLineChars="0"/>
        <w:rPr>
          <w:bCs/>
          <w:color w:val="000000" w:themeColor="text1"/>
          <w:kern w:val="0"/>
          <w:szCs w:val="21"/>
          <w14:textFill>
            <w14:solidFill>
              <w14:schemeClr w14:val="tx1"/>
            </w14:solidFill>
          </w14:textFill>
        </w:rPr>
      </w:pPr>
    </w:p>
    <w:p>
      <w:pPr>
        <w:spacing w:line="360" w:lineRule="auto"/>
        <w:ind w:firstLine="0" w:firstLineChars="0"/>
        <w:rPr>
          <w:bCs/>
          <w:color w:val="000000" w:themeColor="text1"/>
          <w:szCs w:val="20"/>
          <w14:textFill>
            <w14:solidFill>
              <w14:schemeClr w14:val="tx1"/>
            </w14:solidFill>
          </w14:textFill>
        </w:rPr>
      </w:pPr>
      <w:r>
        <w:rPr>
          <w:rFonts w:hint="eastAsia"/>
          <w:bCs/>
          <w:color w:val="000000" w:themeColor="text1"/>
          <w14:textFill>
            <w14:solidFill>
              <w14:schemeClr w14:val="tx1"/>
            </w14:solidFill>
          </w14:textFill>
        </w:rPr>
        <w:t>10.6.</w:t>
      </w:r>
      <w:r>
        <w:rPr>
          <w:bCs/>
          <w:color w:val="000000" w:themeColor="text1"/>
          <w14:textFill>
            <w14:solidFill>
              <w14:schemeClr w14:val="tx1"/>
            </w14:solidFill>
          </w14:textFill>
        </w:rPr>
        <w:t xml:space="preserve">1 </w:t>
      </w:r>
      <w:r>
        <w:rPr>
          <w:rFonts w:hint="eastAsia"/>
          <w:bCs/>
          <w:color w:val="000000" w:themeColor="text1"/>
          <w14:textFill>
            <w14:solidFill>
              <w14:schemeClr w14:val="tx1"/>
            </w14:solidFill>
          </w14:textFill>
        </w:rPr>
        <w:t>弹性结构</w:t>
      </w:r>
      <w:r>
        <w:rPr>
          <w:bCs/>
          <w:color w:val="000000" w:themeColor="text1"/>
          <w14:textFill>
            <w14:solidFill>
              <w14:schemeClr w14:val="tx1"/>
            </w14:solidFill>
          </w14:textFill>
        </w:rPr>
        <w:t>ES1</w:t>
      </w:r>
      <w:r>
        <w:rPr>
          <w:rFonts w:hint="eastAsia"/>
          <w:bCs/>
          <w:color w:val="000000" w:themeColor="text1"/>
          <w14:textFill>
            <w14:solidFill>
              <w14:schemeClr w14:val="tx1"/>
            </w14:solidFill>
          </w14:textFill>
        </w:rPr>
        <w:t>、弹塑性结构厂房的</w:t>
      </w:r>
      <w:r>
        <w:rPr>
          <w:rFonts w:hint="eastAsia"/>
          <w:bCs/>
          <w:color w:val="000000" w:themeColor="text1"/>
          <w:szCs w:val="21"/>
          <w14:textFill>
            <w14:solidFill>
              <w14:schemeClr w14:val="tx1"/>
            </w14:solidFill>
          </w14:textFill>
        </w:rPr>
        <w:t>屋盖水平支撑杆宜采用型钢，设置</w:t>
      </w:r>
      <w:r>
        <w:rPr>
          <w:bCs/>
          <w:color w:val="000000" w:themeColor="text1"/>
          <w:szCs w:val="21"/>
          <w14:textFill>
            <w14:solidFill>
              <w14:schemeClr w14:val="tx1"/>
            </w14:solidFill>
          </w14:textFill>
        </w:rPr>
        <w:t>X</w:t>
      </w:r>
      <w:r>
        <w:rPr>
          <w:rFonts w:hint="eastAsia"/>
          <w:bCs/>
          <w:color w:val="000000" w:themeColor="text1"/>
          <w:szCs w:val="21"/>
          <w14:textFill>
            <w14:solidFill>
              <w14:schemeClr w14:val="tx1"/>
            </w14:solidFill>
          </w14:textFill>
        </w:rPr>
        <w:t>形支撑时，支撑杆的长细比不宜大于</w:t>
      </w:r>
      <w:r>
        <w:rPr>
          <w:bCs/>
          <w:color w:val="000000" w:themeColor="text1"/>
          <w:szCs w:val="21"/>
          <w14:textFill>
            <w14:solidFill>
              <w14:schemeClr w14:val="tx1"/>
            </w14:solidFill>
          </w14:textFill>
        </w:rPr>
        <w:t>350</w:t>
      </w:r>
      <w:r>
        <w:rPr>
          <w:rFonts w:hint="eastAsia"/>
          <w:bCs/>
          <w:color w:val="000000" w:themeColor="text1"/>
          <w14:textFill>
            <w14:solidFill>
              <w14:schemeClr w14:val="tx1"/>
            </w14:solidFill>
          </w14:textFill>
        </w:rPr>
        <w:t>。</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10.6.</w:t>
      </w:r>
      <w:r>
        <w:rPr>
          <w:bCs/>
          <w:color w:val="000000" w:themeColor="text1"/>
          <w:szCs w:val="21"/>
          <w14:textFill>
            <w14:solidFill>
              <w14:schemeClr w14:val="tx1"/>
            </w14:solidFill>
          </w14:textFill>
        </w:rPr>
        <w:t xml:space="preserve">2 </w:t>
      </w:r>
      <w:r>
        <w:rPr>
          <w:rFonts w:hint="eastAsia"/>
          <w:bCs/>
          <w:color w:val="000000" w:themeColor="text1"/>
          <w14:textFill>
            <w14:solidFill>
              <w14:schemeClr w14:val="tx1"/>
            </w14:solidFill>
          </w14:textFill>
        </w:rPr>
        <w:t>弹性结构</w:t>
      </w:r>
      <w:r>
        <w:rPr>
          <w:bCs/>
          <w:color w:val="000000" w:themeColor="text1"/>
          <w14:textFill>
            <w14:solidFill>
              <w14:schemeClr w14:val="tx1"/>
            </w14:solidFill>
          </w14:textFill>
        </w:rPr>
        <w:t>ES1</w:t>
      </w:r>
      <w:r>
        <w:rPr>
          <w:rFonts w:hint="eastAsia"/>
          <w:bCs/>
          <w:color w:val="000000" w:themeColor="text1"/>
          <w14:textFill>
            <w14:solidFill>
              <w14:schemeClr w14:val="tx1"/>
            </w14:solidFill>
          </w14:textFill>
        </w:rPr>
        <w:t>、弹塑性结构厂房</w:t>
      </w:r>
      <w:r>
        <w:rPr>
          <w:rFonts w:hint="eastAsia"/>
          <w:bCs/>
          <w:color w:val="000000" w:themeColor="text1"/>
          <w:szCs w:val="21"/>
          <w14:textFill>
            <w14:solidFill>
              <w14:schemeClr w14:val="tx1"/>
            </w14:solidFill>
          </w14:textFill>
        </w:rPr>
        <w:t>的有檩屋盖的支撑系统布置，宜符合下列要求：</w:t>
      </w:r>
    </w:p>
    <w:p>
      <w:pPr>
        <w:spacing w:line="360" w:lineRule="auto"/>
        <w:ind w:firstLine="409" w:firstLineChars="1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屋架的横向支撑、竖向支撑、纵向气楼架支撑的布置，宜符合表</w:t>
      </w:r>
      <w:bookmarkStart w:id="210" w:name="_Hlk24748594"/>
      <w:r>
        <w:rPr>
          <w:rFonts w:hint="eastAsia"/>
          <w:bCs/>
          <w:color w:val="000000" w:themeColor="text1"/>
          <w:szCs w:val="21"/>
          <w14:textFill>
            <w14:solidFill>
              <w14:schemeClr w14:val="tx1"/>
            </w14:solidFill>
          </w14:textFill>
        </w:rPr>
        <w:t>10</w:t>
      </w:r>
      <w:r>
        <w:rPr>
          <w:bCs/>
          <w:color w:val="000000" w:themeColor="text1"/>
          <w:szCs w:val="21"/>
          <w14:textFill>
            <w14:solidFill>
              <w14:schemeClr w14:val="tx1"/>
            </w14:solidFill>
          </w14:textFill>
        </w:rPr>
        <w:t>.6</w:t>
      </w: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1</w:t>
      </w:r>
      <w:bookmarkEnd w:id="210"/>
      <w:r>
        <w:rPr>
          <w:rFonts w:hint="eastAsia"/>
          <w:bCs/>
          <w:color w:val="000000" w:themeColor="text1"/>
          <w:szCs w:val="21"/>
          <w14:textFill>
            <w14:solidFill>
              <w14:schemeClr w14:val="tx1"/>
            </w14:solidFill>
          </w14:textFill>
        </w:rPr>
        <w:t>的要求；</w:t>
      </w:r>
    </w:p>
    <w:p>
      <w:pPr>
        <w:spacing w:line="360" w:lineRule="auto"/>
        <w:ind w:firstLine="42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表10</w:t>
      </w:r>
      <w:r>
        <w:rPr>
          <w:bCs/>
          <w:color w:val="000000" w:themeColor="text1"/>
          <w:szCs w:val="21"/>
          <w14:textFill>
            <w14:solidFill>
              <w14:schemeClr w14:val="tx1"/>
            </w14:solidFill>
          </w14:textFill>
        </w:rPr>
        <w:t>.6</w:t>
      </w: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屋架的支撑系统布置</w:t>
      </w:r>
    </w:p>
    <w:tbl>
      <w:tblPr>
        <w:tblStyle w:val="32"/>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1834"/>
        <w:gridCol w:w="3872"/>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1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支撑名称</w:t>
            </w:r>
          </w:p>
        </w:tc>
        <w:tc>
          <w:tcPr>
            <w:tcW w:w="387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支撑布置</w:t>
            </w:r>
          </w:p>
        </w:tc>
        <w:tc>
          <w:tcPr>
            <w:tcW w:w="1650" w:type="dxa"/>
            <w:tcBorders>
              <w:top w:val="single" w:color="auto" w:sz="4" w:space="0"/>
              <w:left w:val="single" w:color="auto" w:sz="4" w:space="0"/>
              <w:bottom w:val="single" w:color="auto" w:sz="4" w:space="0"/>
              <w:right w:val="single" w:color="auto" w:sz="4" w:space="0"/>
            </w:tcBorders>
            <w:vAlign w:val="center"/>
          </w:tcPr>
          <w:p>
            <w:pPr>
              <w:spacing w:line="300" w:lineRule="exact"/>
              <w:ind w:firstLine="36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76"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屋架支撑</w:t>
            </w: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上弦横向支撑</w:t>
            </w:r>
          </w:p>
        </w:tc>
        <w:tc>
          <w:tcPr>
            <w:tcW w:w="387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结构单元端开间及上柱柱间支撑开间各设一道。</w:t>
            </w:r>
          </w:p>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纵向天窗开洞范围内端部宜各增设局部上弦横向支撑一道。</w:t>
            </w:r>
          </w:p>
        </w:tc>
        <w:tc>
          <w:tcPr>
            <w:tcW w:w="165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281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下弦横向支撑</w:t>
            </w:r>
          </w:p>
        </w:tc>
        <w:tc>
          <w:tcPr>
            <w:tcW w:w="387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同非抗震设计；当屋架端部支承在下弦时，同上弦横向支撑。</w:t>
            </w:r>
          </w:p>
        </w:tc>
        <w:tc>
          <w:tcPr>
            <w:tcW w:w="165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1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跨中竖向支撑</w:t>
            </w:r>
          </w:p>
        </w:tc>
        <w:tc>
          <w:tcPr>
            <w:tcW w:w="387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屋架跨度不小于</w:t>
            </w:r>
            <w:r>
              <w:rPr>
                <w:rFonts w:cs="Times New Roman"/>
                <w:bCs/>
                <w:color w:val="000000" w:themeColor="text1"/>
                <w:kern w:val="0"/>
                <w:sz w:val="18"/>
                <w:szCs w:val="18"/>
                <w14:textFill>
                  <w14:solidFill>
                    <w14:schemeClr w14:val="tx1"/>
                  </w14:solidFill>
                </w14:textFill>
              </w:rPr>
              <w:t>30m</w:t>
            </w:r>
            <w:r>
              <w:rPr>
                <w:rFonts w:hint="eastAsia" w:cs="Times New Roman"/>
                <w:bCs/>
                <w:color w:val="000000" w:themeColor="text1"/>
                <w:kern w:val="0"/>
                <w:sz w:val="18"/>
                <w:szCs w:val="18"/>
                <w14:textFill>
                  <w14:solidFill>
                    <w14:schemeClr w14:val="tx1"/>
                  </w14:solidFill>
                </w14:textFill>
              </w:rPr>
              <w:t>时，柱间支撑开间跨中增设一道。</w:t>
            </w:r>
          </w:p>
        </w:tc>
        <w:tc>
          <w:tcPr>
            <w:tcW w:w="165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81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两侧竖向支撑</w:t>
            </w:r>
          </w:p>
        </w:tc>
        <w:tc>
          <w:tcPr>
            <w:tcW w:w="387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屋架端部高度大于</w:t>
            </w:r>
            <w:r>
              <w:rPr>
                <w:rFonts w:cs="Times New Roman"/>
                <w:bCs/>
                <w:color w:val="000000" w:themeColor="text1"/>
                <w:kern w:val="0"/>
                <w:sz w:val="18"/>
                <w:szCs w:val="18"/>
                <w14:textFill>
                  <w14:solidFill>
                    <w14:schemeClr w14:val="tx1"/>
                  </w14:solidFill>
                </w14:textFill>
              </w:rPr>
              <w:t>900mm</w:t>
            </w:r>
            <w:r>
              <w:rPr>
                <w:rFonts w:hint="eastAsia" w:cs="Times New Roman"/>
                <w:bCs/>
                <w:color w:val="000000" w:themeColor="text1"/>
                <w:kern w:val="0"/>
                <w:sz w:val="18"/>
                <w:szCs w:val="18"/>
                <w14:textFill>
                  <w14:solidFill>
                    <w14:schemeClr w14:val="tx1"/>
                  </w14:solidFill>
                </w14:textFill>
              </w:rPr>
              <w:t>时，结构单元端开间及柱间支撑开间各设一道。</w:t>
            </w:r>
          </w:p>
        </w:tc>
        <w:tc>
          <w:tcPr>
            <w:tcW w:w="165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宜与柱间支撑合并设计。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81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下弦通长水平系杆</w:t>
            </w:r>
          </w:p>
        </w:tc>
        <w:tc>
          <w:tcPr>
            <w:tcW w:w="387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屋架两端和屋架竖向支撑节点处设置；与柱刚接时，屋架端节间处按控制下弦平面外长细比不大于</w:t>
            </w:r>
            <w:r>
              <w:rPr>
                <w:rFonts w:cs="Times New Roman"/>
                <w:bCs/>
                <w:color w:val="000000" w:themeColor="text1"/>
                <w:kern w:val="0"/>
                <w:sz w:val="18"/>
                <w:szCs w:val="18"/>
                <w14:textFill>
                  <w14:solidFill>
                    <w14:schemeClr w14:val="tx1"/>
                  </w14:solidFill>
                </w14:textFill>
              </w:rPr>
              <w:t>150</w:t>
            </w:r>
            <w:r>
              <w:rPr>
                <w:rFonts w:hint="eastAsia" w:cs="Times New Roman"/>
                <w:bCs/>
                <w:color w:val="000000" w:themeColor="text1"/>
                <w:kern w:val="0"/>
                <w:sz w:val="18"/>
                <w:szCs w:val="18"/>
                <w14:textFill>
                  <w14:solidFill>
                    <w14:schemeClr w14:val="tx1"/>
                  </w14:solidFill>
                </w14:textFill>
              </w:rPr>
              <w:t>设置。</w:t>
            </w:r>
          </w:p>
        </w:tc>
        <w:tc>
          <w:tcPr>
            <w:tcW w:w="165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可与柱顶型钢合并。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76"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传统矩形纵向气楼架支撑</w:t>
            </w: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上弦横向支撑</w:t>
            </w:r>
          </w:p>
        </w:tc>
        <w:tc>
          <w:tcPr>
            <w:tcW w:w="3872"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天窗架单元两端开间及每隔不超过</w:t>
            </w:r>
            <w:r>
              <w:rPr>
                <w:rFonts w:cs="Times New Roman"/>
                <w:bCs/>
                <w:color w:val="000000" w:themeColor="text1"/>
                <w:kern w:val="0"/>
                <w:sz w:val="18"/>
                <w:szCs w:val="18"/>
                <w14:textFill>
                  <w14:solidFill>
                    <w14:schemeClr w14:val="tx1"/>
                  </w14:solidFill>
                </w14:textFill>
              </w:rPr>
              <w:t>54m</w:t>
            </w:r>
            <w:r>
              <w:rPr>
                <w:rFonts w:hint="eastAsia" w:cs="Times New Roman"/>
                <w:bCs/>
                <w:color w:val="000000" w:themeColor="text1"/>
                <w:kern w:val="0"/>
                <w:sz w:val="18"/>
                <w:szCs w:val="18"/>
                <w14:textFill>
                  <w14:solidFill>
                    <w14:schemeClr w14:val="tx1"/>
                  </w14:solidFill>
                </w14:textFill>
              </w:rPr>
              <w:t>设一道</w:t>
            </w:r>
          </w:p>
        </w:tc>
        <w:tc>
          <w:tcPr>
            <w:tcW w:w="165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81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两侧竖向支撑</w:t>
            </w:r>
          </w:p>
        </w:tc>
        <w:tc>
          <w:tcPr>
            <w:tcW w:w="3872"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7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ind w:firstLine="0" w:firstLineChars="0"/>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圆弧形轻型纵向气楼架支撑</w:t>
            </w: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上弦横向支撑</w:t>
            </w:r>
          </w:p>
        </w:tc>
        <w:tc>
          <w:tcPr>
            <w:tcW w:w="3872"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气楼单元两端开间及每隔不超过</w:t>
            </w:r>
            <w:r>
              <w:rPr>
                <w:rFonts w:cs="Times New Roman"/>
                <w:bCs/>
                <w:color w:val="000000" w:themeColor="text1"/>
                <w:kern w:val="0"/>
                <w:sz w:val="18"/>
                <w:szCs w:val="18"/>
                <w14:textFill>
                  <w14:solidFill>
                    <w14:schemeClr w14:val="tx1"/>
                  </w14:solidFill>
                </w14:textFill>
              </w:rPr>
              <w:t>30m</w:t>
            </w:r>
            <w:r>
              <w:rPr>
                <w:rFonts w:hint="eastAsia" w:cs="Times New Roman"/>
                <w:bCs/>
                <w:color w:val="000000" w:themeColor="text1"/>
                <w:kern w:val="0"/>
                <w:sz w:val="18"/>
                <w:szCs w:val="18"/>
                <w14:textFill>
                  <w14:solidFill>
                    <w14:schemeClr w14:val="tx1"/>
                  </w14:solidFill>
                </w14:textFill>
              </w:rPr>
              <w:t>设一道（气楼立柱柱距小于</w:t>
            </w:r>
            <w:r>
              <w:rPr>
                <w:rFonts w:cs="Times New Roman"/>
                <w:bCs/>
                <w:color w:val="000000" w:themeColor="text1"/>
                <w:kern w:val="0"/>
                <w:sz w:val="18"/>
                <w:szCs w:val="18"/>
                <w14:textFill>
                  <w14:solidFill>
                    <w14:schemeClr w14:val="tx1"/>
                  </w14:solidFill>
                </w14:textFill>
              </w:rPr>
              <w:t>3m</w:t>
            </w:r>
            <w:r>
              <w:rPr>
                <w:rFonts w:hint="eastAsia" w:cs="Times New Roman"/>
                <w:bCs/>
                <w:color w:val="000000" w:themeColor="text1"/>
                <w:kern w:val="0"/>
                <w:sz w:val="18"/>
                <w:szCs w:val="18"/>
                <w14:textFill>
                  <w14:solidFill>
                    <w14:schemeClr w14:val="tx1"/>
                  </w14:solidFill>
                </w14:textFill>
              </w:rPr>
              <w:t>时，气楼开间宜取两个柱距）。</w:t>
            </w:r>
          </w:p>
        </w:tc>
        <w:tc>
          <w:tcPr>
            <w:tcW w:w="165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187" w:firstLineChars="104"/>
              <w:rPr>
                <w:rFonts w:cs="Times New Roman"/>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81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sz w:val="18"/>
                <w:szCs w:val="18"/>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圆弧组件支撑</w:t>
            </w:r>
          </w:p>
        </w:tc>
        <w:tc>
          <w:tcPr>
            <w:tcW w:w="3872"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81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sz w:val="18"/>
                <w:szCs w:val="18"/>
                <w14:textFill>
                  <w14:solidFill>
                    <w14:schemeClr w14:val="tx1"/>
                  </w14:solidFill>
                </w14:textFill>
              </w:rPr>
            </w:pPr>
          </w:p>
        </w:tc>
        <w:tc>
          <w:tcPr>
            <w:tcW w:w="18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spacing w:line="300" w:lineRule="exact"/>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立柱竖向支撑</w:t>
            </w:r>
          </w:p>
        </w:tc>
        <w:tc>
          <w:tcPr>
            <w:tcW w:w="3872"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360"/>
              <w:jc w:val="left"/>
              <w:rPr>
                <w:bCs/>
                <w:color w:val="000000" w:themeColor="text1"/>
                <w:kern w:val="0"/>
                <w:sz w:val="18"/>
                <w:szCs w:val="18"/>
                <w14:textFill>
                  <w14:solidFill>
                    <w14:schemeClr w14:val="tx1"/>
                  </w14:solidFill>
                </w14:textFill>
              </w:rPr>
            </w:pPr>
          </w:p>
        </w:tc>
      </w:tr>
    </w:tbl>
    <w:p>
      <w:pPr>
        <w:spacing w:before="156" w:beforeLines="50" w:line="360" w:lineRule="auto"/>
        <w:ind w:firstLine="360"/>
        <w:rPr>
          <w:rFonts w:cs="Times New Roman"/>
          <w:bCs/>
          <w:color w:val="000000" w:themeColor="text1"/>
          <w:sz w:val="18"/>
          <w:szCs w:val="20"/>
          <w14:textFill>
            <w14:solidFill>
              <w14:schemeClr w14:val="tx1"/>
            </w14:solidFill>
          </w14:textFill>
        </w:rPr>
      </w:pPr>
      <w:r>
        <w:rPr>
          <w:rFonts w:hint="eastAsia"/>
          <w:bCs/>
          <w:color w:val="000000" w:themeColor="text1"/>
          <w:sz w:val="18"/>
          <w14:textFill>
            <w14:solidFill>
              <w14:schemeClr w14:val="tx1"/>
            </w14:solidFill>
          </w14:textFill>
        </w:rPr>
        <w:t>注：</w:t>
      </w:r>
      <w:r>
        <w:rPr>
          <w:bCs/>
          <w:color w:val="000000" w:themeColor="text1"/>
          <w:sz w:val="18"/>
          <w14:textFill>
            <w14:solidFill>
              <w14:schemeClr w14:val="tx1"/>
            </w14:solidFill>
          </w14:textFill>
        </w:rPr>
        <w:t xml:space="preserve">1 </w:t>
      </w:r>
      <w:r>
        <w:rPr>
          <w:rFonts w:hint="eastAsia"/>
          <w:bCs/>
          <w:color w:val="000000" w:themeColor="text1"/>
          <w:sz w:val="18"/>
          <w14:textFill>
            <w14:solidFill>
              <w14:schemeClr w14:val="tx1"/>
            </w14:solidFill>
          </w14:textFill>
        </w:rPr>
        <w:t>本表为梯形屋架端部支承在屋架上弦或与柱为刚性连接的情况。</w:t>
      </w:r>
    </w:p>
    <w:p>
      <w:pPr>
        <w:spacing w:line="360" w:lineRule="auto"/>
        <w:ind w:firstLine="360"/>
        <w:rPr>
          <w:bCs/>
          <w:color w:val="000000" w:themeColor="text1"/>
          <w:sz w:val="18"/>
          <w14:textFill>
            <w14:solidFill>
              <w14:schemeClr w14:val="tx1"/>
            </w14:solidFill>
          </w14:textFill>
        </w:rPr>
      </w:pPr>
      <w:r>
        <w:rPr>
          <w:bCs/>
          <w:color w:val="000000" w:themeColor="text1"/>
          <w:sz w:val="18"/>
          <w14:textFill>
            <w14:solidFill>
              <w14:schemeClr w14:val="tx1"/>
            </w14:solidFill>
          </w14:textFill>
        </w:rPr>
        <w:t xml:space="preserve">    2 X</w:t>
      </w:r>
      <w:r>
        <w:rPr>
          <w:rFonts w:hint="eastAsia"/>
          <w:bCs/>
          <w:color w:val="000000" w:themeColor="text1"/>
          <w:sz w:val="18"/>
          <w14:textFill>
            <w14:solidFill>
              <w14:schemeClr w14:val="tx1"/>
            </w14:solidFill>
          </w14:textFill>
        </w:rPr>
        <w:t>形支撑的长细比取为</w:t>
      </w:r>
      <w:r>
        <w:rPr>
          <w:bCs/>
          <w:color w:val="000000" w:themeColor="text1"/>
          <w:sz w:val="18"/>
          <w14:textFill>
            <w14:solidFill>
              <w14:schemeClr w14:val="tx1"/>
            </w14:solidFill>
          </w14:textFill>
        </w:rPr>
        <w:t>350</w:t>
      </w:r>
      <w:r>
        <w:rPr>
          <w:rFonts w:hint="eastAsia"/>
          <w:bCs/>
          <w:color w:val="000000" w:themeColor="text1"/>
          <w:sz w:val="18"/>
          <w14:textFill>
            <w14:solidFill>
              <w14:schemeClr w14:val="tx1"/>
            </w14:solidFill>
          </w14:textFill>
        </w:rPr>
        <w:t>。</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实腹屋面梁与柱刚性连接，并采用高频焊接轻型型钢屋面檩条时，可采用横向水平支撑</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隅撑侧向支承屋盖系统，并应符合下列规定：</w:t>
      </w:r>
    </w:p>
    <w:p>
      <w:pPr>
        <w:spacing w:line="360" w:lineRule="auto"/>
        <w:ind w:firstLine="840" w:firstLineChars="4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）屋盖横向水平支撑的间距，宜符合表10.6.2-1的要求；</w:t>
      </w:r>
    </w:p>
    <w:p>
      <w:pPr>
        <w:spacing w:line="360" w:lineRule="auto"/>
        <w:ind w:firstLine="840" w:firstLineChars="4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）屋盖横向水平支撑，应布置在屋面梁的上翼缘平面，可采用屋面檩条兼作为其直压杆；</w:t>
      </w:r>
    </w:p>
    <w:p>
      <w:pPr>
        <w:spacing w:line="360" w:lineRule="auto"/>
        <w:ind w:firstLine="840" w:firstLineChars="4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）屋面梁下翼缘应设置隅撑侧向支承，隅撑应成对布置。隅撑的另一端可与屋面檩条连接，屋面檩条承载力计算时不应计入隅撑的支承作用；</w:t>
      </w:r>
    </w:p>
    <w:p>
      <w:pPr>
        <w:spacing w:line="380" w:lineRule="exact"/>
        <w:ind w:firstLine="840" w:firstLineChars="40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4）设置屋盖横向支撑的柱间、屋面梁梁端下翼缘受压范围内，隅撑间距可取檩距；其余柱间，跨中下翼缘受拉区，隅撑间距可取用</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倍檩距，至多不得超过</w:t>
      </w: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倍檩距，并支承点间的下翼缘面外长细比不应大于</w:t>
      </w:r>
      <w:r>
        <w:rPr>
          <w:bCs/>
          <w:color w:val="000000" w:themeColor="text1"/>
          <w:szCs w:val="21"/>
          <w14:textFill>
            <w14:solidFill>
              <w14:schemeClr w14:val="tx1"/>
            </w14:solidFill>
          </w14:textFill>
        </w:rPr>
        <w:t>240</w:t>
      </w:r>
      <w:r>
        <w:rPr>
          <w:rFonts w:hint="eastAsia"/>
          <w:bCs/>
          <w:color w:val="000000" w:themeColor="text1"/>
          <w:szCs w:val="21"/>
          <w14:textFill>
            <w14:solidFill>
              <w14:schemeClr w14:val="tx1"/>
            </w14:solidFill>
          </w14:textFill>
        </w:rPr>
        <w:t>；</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 xml:space="preserve"> 端斜杆上承式柱顶铰接屋架，当屋面檩条正对屋架竖向腹杆节点布置时，可参照上述 </w:t>
      </w: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设置屋盖横向水平支撑</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隅撑屋盖支撑系统；</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4</w:t>
      </w:r>
      <w:r>
        <w:rPr>
          <w:rFonts w:hint="eastAsia"/>
          <w:bCs/>
          <w:color w:val="000000" w:themeColor="text1"/>
          <w:szCs w:val="21"/>
          <w14:textFill>
            <w14:solidFill>
              <w14:schemeClr w14:val="tx1"/>
            </w14:solidFill>
          </w14:textFill>
        </w:rPr>
        <w:t xml:space="preserve"> 柱距不大于</w:t>
      </w:r>
      <w:r>
        <w:rPr>
          <w:bCs/>
          <w:color w:val="000000" w:themeColor="text1"/>
          <w:szCs w:val="21"/>
          <w14:textFill>
            <w14:solidFill>
              <w14:schemeClr w14:val="tx1"/>
            </w14:solidFill>
          </w14:textFill>
        </w:rPr>
        <w:t>6m</w:t>
      </w:r>
      <w:r>
        <w:rPr>
          <w:rFonts w:hint="eastAsia"/>
          <w:bCs/>
          <w:color w:val="000000" w:themeColor="text1"/>
          <w:szCs w:val="21"/>
          <w14:textFill>
            <w14:solidFill>
              <w14:schemeClr w14:val="tx1"/>
            </w14:solidFill>
          </w14:textFill>
        </w:rPr>
        <w:t>时，屋盖横向支撑桁架的高度可取与柱距相同；柱距大于</w:t>
      </w:r>
      <w:r>
        <w:rPr>
          <w:bCs/>
          <w:color w:val="000000" w:themeColor="text1"/>
          <w:szCs w:val="21"/>
          <w14:textFill>
            <w14:solidFill>
              <w14:schemeClr w14:val="tx1"/>
            </w14:solidFill>
          </w14:textFill>
        </w:rPr>
        <w:t>6m</w:t>
      </w:r>
      <w:r>
        <w:rPr>
          <w:rFonts w:hint="eastAsia"/>
          <w:bCs/>
          <w:color w:val="000000" w:themeColor="text1"/>
          <w:szCs w:val="21"/>
          <w14:textFill>
            <w14:solidFill>
              <w14:schemeClr w14:val="tx1"/>
            </w14:solidFill>
          </w14:textFill>
        </w:rPr>
        <w:t>时，屋盖横向支撑桁架的高度可小于柱距，但不宜小于</w:t>
      </w:r>
      <w:r>
        <w:rPr>
          <w:bCs/>
          <w:color w:val="000000" w:themeColor="text1"/>
          <w:szCs w:val="21"/>
          <w14:textFill>
            <w14:solidFill>
              <w14:schemeClr w14:val="tx1"/>
            </w14:solidFill>
          </w14:textFill>
        </w:rPr>
        <w:t>6m</w:t>
      </w:r>
      <w:r>
        <w:rPr>
          <w:rFonts w:hint="eastAsia"/>
          <w:bCs/>
          <w:color w:val="000000" w:themeColor="text1"/>
          <w:szCs w:val="21"/>
          <w14:textFill>
            <w14:solidFill>
              <w14:schemeClr w14:val="tx1"/>
            </w14:solidFill>
          </w14:textFill>
        </w:rPr>
        <w:t>。</w:t>
      </w:r>
    </w:p>
    <w:p>
      <w:pPr>
        <w:spacing w:line="380" w:lineRule="exact"/>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10.6.</w:t>
      </w:r>
      <w:r>
        <w:rPr>
          <w:bCs/>
          <w:color w:val="000000" w:themeColor="text1"/>
          <w:szCs w:val="21"/>
          <w14:textFill>
            <w14:solidFill>
              <w14:schemeClr w14:val="tx1"/>
            </w14:solidFill>
          </w14:textFill>
        </w:rPr>
        <w:t xml:space="preserve">3 </w:t>
      </w:r>
      <w:r>
        <w:rPr>
          <w:rFonts w:hint="eastAsia"/>
          <w:bCs/>
          <w:color w:val="000000" w:themeColor="text1"/>
          <w14:textFill>
            <w14:solidFill>
              <w14:schemeClr w14:val="tx1"/>
            </w14:solidFill>
          </w14:textFill>
        </w:rPr>
        <w:t>弹性结构</w:t>
      </w:r>
      <w:r>
        <w:rPr>
          <w:bCs/>
          <w:color w:val="000000" w:themeColor="text1"/>
          <w14:textFill>
            <w14:solidFill>
              <w14:schemeClr w14:val="tx1"/>
            </w14:solidFill>
          </w14:textFill>
        </w:rPr>
        <w:t>ES1</w:t>
      </w:r>
      <w:r>
        <w:rPr>
          <w:rFonts w:hint="eastAsia"/>
          <w:bCs/>
          <w:color w:val="000000" w:themeColor="text1"/>
          <w14:textFill>
            <w14:solidFill>
              <w14:schemeClr w14:val="tx1"/>
            </w14:solidFill>
          </w14:textFill>
        </w:rPr>
        <w:t>、弹塑性结构厂房</w:t>
      </w:r>
      <w:r>
        <w:rPr>
          <w:rFonts w:hint="eastAsia"/>
          <w:bCs/>
          <w:color w:val="000000" w:themeColor="text1"/>
          <w:szCs w:val="21"/>
          <w14:textFill>
            <w14:solidFill>
              <w14:schemeClr w14:val="tx1"/>
            </w14:solidFill>
          </w14:textFill>
        </w:rPr>
        <w:t>的有檩屋盖，其纵向水平支撑布置宜符合下列规定：</w:t>
      </w:r>
    </w:p>
    <w:p>
      <w:pPr>
        <w:spacing w:line="380" w:lineRule="exact"/>
        <w:ind w:firstLine="409" w:firstLineChars="195"/>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 xml:space="preserve"> 当采用托架支承屋盖横梁的屋盖结构时，应沿结构单元全长设置纵向水平支撑；</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 xml:space="preserve"> 多跨厂房的屋盖纵向水平支撑应根据设置的桥式吊车起重量和工作制、厂房跨度等确定。设置桥式吊车时，屋盖纵向水平支撑的间距不宜超过两跨，至多不应超过三跨。当柱顶高度大于</w:t>
      </w:r>
      <w:r>
        <w:rPr>
          <w:bCs/>
          <w:color w:val="000000" w:themeColor="text1"/>
          <w:szCs w:val="21"/>
          <w14:textFill>
            <w14:solidFill>
              <w14:schemeClr w14:val="tx1"/>
            </w14:solidFill>
          </w14:textFill>
        </w:rPr>
        <w:t>18m</w:t>
      </w:r>
      <w:r>
        <w:rPr>
          <w:rFonts w:hint="eastAsia"/>
          <w:bCs/>
          <w:color w:val="000000" w:themeColor="text1"/>
          <w:szCs w:val="21"/>
          <w14:textFill>
            <w14:solidFill>
              <w14:schemeClr w14:val="tx1"/>
            </w14:solidFill>
          </w14:textFill>
        </w:rPr>
        <w:t>、桥式起重机的起重量大于</w:t>
      </w:r>
      <w:r>
        <w:rPr>
          <w:bCs/>
          <w:color w:val="000000" w:themeColor="text1"/>
          <w:szCs w:val="21"/>
          <w14:textFill>
            <w14:solidFill>
              <w14:schemeClr w14:val="tx1"/>
            </w14:solidFill>
          </w14:textFill>
        </w:rPr>
        <w:t>20t</w:t>
      </w:r>
      <w:r>
        <w:rPr>
          <w:rFonts w:hint="eastAsia"/>
          <w:bCs/>
          <w:color w:val="000000" w:themeColor="text1"/>
          <w:szCs w:val="21"/>
          <w14:textFill>
            <w14:solidFill>
              <w14:schemeClr w14:val="tx1"/>
            </w14:solidFill>
          </w14:textFill>
        </w:rPr>
        <w:t>时，宜每跨设置；设置硬钩桥式起重机或起重量不小于</w:t>
      </w:r>
      <w:r>
        <w:rPr>
          <w:bCs/>
          <w:color w:val="000000" w:themeColor="text1"/>
          <w:szCs w:val="21"/>
          <w14:textFill>
            <w14:solidFill>
              <w14:schemeClr w14:val="tx1"/>
            </w14:solidFill>
          </w14:textFill>
        </w:rPr>
        <w:t>20t</w:t>
      </w:r>
      <w:r>
        <w:rPr>
          <w:rFonts w:hint="eastAsia"/>
          <w:bCs/>
          <w:color w:val="000000" w:themeColor="text1"/>
          <w:szCs w:val="21"/>
          <w14:textFill>
            <w14:solidFill>
              <w14:schemeClr w14:val="tx1"/>
            </w14:solidFill>
          </w14:textFill>
        </w:rPr>
        <w:t>的重级工作制起重机时，应每跨设置；</w:t>
      </w:r>
    </w:p>
    <w:p>
      <w:pPr>
        <w:spacing w:line="380" w:lineRule="exact"/>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r>
        <w:rPr>
          <w:rFonts w:hint="eastAsia"/>
          <w:bCs/>
          <w:color w:val="000000" w:themeColor="text1"/>
          <w:szCs w:val="21"/>
          <w14:textFill>
            <w14:solidFill>
              <w14:schemeClr w14:val="tx1"/>
            </w14:solidFill>
          </w14:textFill>
        </w:rPr>
        <w:t xml:space="preserve"> 纵向柱列局部柱间采用托架支承屋盖横梁时，应沿托架的柱间及向其两侧至少各延伸一个柱间设置屋盖纵向水平支撑；</w:t>
      </w:r>
    </w:p>
    <w:p>
      <w:pPr>
        <w:spacing w:line="380" w:lineRule="exact"/>
        <w:ind w:firstLine="42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4当设置沿结构单元全长的纵向水平支撑时，应与横向水平支撑形成封闭的屋盖水平支撑体系；</w:t>
      </w:r>
    </w:p>
    <w:p>
      <w:pPr>
        <w:spacing w:line="380" w:lineRule="exact"/>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高低跨厂房，在低跨屋盖横梁端部支承处，应沿屋盖全长设置纵向水平支撑。高跨和低跨宜按各自的标高组成相对独立的封闭支撑体系；</w:t>
      </w:r>
    </w:p>
    <w:p>
      <w:pPr>
        <w:spacing w:line="380" w:lineRule="exact"/>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6</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同一结构单元内，当多跨等高厂房中相邻两跨长度不等时，宜按结构单元长度分别形成封闭的支撑体系（图10.6.3</w:t>
      </w:r>
      <w:r>
        <w:rPr>
          <w:bCs/>
          <w:color w:val="000000" w:themeColor="text1"/>
          <w:szCs w:val="21"/>
          <w14:textFill>
            <w14:solidFill>
              <w14:schemeClr w14:val="tx1"/>
            </w14:solidFill>
          </w14:textFill>
        </w:rPr>
        <w:t>-1a</w:t>
      </w:r>
      <w:r>
        <w:rPr>
          <w:rFonts w:hint="eastAsia"/>
          <w:bCs/>
          <w:color w:val="000000" w:themeColor="text1"/>
          <w:szCs w:val="21"/>
          <w14:textFill>
            <w14:solidFill>
              <w14:schemeClr w14:val="tx1"/>
            </w14:solidFill>
          </w14:textFill>
        </w:rPr>
        <w:t>）；当柱顶高度不大于</w:t>
      </w:r>
      <w:r>
        <w:rPr>
          <w:bCs/>
          <w:color w:val="000000" w:themeColor="text1"/>
          <w:szCs w:val="21"/>
          <w14:textFill>
            <w14:solidFill>
              <w14:schemeClr w14:val="tx1"/>
            </w14:solidFill>
          </w14:textFill>
        </w:rPr>
        <w:t>18m</w:t>
      </w:r>
      <w:r>
        <w:rPr>
          <w:rFonts w:hint="eastAsia"/>
          <w:bCs/>
          <w:color w:val="000000" w:themeColor="text1"/>
          <w:szCs w:val="21"/>
          <w14:textFill>
            <w14:solidFill>
              <w14:schemeClr w14:val="tx1"/>
            </w14:solidFill>
          </w14:textFill>
        </w:rPr>
        <w:t>，桥式起重机的起重量不大于</w:t>
      </w:r>
      <w:r>
        <w:rPr>
          <w:bCs/>
          <w:color w:val="000000" w:themeColor="text1"/>
          <w:szCs w:val="21"/>
          <w14:textFill>
            <w14:solidFill>
              <w14:schemeClr w14:val="tx1"/>
            </w14:solidFill>
          </w14:textFill>
        </w:rPr>
        <w:t>50t</w:t>
      </w:r>
      <w:r>
        <w:rPr>
          <w:rFonts w:hint="eastAsia"/>
          <w:bCs/>
          <w:color w:val="000000" w:themeColor="text1"/>
          <w:szCs w:val="21"/>
          <w14:textFill>
            <w14:solidFill>
              <w14:schemeClr w14:val="tx1"/>
            </w14:solidFill>
          </w14:textFill>
        </w:rPr>
        <w:t>时，也可沿结构单元周圈形成封闭的支撑框架体系（图10.6.3</w:t>
      </w:r>
      <w:r>
        <w:rPr>
          <w:bCs/>
          <w:color w:val="000000" w:themeColor="text1"/>
          <w:szCs w:val="21"/>
          <w14:textFill>
            <w14:solidFill>
              <w14:schemeClr w14:val="tx1"/>
            </w14:solidFill>
          </w14:textFill>
        </w:rPr>
        <w:t>-1b</w:t>
      </w:r>
      <w:r>
        <w:rPr>
          <w:rFonts w:hint="eastAsia"/>
          <w:bCs/>
          <w:color w:val="000000" w:themeColor="text1"/>
          <w:szCs w:val="21"/>
          <w14:textFill>
            <w14:solidFill>
              <w14:schemeClr w14:val="tx1"/>
            </w14:solidFill>
          </w14:textFill>
        </w:rPr>
        <w:t>）；</w:t>
      </w:r>
    </w:p>
    <w:p>
      <w:pPr>
        <w:spacing w:line="360" w:lineRule="auto"/>
        <w:ind w:firstLine="420"/>
        <w:jc w:val="distribute"/>
        <w:rPr>
          <w:bCs/>
          <w:color w:val="000000" w:themeColor="text1"/>
          <w:szCs w:val="21"/>
          <w14:textFill>
            <w14:solidFill>
              <w14:schemeClr w14:val="tx1"/>
            </w14:solidFill>
          </w14:textFill>
        </w:rPr>
      </w:pPr>
      <w:r>
        <w:rPr>
          <w:bCs/>
          <w:color w:val="000000" w:themeColor="text1"/>
          <w14:textFill>
            <w14:solidFill>
              <w14:schemeClr w14:val="tx1"/>
            </w14:solidFill>
          </w14:textFill>
        </w:rPr>
        <w:drawing>
          <wp:inline distT="0" distB="0" distL="0" distR="0">
            <wp:extent cx="2679700" cy="1276350"/>
            <wp:effectExtent l="0" t="0" r="635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a:xfrm>
                      <a:off x="0" y="0"/>
                      <a:ext cx="2679700" cy="1276350"/>
                    </a:xfrm>
                    <a:prstGeom prst="rect">
                      <a:avLst/>
                    </a:prstGeom>
                    <a:noFill/>
                    <a:ln>
                      <a:noFill/>
                    </a:ln>
                  </pic:spPr>
                </pic:pic>
              </a:graphicData>
            </a:graphic>
          </wp:inline>
        </w:drawing>
      </w:r>
      <w:r>
        <w:rPr>
          <w:bCs/>
          <w:color w:val="000000" w:themeColor="text1"/>
          <w14:textFill>
            <w14:solidFill>
              <w14:schemeClr w14:val="tx1"/>
            </w14:solidFill>
          </w14:textFill>
        </w:rPr>
        <w:drawing>
          <wp:inline distT="0" distB="0" distL="0" distR="0">
            <wp:extent cx="2400300" cy="12192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2400300" cy="1219200"/>
                    </a:xfrm>
                    <a:prstGeom prst="rect">
                      <a:avLst/>
                    </a:prstGeom>
                    <a:noFill/>
                    <a:ln>
                      <a:noFill/>
                    </a:ln>
                  </pic:spPr>
                </pic:pic>
              </a:graphicData>
            </a:graphic>
          </wp:inline>
        </w:drawing>
      </w:r>
    </w:p>
    <w:p>
      <w:pPr>
        <w:spacing w:line="360" w:lineRule="auto"/>
        <w:ind w:firstLine="36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a</w:t>
      </w: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 xml:space="preserve">                                  </w:t>
      </w:r>
      <w:r>
        <w:rPr>
          <w:rFonts w:hint="eastAsia"/>
          <w:bCs/>
          <w:color w:val="000000" w:themeColor="text1"/>
          <w:sz w:val="18"/>
          <w:szCs w:val="21"/>
          <w14:textFill>
            <w14:solidFill>
              <w14:schemeClr w14:val="tx1"/>
            </w14:solidFill>
          </w14:textFill>
        </w:rPr>
        <w:t>（</w:t>
      </w:r>
      <w:r>
        <w:rPr>
          <w:bCs/>
          <w:color w:val="000000" w:themeColor="text1"/>
          <w:sz w:val="18"/>
          <w:szCs w:val="21"/>
          <w14:textFill>
            <w14:solidFill>
              <w14:schemeClr w14:val="tx1"/>
            </w14:solidFill>
          </w14:textFill>
        </w:rPr>
        <w:t>b</w:t>
      </w:r>
      <w:r>
        <w:rPr>
          <w:rFonts w:hint="eastAsia"/>
          <w:bCs/>
          <w:color w:val="000000" w:themeColor="text1"/>
          <w:sz w:val="18"/>
          <w:szCs w:val="21"/>
          <w14:textFill>
            <w14:solidFill>
              <w14:schemeClr w14:val="tx1"/>
            </w14:solidFill>
          </w14:textFill>
        </w:rPr>
        <w:t>）</w:t>
      </w:r>
    </w:p>
    <w:p>
      <w:pPr>
        <w:spacing w:line="360" w:lineRule="auto"/>
        <w:ind w:firstLine="360"/>
        <w:jc w:val="center"/>
        <w:rPr>
          <w:bCs/>
          <w:color w:val="000000" w:themeColor="text1"/>
          <w:sz w:val="18"/>
          <w:szCs w:val="21"/>
          <w14:textFill>
            <w14:solidFill>
              <w14:schemeClr w14:val="tx1"/>
            </w14:solidFill>
          </w14:textFill>
        </w:rPr>
      </w:pPr>
      <w:r>
        <w:rPr>
          <w:rFonts w:hint="eastAsia"/>
          <w:bCs/>
          <w:color w:val="000000" w:themeColor="text1"/>
          <w:sz w:val="18"/>
          <w:szCs w:val="21"/>
          <w14:textFill>
            <w14:solidFill>
              <w14:schemeClr w14:val="tx1"/>
            </w14:solidFill>
          </w14:textFill>
        </w:rPr>
        <w:t>图10.6.3</w:t>
      </w:r>
      <w:r>
        <w:rPr>
          <w:bCs/>
          <w:color w:val="000000" w:themeColor="text1"/>
          <w:sz w:val="18"/>
          <w:szCs w:val="21"/>
          <w14:textFill>
            <w14:solidFill>
              <w14:schemeClr w14:val="tx1"/>
            </w14:solidFill>
          </w14:textFill>
        </w:rPr>
        <w:t xml:space="preserve">-1 </w:t>
      </w:r>
      <w:r>
        <w:rPr>
          <w:rFonts w:hint="eastAsia"/>
          <w:bCs/>
          <w:color w:val="000000" w:themeColor="text1"/>
          <w:sz w:val="18"/>
          <w:szCs w:val="21"/>
          <w14:textFill>
            <w14:solidFill>
              <w14:schemeClr w14:val="tx1"/>
            </w14:solidFill>
          </w14:textFill>
        </w:rPr>
        <w:t>多跨等高厂房中相邻两跨不等长度的纵向支撑布置</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屋盖纵向水平支撑桁架的高度，不宜小于</w:t>
      </w:r>
      <w:r>
        <w:rPr>
          <w:bCs/>
          <w:color w:val="000000" w:themeColor="text1"/>
          <w:szCs w:val="21"/>
          <w14:textFill>
            <w14:solidFill>
              <w14:schemeClr w14:val="tx1"/>
            </w14:solidFill>
          </w14:textFill>
        </w:rPr>
        <w:t>5m</w:t>
      </w:r>
      <w:r>
        <w:rPr>
          <w:rFonts w:hint="eastAsia"/>
          <w:bCs/>
          <w:color w:val="000000" w:themeColor="text1"/>
          <w:szCs w:val="21"/>
          <w14:textFill>
            <w14:solidFill>
              <w14:schemeClr w14:val="tx1"/>
            </w14:solidFill>
          </w14:textFill>
        </w:rPr>
        <w:t>。</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10.6.</w:t>
      </w:r>
      <w:r>
        <w:rPr>
          <w:bCs/>
          <w:color w:val="000000" w:themeColor="text1"/>
          <w:szCs w:val="21"/>
          <w14:textFill>
            <w14:solidFill>
              <w14:schemeClr w14:val="tx1"/>
            </w14:solidFill>
          </w14:textFill>
        </w:rPr>
        <w:t xml:space="preserve">4 </w:t>
      </w:r>
      <w:r>
        <w:rPr>
          <w:rFonts w:hint="eastAsia"/>
          <w:bCs/>
          <w:color w:val="000000" w:themeColor="text1"/>
          <w14:textFill>
            <w14:solidFill>
              <w14:schemeClr w14:val="tx1"/>
            </w14:solidFill>
          </w14:textFill>
        </w:rPr>
        <w:t>弹性结构</w:t>
      </w:r>
      <w:r>
        <w:rPr>
          <w:bCs/>
          <w:color w:val="000000" w:themeColor="text1"/>
          <w14:textFill>
            <w14:solidFill>
              <w14:schemeClr w14:val="tx1"/>
            </w14:solidFill>
          </w14:textFill>
        </w:rPr>
        <w:t>ES2</w:t>
      </w:r>
      <w:r>
        <w:rPr>
          <w:rFonts w:hint="eastAsia"/>
          <w:bCs/>
          <w:color w:val="000000" w:themeColor="text1"/>
          <w14:textFill>
            <w14:solidFill>
              <w14:schemeClr w14:val="tx1"/>
            </w14:solidFill>
          </w14:textFill>
        </w:rPr>
        <w:t>的屋盖</w:t>
      </w:r>
      <w:r>
        <w:rPr>
          <w:rFonts w:hint="eastAsia"/>
          <w:bCs/>
          <w:color w:val="000000" w:themeColor="text1"/>
          <w:szCs w:val="21"/>
          <w14:textFill>
            <w14:solidFill>
              <w14:schemeClr w14:val="tx1"/>
            </w14:solidFill>
          </w14:textFill>
        </w:rPr>
        <w:t>水平支撑的布置，宜符合下列规定：</w:t>
      </w:r>
    </w:p>
    <w:p>
      <w:pPr>
        <w:spacing w:line="360" w:lineRule="auto"/>
        <w:ind w:firstLine="420"/>
        <w:rPr>
          <w:bCs/>
          <w:color w:val="000000" w:themeColor="text1"/>
          <w:szCs w:val="20"/>
          <w14:textFill>
            <w14:solidFill>
              <w14:schemeClr w14:val="tx1"/>
            </w14:solidFill>
          </w14:textFill>
        </w:rPr>
      </w:pPr>
      <w:r>
        <w:rPr>
          <w:rFonts w:hint="eastAsia"/>
          <w:bCs/>
          <w:color w:val="000000" w:themeColor="text1"/>
          <w14:textFill>
            <w14:solidFill>
              <w14:schemeClr w14:val="tx1"/>
            </w14:solidFill>
          </w14:textFill>
        </w:rPr>
        <w:t>1</w:t>
      </w:r>
      <w:r>
        <w:rPr>
          <w:bCs/>
          <w:color w:val="000000" w:themeColor="text1"/>
          <w14:textFill>
            <w14:solidFill>
              <w14:schemeClr w14:val="tx1"/>
            </w14:solidFill>
          </w14:textFill>
        </w:rPr>
        <w:t xml:space="preserve"> </w:t>
      </w:r>
      <w:r>
        <w:rPr>
          <w:rFonts w:hint="eastAsia"/>
          <w:bCs/>
          <w:color w:val="000000" w:themeColor="text1"/>
          <w:szCs w:val="21"/>
          <w14:textFill>
            <w14:solidFill>
              <w14:schemeClr w14:val="tx1"/>
            </w14:solidFill>
          </w14:textFill>
        </w:rPr>
        <w:t>屋盖水平支撑可采用圆钢、钢索和型钢交叉支撑</w:t>
      </w:r>
      <w:r>
        <w:rPr>
          <w:rFonts w:hint="eastAsia"/>
          <w:bCs/>
          <w:color w:val="000000" w:themeColor="text1"/>
          <w14:textFill>
            <w14:solidFill>
              <w14:schemeClr w14:val="tx1"/>
            </w14:solidFill>
          </w14:textFill>
        </w:rPr>
        <w:t>；当设置的桥式起重机或悬挂式起重机时，应采用型钢支撑，</w:t>
      </w:r>
      <w:r>
        <w:rPr>
          <w:rFonts w:hint="eastAsia"/>
          <w:bCs/>
          <w:color w:val="000000" w:themeColor="text1"/>
          <w:szCs w:val="21"/>
          <w14:textFill>
            <w14:solidFill>
              <w14:schemeClr w14:val="tx1"/>
            </w14:solidFill>
          </w14:textFill>
        </w:rPr>
        <w:t>支撑杆的长细比不宜大于</w:t>
      </w:r>
      <w:r>
        <w:rPr>
          <w:bCs/>
          <w:color w:val="000000" w:themeColor="text1"/>
          <w:szCs w:val="21"/>
          <w14:textFill>
            <w14:solidFill>
              <w14:schemeClr w14:val="tx1"/>
            </w14:solidFill>
          </w14:textFill>
        </w:rPr>
        <w:t>400</w:t>
      </w:r>
      <w:r>
        <w:rPr>
          <w:rFonts w:hint="eastAsia"/>
          <w:bCs/>
          <w:color w:val="000000" w:themeColor="text1"/>
          <w14:textFill>
            <w14:solidFill>
              <w14:schemeClr w14:val="tx1"/>
            </w14:solidFill>
          </w14:textFill>
        </w:rPr>
        <w:t>；</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屋盖横向水平支撑，宜布置在柱间支撑开间；</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3</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设置桥式起重机的厂房，宜设置屋盖纵向水平支撑；设置摇摆柱的厂房宽度不小于</w:t>
      </w:r>
      <w:r>
        <w:rPr>
          <w:bCs/>
          <w:color w:val="000000" w:themeColor="text1"/>
          <w:szCs w:val="21"/>
          <w14:textFill>
            <w14:solidFill>
              <w14:schemeClr w14:val="tx1"/>
            </w14:solidFill>
          </w14:textFill>
        </w:rPr>
        <w:t>36m</w:t>
      </w:r>
      <w:r>
        <w:rPr>
          <w:rFonts w:hint="eastAsia"/>
          <w:bCs/>
          <w:color w:val="000000" w:themeColor="text1"/>
          <w:szCs w:val="21"/>
          <w14:textFill>
            <w14:solidFill>
              <w14:schemeClr w14:val="tx1"/>
            </w14:solidFill>
          </w14:textFill>
        </w:rPr>
        <w:t>时，宜设置纵向屋盖支撑。纵向水平支撑应沿屋盖周边布置，并应与横向水平支撑形成封闭的屋盖水平支撑体系；</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4</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纵向柱列抽柱的柱间宜设置局部屋盖纵向水平支撑。</w:t>
      </w:r>
    </w:p>
    <w:p>
      <w:pPr>
        <w:spacing w:line="360" w:lineRule="auto"/>
        <w:ind w:firstLine="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10.6.</w:t>
      </w:r>
      <w:r>
        <w:rPr>
          <w:bCs/>
          <w:color w:val="000000" w:themeColor="text1"/>
          <w:szCs w:val="21"/>
          <w14:textFill>
            <w14:solidFill>
              <w14:schemeClr w14:val="tx1"/>
            </w14:solidFill>
          </w14:textFill>
        </w:rPr>
        <w:t xml:space="preserve">5 </w:t>
      </w:r>
      <w:r>
        <w:rPr>
          <w:rFonts w:hint="eastAsia"/>
          <w:bCs/>
          <w:color w:val="000000" w:themeColor="text1"/>
          <w:szCs w:val="21"/>
          <w14:textFill>
            <w14:solidFill>
              <w14:schemeClr w14:val="tx1"/>
            </w14:solidFill>
          </w14:textFill>
        </w:rPr>
        <w:t>突出屋面的横向天窗架，当其跨度不大于屋架间距时，其支撑布置宜符合表10.6.5</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1的要求（图10.6.5</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1）。</w:t>
      </w:r>
    </w:p>
    <w:p>
      <w:pPr>
        <w:spacing w:line="360" w:lineRule="auto"/>
        <w:ind w:firstLine="42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表10.6.5</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 xml:space="preserve">  </w:t>
      </w:r>
      <w:r>
        <w:rPr>
          <w:rFonts w:hint="eastAsia"/>
          <w:bCs/>
          <w:color w:val="000000" w:themeColor="text1"/>
          <w:szCs w:val="21"/>
          <w14:textFill>
            <w14:solidFill>
              <w14:schemeClr w14:val="tx1"/>
            </w14:solidFill>
          </w14:textFill>
        </w:rPr>
        <w:t>突出屋面的横向天窗（气楼）架支撑布置</w:t>
      </w:r>
    </w:p>
    <w:tbl>
      <w:tblPr>
        <w:tblStyle w:val="32"/>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
        <w:gridCol w:w="1216"/>
        <w:gridCol w:w="1664"/>
        <w:gridCol w:w="5424"/>
        <w:gridCol w:w="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9" w:type="dxa"/>
          <w:wAfter w:w="19" w:type="dxa"/>
          <w:trHeight w:val="580" w:hRule="atLeast"/>
        </w:trPr>
        <w:tc>
          <w:tcPr>
            <w:tcW w:w="2880"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支撑名称</w:t>
            </w:r>
          </w:p>
        </w:tc>
        <w:tc>
          <w:tcPr>
            <w:tcW w:w="542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支撑布置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9" w:type="dxa"/>
          <w:wAfter w:w="19" w:type="dxa"/>
          <w:trHeight w:val="580" w:hRule="atLeast"/>
        </w:trPr>
        <w:tc>
          <w:tcPr>
            <w:tcW w:w="1216" w:type="dxa"/>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传统矩形横向天窗架</w:t>
            </w:r>
          </w:p>
        </w:tc>
        <w:tc>
          <w:tcPr>
            <w:tcW w:w="166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上弦横向支撑</w:t>
            </w:r>
          </w:p>
        </w:tc>
        <w:tc>
          <w:tcPr>
            <w:tcW w:w="542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横向天窗架两端及转折处各设一道，但间距应不大于</w:t>
            </w:r>
            <w:r>
              <w:rPr>
                <w:bCs/>
                <w:snapToGrid w:val="0"/>
                <w:color w:val="000000" w:themeColor="text1"/>
                <w:kern w:val="0"/>
                <w:sz w:val="18"/>
                <w:szCs w:val="18"/>
                <w14:textFill>
                  <w14:solidFill>
                    <w14:schemeClr w14:val="tx1"/>
                  </w14:solidFill>
                </w14:textFill>
              </w:rPr>
              <w:t>30m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9" w:type="dxa"/>
          <w:wAfter w:w="19" w:type="dxa"/>
          <w:trHeight w:val="590" w:hRule="atLeast"/>
        </w:trPr>
        <w:tc>
          <w:tcPr>
            <w:tcW w:w="2880" w:type="dxa"/>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18"/>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两侧竖向支撑</w:t>
            </w:r>
          </w:p>
        </w:tc>
        <w:tc>
          <w:tcPr>
            <w:tcW w:w="542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snapToGrid w:val="0"/>
                <w:color w:val="000000" w:themeColor="text1"/>
                <w:kern w:val="0"/>
                <w:sz w:val="18"/>
                <w:szCs w:val="18"/>
                <w14:textFill>
                  <w14:solidFill>
                    <w14:schemeClr w14:val="tx1"/>
                  </w14:solidFill>
                </w14:textFill>
              </w:rPr>
            </w:pPr>
            <w:r>
              <w:rPr>
                <w:rFonts w:hint="eastAsia"/>
                <w:bCs/>
                <w:snapToGrid w:val="0"/>
                <w:color w:val="000000" w:themeColor="text1"/>
                <w:kern w:val="0"/>
                <w:sz w:val="18"/>
                <w:szCs w:val="18"/>
                <w14:textFill>
                  <w14:solidFill>
                    <w14:schemeClr w14:val="tx1"/>
                  </w14:solidFill>
                </w14:textFill>
              </w:rPr>
              <w:t>横向天窗架两端及转折处各设一道，并支撑开间不设支撑的支撑架开间宜小于</w:t>
            </w:r>
            <w:r>
              <w:rPr>
                <w:bCs/>
                <w:snapToGrid w:val="0"/>
                <w:color w:val="000000" w:themeColor="text1"/>
                <w:kern w:val="0"/>
                <w:sz w:val="18"/>
                <w:szCs w:val="18"/>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225"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圆弧形轻型横向气楼架</w:t>
            </w:r>
          </w:p>
        </w:tc>
        <w:tc>
          <w:tcPr>
            <w:tcW w:w="166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上弦横向支撑</w:t>
            </w:r>
          </w:p>
        </w:tc>
        <w:tc>
          <w:tcPr>
            <w:tcW w:w="5443"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气楼单元两端开间及每隔不超过</w:t>
            </w:r>
            <w:r>
              <w:rPr>
                <w:rFonts w:cs="Times New Roman"/>
                <w:bCs/>
                <w:color w:val="000000" w:themeColor="text1"/>
                <w:kern w:val="0"/>
                <w:sz w:val="18"/>
                <w:szCs w:val="18"/>
                <w14:textFill>
                  <w14:solidFill>
                    <w14:schemeClr w14:val="tx1"/>
                  </w14:solidFill>
                </w14:textFill>
              </w:rPr>
              <w:t>30m</w:t>
            </w:r>
            <w:r>
              <w:rPr>
                <w:rFonts w:hint="eastAsia" w:cs="Times New Roman"/>
                <w:bCs/>
                <w:color w:val="000000" w:themeColor="text1"/>
                <w:kern w:val="0"/>
                <w:sz w:val="18"/>
                <w:szCs w:val="18"/>
                <w14:textFill>
                  <w14:solidFill>
                    <w14:schemeClr w14:val="tx1"/>
                  </w14:solidFill>
                </w14:textFill>
              </w:rPr>
              <w:t>设一道（气楼架立柱柱距小于</w:t>
            </w:r>
            <w:r>
              <w:rPr>
                <w:rFonts w:cs="Times New Roman"/>
                <w:bCs/>
                <w:color w:val="000000" w:themeColor="text1"/>
                <w:kern w:val="0"/>
                <w:sz w:val="18"/>
                <w:szCs w:val="18"/>
                <w14:textFill>
                  <w14:solidFill>
                    <w14:schemeClr w14:val="tx1"/>
                  </w14:solidFill>
                </w14:textFill>
              </w:rPr>
              <w:t>3m</w:t>
            </w:r>
            <w:r>
              <w:rPr>
                <w:rFonts w:hint="eastAsia" w:cs="Times New Roman"/>
                <w:bCs/>
                <w:color w:val="000000" w:themeColor="text1"/>
                <w:kern w:val="0"/>
                <w:sz w:val="18"/>
                <w:szCs w:val="18"/>
                <w14:textFill>
                  <w14:solidFill>
                    <w14:schemeClr w14:val="tx1"/>
                  </w14:solidFill>
                </w14:textFill>
              </w:rPr>
              <w:t>时，气楼开间应取两个柱距）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105"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18"/>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圆弧组件支撑</w:t>
            </w:r>
          </w:p>
        </w:tc>
        <w:tc>
          <w:tcPr>
            <w:tcW w:w="558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105"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sz w:val="18"/>
                <w:szCs w:val="18"/>
                <w14:textFill>
                  <w14:solidFill>
                    <w14:schemeClr w14:val="tx1"/>
                  </w14:solidFill>
                </w14:textFill>
              </w:rPr>
            </w:pPr>
          </w:p>
        </w:tc>
        <w:tc>
          <w:tcPr>
            <w:tcW w:w="166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cs="Times New Roman"/>
                <w:bCs/>
                <w:color w:val="000000" w:themeColor="text1"/>
                <w:kern w:val="0"/>
                <w:sz w:val="18"/>
                <w:szCs w:val="18"/>
                <w14:textFill>
                  <w14:solidFill>
                    <w14:schemeClr w14:val="tx1"/>
                  </w14:solidFill>
                </w14:textFill>
              </w:rPr>
            </w:pPr>
            <w:r>
              <w:rPr>
                <w:rFonts w:hint="eastAsia" w:cs="Times New Roman"/>
                <w:bCs/>
                <w:color w:val="000000" w:themeColor="text1"/>
                <w:kern w:val="0"/>
                <w:sz w:val="18"/>
                <w:szCs w:val="18"/>
                <w14:textFill>
                  <w14:solidFill>
                    <w14:schemeClr w14:val="tx1"/>
                  </w14:solidFill>
                </w14:textFill>
              </w:rPr>
              <w:t>立柱竖向支撑</w:t>
            </w:r>
          </w:p>
        </w:tc>
        <w:tc>
          <w:tcPr>
            <w:tcW w:w="558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bCs/>
                <w:color w:val="000000" w:themeColor="text1"/>
                <w:kern w:val="0"/>
                <w:sz w:val="18"/>
                <w:szCs w:val="18"/>
                <w14:textFill>
                  <w14:solidFill>
                    <w14:schemeClr w14:val="tx1"/>
                  </w14:solidFill>
                </w14:textFill>
              </w:rPr>
            </w:pPr>
          </w:p>
        </w:tc>
      </w:tr>
    </w:tbl>
    <w:p>
      <w:pPr>
        <w:ind w:firstLine="360"/>
        <w:rPr>
          <w:rFonts w:cs="Times New Roman"/>
          <w:bCs/>
          <w:color w:val="000000" w:themeColor="text1"/>
          <w:sz w:val="18"/>
          <w:szCs w:val="20"/>
          <w14:textFill>
            <w14:solidFill>
              <w14:schemeClr w14:val="tx1"/>
            </w14:solidFill>
          </w14:textFill>
        </w:rPr>
      </w:pPr>
    </w:p>
    <w:p>
      <w:pPr>
        <w:spacing w:line="360" w:lineRule="auto"/>
        <w:ind w:firstLine="420"/>
        <w:jc w:val="center"/>
        <w:rPr>
          <w:bCs/>
          <w:color w:val="000000" w:themeColor="text1"/>
          <w14:textFill>
            <w14:solidFill>
              <w14:schemeClr w14:val="tx1"/>
            </w14:solidFill>
          </w14:textFill>
        </w:rPr>
      </w:pPr>
      <w:r>
        <w:rPr>
          <w:bCs/>
          <w:color w:val="000000" w:themeColor="text1"/>
          <w14:textFill>
            <w14:solidFill>
              <w14:schemeClr w14:val="tx1"/>
            </w14:solidFill>
          </w14:textFill>
        </w:rPr>
        <w:drawing>
          <wp:inline distT="0" distB="0" distL="0" distR="0">
            <wp:extent cx="3270250" cy="2133600"/>
            <wp:effectExtent l="0" t="0" r="635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3270250" cy="2133600"/>
                    </a:xfrm>
                    <a:prstGeom prst="rect">
                      <a:avLst/>
                    </a:prstGeom>
                    <a:noFill/>
                    <a:ln>
                      <a:noFill/>
                    </a:ln>
                  </pic:spPr>
                </pic:pic>
              </a:graphicData>
            </a:graphic>
          </wp:inline>
        </w:drawing>
      </w:r>
    </w:p>
    <w:p>
      <w:pPr>
        <w:spacing w:line="360" w:lineRule="auto"/>
        <w:ind w:firstLine="360"/>
        <w:jc w:val="center"/>
        <w:rPr>
          <w:bCs/>
          <w:color w:val="000000" w:themeColor="text1"/>
          <w:sz w:val="18"/>
          <w14:textFill>
            <w14:solidFill>
              <w14:schemeClr w14:val="tx1"/>
            </w14:solidFill>
          </w14:textFill>
        </w:rPr>
      </w:pPr>
      <w:r>
        <w:rPr>
          <w:rFonts w:hint="eastAsia"/>
          <w:bCs/>
          <w:color w:val="000000" w:themeColor="text1"/>
          <w:sz w:val="18"/>
          <w:szCs w:val="21"/>
          <w14:textFill>
            <w14:solidFill>
              <w14:schemeClr w14:val="tx1"/>
            </w14:solidFill>
          </w14:textFill>
        </w:rPr>
        <w:t>图</w:t>
      </w:r>
      <w:r>
        <w:rPr>
          <w:rFonts w:hint="eastAsia"/>
          <w:bCs/>
          <w:color w:val="000000" w:themeColor="text1"/>
          <w:szCs w:val="21"/>
          <w14:textFill>
            <w14:solidFill>
              <w14:schemeClr w14:val="tx1"/>
            </w14:solidFill>
          </w14:textFill>
        </w:rPr>
        <w:t>10.6.5</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1</w:t>
      </w:r>
      <w:r>
        <w:rPr>
          <w:bCs/>
          <w:color w:val="000000" w:themeColor="text1"/>
          <w:sz w:val="18"/>
          <w:szCs w:val="21"/>
          <w14:textFill>
            <w14:solidFill>
              <w14:schemeClr w14:val="tx1"/>
            </w14:solidFill>
          </w14:textFill>
        </w:rPr>
        <w:t xml:space="preserve">  </w:t>
      </w:r>
      <w:r>
        <w:rPr>
          <w:rFonts w:hint="eastAsia"/>
          <w:bCs/>
          <w:color w:val="000000" w:themeColor="text1"/>
          <w:sz w:val="18"/>
          <w:szCs w:val="21"/>
          <w14:textFill>
            <w14:solidFill>
              <w14:schemeClr w14:val="tx1"/>
            </w14:solidFill>
          </w14:textFill>
        </w:rPr>
        <w:t>突出屋面的横向天窗架支撑布置</w:t>
      </w:r>
    </w:p>
    <w:p>
      <w:pPr>
        <w:spacing w:line="360" w:lineRule="auto"/>
        <w:ind w:firstLine="0" w:firstLineChars="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10.6.</w:t>
      </w:r>
      <w:r>
        <w:rPr>
          <w:bCs/>
          <w:color w:val="000000" w:themeColor="text1"/>
          <w14:textFill>
            <w14:solidFill>
              <w14:schemeClr w14:val="tx1"/>
            </w14:solidFill>
          </w14:textFill>
        </w:rPr>
        <w:t xml:space="preserve">6 </w:t>
      </w:r>
      <w:r>
        <w:rPr>
          <w:rFonts w:hint="eastAsia"/>
          <w:bCs/>
          <w:color w:val="000000" w:themeColor="text1"/>
          <w14:textFill>
            <w14:solidFill>
              <w14:schemeClr w14:val="tx1"/>
            </w14:solidFill>
          </w14:textFill>
        </w:rPr>
        <w:t>当采用下沉式横向气楼时，应在屋架下弦平面设置封闭的屋盖水平支撑系统。</w:t>
      </w:r>
    </w:p>
    <w:p>
      <w:pPr>
        <w:spacing w:line="360" w:lineRule="auto"/>
        <w:ind w:firstLine="0" w:firstLineChars="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10.6.</w:t>
      </w:r>
      <w:r>
        <w:rPr>
          <w:bCs/>
          <w:color w:val="000000" w:themeColor="text1"/>
          <w14:textFill>
            <w14:solidFill>
              <w14:schemeClr w14:val="tx1"/>
            </w14:solidFill>
          </w14:textFill>
        </w:rPr>
        <w:t xml:space="preserve">7 </w:t>
      </w:r>
      <w:r>
        <w:rPr>
          <w:rFonts w:hint="eastAsia"/>
          <w:bCs/>
          <w:color w:val="000000" w:themeColor="text1"/>
          <w14:textFill>
            <w14:solidFill>
              <w14:schemeClr w14:val="tx1"/>
            </w14:solidFill>
          </w14:textFill>
        </w:rPr>
        <w:t>屋盖支撑杆件及其连接节点的承载力设计，应符合下列要求：</w:t>
      </w:r>
    </w:p>
    <w:p>
      <w:pPr>
        <w:spacing w:line="360" w:lineRule="auto"/>
        <w:ind w:firstLine="42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w:t>
      </w:r>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屋盖交叉支撑杆中断时，交叉节点板的屈服承载力、连接的极限承载力，不应小于支撑杆塑性承载力的</w:t>
      </w:r>
      <w:r>
        <w:rPr>
          <w:bCs/>
          <w:color w:val="000000" w:themeColor="text1"/>
          <w14:textFill>
            <w14:solidFill>
              <w14:schemeClr w14:val="tx1"/>
            </w14:solidFill>
          </w14:textFill>
        </w:rPr>
        <w:t>1.2</w:t>
      </w:r>
      <w:r>
        <w:rPr>
          <w:rFonts w:hint="eastAsia"/>
          <w:bCs/>
          <w:color w:val="000000" w:themeColor="text1"/>
          <w14:textFill>
            <w14:solidFill>
              <w14:schemeClr w14:val="tx1"/>
            </w14:solidFill>
          </w14:textFill>
        </w:rPr>
        <w:t>倍；</w:t>
      </w:r>
    </w:p>
    <w:p>
      <w:pPr>
        <w:spacing w:line="360" w:lineRule="auto"/>
        <w:ind w:firstLine="42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2</w:t>
      </w:r>
      <w:r>
        <w:rPr>
          <w:bCs/>
          <w:color w:val="000000" w:themeColor="text1"/>
          <w14:textFill>
            <w14:solidFill>
              <w14:schemeClr w14:val="tx1"/>
            </w14:solidFill>
          </w14:textFill>
        </w:rPr>
        <w:t xml:space="preserve"> </w:t>
      </w:r>
      <w:r>
        <w:rPr>
          <w:rFonts w:hint="eastAsia"/>
          <w:bCs/>
          <w:color w:val="000000" w:themeColor="text1"/>
          <w14:textFill>
            <w14:solidFill>
              <w14:schemeClr w14:val="tx1"/>
            </w14:solidFill>
          </w14:textFill>
        </w:rPr>
        <w:t>竖向支撑桁架的腹杆应能承受和传递屋盖的水平地震作用，其连接的极限承载力应大于腹杆的塑性承载力，并满足构造要求；</w:t>
      </w: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bCs/>
          <w:color w:val="000000" w:themeColor="text1"/>
          <w:szCs w:val="21"/>
          <w14:textFill>
            <w14:solidFill>
              <w14:schemeClr w14:val="tx1"/>
            </w14:solidFill>
          </w14:textFill>
        </w:rPr>
      </w:pPr>
    </w:p>
    <w:p>
      <w:pPr>
        <w:widowControl/>
        <w:adjustRightInd/>
        <w:snapToGrid/>
        <w:ind w:firstLine="0" w:firstLineChars="0"/>
        <w:jc w:val="left"/>
        <w:rPr>
          <w:rFonts w:cs="Times New Roman"/>
          <w:b/>
          <w:color w:val="000000" w:themeColor="text1"/>
          <w:kern w:val="44"/>
          <w:sz w:val="30"/>
          <w:szCs w:val="20"/>
          <w:lang w:val="zh-CN"/>
          <w14:textFill>
            <w14:solidFill>
              <w14:schemeClr w14:val="tx1"/>
            </w14:solidFill>
          </w14:textFill>
        </w:rPr>
      </w:pPr>
      <w:r>
        <w:rPr>
          <w:color w:val="000000" w:themeColor="text1"/>
          <w14:textFill>
            <w14:solidFill>
              <w14:schemeClr w14:val="tx1"/>
            </w14:solidFill>
          </w14:textFill>
        </w:rPr>
        <w:br w:type="page"/>
      </w:r>
    </w:p>
    <w:p>
      <w:pPr>
        <w:pStyle w:val="2"/>
        <w:numPr>
          <w:ilvl w:val="0"/>
          <w:numId w:val="1"/>
        </w:numPr>
        <w:ind w:left="0" w:firstLine="0"/>
        <w:rPr>
          <w:color w:val="000000" w:themeColor="text1"/>
          <w14:textFill>
            <w14:solidFill>
              <w14:schemeClr w14:val="tx1"/>
            </w14:solidFill>
          </w14:textFill>
        </w:rPr>
      </w:pPr>
      <w:bookmarkStart w:id="211" w:name="_Toc48841057"/>
      <w:r>
        <w:rPr>
          <w:rFonts w:hint="eastAsia"/>
          <w:color w:val="000000" w:themeColor="text1"/>
          <w14:textFill>
            <w14:solidFill>
              <w14:schemeClr w14:val="tx1"/>
            </w14:solidFill>
          </w14:textFill>
        </w:rPr>
        <w:t>多层钢结构</w:t>
      </w:r>
      <w:bookmarkEnd w:id="211"/>
    </w:p>
    <w:p>
      <w:pPr>
        <w:pStyle w:val="3"/>
      </w:pPr>
      <w:bookmarkStart w:id="212" w:name="_Toc48841058"/>
      <w:r>
        <w:rPr>
          <w:rFonts w:hint="eastAsia"/>
        </w:rPr>
        <w:t>一般规定</w:t>
      </w:r>
      <w:bookmarkEnd w:id="212"/>
    </w:p>
    <w:p>
      <w:pPr>
        <w:pStyle w:val="18"/>
        <w:ind w:firstLine="0" w:firstLineChars="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 xml:space="preserve">11.1.1 </w:t>
      </w:r>
      <w:r>
        <w:rPr>
          <w:rFonts w:hint="eastAsia" w:hAnsi="宋体"/>
          <w:bCs/>
          <w:color w:val="000000" w:themeColor="text1"/>
          <w:spacing w:val="0"/>
          <w14:textFill>
            <w14:solidFill>
              <w14:schemeClr w14:val="tx1"/>
            </w14:solidFill>
          </w14:textFill>
        </w:rPr>
        <w:t>本节适用于墙面、屋盖采用轻型围护或无围护，楼面采用花纹钢板、钢格板或无楼板的多层钢框架、多层钢框架</w:t>
      </w:r>
      <w:r>
        <w:rPr>
          <w:rFonts w:hAnsi="宋体"/>
          <w:bCs/>
          <w:color w:val="000000" w:themeColor="text1"/>
          <w:spacing w:val="0"/>
          <w14:textFill>
            <w14:solidFill>
              <w14:schemeClr w14:val="tx1"/>
            </w14:solidFill>
          </w14:textFill>
        </w:rPr>
        <w:t>-</w:t>
      </w:r>
      <w:r>
        <w:rPr>
          <w:rFonts w:hint="eastAsia" w:hAnsi="宋体"/>
          <w:bCs/>
          <w:color w:val="000000" w:themeColor="text1"/>
          <w:spacing w:val="0"/>
          <w14:textFill>
            <w14:solidFill>
              <w14:schemeClr w14:val="tx1"/>
            </w14:solidFill>
          </w14:textFill>
        </w:rPr>
        <w:t>支撑结构的抗震设计。</w:t>
      </w:r>
      <w:r>
        <w:rPr>
          <w:rFonts w:hAnsi="宋体"/>
          <w:bCs/>
          <w:color w:val="000000" w:themeColor="text1"/>
          <w:spacing w:val="0"/>
          <w14:textFill>
            <w14:solidFill>
              <w14:schemeClr w14:val="tx1"/>
            </w14:solidFill>
          </w14:textFill>
        </w:rPr>
        <w:t xml:space="preserve"> </w:t>
      </w:r>
    </w:p>
    <w:p>
      <w:pPr>
        <w:pStyle w:val="18"/>
        <w:ind w:firstLine="420"/>
        <w:rPr>
          <w:rFonts w:hAnsi="宋体"/>
          <w:bCs/>
          <w:color w:val="000000" w:themeColor="text1"/>
          <w:spacing w:val="0"/>
          <w14:textFill>
            <w14:solidFill>
              <w14:schemeClr w14:val="tx1"/>
            </w14:solidFill>
          </w14:textFill>
        </w:rPr>
      </w:pPr>
      <w:r>
        <w:rPr>
          <w:rFonts w:hint="eastAsia" w:hAnsi="宋体"/>
          <w:bCs/>
          <w:color w:val="000000" w:themeColor="text1"/>
          <w:spacing w:val="0"/>
          <w14:textFill>
            <w14:solidFill>
              <w14:schemeClr w14:val="tx1"/>
            </w14:solidFill>
          </w14:textFill>
        </w:rPr>
        <w:t>楼面采用钢筋混凝土楼板的多层钢结构的抗震设计可按现行国家标准《建筑抗震设计规范》</w:t>
      </w:r>
      <w:r>
        <w:rPr>
          <w:rFonts w:hAnsi="宋体"/>
          <w:bCs/>
          <w:color w:val="000000" w:themeColor="text1"/>
          <w:spacing w:val="0"/>
          <w14:textFill>
            <w14:solidFill>
              <w14:schemeClr w14:val="tx1"/>
            </w14:solidFill>
          </w14:textFill>
        </w:rPr>
        <w:t>GB50011</w:t>
      </w:r>
      <w:r>
        <w:rPr>
          <w:rFonts w:hint="eastAsia" w:hAnsi="宋体"/>
          <w:bCs/>
          <w:color w:val="000000" w:themeColor="text1"/>
          <w:spacing w:val="0"/>
          <w14:textFill>
            <w14:solidFill>
              <w14:schemeClr w14:val="tx1"/>
            </w14:solidFill>
          </w14:textFill>
        </w:rPr>
        <w:t>的规定执行。</w:t>
      </w:r>
    </w:p>
    <w:p>
      <w:pPr>
        <w:pStyle w:val="18"/>
        <w:ind w:firstLine="0" w:firstLineChars="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 xml:space="preserve">11.1.2 </w:t>
      </w:r>
      <w:r>
        <w:rPr>
          <w:rFonts w:hint="eastAsia" w:hAnsi="宋体"/>
          <w:bCs/>
          <w:color w:val="000000" w:themeColor="text1"/>
          <w:spacing w:val="0"/>
          <w14:textFill>
            <w14:solidFill>
              <w14:schemeClr w14:val="tx1"/>
            </w14:solidFill>
          </w14:textFill>
        </w:rPr>
        <w:t xml:space="preserve">多层钢结构楼面采用花纹钢板、钢格板或无楼板时，结构分析应符合如下要求： </w:t>
      </w:r>
    </w:p>
    <w:p>
      <w:pPr>
        <w:pStyle w:val="18"/>
        <w:ind w:firstLine="420"/>
        <w:rPr>
          <w:bCs/>
          <w:color w:val="000000" w:themeColor="text1"/>
          <w:spacing w:val="0"/>
          <w14:textFill>
            <w14:solidFill>
              <w14:schemeClr w14:val="tx1"/>
            </w14:solidFill>
          </w14:textFill>
        </w:rPr>
      </w:pPr>
      <w:r>
        <w:rPr>
          <w:rFonts w:hint="eastAsia"/>
          <w:bCs/>
          <w:color w:val="000000" w:themeColor="text1"/>
          <w:spacing w:val="0"/>
          <w14:textFill>
            <w14:solidFill>
              <w14:schemeClr w14:val="tx1"/>
            </w14:solidFill>
          </w14:textFill>
        </w:rPr>
        <w:t>1</w:t>
      </w:r>
      <w:r>
        <w:rPr>
          <w:bCs/>
          <w:color w:val="000000" w:themeColor="text1"/>
          <w:spacing w:val="0"/>
          <w14:textFill>
            <w14:solidFill>
              <w14:schemeClr w14:val="tx1"/>
            </w14:solidFill>
          </w14:textFill>
        </w:rPr>
        <w:t xml:space="preserve"> </w:t>
      </w:r>
      <w:r>
        <w:rPr>
          <w:rFonts w:hint="eastAsia"/>
          <w:bCs/>
          <w:color w:val="000000" w:themeColor="text1"/>
          <w:spacing w:val="0"/>
          <w14:textFill>
            <w14:solidFill>
              <w14:schemeClr w14:val="tx1"/>
            </w14:solidFill>
          </w14:textFill>
        </w:rPr>
        <w:t>采用空间杆系结构模型进行抗震分析，不考虑楼面平面内刚度，可不要求进行平面扭转的规则性判别；</w:t>
      </w:r>
    </w:p>
    <w:p>
      <w:pPr>
        <w:pStyle w:val="18"/>
        <w:ind w:firstLine="420"/>
        <w:rPr>
          <w:rFonts w:hAnsi="宋体"/>
          <w:bCs/>
          <w:color w:val="000000" w:themeColor="text1"/>
          <w:spacing w:val="0"/>
          <w14:textFill>
            <w14:solidFill>
              <w14:schemeClr w14:val="tx1"/>
            </w14:solidFill>
          </w14:textFill>
        </w:rPr>
      </w:pPr>
      <w:r>
        <w:rPr>
          <w:rFonts w:hint="eastAsia"/>
          <w:bCs/>
          <w:color w:val="000000" w:themeColor="text1"/>
          <w:spacing w:val="0"/>
          <w14:textFill>
            <w14:solidFill>
              <w14:schemeClr w14:val="tx1"/>
            </w14:solidFill>
          </w14:textFill>
        </w:rPr>
        <w:t>2</w:t>
      </w:r>
      <w:r>
        <w:rPr>
          <w:bCs/>
          <w:color w:val="000000" w:themeColor="text1"/>
          <w:spacing w:val="0"/>
          <w14:textFill>
            <w14:solidFill>
              <w14:schemeClr w14:val="tx1"/>
            </w14:solidFill>
          </w14:textFill>
        </w:rPr>
        <w:t xml:space="preserve"> </w:t>
      </w:r>
      <w:r>
        <w:rPr>
          <w:rFonts w:hint="eastAsia"/>
          <w:bCs/>
          <w:color w:val="000000" w:themeColor="text1"/>
          <w:spacing w:val="0"/>
          <w14:textFill>
            <w14:solidFill>
              <w14:schemeClr w14:val="tx1"/>
            </w14:solidFill>
          </w14:textFill>
        </w:rPr>
        <w:t>结构整体计算时应将结构水平撑及设备梁及主要平台梁计入整体模型进行分析；</w:t>
      </w:r>
    </w:p>
    <w:p>
      <w:pPr>
        <w:pStyle w:val="18"/>
        <w:ind w:firstLine="409" w:firstLineChars="195"/>
        <w:rPr>
          <w:rFonts w:hAnsi="宋体"/>
          <w:bCs/>
          <w:color w:val="000000" w:themeColor="text1"/>
          <w:spacing w:val="0"/>
          <w14:textFill>
            <w14:solidFill>
              <w14:schemeClr w14:val="tx1"/>
            </w14:solidFill>
          </w14:textFill>
        </w:rPr>
      </w:pPr>
      <w:r>
        <w:rPr>
          <w:rFonts w:hint="eastAsia" w:hAnsi="宋体"/>
          <w:bCs/>
          <w:color w:val="000000" w:themeColor="text1"/>
          <w:spacing w:val="0"/>
          <w14:textFill>
            <w14:solidFill>
              <w14:schemeClr w14:val="tx1"/>
            </w14:solidFill>
          </w14:textFill>
        </w:rPr>
        <w:t>3</w:t>
      </w:r>
      <w:r>
        <w:rPr>
          <w:rFonts w:hAnsi="宋体"/>
          <w:bCs/>
          <w:color w:val="000000" w:themeColor="text1"/>
          <w:spacing w:val="0"/>
          <w14:textFill>
            <w14:solidFill>
              <w14:schemeClr w14:val="tx1"/>
            </w14:solidFill>
          </w14:textFill>
        </w:rPr>
        <w:t xml:space="preserve"> </w:t>
      </w:r>
      <w:r>
        <w:rPr>
          <w:rFonts w:hint="eastAsia" w:hAnsi="宋体"/>
          <w:bCs/>
          <w:color w:val="000000" w:themeColor="text1"/>
          <w:spacing w:val="0"/>
          <w14:textFill>
            <w14:solidFill>
              <w14:schemeClr w14:val="tx1"/>
            </w14:solidFill>
          </w14:textFill>
        </w:rPr>
        <w:t>采用轻型围护或无围护时，计算结构周期不折减；</w:t>
      </w:r>
    </w:p>
    <w:p>
      <w:pPr>
        <w:pStyle w:val="18"/>
        <w:ind w:firstLine="409" w:firstLineChars="195"/>
        <w:rPr>
          <w:rFonts w:hAnsi="宋体"/>
          <w:bCs/>
          <w:color w:val="000000" w:themeColor="text1"/>
          <w:spacing w:val="0"/>
          <w14:textFill>
            <w14:solidFill>
              <w14:schemeClr w14:val="tx1"/>
            </w14:solidFill>
          </w14:textFill>
        </w:rPr>
      </w:pPr>
      <w:r>
        <w:rPr>
          <w:rFonts w:hint="eastAsia" w:hAnsi="宋体"/>
          <w:bCs/>
          <w:color w:val="000000" w:themeColor="text1"/>
          <w:spacing w:val="0"/>
          <w14:textFill>
            <w14:solidFill>
              <w14:schemeClr w14:val="tx1"/>
            </w14:solidFill>
          </w14:textFill>
        </w:rPr>
        <w:t>4</w:t>
      </w:r>
      <w:r>
        <w:rPr>
          <w:rFonts w:hAnsi="宋体"/>
          <w:bCs/>
          <w:color w:val="000000" w:themeColor="text1"/>
          <w:spacing w:val="0"/>
          <w14:textFill>
            <w14:solidFill>
              <w14:schemeClr w14:val="tx1"/>
            </w14:solidFill>
          </w14:textFill>
        </w:rPr>
        <w:t xml:space="preserve"> </w:t>
      </w:r>
      <w:r>
        <w:rPr>
          <w:rFonts w:hint="eastAsia" w:hAnsi="宋体"/>
          <w:bCs/>
          <w:color w:val="000000" w:themeColor="text1"/>
          <w:spacing w:val="0"/>
          <w14:textFill>
            <w14:solidFill>
              <w14:schemeClr w14:val="tx1"/>
            </w14:solidFill>
          </w14:textFill>
        </w:rPr>
        <w:t>层间位移不做要求，结构顶点位移宜满足如下要求：</w:t>
      </w:r>
    </w:p>
    <w:p>
      <w:pPr>
        <w:pStyle w:val="18"/>
        <w:ind w:firstLine="840" w:firstLineChars="40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1</w:t>
      </w:r>
      <w:r>
        <w:rPr>
          <w:rFonts w:hint="eastAsia" w:hAnsi="宋体"/>
          <w:bCs/>
          <w:color w:val="000000" w:themeColor="text1"/>
          <w:spacing w:val="0"/>
          <w14:textFill>
            <w14:solidFill>
              <w14:schemeClr w14:val="tx1"/>
            </w14:solidFill>
          </w14:textFill>
        </w:rPr>
        <w:t>）结构性能系数</w:t>
      </w:r>
      <w:r>
        <w:rPr>
          <w:rFonts w:hAnsi="宋体"/>
          <w:bCs/>
          <w:color w:val="000000" w:themeColor="text1"/>
          <w:spacing w:val="0"/>
          <w14:textFill>
            <w14:solidFill>
              <w14:schemeClr w14:val="tx1"/>
            </w14:solidFill>
          </w14:textFill>
        </w:rPr>
        <w:t>q=1</w:t>
      </w:r>
      <w:r>
        <w:rPr>
          <w:rFonts w:hint="eastAsia" w:hAnsi="宋体"/>
          <w:bCs/>
          <w:color w:val="000000" w:themeColor="text1"/>
          <w:spacing w:val="0"/>
          <w14:textFill>
            <w14:solidFill>
              <w14:schemeClr w14:val="tx1"/>
            </w14:solidFill>
          </w14:textFill>
        </w:rPr>
        <w:t>时，结构顶点位移不宜大于</w:t>
      </w:r>
      <w:r>
        <w:rPr>
          <w:rFonts w:hAnsi="宋体"/>
          <w:bCs/>
          <w:color w:val="000000" w:themeColor="text1"/>
          <w:spacing w:val="0"/>
          <w14:textFill>
            <w14:solidFill>
              <w14:schemeClr w14:val="tx1"/>
            </w14:solidFill>
          </w14:textFill>
        </w:rPr>
        <w:t>1/200</w:t>
      </w:r>
      <w:r>
        <w:rPr>
          <w:rFonts w:hint="eastAsia" w:hAnsi="宋体"/>
          <w:bCs/>
          <w:color w:val="000000" w:themeColor="text1"/>
          <w:spacing w:val="0"/>
          <w14:textFill>
            <w14:solidFill>
              <w14:schemeClr w14:val="tx1"/>
            </w14:solidFill>
          </w14:textFill>
        </w:rPr>
        <w:t>；</w:t>
      </w:r>
    </w:p>
    <w:p>
      <w:pPr>
        <w:autoSpaceDE w:val="0"/>
        <w:autoSpaceDN w:val="0"/>
        <w:spacing w:line="360" w:lineRule="auto"/>
        <w:ind w:firstLine="840" w:firstLineChars="400"/>
        <w:jc w:val="left"/>
        <w:rPr>
          <w:rFonts w:ascii="宋体" w:hAnsi="宋体" w:cs="Times New Roman"/>
          <w:bCs/>
          <w:color w:val="000000" w:themeColor="text1"/>
          <w:kern w:val="0"/>
          <w:szCs w:val="20"/>
          <w14:textFill>
            <w14:solidFill>
              <w14:schemeClr w14:val="tx1"/>
            </w14:solidFill>
          </w14:textFill>
        </w:rPr>
      </w:pPr>
      <w:r>
        <w:rPr>
          <w:rFonts w:ascii="宋体" w:hAnsi="宋体" w:cs="Times New Roman"/>
          <w:bCs/>
          <w:color w:val="000000" w:themeColor="text1"/>
          <w:kern w:val="0"/>
          <w:szCs w:val="20"/>
          <w14:textFill>
            <w14:solidFill>
              <w14:schemeClr w14:val="tx1"/>
            </w14:solidFill>
          </w14:textFill>
        </w:rPr>
        <w:t>2</w:t>
      </w:r>
      <w:r>
        <w:rPr>
          <w:rFonts w:hint="eastAsia" w:ascii="宋体" w:hAnsi="宋体" w:cs="Times New Roman"/>
          <w:bCs/>
          <w:color w:val="000000" w:themeColor="text1"/>
          <w:kern w:val="0"/>
          <w:szCs w:val="20"/>
          <w14:textFill>
            <w14:solidFill>
              <w14:schemeClr w14:val="tx1"/>
            </w14:solidFill>
          </w14:textFill>
        </w:rPr>
        <w:t>）结构性能系数</w:t>
      </w:r>
      <w:r>
        <w:rPr>
          <w:rFonts w:ascii="宋体" w:hAnsi="宋体" w:cs="Times New Roman"/>
          <w:bCs/>
          <w:color w:val="000000" w:themeColor="text1"/>
          <w:kern w:val="0"/>
          <w:szCs w:val="20"/>
          <w14:textFill>
            <w14:solidFill>
              <w14:schemeClr w14:val="tx1"/>
            </w14:solidFill>
          </w14:textFill>
        </w:rPr>
        <w:t>q=2时，结构顶点位移不宜大于1/100。</w:t>
      </w:r>
    </w:p>
    <w:p>
      <w:pPr>
        <w:autoSpaceDE w:val="0"/>
        <w:autoSpaceDN w:val="0"/>
        <w:spacing w:line="360" w:lineRule="auto"/>
        <w:ind w:firstLine="0" w:firstLineChars="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11.1.3 </w:t>
      </w:r>
      <w:r>
        <w:rPr>
          <w:rFonts w:hint="eastAsia" w:ascii="宋体" w:hAnsi="宋体" w:cs="Arial"/>
          <w:bCs/>
          <w:color w:val="000000" w:themeColor="text1"/>
          <w:kern w:val="0"/>
          <w:szCs w:val="21"/>
          <w14:textFill>
            <w14:solidFill>
              <w14:schemeClr w14:val="tx1"/>
            </w14:solidFill>
          </w14:textFill>
        </w:rPr>
        <w:t>多层钢结构的结构类型宜按如下选型：</w:t>
      </w:r>
    </w:p>
    <w:p>
      <w:pPr>
        <w:autoSpaceDE w:val="0"/>
        <w:autoSpaceDN w:val="0"/>
        <w:spacing w:line="360" w:lineRule="auto"/>
        <w:ind w:firstLine="42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1 </w:t>
      </w:r>
      <w:r>
        <w:rPr>
          <w:rFonts w:hint="eastAsia" w:ascii="宋体" w:hAnsi="宋体" w:cs="Arial"/>
          <w:bCs/>
          <w:color w:val="000000" w:themeColor="text1"/>
          <w:kern w:val="0"/>
          <w:szCs w:val="21"/>
          <w14:textFill>
            <w14:solidFill>
              <w14:schemeClr w14:val="tx1"/>
            </w14:solidFill>
          </w14:textFill>
        </w:rPr>
        <w:t>应优先采用钢框架</w:t>
      </w:r>
      <w:r>
        <w:rPr>
          <w:rFonts w:ascii="宋体" w:hAnsi="宋体" w:cs="Arial"/>
          <w:bCs/>
          <w:color w:val="000000" w:themeColor="text1"/>
          <w:kern w:val="0"/>
          <w:szCs w:val="21"/>
          <w14:textFill>
            <w14:solidFill>
              <w14:schemeClr w14:val="tx1"/>
            </w14:solidFill>
          </w14:textFill>
        </w:rPr>
        <w:t>-</w:t>
      </w:r>
      <w:r>
        <w:rPr>
          <w:rFonts w:hint="eastAsia" w:ascii="宋体" w:hAnsi="宋体" w:cs="Arial"/>
          <w:bCs/>
          <w:color w:val="000000" w:themeColor="text1"/>
          <w:kern w:val="0"/>
          <w:szCs w:val="21"/>
          <w14:textFill>
            <w14:solidFill>
              <w14:schemeClr w14:val="tx1"/>
            </w14:solidFill>
          </w14:textFill>
        </w:rPr>
        <w:t>支撑结构。</w:t>
      </w:r>
    </w:p>
    <w:p>
      <w:pPr>
        <w:autoSpaceDE w:val="0"/>
        <w:autoSpaceDN w:val="0"/>
        <w:spacing w:line="360" w:lineRule="auto"/>
        <w:ind w:firstLine="42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2 </w:t>
      </w:r>
      <w:r>
        <w:rPr>
          <w:rFonts w:hint="eastAsia" w:ascii="宋体" w:hAnsi="宋体" w:cs="Arial"/>
          <w:bCs/>
          <w:color w:val="000000" w:themeColor="text1"/>
          <w:kern w:val="0"/>
          <w:szCs w:val="21"/>
          <w14:textFill>
            <w14:solidFill>
              <w14:schemeClr w14:val="tx1"/>
            </w14:solidFill>
          </w14:textFill>
        </w:rPr>
        <w:t>当按工艺使用要求布置支撑困难时，也可采用钢框架结构。</w:t>
      </w:r>
    </w:p>
    <w:p>
      <w:pPr>
        <w:autoSpaceDE w:val="0"/>
        <w:autoSpaceDN w:val="0"/>
        <w:spacing w:line="360" w:lineRule="auto"/>
        <w:ind w:firstLine="42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3 </w:t>
      </w:r>
      <w:r>
        <w:rPr>
          <w:rFonts w:hint="eastAsia" w:ascii="宋体" w:hAnsi="宋体" w:cs="Arial"/>
          <w:bCs/>
          <w:color w:val="000000" w:themeColor="text1"/>
          <w:kern w:val="0"/>
          <w:szCs w:val="21"/>
          <w14:textFill>
            <w14:solidFill>
              <w14:schemeClr w14:val="tx1"/>
            </w14:solidFill>
          </w14:textFill>
        </w:rPr>
        <w:t>多层钢结构抗震设计应遵循技术可靠、经济合理的原则，根据设防类别、设防烈度及结构高度选用弹性结构、弹塑性结构或塑性结构。</w:t>
      </w:r>
    </w:p>
    <w:p>
      <w:pPr>
        <w:autoSpaceDE w:val="0"/>
        <w:autoSpaceDN w:val="0"/>
        <w:spacing w:line="360" w:lineRule="auto"/>
        <w:ind w:firstLine="42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4 8</w:t>
      </w:r>
      <w:r>
        <w:rPr>
          <w:rFonts w:hint="eastAsia" w:ascii="宋体" w:hAnsi="宋体" w:cs="Arial"/>
          <w:bCs/>
          <w:color w:val="000000" w:themeColor="text1"/>
          <w:kern w:val="0"/>
          <w:szCs w:val="21"/>
          <w14:textFill>
            <w14:solidFill>
              <w14:schemeClr w14:val="tx1"/>
            </w14:solidFill>
          </w14:textFill>
        </w:rPr>
        <w:t>度区或高度超过</w:t>
      </w:r>
      <w:r>
        <w:rPr>
          <w:rFonts w:ascii="宋体" w:hAnsi="宋体" w:cs="Arial"/>
          <w:bCs/>
          <w:color w:val="000000" w:themeColor="text1"/>
          <w:kern w:val="0"/>
          <w:szCs w:val="21"/>
          <w14:textFill>
            <w14:solidFill>
              <w14:schemeClr w14:val="tx1"/>
            </w14:solidFill>
          </w14:textFill>
        </w:rPr>
        <w:t>50m</w:t>
      </w:r>
      <w:r>
        <w:rPr>
          <w:rFonts w:hint="eastAsia" w:ascii="宋体" w:hAnsi="宋体" w:cs="Arial"/>
          <w:bCs/>
          <w:color w:val="000000" w:themeColor="text1"/>
          <w:kern w:val="0"/>
          <w:szCs w:val="21"/>
          <w14:textFill>
            <w14:solidFill>
              <w14:schemeClr w14:val="tx1"/>
            </w14:solidFill>
          </w14:textFill>
        </w:rPr>
        <w:t>的多层钢结构，柱脚采用外露式柱脚时，宜选用靴梁式柱脚，并按塑性结构的要求进行柱脚设计。</w:t>
      </w:r>
    </w:p>
    <w:p>
      <w:pPr>
        <w:autoSpaceDE w:val="0"/>
        <w:autoSpaceDN w:val="0"/>
        <w:spacing w:line="360" w:lineRule="auto"/>
        <w:ind w:firstLine="0" w:firstLineChars="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11.1.4 </w:t>
      </w:r>
      <w:r>
        <w:rPr>
          <w:rFonts w:hint="eastAsia" w:ascii="宋体" w:hAnsi="宋体" w:cs="Arial"/>
          <w:bCs/>
          <w:color w:val="000000" w:themeColor="text1"/>
          <w:kern w:val="0"/>
          <w:szCs w:val="21"/>
          <w14:textFill>
            <w14:solidFill>
              <w14:schemeClr w14:val="tx1"/>
            </w14:solidFill>
          </w14:textFill>
        </w:rPr>
        <w:t>多层钢结构采用塑性结构、弹塑性结构进行设计时，应符合本标准的设计要求。</w:t>
      </w:r>
    </w:p>
    <w:p>
      <w:pPr>
        <w:spacing w:line="360" w:lineRule="auto"/>
        <w:ind w:firstLine="0" w:firstLineChars="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11.1.5 </w:t>
      </w:r>
      <w:r>
        <w:rPr>
          <w:rFonts w:hint="eastAsia" w:ascii="宋体" w:hAnsi="宋体" w:cs="HiddenHorzOCR"/>
          <w:bCs/>
          <w:color w:val="000000" w:themeColor="text1"/>
          <w:kern w:val="0"/>
          <w:szCs w:val="21"/>
          <w14:textFill>
            <w14:solidFill>
              <w14:schemeClr w14:val="tx1"/>
            </w14:solidFill>
          </w14:textFill>
        </w:rPr>
        <w:t>多层钢结构的最大高宽比不宜超过表</w:t>
      </w:r>
      <w:r>
        <w:rPr>
          <w:rFonts w:ascii="宋体" w:hAnsi="宋体" w:cs="HiddenHorzOCR"/>
          <w:bCs/>
          <w:color w:val="000000" w:themeColor="text1"/>
          <w:kern w:val="0"/>
          <w:szCs w:val="21"/>
          <w14:textFill>
            <w14:solidFill>
              <w14:schemeClr w14:val="tx1"/>
            </w14:solidFill>
          </w14:textFill>
        </w:rPr>
        <w:t>7.4.1</w:t>
      </w:r>
      <w:r>
        <w:rPr>
          <w:rFonts w:hint="eastAsia" w:ascii="宋体" w:hAnsi="宋体" w:cs="HiddenHorzOCR"/>
          <w:bCs/>
          <w:color w:val="000000" w:themeColor="text1"/>
          <w:kern w:val="0"/>
          <w:szCs w:val="21"/>
          <w14:textFill>
            <w14:solidFill>
              <w14:schemeClr w14:val="tx1"/>
            </w14:solidFill>
          </w14:textFill>
        </w:rPr>
        <w:t>的规定。</w:t>
      </w:r>
    </w:p>
    <w:p>
      <w:pPr>
        <w:pStyle w:val="18"/>
        <w:ind w:left="359" w:leftChars="171" w:firstLine="1955" w:firstLineChars="931"/>
        <w:rPr>
          <w:rFonts w:hAnsi="宋体" w:cs="HiddenHorzOCR"/>
          <w:bCs/>
          <w:color w:val="000000" w:themeColor="text1"/>
          <w:spacing w:val="0"/>
          <w:szCs w:val="21"/>
          <w14:textFill>
            <w14:solidFill>
              <w14:schemeClr w14:val="tx1"/>
            </w14:solidFill>
          </w14:textFill>
        </w:rPr>
      </w:pPr>
      <w:r>
        <w:rPr>
          <w:rFonts w:hint="eastAsia" w:hAnsi="宋体" w:cs="HiddenHorzOCR"/>
          <w:bCs/>
          <w:color w:val="000000" w:themeColor="text1"/>
          <w:spacing w:val="0"/>
          <w:szCs w:val="21"/>
          <w14:textFill>
            <w14:solidFill>
              <w14:schemeClr w14:val="tx1"/>
            </w14:solidFill>
          </w14:textFill>
        </w:rPr>
        <w:t>表</w:t>
      </w:r>
      <w:r>
        <w:rPr>
          <w:rFonts w:hAnsi="宋体" w:cs="HiddenHorzOCR"/>
          <w:bCs/>
          <w:color w:val="000000" w:themeColor="text1"/>
          <w:spacing w:val="0"/>
          <w:szCs w:val="21"/>
          <w14:textFill>
            <w14:solidFill>
              <w14:schemeClr w14:val="tx1"/>
            </w14:solidFill>
          </w14:textFill>
        </w:rPr>
        <w:t xml:space="preserve">7.4.1           </w:t>
      </w:r>
      <w:r>
        <w:rPr>
          <w:rFonts w:hint="eastAsia" w:hAnsi="宋体" w:cs="HiddenHorzOCR"/>
          <w:bCs/>
          <w:color w:val="000000" w:themeColor="text1"/>
          <w:spacing w:val="0"/>
          <w:szCs w:val="21"/>
          <w14:textFill>
            <w14:solidFill>
              <w14:schemeClr w14:val="tx1"/>
            </w14:solidFill>
          </w14:textFill>
        </w:rPr>
        <w:t>最大高宽比</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2101"/>
        <w:gridCol w:w="2101"/>
        <w:gridCol w:w="2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1" w:type="dxa"/>
            <w:tcBorders>
              <w:top w:val="single" w:color="auto" w:sz="4" w:space="0"/>
              <w:left w:val="single" w:color="auto" w:sz="4" w:space="0"/>
              <w:bottom w:val="single" w:color="auto" w:sz="4" w:space="0"/>
              <w:right w:val="single" w:color="auto" w:sz="4" w:space="0"/>
            </w:tcBorders>
          </w:tcPr>
          <w:p>
            <w:pPr>
              <w:pStyle w:val="18"/>
              <w:ind w:firstLine="0" w:firstLineChars="0"/>
              <w:jc w:val="center"/>
              <w:rPr>
                <w:rFonts w:hAnsi="宋体"/>
                <w:bCs/>
                <w:color w:val="000000" w:themeColor="text1"/>
                <w:sz w:val="18"/>
                <w14:textFill>
                  <w14:solidFill>
                    <w14:schemeClr w14:val="tx1"/>
                  </w14:solidFill>
                </w14:textFill>
              </w:rPr>
            </w:pPr>
            <w:r>
              <w:rPr>
                <w:rFonts w:hint="eastAsia" w:hAnsi="宋体"/>
                <w:bCs/>
                <w:color w:val="000000" w:themeColor="text1"/>
                <w:sz w:val="18"/>
                <w14:textFill>
                  <w14:solidFill>
                    <w14:schemeClr w14:val="tx1"/>
                  </w14:solidFill>
                </w14:textFill>
              </w:rPr>
              <w:t>烈度</w:t>
            </w:r>
          </w:p>
        </w:tc>
        <w:tc>
          <w:tcPr>
            <w:tcW w:w="2101" w:type="dxa"/>
            <w:tcBorders>
              <w:top w:val="single" w:color="auto" w:sz="4" w:space="0"/>
              <w:left w:val="single" w:color="auto" w:sz="4" w:space="0"/>
              <w:bottom w:val="single" w:color="auto" w:sz="4" w:space="0"/>
              <w:right w:val="single" w:color="auto" w:sz="4" w:space="0"/>
            </w:tcBorders>
          </w:tcPr>
          <w:p>
            <w:pPr>
              <w:pStyle w:val="18"/>
              <w:ind w:firstLine="0" w:firstLineChars="0"/>
              <w:jc w:val="center"/>
              <w:rPr>
                <w:rFonts w:hAnsi="宋体"/>
                <w:bCs/>
                <w:color w:val="000000" w:themeColor="text1"/>
                <w:sz w:val="18"/>
                <w14:textFill>
                  <w14:solidFill>
                    <w14:schemeClr w14:val="tx1"/>
                  </w14:solidFill>
                </w14:textFill>
              </w:rPr>
            </w:pPr>
            <w:r>
              <w:rPr>
                <w:rFonts w:hAnsi="宋体"/>
                <w:bCs/>
                <w:color w:val="000000" w:themeColor="text1"/>
                <w:sz w:val="18"/>
                <w14:textFill>
                  <w14:solidFill>
                    <w14:schemeClr w14:val="tx1"/>
                  </w14:solidFill>
                </w14:textFill>
              </w:rPr>
              <w:t>6</w:t>
            </w:r>
            <w:r>
              <w:rPr>
                <w:rFonts w:hint="eastAsia" w:hAnsi="宋体"/>
                <w:bCs/>
                <w:color w:val="000000" w:themeColor="text1"/>
                <w:sz w:val="18"/>
                <w14:textFill>
                  <w14:solidFill>
                    <w14:schemeClr w14:val="tx1"/>
                  </w14:solidFill>
                </w14:textFill>
              </w:rPr>
              <w:t>度、</w:t>
            </w:r>
            <w:r>
              <w:rPr>
                <w:rFonts w:hAnsi="宋体"/>
                <w:bCs/>
                <w:color w:val="000000" w:themeColor="text1"/>
                <w:sz w:val="18"/>
                <w14:textFill>
                  <w14:solidFill>
                    <w14:schemeClr w14:val="tx1"/>
                  </w14:solidFill>
                </w14:textFill>
              </w:rPr>
              <w:t>7</w:t>
            </w:r>
            <w:r>
              <w:rPr>
                <w:rFonts w:hint="eastAsia" w:hAnsi="宋体"/>
                <w:bCs/>
                <w:color w:val="000000" w:themeColor="text1"/>
                <w:sz w:val="18"/>
                <w14:textFill>
                  <w14:solidFill>
                    <w14:schemeClr w14:val="tx1"/>
                  </w14:solidFill>
                </w14:textFill>
              </w:rPr>
              <w:t>度</w:t>
            </w:r>
          </w:p>
        </w:tc>
        <w:tc>
          <w:tcPr>
            <w:tcW w:w="2101" w:type="dxa"/>
            <w:tcBorders>
              <w:top w:val="single" w:color="auto" w:sz="4" w:space="0"/>
              <w:left w:val="single" w:color="auto" w:sz="4" w:space="0"/>
              <w:bottom w:val="single" w:color="auto" w:sz="4" w:space="0"/>
              <w:right w:val="single" w:color="auto" w:sz="4" w:space="0"/>
            </w:tcBorders>
          </w:tcPr>
          <w:p>
            <w:pPr>
              <w:pStyle w:val="18"/>
              <w:ind w:firstLine="0" w:firstLineChars="0"/>
              <w:jc w:val="center"/>
              <w:rPr>
                <w:rFonts w:hAnsi="宋体"/>
                <w:bCs/>
                <w:color w:val="000000" w:themeColor="text1"/>
                <w:sz w:val="18"/>
                <w14:textFill>
                  <w14:solidFill>
                    <w14:schemeClr w14:val="tx1"/>
                  </w14:solidFill>
                </w14:textFill>
              </w:rPr>
            </w:pPr>
            <w:r>
              <w:rPr>
                <w:rFonts w:hAnsi="宋体"/>
                <w:bCs/>
                <w:color w:val="000000" w:themeColor="text1"/>
                <w:sz w:val="18"/>
                <w14:textFill>
                  <w14:solidFill>
                    <w14:schemeClr w14:val="tx1"/>
                  </w14:solidFill>
                </w14:textFill>
              </w:rPr>
              <w:t>8</w:t>
            </w:r>
            <w:r>
              <w:rPr>
                <w:rFonts w:hint="eastAsia" w:hAnsi="宋体"/>
                <w:bCs/>
                <w:color w:val="000000" w:themeColor="text1"/>
                <w:sz w:val="18"/>
                <w14:textFill>
                  <w14:solidFill>
                    <w14:schemeClr w14:val="tx1"/>
                  </w14:solidFill>
                </w14:textFill>
              </w:rPr>
              <w:t>度</w:t>
            </w:r>
          </w:p>
        </w:tc>
        <w:tc>
          <w:tcPr>
            <w:tcW w:w="2102" w:type="dxa"/>
            <w:tcBorders>
              <w:top w:val="single" w:color="auto" w:sz="4" w:space="0"/>
              <w:left w:val="single" w:color="auto" w:sz="4" w:space="0"/>
              <w:bottom w:val="single" w:color="auto" w:sz="4" w:space="0"/>
              <w:right w:val="single" w:color="auto" w:sz="4" w:space="0"/>
            </w:tcBorders>
          </w:tcPr>
          <w:p>
            <w:pPr>
              <w:pStyle w:val="18"/>
              <w:ind w:firstLine="0" w:firstLineChars="0"/>
              <w:jc w:val="center"/>
              <w:rPr>
                <w:rFonts w:hAnsi="宋体"/>
                <w:bCs/>
                <w:color w:val="000000" w:themeColor="text1"/>
                <w:sz w:val="18"/>
                <w14:textFill>
                  <w14:solidFill>
                    <w14:schemeClr w14:val="tx1"/>
                  </w14:solidFill>
                </w14:textFill>
              </w:rPr>
            </w:pPr>
            <w:r>
              <w:rPr>
                <w:rFonts w:hAnsi="宋体"/>
                <w:bCs/>
                <w:color w:val="000000" w:themeColor="text1"/>
                <w:sz w:val="18"/>
                <w14:textFill>
                  <w14:solidFill>
                    <w14:schemeClr w14:val="tx1"/>
                  </w14:solidFill>
                </w14:textFill>
              </w:rPr>
              <w:t>9</w:t>
            </w:r>
            <w:r>
              <w:rPr>
                <w:rFonts w:hint="eastAsia" w:hAnsi="宋体"/>
                <w:bCs/>
                <w:color w:val="000000" w:themeColor="text1"/>
                <w:sz w:val="18"/>
                <w14:textFill>
                  <w14:solidFill>
                    <w14:schemeClr w14:val="tx1"/>
                  </w14:solidFill>
                </w14:textFill>
              </w:rPr>
              <w:t>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1" w:type="dxa"/>
            <w:tcBorders>
              <w:top w:val="single" w:color="auto" w:sz="4" w:space="0"/>
              <w:left w:val="single" w:color="auto" w:sz="4" w:space="0"/>
              <w:bottom w:val="single" w:color="auto" w:sz="4" w:space="0"/>
              <w:right w:val="single" w:color="auto" w:sz="4" w:space="0"/>
            </w:tcBorders>
          </w:tcPr>
          <w:p>
            <w:pPr>
              <w:pStyle w:val="18"/>
              <w:ind w:firstLine="0" w:firstLineChars="0"/>
              <w:jc w:val="center"/>
              <w:rPr>
                <w:rFonts w:hAnsi="宋体"/>
                <w:bCs/>
                <w:color w:val="000000" w:themeColor="text1"/>
                <w:sz w:val="18"/>
                <w14:textFill>
                  <w14:solidFill>
                    <w14:schemeClr w14:val="tx1"/>
                  </w14:solidFill>
                </w14:textFill>
              </w:rPr>
            </w:pPr>
            <w:r>
              <w:rPr>
                <w:rFonts w:hint="eastAsia" w:hAnsi="宋体"/>
                <w:bCs/>
                <w:color w:val="000000" w:themeColor="text1"/>
                <w:sz w:val="18"/>
                <w14:textFill>
                  <w14:solidFill>
                    <w14:schemeClr w14:val="tx1"/>
                  </w14:solidFill>
                </w14:textFill>
              </w:rPr>
              <w:t>最大高宽比</w:t>
            </w:r>
          </w:p>
        </w:tc>
        <w:tc>
          <w:tcPr>
            <w:tcW w:w="2101" w:type="dxa"/>
            <w:tcBorders>
              <w:top w:val="single" w:color="auto" w:sz="4" w:space="0"/>
              <w:left w:val="single" w:color="auto" w:sz="4" w:space="0"/>
              <w:bottom w:val="single" w:color="auto" w:sz="4" w:space="0"/>
              <w:right w:val="single" w:color="auto" w:sz="4" w:space="0"/>
            </w:tcBorders>
          </w:tcPr>
          <w:p>
            <w:pPr>
              <w:pStyle w:val="18"/>
              <w:ind w:firstLine="0" w:firstLineChars="0"/>
              <w:jc w:val="center"/>
              <w:rPr>
                <w:rFonts w:hAnsi="宋体"/>
                <w:bCs/>
                <w:color w:val="000000" w:themeColor="text1"/>
                <w:spacing w:val="0"/>
                <w:sz w:val="18"/>
                <w14:textFill>
                  <w14:solidFill>
                    <w14:schemeClr w14:val="tx1"/>
                  </w14:solidFill>
                </w14:textFill>
              </w:rPr>
            </w:pPr>
            <w:r>
              <w:rPr>
                <w:rFonts w:hAnsi="宋体"/>
                <w:bCs/>
                <w:color w:val="000000" w:themeColor="text1"/>
                <w:spacing w:val="0"/>
                <w:sz w:val="18"/>
                <w14:textFill>
                  <w14:solidFill>
                    <w14:schemeClr w14:val="tx1"/>
                  </w14:solidFill>
                </w14:textFill>
              </w:rPr>
              <w:t>7.5</w:t>
            </w:r>
          </w:p>
        </w:tc>
        <w:tc>
          <w:tcPr>
            <w:tcW w:w="2101" w:type="dxa"/>
            <w:tcBorders>
              <w:top w:val="single" w:color="auto" w:sz="4" w:space="0"/>
              <w:left w:val="single" w:color="auto" w:sz="4" w:space="0"/>
              <w:bottom w:val="single" w:color="auto" w:sz="4" w:space="0"/>
              <w:right w:val="single" w:color="auto" w:sz="4" w:space="0"/>
            </w:tcBorders>
          </w:tcPr>
          <w:p>
            <w:pPr>
              <w:pStyle w:val="18"/>
              <w:ind w:firstLine="0" w:firstLineChars="0"/>
              <w:jc w:val="center"/>
              <w:rPr>
                <w:rFonts w:hAnsi="宋体"/>
                <w:bCs/>
                <w:color w:val="000000" w:themeColor="text1"/>
                <w:sz w:val="18"/>
                <w14:textFill>
                  <w14:solidFill>
                    <w14:schemeClr w14:val="tx1"/>
                  </w14:solidFill>
                </w14:textFill>
              </w:rPr>
            </w:pPr>
            <w:r>
              <w:rPr>
                <w:rFonts w:hAnsi="宋体"/>
                <w:bCs/>
                <w:color w:val="000000" w:themeColor="text1"/>
                <w:sz w:val="18"/>
                <w14:textFill>
                  <w14:solidFill>
                    <w14:schemeClr w14:val="tx1"/>
                  </w14:solidFill>
                </w14:textFill>
              </w:rPr>
              <w:t>7</w:t>
            </w:r>
          </w:p>
        </w:tc>
        <w:tc>
          <w:tcPr>
            <w:tcW w:w="2102" w:type="dxa"/>
            <w:tcBorders>
              <w:top w:val="single" w:color="auto" w:sz="4" w:space="0"/>
              <w:left w:val="single" w:color="auto" w:sz="4" w:space="0"/>
              <w:bottom w:val="single" w:color="auto" w:sz="4" w:space="0"/>
              <w:right w:val="single" w:color="auto" w:sz="4" w:space="0"/>
            </w:tcBorders>
          </w:tcPr>
          <w:p>
            <w:pPr>
              <w:pStyle w:val="18"/>
              <w:ind w:firstLine="0" w:firstLineChars="0"/>
              <w:jc w:val="center"/>
              <w:rPr>
                <w:rFonts w:hAnsi="宋体"/>
                <w:bCs/>
                <w:color w:val="000000" w:themeColor="text1"/>
                <w:spacing w:val="0"/>
                <w:sz w:val="18"/>
                <w14:textFill>
                  <w14:solidFill>
                    <w14:schemeClr w14:val="tx1"/>
                  </w14:solidFill>
                </w14:textFill>
              </w:rPr>
            </w:pPr>
            <w:r>
              <w:rPr>
                <w:rFonts w:hAnsi="宋体"/>
                <w:bCs/>
                <w:color w:val="000000" w:themeColor="text1"/>
                <w:spacing w:val="0"/>
                <w:sz w:val="18"/>
                <w14:textFill>
                  <w14:solidFill>
                    <w14:schemeClr w14:val="tx1"/>
                  </w14:solidFill>
                </w14:textFill>
              </w:rPr>
              <w:t>6.5</w:t>
            </w:r>
          </w:p>
        </w:tc>
      </w:tr>
    </w:tbl>
    <w:p>
      <w:pPr>
        <w:autoSpaceDE w:val="0"/>
        <w:autoSpaceDN w:val="0"/>
        <w:spacing w:line="360" w:lineRule="auto"/>
        <w:ind w:left="960" w:leftChars="200" w:hanging="540" w:hangingChars="300"/>
        <w:jc w:val="left"/>
        <w:rPr>
          <w:rFonts w:ascii="宋体" w:hAnsi="宋体" w:cs="HiddenHorzOCR"/>
          <w:bCs/>
          <w:color w:val="000000" w:themeColor="text1"/>
          <w:kern w:val="0"/>
          <w:szCs w:val="21"/>
          <w14:textFill>
            <w14:solidFill>
              <w14:schemeClr w14:val="tx1"/>
            </w14:solidFill>
          </w14:textFill>
        </w:rPr>
      </w:pPr>
      <w:r>
        <w:rPr>
          <w:rFonts w:hint="eastAsia" w:ascii="宋体" w:hAnsi="宋体"/>
          <w:bCs/>
          <w:color w:val="000000" w:themeColor="text1"/>
          <w:sz w:val="18"/>
          <w14:textFill>
            <w14:solidFill>
              <w14:schemeClr w14:val="tx1"/>
            </w14:solidFill>
          </w14:textFill>
        </w:rPr>
        <w:t>注：</w:t>
      </w:r>
      <w:r>
        <w:rPr>
          <w:rFonts w:ascii="宋体" w:hAnsi="宋体"/>
          <w:bCs/>
          <w:color w:val="000000" w:themeColor="text1"/>
          <w:sz w:val="18"/>
          <w14:textFill>
            <w14:solidFill>
              <w14:schemeClr w14:val="tx1"/>
            </w14:solidFill>
          </w14:textFill>
        </w:rPr>
        <w:t xml:space="preserve">1 </w:t>
      </w:r>
      <w:r>
        <w:rPr>
          <w:rFonts w:hint="eastAsia" w:ascii="宋体" w:hAnsi="宋体"/>
          <w:bCs/>
          <w:color w:val="000000" w:themeColor="text1"/>
          <w:sz w:val="18"/>
          <w14:textFill>
            <w14:solidFill>
              <w14:schemeClr w14:val="tx1"/>
            </w14:solidFill>
          </w14:textFill>
        </w:rPr>
        <w:t>钢结构构筑物的高度指从设计地面至框架顶；若框架上有立式设备、空冷器等，高度应算至设备顶。</w:t>
      </w: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11.1.6 </w:t>
      </w:r>
      <w:r>
        <w:rPr>
          <w:rFonts w:hint="eastAsia" w:ascii="宋体" w:hAnsi="宋体" w:cs="HiddenHorzOCR"/>
          <w:bCs/>
          <w:color w:val="000000" w:themeColor="text1"/>
          <w:kern w:val="0"/>
          <w:szCs w:val="21"/>
          <w14:textFill>
            <w14:solidFill>
              <w14:schemeClr w14:val="tx1"/>
            </w14:solidFill>
          </w14:textFill>
        </w:rPr>
        <w:t>多层钢结构需要设置防震缝时，缝宽一般可取按设防地震烈度计算的可能碰撞点高度的水平位移值的</w:t>
      </w:r>
      <w:r>
        <w:rPr>
          <w:rFonts w:ascii="宋体" w:hAnsi="宋体" w:cs="HiddenHorzOCR"/>
          <w:bCs/>
          <w:color w:val="000000" w:themeColor="text1"/>
          <w:kern w:val="0"/>
          <w:szCs w:val="21"/>
          <w14:textFill>
            <w14:solidFill>
              <w14:schemeClr w14:val="tx1"/>
            </w14:solidFill>
          </w14:textFill>
        </w:rPr>
        <w:t>2</w:t>
      </w:r>
      <w:r>
        <w:rPr>
          <w:rFonts w:hint="eastAsia" w:ascii="宋体" w:hAnsi="宋体" w:cs="HiddenHorzOCR"/>
          <w:bCs/>
          <w:color w:val="000000" w:themeColor="text1"/>
          <w:kern w:val="0"/>
          <w:szCs w:val="21"/>
          <w14:textFill>
            <w14:solidFill>
              <w14:schemeClr w14:val="tx1"/>
            </w14:solidFill>
          </w14:textFill>
        </w:rPr>
        <w:t>倍，且不应小于相应钢筋混凝土结构的</w:t>
      </w:r>
      <w:r>
        <w:rPr>
          <w:rFonts w:ascii="宋体" w:hAnsi="宋体" w:cs="HiddenHorzOCR"/>
          <w:bCs/>
          <w:color w:val="000000" w:themeColor="text1"/>
          <w:kern w:val="0"/>
          <w:szCs w:val="21"/>
          <w14:textFill>
            <w14:solidFill>
              <w14:schemeClr w14:val="tx1"/>
            </w14:solidFill>
          </w14:textFill>
        </w:rPr>
        <w:t>1.5倍</w:t>
      </w:r>
      <w:r>
        <w:rPr>
          <w:rFonts w:hint="eastAsia" w:ascii="宋体" w:hAnsi="宋体" w:cs="HiddenHorzOCR"/>
          <w:bCs/>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11.1.7 </w:t>
      </w:r>
      <w:r>
        <w:rPr>
          <w:rFonts w:hint="eastAsia" w:ascii="宋体" w:hAnsi="宋体" w:cs="HiddenHorzOCR"/>
          <w:bCs/>
          <w:color w:val="000000" w:themeColor="text1"/>
          <w:kern w:val="0"/>
          <w:szCs w:val="21"/>
          <w14:textFill>
            <w14:solidFill>
              <w14:schemeClr w14:val="tx1"/>
            </w14:solidFill>
          </w14:textFill>
        </w:rPr>
        <w:t>塑性结构外露式柱脚的锚栓材质应符合塑性铰区钢材的要求。</w:t>
      </w: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p>
    <w:p>
      <w:pPr>
        <w:pStyle w:val="3"/>
      </w:pPr>
      <w:bookmarkStart w:id="213" w:name="_Toc48841059"/>
      <w:r>
        <w:rPr>
          <w:rFonts w:hint="eastAsia"/>
        </w:rPr>
        <w:t>抗震验算（</w:t>
      </w:r>
      <w:r>
        <w:t>1</w:t>
      </w:r>
      <w:r>
        <w:rPr>
          <w:rFonts w:hint="eastAsia"/>
        </w:rPr>
        <w:t>）——结构地震作用计算</w:t>
      </w:r>
      <w:bookmarkEnd w:id="213"/>
    </w:p>
    <w:p>
      <w:pPr>
        <w:pStyle w:val="53"/>
        <w:autoSpaceDE w:val="0"/>
        <w:autoSpaceDN w:val="0"/>
        <w:spacing w:line="360" w:lineRule="auto"/>
        <w:ind w:left="530" w:firstLine="0" w:firstLineChars="0"/>
        <w:rPr>
          <w:rFonts w:ascii="宋体" w:hAnsi="宋体" w:cs="Arial"/>
          <w:bCs/>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ascii="宋体" w:hAnsi="宋体" w:cs="Times New Roman"/>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11.2.1 </w:t>
      </w:r>
      <w:r>
        <w:rPr>
          <w:rFonts w:hint="eastAsia" w:ascii="宋体" w:hAnsi="宋体" w:cs="HiddenHorzOCR"/>
          <w:bCs/>
          <w:color w:val="000000" w:themeColor="text1"/>
          <w:kern w:val="0"/>
          <w:szCs w:val="21"/>
          <w14:textFill>
            <w14:solidFill>
              <w14:schemeClr w14:val="tx1"/>
            </w14:solidFill>
          </w14:textFill>
        </w:rPr>
        <w:t>多层钢</w:t>
      </w:r>
      <w:r>
        <w:rPr>
          <w:rFonts w:hint="eastAsia" w:ascii="宋体" w:hAnsi="宋体" w:cs="宋体"/>
          <w:bCs/>
          <w:color w:val="000000" w:themeColor="text1"/>
          <w:kern w:val="0"/>
          <w:szCs w:val="21"/>
          <w14:textFill>
            <w14:solidFill>
              <w14:schemeClr w14:val="tx1"/>
            </w14:solidFill>
          </w14:textFill>
        </w:rPr>
        <w:t>结构</w:t>
      </w:r>
      <w:r>
        <w:rPr>
          <w:rFonts w:hint="eastAsia" w:ascii="宋体" w:hAnsi="宋体" w:cs="HiddenHorzOCR"/>
          <w:bCs/>
          <w:color w:val="000000" w:themeColor="text1"/>
          <w:kern w:val="0"/>
          <w:szCs w:val="21"/>
          <w14:textFill>
            <w14:solidFill>
              <w14:schemeClr w14:val="tx1"/>
            </w14:solidFill>
          </w14:textFill>
        </w:rPr>
        <w:t>采用塑性结构、弹塑性结构或弹性结构类别进行设计时，应按表</w:t>
      </w:r>
      <w:r>
        <w:rPr>
          <w:rFonts w:ascii="宋体" w:hAnsi="宋体" w:cs="HiddenHorzOCR"/>
          <w:bCs/>
          <w:color w:val="000000" w:themeColor="text1"/>
          <w:kern w:val="0"/>
          <w:szCs w:val="21"/>
          <w14:textFill>
            <w14:solidFill>
              <w14:schemeClr w14:val="tx1"/>
            </w14:solidFill>
          </w14:textFill>
        </w:rPr>
        <w:t>9.2.2-1</w:t>
      </w:r>
      <w:r>
        <w:rPr>
          <w:rFonts w:hint="eastAsia" w:ascii="宋体" w:hAnsi="宋体" w:cs="HiddenHorzOCR"/>
          <w:bCs/>
          <w:color w:val="000000" w:themeColor="text1"/>
          <w:kern w:val="0"/>
          <w:szCs w:val="21"/>
          <w14:textFill>
            <w14:solidFill>
              <w14:schemeClr w14:val="tx1"/>
            </w14:solidFill>
          </w14:textFill>
        </w:rPr>
        <w:t>的规定采用相应的结构性能系数。</w:t>
      </w:r>
    </w:p>
    <w:p>
      <w:pPr>
        <w:pStyle w:val="18"/>
        <w:ind w:firstLine="0" w:firstLineChars="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 xml:space="preserve">11.2.2 </w:t>
      </w:r>
      <w:r>
        <w:rPr>
          <w:rFonts w:hint="eastAsia" w:hAnsi="宋体"/>
          <w:bCs/>
          <w:color w:val="000000" w:themeColor="text1"/>
          <w:spacing w:val="0"/>
          <w14:textFill>
            <w14:solidFill>
              <w14:schemeClr w14:val="tx1"/>
            </w14:solidFill>
          </w14:textFill>
        </w:rPr>
        <w:t>钢结构在地震作用下的内力和变形分析，当结构布置规则时，可分别沿结构横向、纵向按平面结构模型进行抗震计算，其他情况应采用空间结构模型进行抗震计算。</w:t>
      </w:r>
    </w:p>
    <w:p>
      <w:pPr>
        <w:autoSpaceDE w:val="0"/>
        <w:autoSpaceDN w:val="0"/>
        <w:spacing w:line="360" w:lineRule="auto"/>
        <w:ind w:firstLine="0" w:firstLineChars="0"/>
        <w:jc w:val="left"/>
        <w:rPr>
          <w:rFonts w:ascii="宋体" w:hAnsi="宋体" w:cs="MS Mincho"/>
          <w:bCs/>
          <w:color w:val="000000" w:themeColor="text1"/>
          <w:kern w:val="0"/>
          <w:szCs w:val="21"/>
          <w14:textFill>
            <w14:solidFill>
              <w14:schemeClr w14:val="tx1"/>
            </w14:solidFill>
          </w14:textFill>
        </w:rPr>
      </w:pPr>
      <w:r>
        <w:rPr>
          <w:rFonts w:ascii="宋体" w:hAnsi="宋体" w:cs="MS Mincho"/>
          <w:bCs/>
          <w:color w:val="000000" w:themeColor="text1"/>
          <w:kern w:val="0"/>
          <w:szCs w:val="21"/>
          <w14:textFill>
            <w14:solidFill>
              <w14:schemeClr w14:val="tx1"/>
            </w14:solidFill>
          </w14:textFill>
        </w:rPr>
        <w:t xml:space="preserve">11.2.3 </w:t>
      </w:r>
      <w:r>
        <w:rPr>
          <w:rFonts w:hint="eastAsia" w:ascii="宋体" w:hAnsi="宋体"/>
          <w:bCs/>
          <w:color w:val="000000" w:themeColor="text1"/>
          <w:szCs w:val="21"/>
          <w14:textFill>
            <w14:solidFill>
              <w14:schemeClr w14:val="tx1"/>
            </w14:solidFill>
          </w14:textFill>
        </w:rPr>
        <w:t>多层钢结构楼层支承设备时，设备地震作用按8.3节规定计算</w:t>
      </w:r>
      <w:r>
        <w:rPr>
          <w:rFonts w:hint="eastAsia" w:ascii="宋体" w:hAnsi="宋体" w:cs="MS Mincho"/>
          <w:bCs/>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cs="MS Mincho"/>
          <w:bCs/>
          <w:color w:val="000000" w:themeColor="text1"/>
          <w:kern w:val="0"/>
          <w:szCs w:val="21"/>
          <w14:textFill>
            <w14:solidFill>
              <w14:schemeClr w14:val="tx1"/>
            </w14:solidFill>
          </w14:textFill>
        </w:rPr>
        <w:t xml:space="preserve">11.2.4 </w:t>
      </w:r>
      <w:r>
        <w:rPr>
          <w:rFonts w:hint="eastAsia" w:ascii="宋体" w:hAnsi="宋体"/>
          <w:bCs/>
          <w:color w:val="000000" w:themeColor="text1"/>
          <w:szCs w:val="21"/>
          <w14:textFill>
            <w14:solidFill>
              <w14:schemeClr w14:val="tx1"/>
            </w14:solidFill>
          </w14:textFill>
        </w:rPr>
        <w:t>设备模型按等效质量和刚度模拟到整个结构模型时，水平支撑及设备层平台梁宜建入到结构模型。</w:t>
      </w:r>
    </w:p>
    <w:p>
      <w:pPr>
        <w:autoSpaceDE w:val="0"/>
        <w:autoSpaceDN w:val="0"/>
        <w:spacing w:line="360" w:lineRule="auto"/>
        <w:ind w:firstLine="0" w:firstLineChars="0"/>
        <w:jc w:val="left"/>
        <w:rPr>
          <w:rFonts w:ascii="宋体" w:hAnsi="宋体" w:cs="MS Mincho"/>
          <w:bCs/>
          <w:color w:val="000000" w:themeColor="text1"/>
          <w:kern w:val="0"/>
          <w:szCs w:val="21"/>
          <w14:textFill>
            <w14:solidFill>
              <w14:schemeClr w14:val="tx1"/>
            </w14:solidFill>
          </w14:textFill>
        </w:rPr>
      </w:pPr>
    </w:p>
    <w:p>
      <w:pPr>
        <w:pStyle w:val="3"/>
      </w:pPr>
      <w:bookmarkStart w:id="214" w:name="_Toc48841060"/>
      <w:r>
        <w:rPr>
          <w:rFonts w:hint="eastAsia"/>
        </w:rPr>
        <w:t>抗震验算（</w:t>
      </w:r>
      <w:r>
        <w:t>2</w:t>
      </w:r>
      <w:r>
        <w:rPr>
          <w:rFonts w:hint="eastAsia"/>
        </w:rPr>
        <w:t>）——结构地震作用及效应的调整</w:t>
      </w:r>
      <w:bookmarkEnd w:id="214"/>
    </w:p>
    <w:p>
      <w:pPr>
        <w:pStyle w:val="53"/>
        <w:autoSpaceDE w:val="0"/>
        <w:autoSpaceDN w:val="0"/>
        <w:spacing w:line="360" w:lineRule="auto"/>
        <w:ind w:left="530" w:firstLine="0" w:firstLineChars="0"/>
        <w:rPr>
          <w:rFonts w:ascii="宋体" w:hAnsi="宋体" w:cs="HiddenHorzOCR"/>
          <w:bCs/>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11.3.1 </w:t>
      </w:r>
      <w:r>
        <w:rPr>
          <w:rFonts w:hint="eastAsia" w:ascii="宋体" w:hAnsi="宋体" w:cs="HiddenHorzOCR"/>
          <w:bCs/>
          <w:color w:val="000000" w:themeColor="text1"/>
          <w:kern w:val="0"/>
          <w:szCs w:val="21"/>
          <w14:textFill>
            <w14:solidFill>
              <w14:schemeClr w14:val="tx1"/>
            </w14:solidFill>
          </w14:textFill>
        </w:rPr>
        <w:t>结构地震作用及效应的调整应符合</w:t>
      </w:r>
      <w:r>
        <w:rPr>
          <w:rFonts w:ascii="宋体" w:hAnsi="宋体" w:cs="HiddenHorzOCR"/>
          <w:bCs/>
          <w:color w:val="000000" w:themeColor="text1"/>
          <w:kern w:val="0"/>
          <w:szCs w:val="21"/>
          <w14:textFill>
            <w14:solidFill>
              <w14:schemeClr w14:val="tx1"/>
            </w14:solidFill>
          </w14:textFill>
        </w:rPr>
        <w:t>9.2.4</w:t>
      </w:r>
      <w:r>
        <w:rPr>
          <w:rFonts w:hint="eastAsia" w:ascii="宋体" w:hAnsi="宋体" w:cs="HiddenHorzOCR"/>
          <w:bCs/>
          <w:color w:val="000000" w:themeColor="text1"/>
          <w:kern w:val="0"/>
          <w:szCs w:val="21"/>
          <w14:textFill>
            <w14:solidFill>
              <w14:schemeClr w14:val="tx1"/>
            </w14:solidFill>
          </w14:textFill>
        </w:rPr>
        <w:t>条的规定。</w:t>
      </w: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11.3.2 </w:t>
      </w:r>
      <w:r>
        <w:rPr>
          <w:rFonts w:hint="eastAsia" w:ascii="宋体" w:hAnsi="宋体" w:cs="HiddenHorzOCR"/>
          <w:bCs/>
          <w:color w:val="000000" w:themeColor="text1"/>
          <w:kern w:val="0"/>
          <w:szCs w:val="21"/>
          <w14:textFill>
            <w14:solidFill>
              <w14:schemeClr w14:val="tx1"/>
            </w14:solidFill>
          </w14:textFill>
        </w:rPr>
        <w:t>与柱间支撑</w:t>
      </w:r>
      <w:r>
        <w:rPr>
          <w:rFonts w:hint="eastAsia" w:ascii="宋体" w:hAnsi="宋体"/>
          <w:bCs/>
          <w:color w:val="000000" w:themeColor="text1"/>
          <w:szCs w:val="21"/>
          <w14:textFill>
            <w14:solidFill>
              <w14:schemeClr w14:val="tx1"/>
            </w14:solidFill>
          </w14:textFill>
        </w:rPr>
        <w:t>相连的框架柱段，</w:t>
      </w:r>
      <w:r>
        <w:rPr>
          <w:rFonts w:hint="eastAsia" w:ascii="宋体" w:hAnsi="宋体" w:cs="HiddenHorzOCR"/>
          <w:bCs/>
          <w:color w:val="000000" w:themeColor="text1"/>
          <w:kern w:val="0"/>
          <w:szCs w:val="21"/>
          <w14:textFill>
            <w14:solidFill>
              <w14:schemeClr w14:val="tx1"/>
            </w14:solidFill>
          </w14:textFill>
        </w:rPr>
        <w:t>按塑性结构</w:t>
      </w:r>
      <w:r>
        <w:rPr>
          <w:rFonts w:ascii="宋体" w:hAnsi="宋体" w:cs="HiddenHorzOCR"/>
          <w:bCs/>
          <w:color w:val="000000" w:themeColor="text1"/>
          <w:kern w:val="0"/>
          <w:szCs w:val="21"/>
          <w14:textFill>
            <w14:solidFill>
              <w14:schemeClr w14:val="tx1"/>
            </w14:solidFill>
          </w14:textFill>
        </w:rPr>
        <w:t>PS1</w:t>
      </w:r>
      <w:r>
        <w:rPr>
          <w:rFonts w:hint="eastAsia" w:ascii="宋体" w:hAnsi="宋体" w:cs="HiddenHorzOCR"/>
          <w:bCs/>
          <w:color w:val="000000" w:themeColor="text1"/>
          <w:kern w:val="0"/>
          <w:szCs w:val="21"/>
          <w14:textFill>
            <w14:solidFill>
              <w14:schemeClr w14:val="tx1"/>
            </w14:solidFill>
          </w14:textFill>
        </w:rPr>
        <w:t>、</w:t>
      </w:r>
      <w:r>
        <w:rPr>
          <w:rFonts w:ascii="宋体" w:hAnsi="宋体" w:cs="HiddenHorzOCR"/>
          <w:bCs/>
          <w:color w:val="000000" w:themeColor="text1"/>
          <w:kern w:val="0"/>
          <w:szCs w:val="21"/>
          <w14:textFill>
            <w14:solidFill>
              <w14:schemeClr w14:val="tx1"/>
            </w14:solidFill>
          </w14:textFill>
        </w:rPr>
        <w:t>PS2</w:t>
      </w:r>
      <w:r>
        <w:rPr>
          <w:rFonts w:hint="eastAsia" w:ascii="宋体" w:hAnsi="宋体" w:cs="HiddenHorzOCR"/>
          <w:bCs/>
          <w:color w:val="000000" w:themeColor="text1"/>
          <w:kern w:val="0"/>
          <w:szCs w:val="21"/>
          <w14:textFill>
            <w14:solidFill>
              <w14:schemeClr w14:val="tx1"/>
            </w14:solidFill>
          </w14:textFill>
        </w:rPr>
        <w:t>设计时，</w:t>
      </w:r>
      <w:r>
        <w:rPr>
          <w:rFonts w:hint="eastAsia" w:ascii="宋体" w:hAnsi="宋体"/>
          <w:bCs/>
          <w:color w:val="000000" w:themeColor="text1"/>
          <w:szCs w:val="21"/>
          <w14:textFill>
            <w14:solidFill>
              <w14:schemeClr w14:val="tx1"/>
            </w14:solidFill>
          </w14:textFill>
        </w:rPr>
        <w:t>截面组合的地震作用内力设计值</w:t>
      </w:r>
      <w:r>
        <w:rPr>
          <w:rFonts w:hint="eastAsia" w:ascii="宋体" w:hAnsi="宋体" w:cs="HiddenHorzOCR"/>
          <w:bCs/>
          <w:color w:val="000000" w:themeColor="text1"/>
          <w:kern w:val="0"/>
          <w:szCs w:val="21"/>
          <w14:textFill>
            <w14:solidFill>
              <w14:schemeClr w14:val="tx1"/>
            </w14:solidFill>
          </w14:textFill>
        </w:rPr>
        <w:t>宜分别乘以增大系数</w:t>
      </w:r>
      <w:r>
        <w:rPr>
          <w:rFonts w:ascii="宋体" w:hAnsi="宋体" w:cs="HiddenHorzOCR"/>
          <w:bCs/>
          <w:color w:val="000000" w:themeColor="text1"/>
          <w:kern w:val="0"/>
          <w:szCs w:val="21"/>
          <w14:textFill>
            <w14:solidFill>
              <w14:schemeClr w14:val="tx1"/>
            </w14:solidFill>
          </w14:textFill>
        </w:rPr>
        <w:t>1.85</w:t>
      </w:r>
      <w:r>
        <w:rPr>
          <w:rFonts w:hint="eastAsia" w:ascii="宋体" w:hAnsi="宋体" w:cs="HiddenHorzOCR"/>
          <w:bCs/>
          <w:color w:val="000000" w:themeColor="text1"/>
          <w:kern w:val="0"/>
          <w:szCs w:val="21"/>
          <w14:textFill>
            <w14:solidFill>
              <w14:schemeClr w14:val="tx1"/>
            </w14:solidFill>
          </w14:textFill>
        </w:rPr>
        <w:t>、</w:t>
      </w:r>
      <w:r>
        <w:rPr>
          <w:rFonts w:ascii="宋体" w:hAnsi="宋体" w:cs="HiddenHorzOCR"/>
          <w:bCs/>
          <w:color w:val="000000" w:themeColor="text1"/>
          <w:kern w:val="0"/>
          <w:szCs w:val="21"/>
          <w14:textFill>
            <w14:solidFill>
              <w14:schemeClr w14:val="tx1"/>
            </w14:solidFill>
          </w14:textFill>
        </w:rPr>
        <w:t>1.5</w:t>
      </w:r>
      <w:r>
        <w:rPr>
          <w:rFonts w:hint="eastAsia" w:ascii="宋体" w:hAnsi="宋体" w:cs="HiddenHorzOCR"/>
          <w:bCs/>
          <w:color w:val="000000" w:themeColor="text1"/>
          <w:kern w:val="0"/>
          <w:szCs w:val="21"/>
          <w14:textFill>
            <w14:solidFill>
              <w14:schemeClr w14:val="tx1"/>
            </w14:solidFill>
          </w14:textFill>
        </w:rPr>
        <w:t>；按弹塑性结构</w:t>
      </w:r>
      <w:r>
        <w:rPr>
          <w:rFonts w:ascii="宋体" w:hAnsi="宋体" w:cs="HiddenHorzOCR"/>
          <w:bCs/>
          <w:color w:val="000000" w:themeColor="text1"/>
          <w:kern w:val="0"/>
          <w:szCs w:val="21"/>
          <w14:textFill>
            <w14:solidFill>
              <w14:schemeClr w14:val="tx1"/>
            </w14:solidFill>
          </w14:textFill>
        </w:rPr>
        <w:t>PES</w:t>
      </w:r>
      <w:r>
        <w:rPr>
          <w:rFonts w:hint="eastAsia" w:ascii="宋体" w:hAnsi="宋体" w:cs="HiddenHorzOCR"/>
          <w:bCs/>
          <w:color w:val="000000" w:themeColor="text1"/>
          <w:kern w:val="0"/>
          <w:szCs w:val="21"/>
          <w14:textFill>
            <w14:solidFill>
              <w14:schemeClr w14:val="tx1"/>
            </w14:solidFill>
          </w14:textFill>
        </w:rPr>
        <w:t>设计时，宜乘以增大系数</w:t>
      </w:r>
      <w:r>
        <w:rPr>
          <w:rFonts w:ascii="宋体" w:hAnsi="宋体" w:cs="HiddenHorzOCR"/>
          <w:bCs/>
          <w:color w:val="000000" w:themeColor="text1"/>
          <w:kern w:val="0"/>
          <w:szCs w:val="21"/>
          <w14:textFill>
            <w14:solidFill>
              <w14:schemeClr w14:val="tx1"/>
            </w14:solidFill>
          </w14:textFill>
        </w:rPr>
        <w:t>1.25</w:t>
      </w:r>
      <w:r>
        <w:rPr>
          <w:rFonts w:hint="eastAsia" w:ascii="宋体" w:hAnsi="宋体" w:cs="HiddenHorzOCR"/>
          <w:bCs/>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11.3.3 </w:t>
      </w:r>
      <w:r>
        <w:rPr>
          <w:rFonts w:hint="eastAsia" w:ascii="宋体" w:hAnsi="宋体" w:cs="HiddenHorzOCR"/>
          <w:bCs/>
          <w:color w:val="000000" w:themeColor="text1"/>
          <w:kern w:val="0"/>
          <w:szCs w:val="21"/>
          <w14:textFill>
            <w14:solidFill>
              <w14:schemeClr w14:val="tx1"/>
            </w14:solidFill>
          </w14:textFill>
        </w:rPr>
        <w:t>托柱梁、</w:t>
      </w:r>
      <w:r>
        <w:rPr>
          <w:rFonts w:hint="eastAsia" w:ascii="宋体" w:hAnsi="宋体"/>
          <w:bCs/>
          <w:color w:val="000000" w:themeColor="text1"/>
          <w:szCs w:val="21"/>
          <w14:textFill>
            <w14:solidFill>
              <w14:schemeClr w14:val="tx1"/>
            </w14:solidFill>
          </w14:textFill>
        </w:rPr>
        <w:t>设备梁以及与设备梁相连的框架梁（两端铰接）应进行抗震承载力验算，</w:t>
      </w:r>
      <w:r>
        <w:rPr>
          <w:rFonts w:hint="eastAsia" w:ascii="宋体" w:hAnsi="宋体" w:cs="HiddenHorzOCR"/>
          <w:bCs/>
          <w:color w:val="000000" w:themeColor="text1"/>
          <w:kern w:val="0"/>
          <w:szCs w:val="21"/>
          <w14:textFill>
            <w14:solidFill>
              <w14:schemeClr w14:val="tx1"/>
            </w14:solidFill>
          </w14:textFill>
        </w:rPr>
        <w:t>按塑性结构</w:t>
      </w:r>
      <w:r>
        <w:rPr>
          <w:rFonts w:ascii="宋体" w:hAnsi="宋体" w:cs="HiddenHorzOCR"/>
          <w:bCs/>
          <w:color w:val="000000" w:themeColor="text1"/>
          <w:kern w:val="0"/>
          <w:szCs w:val="21"/>
          <w14:textFill>
            <w14:solidFill>
              <w14:schemeClr w14:val="tx1"/>
            </w14:solidFill>
          </w14:textFill>
        </w:rPr>
        <w:t>PS1</w:t>
      </w:r>
      <w:r>
        <w:rPr>
          <w:rFonts w:hint="eastAsia" w:ascii="宋体" w:hAnsi="宋体" w:cs="HiddenHorzOCR"/>
          <w:bCs/>
          <w:color w:val="000000" w:themeColor="text1"/>
          <w:kern w:val="0"/>
          <w:szCs w:val="21"/>
          <w14:textFill>
            <w14:solidFill>
              <w14:schemeClr w14:val="tx1"/>
            </w14:solidFill>
          </w14:textFill>
        </w:rPr>
        <w:t>、</w:t>
      </w:r>
      <w:r>
        <w:rPr>
          <w:rFonts w:ascii="宋体" w:hAnsi="宋体" w:cs="HiddenHorzOCR"/>
          <w:bCs/>
          <w:color w:val="000000" w:themeColor="text1"/>
          <w:kern w:val="0"/>
          <w:szCs w:val="21"/>
          <w14:textFill>
            <w14:solidFill>
              <w14:schemeClr w14:val="tx1"/>
            </w14:solidFill>
          </w14:textFill>
        </w:rPr>
        <w:t>PS2</w:t>
      </w:r>
      <w:r>
        <w:rPr>
          <w:rFonts w:hint="eastAsia" w:ascii="宋体" w:hAnsi="宋体" w:cs="HiddenHorzOCR"/>
          <w:bCs/>
          <w:color w:val="000000" w:themeColor="text1"/>
          <w:kern w:val="0"/>
          <w:szCs w:val="21"/>
          <w14:textFill>
            <w14:solidFill>
              <w14:schemeClr w14:val="tx1"/>
            </w14:solidFill>
          </w14:textFill>
        </w:rPr>
        <w:t>设计时，</w:t>
      </w:r>
      <w:r>
        <w:rPr>
          <w:rFonts w:hint="eastAsia" w:ascii="宋体" w:hAnsi="宋体"/>
          <w:bCs/>
          <w:color w:val="000000" w:themeColor="text1"/>
          <w:szCs w:val="21"/>
          <w14:textFill>
            <w14:solidFill>
              <w14:schemeClr w14:val="tx1"/>
            </w14:solidFill>
          </w14:textFill>
        </w:rPr>
        <w:t>地震作用内力</w:t>
      </w:r>
      <w:r>
        <w:rPr>
          <w:rFonts w:hint="eastAsia" w:ascii="宋体" w:hAnsi="宋体" w:cs="HiddenHorzOCR"/>
          <w:bCs/>
          <w:color w:val="000000" w:themeColor="text1"/>
          <w:kern w:val="0"/>
          <w:szCs w:val="21"/>
          <w14:textFill>
            <w14:solidFill>
              <w14:schemeClr w14:val="tx1"/>
            </w14:solidFill>
          </w14:textFill>
        </w:rPr>
        <w:t>宜分别乘以增大系数</w:t>
      </w:r>
      <w:r>
        <w:rPr>
          <w:rFonts w:ascii="宋体" w:hAnsi="宋体" w:cs="HiddenHorzOCR"/>
          <w:bCs/>
          <w:color w:val="000000" w:themeColor="text1"/>
          <w:kern w:val="0"/>
          <w:szCs w:val="21"/>
          <w14:textFill>
            <w14:solidFill>
              <w14:schemeClr w14:val="tx1"/>
            </w14:solidFill>
          </w14:textFill>
        </w:rPr>
        <w:t>3</w:t>
      </w:r>
      <w:r>
        <w:rPr>
          <w:rFonts w:hint="eastAsia" w:ascii="宋体" w:hAnsi="宋体" w:cs="HiddenHorzOCR"/>
          <w:bCs/>
          <w:color w:val="000000" w:themeColor="text1"/>
          <w:kern w:val="0"/>
          <w:szCs w:val="21"/>
          <w14:textFill>
            <w14:solidFill>
              <w14:schemeClr w14:val="tx1"/>
            </w14:solidFill>
          </w14:textFill>
        </w:rPr>
        <w:t>、</w:t>
      </w:r>
      <w:r>
        <w:rPr>
          <w:rFonts w:ascii="宋体" w:hAnsi="宋体" w:cs="HiddenHorzOCR"/>
          <w:bCs/>
          <w:color w:val="000000" w:themeColor="text1"/>
          <w:kern w:val="0"/>
          <w:szCs w:val="21"/>
          <w14:textFill>
            <w14:solidFill>
              <w14:schemeClr w14:val="tx1"/>
            </w14:solidFill>
          </w14:textFill>
        </w:rPr>
        <w:t>2.5</w:t>
      </w:r>
      <w:r>
        <w:rPr>
          <w:rFonts w:hint="eastAsia" w:ascii="宋体" w:hAnsi="宋体" w:cs="HiddenHorzOCR"/>
          <w:bCs/>
          <w:color w:val="000000" w:themeColor="text1"/>
          <w:kern w:val="0"/>
          <w:szCs w:val="21"/>
          <w14:textFill>
            <w14:solidFill>
              <w14:schemeClr w14:val="tx1"/>
            </w14:solidFill>
          </w14:textFill>
        </w:rPr>
        <w:t>；按弹塑性结构</w:t>
      </w:r>
      <w:r>
        <w:rPr>
          <w:rFonts w:ascii="宋体" w:hAnsi="宋体" w:cs="HiddenHorzOCR"/>
          <w:bCs/>
          <w:color w:val="000000" w:themeColor="text1"/>
          <w:kern w:val="0"/>
          <w:szCs w:val="21"/>
          <w14:textFill>
            <w14:solidFill>
              <w14:schemeClr w14:val="tx1"/>
            </w14:solidFill>
          </w14:textFill>
        </w:rPr>
        <w:t>PES</w:t>
      </w:r>
      <w:r>
        <w:rPr>
          <w:rFonts w:hint="eastAsia" w:ascii="宋体" w:hAnsi="宋体" w:cs="HiddenHorzOCR"/>
          <w:bCs/>
          <w:color w:val="000000" w:themeColor="text1"/>
          <w:kern w:val="0"/>
          <w:szCs w:val="21"/>
          <w14:textFill>
            <w14:solidFill>
              <w14:schemeClr w14:val="tx1"/>
            </w14:solidFill>
          </w14:textFill>
        </w:rPr>
        <w:t>设计时，宜乘以增大系数</w:t>
      </w:r>
      <w:r>
        <w:rPr>
          <w:rFonts w:ascii="宋体" w:hAnsi="宋体" w:cs="HiddenHorzOCR"/>
          <w:bCs/>
          <w:color w:val="000000" w:themeColor="text1"/>
          <w:kern w:val="0"/>
          <w:szCs w:val="21"/>
          <w14:textFill>
            <w14:solidFill>
              <w14:schemeClr w14:val="tx1"/>
            </w14:solidFill>
          </w14:textFill>
        </w:rPr>
        <w:t>2</w:t>
      </w:r>
      <w:r>
        <w:rPr>
          <w:rFonts w:hint="eastAsia" w:ascii="宋体" w:hAnsi="宋体" w:cs="HiddenHorzOCR"/>
          <w:bCs/>
          <w:color w:val="000000" w:themeColor="text1"/>
          <w:kern w:val="0"/>
          <w:szCs w:val="21"/>
          <w14:textFill>
            <w14:solidFill>
              <w14:schemeClr w14:val="tx1"/>
            </w14:solidFill>
          </w14:textFill>
        </w:rPr>
        <w:t>。刚接可再乘</w:t>
      </w:r>
      <w:r>
        <w:rPr>
          <w:rFonts w:ascii="宋体" w:hAnsi="宋体" w:cs="HiddenHorzOCR"/>
          <w:bCs/>
          <w:color w:val="000000" w:themeColor="text1"/>
          <w:kern w:val="0"/>
          <w:szCs w:val="21"/>
          <w14:textFill>
            <w14:solidFill>
              <w14:schemeClr w14:val="tx1"/>
            </w14:solidFill>
          </w14:textFill>
        </w:rPr>
        <w:t>0.8</w:t>
      </w:r>
      <w:r>
        <w:rPr>
          <w:rFonts w:hint="eastAsia" w:ascii="宋体" w:hAnsi="宋体" w:cs="HiddenHorzOCR"/>
          <w:bCs/>
          <w:color w:val="000000" w:themeColor="text1"/>
          <w:kern w:val="0"/>
          <w:szCs w:val="21"/>
          <w14:textFill>
            <w14:solidFill>
              <w14:schemeClr w14:val="tx1"/>
            </w14:solidFill>
          </w14:textFill>
        </w:rPr>
        <w:t>的折减系数。</w:t>
      </w: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p>
    <w:p>
      <w:pPr>
        <w:pStyle w:val="3"/>
      </w:pPr>
      <w:bookmarkStart w:id="215" w:name="_Toc48841061"/>
      <w:bookmarkStart w:id="216" w:name="_Hlk44839934"/>
      <w:r>
        <w:rPr>
          <w:rFonts w:hint="eastAsia"/>
        </w:rPr>
        <w:t>抗震验算（</w:t>
      </w:r>
      <w:r>
        <w:t>3</w:t>
      </w:r>
      <w:r>
        <w:rPr>
          <w:rFonts w:hint="eastAsia"/>
        </w:rPr>
        <w:t>）——</w:t>
      </w:r>
      <w:bookmarkStart w:id="217" w:name="_Hlk16349031"/>
      <w:r>
        <w:rPr>
          <w:rFonts w:hint="eastAsia"/>
        </w:rPr>
        <w:t>结构杆件和节点抗震承载力验算</w:t>
      </w:r>
      <w:bookmarkEnd w:id="215"/>
      <w:bookmarkEnd w:id="217"/>
    </w:p>
    <w:p>
      <w:pPr>
        <w:pStyle w:val="53"/>
        <w:autoSpaceDE w:val="0"/>
        <w:autoSpaceDN w:val="0"/>
        <w:spacing w:line="360" w:lineRule="auto"/>
        <w:ind w:left="530" w:firstLine="0" w:firstLineChars="0"/>
        <w:rPr>
          <w:rFonts w:ascii="宋体" w:hAnsi="宋体" w:cs="Arial"/>
          <w:bCs/>
          <w:color w:val="000000" w:themeColor="text1"/>
          <w:kern w:val="0"/>
          <w:szCs w:val="21"/>
          <w14:textFill>
            <w14:solidFill>
              <w14:schemeClr w14:val="tx1"/>
            </w14:solidFill>
          </w14:textFill>
        </w:rPr>
      </w:pPr>
    </w:p>
    <w:bookmarkEnd w:id="216"/>
    <w:p>
      <w:pPr>
        <w:pStyle w:val="18"/>
        <w:ind w:firstLine="0" w:firstLineChars="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 xml:space="preserve">11.4.1 </w:t>
      </w:r>
      <w:r>
        <w:rPr>
          <w:rFonts w:hint="eastAsia" w:hAnsi="宋体"/>
          <w:bCs/>
          <w:color w:val="000000" w:themeColor="text1"/>
          <w:spacing w:val="0"/>
          <w14:textFill>
            <w14:solidFill>
              <w14:schemeClr w14:val="tx1"/>
            </w14:solidFill>
          </w14:textFill>
        </w:rPr>
        <w:t>结构杆件和节点抗震承载力验算应符合</w:t>
      </w:r>
      <w:r>
        <w:rPr>
          <w:rFonts w:hAnsi="宋体"/>
          <w:bCs/>
          <w:color w:val="000000" w:themeColor="text1"/>
          <w:spacing w:val="0"/>
          <w14:textFill>
            <w14:solidFill>
              <w14:schemeClr w14:val="tx1"/>
            </w14:solidFill>
          </w14:textFill>
        </w:rPr>
        <w:t>9.2</w:t>
      </w:r>
      <w:r>
        <w:rPr>
          <w:rFonts w:hint="eastAsia" w:hAnsi="宋体"/>
          <w:bCs/>
          <w:color w:val="000000" w:themeColor="text1"/>
          <w:spacing w:val="0"/>
          <w14:textFill>
            <w14:solidFill>
              <w14:schemeClr w14:val="tx1"/>
            </w14:solidFill>
          </w14:textFill>
        </w:rPr>
        <w:t>节的规定。</w:t>
      </w:r>
    </w:p>
    <w:p>
      <w:pPr>
        <w:pStyle w:val="18"/>
        <w:autoSpaceDE w:val="0"/>
        <w:autoSpaceDN w:val="0"/>
        <w:ind w:firstLine="0" w:firstLineChars="0"/>
        <w:rPr>
          <w:rFonts w:ascii="等线" w:hAnsi="宋体" w:cs="MS Mincho"/>
          <w:bCs/>
          <w:color w:val="000000" w:themeColor="text1"/>
          <w:szCs w:val="21"/>
          <w14:textFill>
            <w14:solidFill>
              <w14:schemeClr w14:val="tx1"/>
            </w14:solidFill>
          </w14:textFill>
        </w:rPr>
      </w:pPr>
      <w:r>
        <w:rPr>
          <w:rFonts w:hAnsi="宋体"/>
          <w:bCs/>
          <w:color w:val="000000" w:themeColor="text1"/>
          <w14:textFill>
            <w14:solidFill>
              <w14:schemeClr w14:val="tx1"/>
            </w14:solidFill>
          </w14:textFill>
        </w:rPr>
        <w:t>11.4.2.</w:t>
      </w:r>
      <w:r>
        <w:rPr>
          <w:rFonts w:hint="eastAsia" w:hAnsi="宋体"/>
          <w:bCs/>
          <w:color w:val="000000" w:themeColor="text1"/>
          <w14:textFill>
            <w14:solidFill>
              <w14:schemeClr w14:val="tx1"/>
            </w14:solidFill>
          </w14:textFill>
        </w:rPr>
        <w:t>框架</w:t>
      </w:r>
      <w:r>
        <w:rPr>
          <w:rFonts w:hAnsi="宋体"/>
          <w:bCs/>
          <w:color w:val="000000" w:themeColor="text1"/>
          <w14:textFill>
            <w14:solidFill>
              <w14:schemeClr w14:val="tx1"/>
            </w14:solidFill>
          </w14:textFill>
        </w:rPr>
        <w:t>-</w:t>
      </w:r>
      <w:r>
        <w:rPr>
          <w:rFonts w:hint="eastAsia" w:hAnsi="宋体"/>
          <w:bCs/>
          <w:color w:val="000000" w:themeColor="text1"/>
          <w14:textFill>
            <w14:solidFill>
              <w14:schemeClr w14:val="tx1"/>
            </w14:solidFill>
          </w14:textFill>
        </w:rPr>
        <w:t>支撑结构，与柱间支撑相连的框架梁应进行压弯稳定验算，其余框架梁宜进行压弯稳定验算。</w:t>
      </w:r>
    </w:p>
    <w:p>
      <w:pPr>
        <w:autoSpaceDE w:val="0"/>
        <w:autoSpaceDN w:val="0"/>
        <w:spacing w:line="360" w:lineRule="auto"/>
        <w:ind w:firstLine="0" w:firstLineChars="0"/>
        <w:jc w:val="left"/>
        <w:rPr>
          <w:rFonts w:ascii="宋体" w:hAnsi="宋体" w:cs="MS Mincho"/>
          <w:bCs/>
          <w:color w:val="000000" w:themeColor="text1"/>
          <w:kern w:val="0"/>
          <w:szCs w:val="21"/>
          <w14:textFill>
            <w14:solidFill>
              <w14:schemeClr w14:val="tx1"/>
            </w14:solidFill>
          </w14:textFill>
        </w:rPr>
      </w:pPr>
      <w:r>
        <w:rPr>
          <w:rFonts w:ascii="宋体" w:hAnsi="宋体" w:cs="MS Mincho"/>
          <w:bCs/>
          <w:color w:val="000000" w:themeColor="text1"/>
          <w:kern w:val="0"/>
          <w:szCs w:val="21"/>
          <w14:textFill>
            <w14:solidFill>
              <w14:schemeClr w14:val="tx1"/>
            </w14:solidFill>
          </w14:textFill>
        </w:rPr>
        <w:t xml:space="preserve">11.4.4 </w:t>
      </w:r>
      <w:r>
        <w:rPr>
          <w:rFonts w:hint="eastAsia" w:ascii="宋体" w:hAnsi="宋体" w:cs="MS Mincho"/>
          <w:bCs/>
          <w:color w:val="000000" w:themeColor="text1"/>
          <w:kern w:val="0"/>
          <w:szCs w:val="21"/>
          <w14:textFill>
            <w14:solidFill>
              <w14:schemeClr w14:val="tx1"/>
            </w14:solidFill>
          </w14:textFill>
        </w:rPr>
        <w:t>框架柱、梁的截面板件宽厚比，应根据采用的结构类别，按本章第</w:t>
      </w:r>
      <w:r>
        <w:rPr>
          <w:rFonts w:ascii="宋体" w:hAnsi="宋体" w:cs="MS Mincho"/>
          <w:bCs/>
          <w:color w:val="000000" w:themeColor="text1"/>
          <w:kern w:val="0"/>
          <w:szCs w:val="21"/>
          <w14:textFill>
            <w14:solidFill>
              <w14:schemeClr w14:val="tx1"/>
            </w14:solidFill>
          </w14:textFill>
        </w:rPr>
        <w:t xml:space="preserve">9.2.2 </w:t>
      </w:r>
      <w:r>
        <w:rPr>
          <w:rFonts w:hint="eastAsia" w:ascii="宋体" w:hAnsi="宋体" w:cs="MS Mincho"/>
          <w:bCs/>
          <w:color w:val="000000" w:themeColor="text1"/>
          <w:kern w:val="0"/>
          <w:szCs w:val="21"/>
          <w14:textFill>
            <w14:solidFill>
              <w14:schemeClr w14:val="tx1"/>
            </w14:solidFill>
          </w14:textFill>
        </w:rPr>
        <w:t>条的规定选用。</w:t>
      </w: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11.4.5 </w:t>
      </w:r>
      <w:r>
        <w:rPr>
          <w:rFonts w:hint="eastAsia" w:ascii="宋体" w:hAnsi="宋体" w:cs="HiddenHorzOCR"/>
          <w:bCs/>
          <w:color w:val="000000" w:themeColor="text1"/>
          <w:kern w:val="0"/>
          <w:szCs w:val="21"/>
          <w14:textFill>
            <w14:solidFill>
              <w14:schemeClr w14:val="tx1"/>
            </w14:solidFill>
          </w14:textFill>
        </w:rPr>
        <w:t>框</w:t>
      </w:r>
      <w:r>
        <w:rPr>
          <w:rFonts w:hint="eastAsia" w:ascii="宋体" w:hAnsi="宋体" w:cs="MS Mincho"/>
          <w:bCs/>
          <w:color w:val="000000" w:themeColor="text1"/>
          <w:kern w:val="0"/>
          <w:szCs w:val="21"/>
          <w14:textFill>
            <w14:solidFill>
              <w14:schemeClr w14:val="tx1"/>
            </w14:solidFill>
          </w14:textFill>
        </w:rPr>
        <w:t>架梁端受</w:t>
      </w:r>
      <w:r>
        <w:rPr>
          <w:rFonts w:hint="eastAsia" w:ascii="宋体" w:hAnsi="宋体" w:cs="宋体"/>
          <w:bCs/>
          <w:color w:val="000000" w:themeColor="text1"/>
          <w:kern w:val="0"/>
          <w:szCs w:val="21"/>
          <w14:textFill>
            <w14:solidFill>
              <w14:schemeClr w14:val="tx1"/>
            </w14:solidFill>
          </w14:textFill>
        </w:rPr>
        <w:t>压上</w:t>
      </w:r>
      <w:r>
        <w:rPr>
          <w:rFonts w:hint="eastAsia" w:ascii="宋体" w:hAnsi="宋体" w:cs="MS Mincho"/>
          <w:bCs/>
          <w:color w:val="000000" w:themeColor="text1"/>
          <w:kern w:val="0"/>
          <w:szCs w:val="21"/>
          <w14:textFill>
            <w14:solidFill>
              <w14:schemeClr w14:val="tx1"/>
            </w14:solidFill>
          </w14:textFill>
        </w:rPr>
        <w:t>翼</w:t>
      </w:r>
      <w:r>
        <w:rPr>
          <w:rFonts w:hint="eastAsia" w:ascii="宋体" w:hAnsi="宋体" w:cs="宋体"/>
          <w:bCs/>
          <w:color w:val="000000" w:themeColor="text1"/>
          <w:kern w:val="0"/>
          <w:szCs w:val="21"/>
          <w14:textFill>
            <w14:solidFill>
              <w14:schemeClr w14:val="tx1"/>
            </w14:solidFill>
          </w14:textFill>
        </w:rPr>
        <w:t>缘具有</w:t>
      </w:r>
      <w:r>
        <w:rPr>
          <w:rFonts w:hint="eastAsia" w:ascii="宋体" w:hAnsi="宋体" w:cs="MS Mincho"/>
          <w:bCs/>
          <w:color w:val="000000" w:themeColor="text1"/>
          <w:kern w:val="0"/>
          <w:szCs w:val="21"/>
          <w14:textFill>
            <w14:solidFill>
              <w14:schemeClr w14:val="tx1"/>
            </w14:solidFill>
          </w14:textFill>
        </w:rPr>
        <w:t>与之牢固</w:t>
      </w:r>
      <w:r>
        <w:rPr>
          <w:rFonts w:hint="eastAsia" w:ascii="宋体" w:hAnsi="宋体" w:cs="宋体"/>
          <w:bCs/>
          <w:color w:val="000000" w:themeColor="text1"/>
          <w:kern w:val="0"/>
          <w:szCs w:val="21"/>
          <w14:textFill>
            <w14:solidFill>
              <w14:schemeClr w14:val="tx1"/>
            </w14:solidFill>
          </w14:textFill>
        </w:rPr>
        <w:t>连</w:t>
      </w:r>
      <w:r>
        <w:rPr>
          <w:rFonts w:hint="eastAsia" w:ascii="宋体" w:hAnsi="宋体" w:cs="MS Mincho"/>
          <w:bCs/>
          <w:color w:val="000000" w:themeColor="text1"/>
          <w:kern w:val="0"/>
          <w:szCs w:val="21"/>
          <w14:textFill>
            <w14:solidFill>
              <w14:schemeClr w14:val="tx1"/>
            </w14:solidFill>
          </w14:textFill>
        </w:rPr>
        <w:t>接的密铺花纹</w:t>
      </w:r>
      <w:r>
        <w:rPr>
          <w:rFonts w:hint="eastAsia" w:ascii="宋体" w:hAnsi="宋体" w:cs="宋体"/>
          <w:bCs/>
          <w:color w:val="000000" w:themeColor="text1"/>
          <w:kern w:val="0"/>
          <w:szCs w:val="21"/>
          <w14:textFill>
            <w14:solidFill>
              <w14:schemeClr w14:val="tx1"/>
            </w14:solidFill>
          </w14:textFill>
        </w:rPr>
        <w:t>钢</w:t>
      </w:r>
      <w:r>
        <w:rPr>
          <w:rFonts w:hint="eastAsia" w:ascii="宋体" w:hAnsi="宋体" w:cs="MS Mincho"/>
          <w:bCs/>
          <w:color w:val="000000" w:themeColor="text1"/>
          <w:kern w:val="0"/>
          <w:szCs w:val="21"/>
          <w14:textFill>
            <w14:solidFill>
              <w14:schemeClr w14:val="tx1"/>
            </w14:solidFill>
          </w14:textFill>
        </w:rPr>
        <w:t>板</w:t>
      </w:r>
      <w:r>
        <w:rPr>
          <w:rFonts w:hint="eastAsia" w:ascii="宋体" w:hAnsi="宋体" w:cs="宋体"/>
          <w:bCs/>
          <w:color w:val="000000" w:themeColor="text1"/>
          <w:kern w:val="0"/>
          <w:szCs w:val="21"/>
          <w14:textFill>
            <w14:solidFill>
              <w14:schemeClr w14:val="tx1"/>
            </w14:solidFill>
          </w14:textFill>
        </w:rPr>
        <w:t>时</w:t>
      </w:r>
      <w:r>
        <w:rPr>
          <w:rFonts w:hint="eastAsia" w:ascii="宋体" w:hAnsi="宋体" w:cs="MS Mincho"/>
          <w:bCs/>
          <w:color w:val="000000" w:themeColor="text1"/>
          <w:kern w:val="0"/>
          <w:szCs w:val="21"/>
          <w14:textFill>
            <w14:solidFill>
              <w14:schemeClr w14:val="tx1"/>
            </w14:solidFill>
          </w14:textFill>
        </w:rPr>
        <w:t>，可不</w:t>
      </w:r>
      <w:r>
        <w:rPr>
          <w:rFonts w:hint="eastAsia" w:ascii="宋体" w:hAnsi="宋体" w:cs="宋体"/>
          <w:bCs/>
          <w:color w:val="000000" w:themeColor="text1"/>
          <w:kern w:val="0"/>
          <w:szCs w:val="21"/>
          <w14:textFill>
            <w14:solidFill>
              <w14:schemeClr w14:val="tx1"/>
            </w14:solidFill>
          </w14:textFill>
        </w:rPr>
        <w:t>进</w:t>
      </w:r>
      <w:r>
        <w:rPr>
          <w:rFonts w:hint="eastAsia" w:ascii="宋体" w:hAnsi="宋体" w:cs="MS Mincho"/>
          <w:bCs/>
          <w:color w:val="000000" w:themeColor="text1"/>
          <w:kern w:val="0"/>
          <w:szCs w:val="21"/>
          <w14:textFill>
            <w14:solidFill>
              <w14:schemeClr w14:val="tx1"/>
            </w14:solidFill>
          </w14:textFill>
        </w:rPr>
        <w:t>行框</w:t>
      </w:r>
      <w:r>
        <w:rPr>
          <w:rFonts w:hint="eastAsia" w:ascii="宋体" w:hAnsi="宋体" w:cs="HiddenHorzOCR"/>
          <w:bCs/>
          <w:color w:val="000000" w:themeColor="text1"/>
          <w:kern w:val="0"/>
          <w:szCs w:val="21"/>
          <w14:textFill>
            <w14:solidFill>
              <w14:schemeClr w14:val="tx1"/>
            </w14:solidFill>
          </w14:textFill>
        </w:rPr>
        <w:t>架梁整体</w:t>
      </w:r>
      <w:r>
        <w:rPr>
          <w:rFonts w:hint="eastAsia" w:ascii="宋体" w:hAnsi="宋体" w:cs="宋体"/>
          <w:bCs/>
          <w:color w:val="000000" w:themeColor="text1"/>
          <w:kern w:val="0"/>
          <w:szCs w:val="21"/>
          <w14:textFill>
            <w14:solidFill>
              <w14:schemeClr w14:val="tx1"/>
            </w14:solidFill>
          </w14:textFill>
        </w:rPr>
        <w:t>稳</w:t>
      </w:r>
      <w:r>
        <w:rPr>
          <w:rFonts w:hint="eastAsia" w:ascii="宋体" w:hAnsi="宋体" w:cs="MS Mincho"/>
          <w:bCs/>
          <w:color w:val="000000" w:themeColor="text1"/>
          <w:kern w:val="0"/>
          <w:szCs w:val="21"/>
          <w14:textFill>
            <w14:solidFill>
              <w14:schemeClr w14:val="tx1"/>
            </w14:solidFill>
          </w14:textFill>
        </w:rPr>
        <w:t>定性</w:t>
      </w:r>
      <w:r>
        <w:rPr>
          <w:rFonts w:hint="eastAsia" w:ascii="宋体" w:hAnsi="宋体" w:cs="宋体"/>
          <w:bCs/>
          <w:color w:val="000000" w:themeColor="text1"/>
          <w:kern w:val="0"/>
          <w:szCs w:val="21"/>
          <w14:textFill>
            <w14:solidFill>
              <w14:schemeClr w14:val="tx1"/>
            </w14:solidFill>
          </w14:textFill>
        </w:rPr>
        <w:t>验</w:t>
      </w:r>
      <w:r>
        <w:rPr>
          <w:rFonts w:hint="eastAsia" w:ascii="宋体" w:hAnsi="宋体" w:cs="MS Mincho"/>
          <w:bCs/>
          <w:color w:val="000000" w:themeColor="text1"/>
          <w:kern w:val="0"/>
          <w:szCs w:val="21"/>
          <w14:textFill>
            <w14:solidFill>
              <w14:schemeClr w14:val="tx1"/>
            </w14:solidFill>
          </w14:textFill>
        </w:rPr>
        <w:t>算</w:t>
      </w:r>
      <w:r>
        <w:rPr>
          <w:rFonts w:hint="eastAsia" w:ascii="宋体" w:hAnsi="宋体" w:cs="HiddenHorzOCR"/>
          <w:bCs/>
          <w:color w:val="000000" w:themeColor="text1"/>
          <w:kern w:val="0"/>
          <w:szCs w:val="21"/>
          <w14:textFill>
            <w14:solidFill>
              <w14:schemeClr w14:val="tx1"/>
            </w14:solidFill>
          </w14:textFill>
        </w:rPr>
        <w:t>。</w:t>
      </w:r>
    </w:p>
    <w:p>
      <w:pPr>
        <w:autoSpaceDE w:val="0"/>
        <w:autoSpaceDN w:val="0"/>
        <w:spacing w:line="360" w:lineRule="auto"/>
        <w:ind w:firstLine="0" w:firstLineChars="0"/>
        <w:jc w:val="left"/>
        <w:rPr>
          <w:rFonts w:ascii="宋体" w:hAnsi="宋体" w:cs="HiddenHorzOCR"/>
          <w:bCs/>
          <w:color w:val="000000" w:themeColor="text1"/>
          <w:kern w:val="0"/>
          <w:szCs w:val="21"/>
          <w14:textFill>
            <w14:solidFill>
              <w14:schemeClr w14:val="tx1"/>
            </w14:solidFill>
          </w14:textFill>
        </w:rPr>
      </w:pPr>
    </w:p>
    <w:p>
      <w:pPr>
        <w:pStyle w:val="3"/>
      </w:pPr>
      <w:bookmarkStart w:id="218" w:name="_Toc48841062"/>
      <w:bookmarkStart w:id="219" w:name="_Hlk44839967"/>
      <w:r>
        <w:rPr>
          <w:rFonts w:hint="eastAsia"/>
        </w:rPr>
        <w:t>抗震验算（</w:t>
      </w:r>
      <w:r>
        <w:t>4</w:t>
      </w:r>
      <w:r>
        <w:rPr>
          <w:rFonts w:hint="eastAsia"/>
        </w:rPr>
        <w:t>）——</w:t>
      </w:r>
      <w:bookmarkStart w:id="220" w:name="_Hlk16349109"/>
      <w:r>
        <w:rPr>
          <w:rFonts w:hint="eastAsia"/>
        </w:rPr>
        <w:t>连接抗震承载力验算</w:t>
      </w:r>
      <w:bookmarkEnd w:id="218"/>
      <w:bookmarkEnd w:id="220"/>
    </w:p>
    <w:p>
      <w:pPr>
        <w:pStyle w:val="53"/>
        <w:autoSpaceDE w:val="0"/>
        <w:autoSpaceDN w:val="0"/>
        <w:spacing w:line="360" w:lineRule="auto"/>
        <w:ind w:left="530" w:firstLine="0" w:firstLineChars="0"/>
        <w:rPr>
          <w:rFonts w:ascii="宋体" w:hAnsi="宋体" w:cs="Arial"/>
          <w:bCs/>
          <w:color w:val="000000" w:themeColor="text1"/>
          <w:kern w:val="0"/>
          <w:szCs w:val="21"/>
          <w14:textFill>
            <w14:solidFill>
              <w14:schemeClr w14:val="tx1"/>
            </w14:solidFill>
          </w14:textFill>
        </w:rPr>
      </w:pPr>
    </w:p>
    <w:bookmarkEnd w:id="219"/>
    <w:p>
      <w:pPr>
        <w:pStyle w:val="18"/>
        <w:ind w:firstLine="0" w:firstLineChars="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 xml:space="preserve">11.5.1 </w:t>
      </w:r>
      <w:r>
        <w:rPr>
          <w:rFonts w:hint="eastAsia" w:hAnsi="宋体"/>
          <w:bCs/>
          <w:color w:val="000000" w:themeColor="text1"/>
          <w:spacing w:val="0"/>
          <w14:textFill>
            <w14:solidFill>
              <w14:schemeClr w14:val="tx1"/>
            </w14:solidFill>
          </w14:textFill>
        </w:rPr>
        <w:t>钢结构主要构件与节点的连接可采用焊接、高强度螺栓连接或栓焊混合连接。</w:t>
      </w:r>
    </w:p>
    <w:p>
      <w:pPr>
        <w:pStyle w:val="18"/>
        <w:ind w:firstLine="0" w:firstLineChars="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 xml:space="preserve">11.5.2 </w:t>
      </w:r>
      <w:r>
        <w:rPr>
          <w:rFonts w:hint="eastAsia" w:hAnsi="宋体"/>
          <w:bCs/>
          <w:color w:val="000000" w:themeColor="text1"/>
          <w:spacing w:val="0"/>
          <w14:textFill>
            <w14:solidFill>
              <w14:schemeClr w14:val="tx1"/>
            </w14:solidFill>
          </w14:textFill>
        </w:rPr>
        <w:t>连接抗震承载力验算应符合</w:t>
      </w:r>
      <w:r>
        <w:rPr>
          <w:rFonts w:hAnsi="宋体"/>
          <w:bCs/>
          <w:color w:val="000000" w:themeColor="text1"/>
          <w:spacing w:val="0"/>
          <w14:textFill>
            <w14:solidFill>
              <w14:schemeClr w14:val="tx1"/>
            </w14:solidFill>
          </w14:textFill>
        </w:rPr>
        <w:t>9.3</w:t>
      </w:r>
      <w:r>
        <w:rPr>
          <w:rFonts w:hint="eastAsia" w:hAnsi="宋体"/>
          <w:bCs/>
          <w:color w:val="000000" w:themeColor="text1"/>
          <w:spacing w:val="0"/>
          <w14:textFill>
            <w14:solidFill>
              <w14:schemeClr w14:val="tx1"/>
            </w14:solidFill>
          </w14:textFill>
        </w:rPr>
        <w:t>节的相关规定。</w:t>
      </w:r>
    </w:p>
    <w:p>
      <w:pPr>
        <w:pStyle w:val="18"/>
        <w:ind w:firstLine="0" w:firstLineChars="0"/>
        <w:rPr>
          <w:rFonts w:hAnsi="宋体"/>
          <w:bCs/>
          <w:color w:val="000000" w:themeColor="text1"/>
          <w:spacing w:val="0"/>
          <w14:textFill>
            <w14:solidFill>
              <w14:schemeClr w14:val="tx1"/>
            </w14:solidFill>
          </w14:textFill>
        </w:rPr>
      </w:pPr>
    </w:p>
    <w:p>
      <w:pPr>
        <w:pStyle w:val="3"/>
      </w:pPr>
      <w:bookmarkStart w:id="221" w:name="_Toc48841063"/>
      <w:bookmarkStart w:id="222" w:name="_Hlk44840054"/>
      <w:r>
        <w:rPr>
          <w:rFonts w:hint="eastAsia"/>
        </w:rPr>
        <w:t>抗震验算（</w:t>
      </w:r>
      <w:r>
        <w:t>5</w:t>
      </w:r>
      <w:r>
        <w:rPr>
          <w:rFonts w:hint="eastAsia"/>
        </w:rPr>
        <w:t>）——支撑抗震设计</w:t>
      </w:r>
      <w:bookmarkEnd w:id="221"/>
      <w:bookmarkEnd w:id="222"/>
    </w:p>
    <w:p>
      <w:pPr>
        <w:pStyle w:val="53"/>
        <w:spacing w:line="360" w:lineRule="auto"/>
        <w:ind w:left="530" w:firstLine="0" w:firstLineChars="0"/>
        <w:rPr>
          <w:rFonts w:hAnsi="宋体"/>
          <w:bCs/>
          <w:color w:val="000000" w:themeColor="text1"/>
          <w14:textFill>
            <w14:solidFill>
              <w14:schemeClr w14:val="tx1"/>
            </w14:solidFill>
          </w14:textFill>
        </w:rPr>
      </w:pPr>
    </w:p>
    <w:p>
      <w:pPr>
        <w:pStyle w:val="18"/>
        <w:ind w:firstLine="0" w:firstLineChars="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11.6.1</w:t>
      </w:r>
      <w:r>
        <w:rPr>
          <w:rFonts w:hint="eastAsia" w:hAnsi="宋体"/>
          <w:bCs/>
          <w:color w:val="000000" w:themeColor="text1"/>
          <w:spacing w:val="0"/>
          <w14:textFill>
            <w14:solidFill>
              <w14:schemeClr w14:val="tx1"/>
            </w14:solidFill>
          </w14:textFill>
        </w:rPr>
        <w:t>多层钢结构柱间支撑的布置，应符合下列要求：</w:t>
      </w:r>
    </w:p>
    <w:p>
      <w:pPr>
        <w:pStyle w:val="18"/>
        <w:ind w:firstLine="42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 xml:space="preserve">1 </w:t>
      </w:r>
      <w:r>
        <w:rPr>
          <w:rFonts w:hint="eastAsia" w:hAnsi="宋体"/>
          <w:bCs/>
          <w:color w:val="000000" w:themeColor="text1"/>
          <w:spacing w:val="0"/>
          <w14:textFill>
            <w14:solidFill>
              <w14:schemeClr w14:val="tx1"/>
            </w14:solidFill>
          </w14:textFill>
        </w:rPr>
        <w:t>支撑框架在两个方向的布置宜均匀对称；</w:t>
      </w:r>
    </w:p>
    <w:p>
      <w:pPr>
        <w:spacing w:line="360" w:lineRule="auto"/>
        <w:ind w:firstLine="420"/>
        <w:jc w:val="left"/>
        <w:rPr>
          <w:rFonts w:ascii="宋体" w:hAnsi="宋体" w:cs="HiddenHorzOCR"/>
          <w:bCs/>
          <w:color w:val="000000" w:themeColor="text1"/>
          <w:spacing w:val="20"/>
          <w:kern w:val="0"/>
          <w:szCs w:val="21"/>
          <w14:textFill>
            <w14:solidFill>
              <w14:schemeClr w14:val="tx1"/>
            </w14:solidFill>
          </w14:textFill>
        </w:rPr>
      </w:pPr>
      <w:r>
        <w:rPr>
          <w:rFonts w:ascii="宋体" w:hAnsi="宋体"/>
          <w:bCs/>
          <w:color w:val="000000" w:themeColor="text1"/>
          <w:kern w:val="0"/>
          <w14:textFill>
            <w14:solidFill>
              <w14:schemeClr w14:val="tx1"/>
            </w14:solidFill>
          </w14:textFill>
        </w:rPr>
        <w:t xml:space="preserve">2 </w:t>
      </w:r>
      <w:r>
        <w:rPr>
          <w:rFonts w:hint="eastAsia" w:ascii="宋体" w:hAnsi="宋体"/>
          <w:bCs/>
          <w:color w:val="000000" w:themeColor="text1"/>
          <w:kern w:val="0"/>
          <w14:textFill>
            <w14:solidFill>
              <w14:schemeClr w14:val="tx1"/>
            </w14:solidFill>
          </w14:textFill>
        </w:rPr>
        <w:t>支撑型式</w:t>
      </w:r>
      <w:r>
        <w:rPr>
          <w:rFonts w:ascii="宋体" w:hAnsi="宋体"/>
          <w:bCs/>
          <w:color w:val="000000" w:themeColor="text1"/>
          <w:kern w:val="0"/>
          <w14:textFill>
            <w14:solidFill>
              <w14:schemeClr w14:val="tx1"/>
            </w14:solidFill>
          </w14:textFill>
        </w:rPr>
        <w:t>(</w:t>
      </w:r>
      <w:r>
        <w:rPr>
          <w:rFonts w:hint="eastAsia" w:ascii="宋体" w:hAnsi="宋体"/>
          <w:bCs/>
          <w:color w:val="000000" w:themeColor="text1"/>
          <w:kern w:val="0"/>
          <w14:textFill>
            <w14:solidFill>
              <w14:schemeClr w14:val="tx1"/>
            </w14:solidFill>
          </w14:textFill>
        </w:rPr>
        <w:t>图</w:t>
      </w:r>
      <w:bookmarkStart w:id="223" w:name="_Hlk24750133"/>
      <w:r>
        <w:rPr>
          <w:rFonts w:ascii="宋体" w:hAnsi="宋体"/>
          <w:bCs/>
          <w:color w:val="000000" w:themeColor="text1"/>
          <w:kern w:val="0"/>
          <w14:textFill>
            <w14:solidFill>
              <w14:schemeClr w14:val="tx1"/>
            </w14:solidFill>
          </w14:textFill>
        </w:rPr>
        <w:t>11.6.3-1</w:t>
      </w:r>
      <w:bookmarkEnd w:id="223"/>
      <w:r>
        <w:rPr>
          <w:rFonts w:ascii="宋体" w:hAnsi="宋体"/>
          <w:bCs/>
          <w:color w:val="000000" w:themeColor="text1"/>
          <w:kern w:val="0"/>
          <w14:textFill>
            <w14:solidFill>
              <w14:schemeClr w14:val="tx1"/>
            </w14:solidFill>
          </w14:textFill>
        </w:rPr>
        <w:t>)</w:t>
      </w:r>
      <w:r>
        <w:rPr>
          <w:rFonts w:hint="eastAsia" w:ascii="宋体" w:hAnsi="宋体"/>
          <w:bCs/>
          <w:color w:val="000000" w:themeColor="text1"/>
          <w:kern w:val="0"/>
          <w14:textFill>
            <w14:solidFill>
              <w14:schemeClr w14:val="tx1"/>
            </w14:solidFill>
          </w14:textFill>
        </w:rPr>
        <w:t>，一般可采用交叉型、人字型等中心支撑，当采用单斜杆中心支撑时，应双向对称设置。烈度为</w:t>
      </w:r>
      <w:r>
        <w:rPr>
          <w:rFonts w:ascii="宋体" w:hAnsi="宋体"/>
          <w:bCs/>
          <w:color w:val="000000" w:themeColor="text1"/>
          <w:kern w:val="0"/>
          <w14:textFill>
            <w14:solidFill>
              <w14:schemeClr w14:val="tx1"/>
            </w14:solidFill>
          </w14:textFill>
        </w:rPr>
        <w:t>8</w:t>
      </w:r>
      <w:r>
        <w:rPr>
          <w:rFonts w:hint="eastAsia" w:ascii="宋体" w:hAnsi="宋体"/>
          <w:bCs/>
          <w:color w:val="000000" w:themeColor="text1"/>
          <w:kern w:val="0"/>
          <w14:textFill>
            <w14:solidFill>
              <w14:schemeClr w14:val="tx1"/>
            </w14:solidFill>
          </w14:textFill>
        </w:rPr>
        <w:t>、</w:t>
      </w:r>
      <w:r>
        <w:rPr>
          <w:rFonts w:ascii="宋体" w:hAnsi="宋体"/>
          <w:bCs/>
          <w:color w:val="000000" w:themeColor="text1"/>
          <w:kern w:val="0"/>
          <w14:textFill>
            <w14:solidFill>
              <w14:schemeClr w14:val="tx1"/>
            </w14:solidFill>
          </w14:textFill>
        </w:rPr>
        <w:t xml:space="preserve">9 </w:t>
      </w:r>
      <w:r>
        <w:rPr>
          <w:rFonts w:hint="eastAsia" w:ascii="宋体" w:hAnsi="宋体"/>
          <w:bCs/>
          <w:color w:val="000000" w:themeColor="text1"/>
          <w:kern w:val="0"/>
          <w14:textFill>
            <w14:solidFill>
              <w14:schemeClr w14:val="tx1"/>
            </w14:solidFill>
          </w14:textFill>
        </w:rPr>
        <w:t>度区可采用偏心支撑</w:t>
      </w:r>
      <w:r>
        <w:rPr>
          <w:rFonts w:hint="eastAsia" w:ascii="宋体" w:hAnsi="宋体" w:cs="HiddenHorzOCR"/>
          <w:bCs/>
          <w:color w:val="000000" w:themeColor="text1"/>
          <w:spacing w:val="20"/>
          <w:kern w:val="0"/>
          <w:szCs w:val="21"/>
          <w14:textFill>
            <w14:solidFill>
              <w14:schemeClr w14:val="tx1"/>
            </w14:solidFill>
          </w14:textFill>
        </w:rPr>
        <w:t>。</w:t>
      </w:r>
    </w:p>
    <w:p>
      <w:pPr>
        <w:spacing w:line="360" w:lineRule="auto"/>
        <w:ind w:firstLine="420"/>
        <w:jc w:val="center"/>
        <w:rPr>
          <w:rFonts w:ascii="宋体" w:hAnsi="宋体" w:cs="Times New Roman"/>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drawing>
          <wp:inline distT="0" distB="0" distL="0" distR="0">
            <wp:extent cx="3562350" cy="4318000"/>
            <wp:effectExtent l="0" t="0" r="0" b="635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3562350" cy="4318000"/>
                    </a:xfrm>
                    <a:prstGeom prst="rect">
                      <a:avLst/>
                    </a:prstGeom>
                    <a:noFill/>
                    <a:ln>
                      <a:noFill/>
                    </a:ln>
                  </pic:spPr>
                </pic:pic>
              </a:graphicData>
            </a:graphic>
          </wp:inline>
        </w:drawing>
      </w:r>
    </w:p>
    <w:p>
      <w:pPr>
        <w:spacing w:line="360" w:lineRule="auto"/>
        <w:ind w:firstLine="2719" w:firstLineChars="1295"/>
        <w:rPr>
          <w:rFonts w:ascii="宋体" w:hAnsi="宋体" w:cs="Times New Roman"/>
          <w:bCs/>
          <w:color w:val="000000" w:themeColor="text1"/>
          <w:szCs w:val="21"/>
          <w14:textFill>
            <w14:solidFill>
              <w14:schemeClr w14:val="tx1"/>
            </w14:solidFill>
          </w14:textFill>
        </w:rPr>
      </w:pPr>
      <w:r>
        <w:rPr>
          <w:rFonts w:hint="eastAsia" w:ascii="宋体" w:hAnsi="宋体" w:cs="Times New Roman"/>
          <w:bCs/>
          <w:color w:val="000000" w:themeColor="text1"/>
          <w:szCs w:val="21"/>
          <w14:textFill>
            <w14:solidFill>
              <w14:schemeClr w14:val="tx1"/>
            </w14:solidFill>
          </w14:textFill>
        </w:rPr>
        <w:t>（</w:t>
      </w:r>
      <w:r>
        <w:rPr>
          <w:rFonts w:ascii="宋体" w:hAnsi="宋体" w:cs="Times New Roman"/>
          <w:bCs/>
          <w:color w:val="000000" w:themeColor="text1"/>
          <w:szCs w:val="21"/>
          <w14:textFill>
            <w14:solidFill>
              <w14:schemeClr w14:val="tx1"/>
            </w14:solidFill>
          </w14:textFill>
        </w:rPr>
        <w:t>a</w:t>
      </w:r>
      <w:r>
        <w:rPr>
          <w:rFonts w:hint="eastAsia" w:ascii="宋体" w:hAnsi="宋体" w:cs="Times New Roman"/>
          <w:bCs/>
          <w:color w:val="000000" w:themeColor="text1"/>
          <w:szCs w:val="21"/>
          <w14:textFill>
            <w14:solidFill>
              <w14:schemeClr w14:val="tx1"/>
            </w14:solidFill>
          </w14:textFill>
        </w:rPr>
        <w:t>）中心支持</w:t>
      </w:r>
      <w:r>
        <w:rPr>
          <w:rFonts w:ascii="宋体" w:hAnsi="宋体" w:cs="Times New Roman"/>
          <w:bCs/>
          <w:color w:val="000000" w:themeColor="text1"/>
          <w:szCs w:val="21"/>
          <w14:textFill>
            <w14:solidFill>
              <w14:schemeClr w14:val="tx1"/>
            </w14:solidFill>
          </w14:textFill>
        </w:rPr>
        <w:t xml:space="preserve">  </w:t>
      </w:r>
      <w:r>
        <w:rPr>
          <w:rFonts w:hint="eastAsia" w:ascii="宋体" w:hAnsi="宋体" w:cs="Times New Roman"/>
          <w:bCs/>
          <w:color w:val="000000" w:themeColor="text1"/>
          <w:szCs w:val="21"/>
          <w14:textFill>
            <w14:solidFill>
              <w14:schemeClr w14:val="tx1"/>
            </w14:solidFill>
          </w14:textFill>
        </w:rPr>
        <w:t>（</w:t>
      </w:r>
      <w:r>
        <w:rPr>
          <w:rFonts w:ascii="宋体" w:hAnsi="宋体" w:cs="Times New Roman"/>
          <w:bCs/>
          <w:color w:val="000000" w:themeColor="text1"/>
          <w:szCs w:val="21"/>
          <w14:textFill>
            <w14:solidFill>
              <w14:schemeClr w14:val="tx1"/>
            </w14:solidFill>
          </w14:textFill>
        </w:rPr>
        <w:t>b</w:t>
      </w:r>
      <w:r>
        <w:rPr>
          <w:rFonts w:hint="eastAsia" w:ascii="宋体" w:hAnsi="宋体" w:cs="Times New Roman"/>
          <w:bCs/>
          <w:color w:val="000000" w:themeColor="text1"/>
          <w:szCs w:val="21"/>
          <w14:textFill>
            <w14:solidFill>
              <w14:schemeClr w14:val="tx1"/>
            </w14:solidFill>
          </w14:textFill>
        </w:rPr>
        <w:t>）偏心支撑</w:t>
      </w:r>
    </w:p>
    <w:p>
      <w:pPr>
        <w:spacing w:line="360" w:lineRule="auto"/>
        <w:ind w:firstLine="420"/>
        <w:jc w:val="center"/>
        <w:rPr>
          <w:rFonts w:ascii="宋体" w:hAnsi="宋体" w:cs="Times New Roman"/>
          <w:bCs/>
          <w:color w:val="000000" w:themeColor="text1"/>
          <w:szCs w:val="21"/>
          <w14:textFill>
            <w14:solidFill>
              <w14:schemeClr w14:val="tx1"/>
            </w14:solidFill>
          </w14:textFill>
        </w:rPr>
      </w:pPr>
      <w:r>
        <w:rPr>
          <w:rFonts w:hint="eastAsia" w:ascii="宋体" w:hAnsi="宋体" w:cs="Times New Roman"/>
          <w:bCs/>
          <w:color w:val="000000" w:themeColor="text1"/>
          <w:szCs w:val="21"/>
          <w14:textFill>
            <w14:solidFill>
              <w14:schemeClr w14:val="tx1"/>
            </w14:solidFill>
          </w14:textFill>
        </w:rPr>
        <w:t>图</w:t>
      </w:r>
      <w:r>
        <w:rPr>
          <w:rFonts w:ascii="宋体" w:hAnsi="宋体"/>
          <w:bCs/>
          <w:color w:val="000000" w:themeColor="text1"/>
          <w:kern w:val="0"/>
          <w14:textFill>
            <w14:solidFill>
              <w14:schemeClr w14:val="tx1"/>
            </w14:solidFill>
          </w14:textFill>
        </w:rPr>
        <w:t>11.6.3-1</w:t>
      </w:r>
      <w:r>
        <w:rPr>
          <w:rFonts w:ascii="宋体" w:hAnsi="宋体" w:cs="Times New Roman"/>
          <w:bCs/>
          <w:color w:val="000000" w:themeColor="text1"/>
          <w:szCs w:val="21"/>
          <w14:textFill>
            <w14:solidFill>
              <w14:schemeClr w14:val="tx1"/>
            </w14:solidFill>
          </w14:textFill>
        </w:rPr>
        <w:t xml:space="preserve">  </w:t>
      </w:r>
      <w:r>
        <w:rPr>
          <w:rFonts w:hint="eastAsia" w:ascii="宋体" w:hAnsi="宋体" w:cs="Times New Roman"/>
          <w:bCs/>
          <w:color w:val="000000" w:themeColor="text1"/>
          <w:szCs w:val="21"/>
          <w14:textFill>
            <w14:solidFill>
              <w14:schemeClr w14:val="tx1"/>
            </w14:solidFill>
          </w14:textFill>
        </w:rPr>
        <w:t>框排架结构柱间支撑形式</w:t>
      </w:r>
    </w:p>
    <w:p>
      <w:pPr>
        <w:pStyle w:val="18"/>
        <w:ind w:firstLine="0" w:firstLineChars="0"/>
        <w:rPr>
          <w:rFonts w:hAnsi="宋体"/>
          <w:bCs/>
          <w:color w:val="000000" w:themeColor="text1"/>
          <w:spacing w:val="0"/>
          <w14:textFill>
            <w14:solidFill>
              <w14:schemeClr w14:val="tx1"/>
            </w14:solidFill>
          </w14:textFill>
        </w:rPr>
      </w:pPr>
      <w:r>
        <w:rPr>
          <w:rFonts w:hAnsi="宋体"/>
          <w:bCs/>
          <w:color w:val="000000" w:themeColor="text1"/>
          <w:spacing w:val="0"/>
          <w14:textFill>
            <w14:solidFill>
              <w14:schemeClr w14:val="tx1"/>
            </w14:solidFill>
          </w14:textFill>
        </w:rPr>
        <w:t xml:space="preserve">11.6.2 </w:t>
      </w:r>
      <w:r>
        <w:rPr>
          <w:rFonts w:hint="eastAsia" w:hAnsi="宋体"/>
          <w:bCs/>
          <w:color w:val="000000" w:themeColor="text1"/>
          <w:spacing w:val="0"/>
          <w14:textFill>
            <w14:solidFill>
              <w14:schemeClr w14:val="tx1"/>
            </w14:solidFill>
          </w14:textFill>
        </w:rPr>
        <w:t>支承设备框架梁的人字形或</w:t>
      </w:r>
      <w:r>
        <w:rPr>
          <w:rFonts w:hAnsi="宋体"/>
          <w:bCs/>
          <w:color w:val="000000" w:themeColor="text1"/>
          <w:spacing w:val="0"/>
          <w14:textFill>
            <w14:solidFill>
              <w14:schemeClr w14:val="tx1"/>
            </w14:solidFill>
          </w14:textFill>
        </w:rPr>
        <w:t>V</w:t>
      </w:r>
      <w:r>
        <w:rPr>
          <w:rFonts w:hint="eastAsia" w:hAnsi="宋体"/>
          <w:bCs/>
          <w:color w:val="000000" w:themeColor="text1"/>
          <w:spacing w:val="0"/>
          <w14:textFill>
            <w14:solidFill>
              <w14:schemeClr w14:val="tx1"/>
            </w14:solidFill>
          </w14:textFill>
        </w:rPr>
        <w:t>形支撑，尚应符合钢柱的抗震设计要求。</w:t>
      </w:r>
      <w:r>
        <w:rPr>
          <w:rFonts w:hAnsi="宋体" w:cs="HiddenHorzOCR"/>
          <w:bCs/>
          <w:color w:val="000000" w:themeColor="text1"/>
          <w:szCs w:val="21"/>
          <w14:textFill>
            <w14:solidFill>
              <w14:schemeClr w14:val="tx1"/>
            </w14:solidFill>
          </w14:textFill>
        </w:rPr>
        <w:t xml:space="preserve"> </w:t>
      </w:r>
    </w:p>
    <w:p>
      <w:pPr>
        <w:spacing w:line="360" w:lineRule="auto"/>
        <w:ind w:firstLine="0" w:firstLineChars="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11.6.3 </w:t>
      </w:r>
      <w:r>
        <w:rPr>
          <w:rFonts w:hint="eastAsia" w:ascii="宋体" w:hAnsi="宋体" w:cs="HiddenHorzOCR"/>
          <w:bCs/>
          <w:color w:val="000000" w:themeColor="text1"/>
          <w:kern w:val="0"/>
          <w:szCs w:val="21"/>
          <w14:textFill>
            <w14:solidFill>
              <w14:schemeClr w14:val="tx1"/>
            </w14:solidFill>
          </w14:textFill>
        </w:rPr>
        <w:t>钢平台水平支撑设置应符合下列要求：</w:t>
      </w:r>
      <w:r>
        <w:rPr>
          <w:rFonts w:ascii="宋体" w:hAnsi="宋体" w:cs="HiddenHorzOCR"/>
          <w:bCs/>
          <w:color w:val="000000" w:themeColor="text1"/>
          <w:kern w:val="0"/>
          <w:szCs w:val="21"/>
          <w14:textFill>
            <w14:solidFill>
              <w14:schemeClr w14:val="tx1"/>
            </w14:solidFill>
          </w14:textFill>
        </w:rPr>
        <w:t xml:space="preserve"> </w:t>
      </w:r>
    </w:p>
    <w:p>
      <w:pPr>
        <w:spacing w:line="360" w:lineRule="auto"/>
        <w:ind w:firstLine="42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 </w:t>
      </w:r>
      <w:r>
        <w:rPr>
          <w:rFonts w:hint="eastAsia" w:ascii="宋体" w:hAnsi="宋体" w:cs="HiddenHorzOCR"/>
          <w:bCs/>
          <w:color w:val="000000" w:themeColor="text1"/>
          <w:kern w:val="0"/>
          <w:szCs w:val="21"/>
          <w14:textFill>
            <w14:solidFill>
              <w14:schemeClr w14:val="tx1"/>
            </w14:solidFill>
          </w14:textFill>
        </w:rPr>
        <w:t>平台上有设备、管道挡墩、支吊点等水平荷载作用时，该层宜设置水平支撑系统；</w:t>
      </w:r>
    </w:p>
    <w:p>
      <w:pPr>
        <w:spacing w:line="360" w:lineRule="auto"/>
        <w:ind w:firstLine="42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2 </w:t>
      </w:r>
      <w:r>
        <w:rPr>
          <w:rFonts w:hint="eastAsia" w:ascii="宋体" w:hAnsi="宋体" w:cs="HiddenHorzOCR"/>
          <w:bCs/>
          <w:color w:val="000000" w:themeColor="text1"/>
          <w:kern w:val="0"/>
          <w:szCs w:val="21"/>
          <w14:textFill>
            <w14:solidFill>
              <w14:schemeClr w14:val="tx1"/>
            </w14:solidFill>
          </w14:textFill>
        </w:rPr>
        <w:t>当钢结构构筑物各榀框架侧移刚度相差较大、竖向支撑布置又不规则时，宜在顶层、中间层设置水平支撑；</w:t>
      </w:r>
    </w:p>
    <w:p>
      <w:pPr>
        <w:autoSpaceDE w:val="0"/>
        <w:autoSpaceDN w:val="0"/>
        <w:spacing w:line="360" w:lineRule="auto"/>
        <w:ind w:firstLine="420"/>
        <w:jc w:val="left"/>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3 </w:t>
      </w:r>
      <w:r>
        <w:rPr>
          <w:rFonts w:hint="eastAsia" w:ascii="宋体" w:hAnsi="宋体" w:cs="HiddenHorzOCR"/>
          <w:bCs/>
          <w:color w:val="000000" w:themeColor="text1"/>
          <w:kern w:val="0"/>
          <w:szCs w:val="21"/>
          <w14:textFill>
            <w14:solidFill>
              <w14:schemeClr w14:val="tx1"/>
            </w14:solidFill>
          </w14:textFill>
        </w:rPr>
        <w:t>平台铺板采用钢格栅板时，宜每层设置水平支撑。</w:t>
      </w:r>
    </w:p>
    <w:p>
      <w:pPr>
        <w:spacing w:line="360" w:lineRule="auto"/>
        <w:ind w:firstLine="0" w:firstLineChars="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11.6.4 </w:t>
      </w:r>
      <w:r>
        <w:rPr>
          <w:rFonts w:hint="eastAsia" w:ascii="宋体" w:hAnsi="宋体" w:cs="HiddenHorzOCR"/>
          <w:bCs/>
          <w:color w:val="000000" w:themeColor="text1"/>
          <w:kern w:val="0"/>
          <w:szCs w:val="21"/>
          <w14:textFill>
            <w14:solidFill>
              <w14:schemeClr w14:val="tx1"/>
            </w14:solidFill>
          </w14:textFill>
        </w:rPr>
        <w:t>水平支撑的构造应符合下列要求：</w:t>
      </w:r>
      <w:r>
        <w:rPr>
          <w:rFonts w:ascii="宋体" w:hAnsi="宋体" w:cs="HiddenHorzOCR"/>
          <w:bCs/>
          <w:color w:val="000000" w:themeColor="text1"/>
          <w:kern w:val="0"/>
          <w:szCs w:val="21"/>
          <w14:textFill>
            <w14:solidFill>
              <w14:schemeClr w14:val="tx1"/>
            </w14:solidFill>
          </w14:textFill>
        </w:rPr>
        <w:t xml:space="preserve"> </w:t>
      </w:r>
    </w:p>
    <w:p>
      <w:pPr>
        <w:spacing w:line="360" w:lineRule="auto"/>
        <w:ind w:firstLine="42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1 </w:t>
      </w:r>
      <w:r>
        <w:rPr>
          <w:rFonts w:hint="eastAsia" w:ascii="宋体" w:hAnsi="宋体" w:cs="HiddenHorzOCR"/>
          <w:bCs/>
          <w:color w:val="000000" w:themeColor="text1"/>
          <w:kern w:val="0"/>
          <w:szCs w:val="21"/>
          <w14:textFill>
            <w14:solidFill>
              <w14:schemeClr w14:val="tx1"/>
            </w14:solidFill>
          </w14:textFill>
        </w:rPr>
        <w:t>水平支撑可设在框架梁底部，但支撑杆端部宜与该层框架梁的腹板和下翼缘同时相连；</w:t>
      </w:r>
    </w:p>
    <w:p>
      <w:pPr>
        <w:spacing w:line="360" w:lineRule="auto"/>
        <w:ind w:firstLine="42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2 </w:t>
      </w:r>
      <w:r>
        <w:rPr>
          <w:rFonts w:hint="eastAsia" w:ascii="宋体" w:hAnsi="宋体" w:cs="HiddenHorzOCR"/>
          <w:bCs/>
          <w:color w:val="000000" w:themeColor="text1"/>
          <w:kern w:val="0"/>
          <w:szCs w:val="21"/>
          <w14:textFill>
            <w14:solidFill>
              <w14:schemeClr w14:val="tx1"/>
            </w14:solidFill>
          </w14:textFill>
        </w:rPr>
        <w:t>水平支撑的布置应与竖向支撑相协调；</w:t>
      </w:r>
    </w:p>
    <w:p>
      <w:pPr>
        <w:numPr>
          <w:ilvl w:val="255"/>
          <w:numId w:val="0"/>
        </w:numPr>
        <w:spacing w:line="360" w:lineRule="auto"/>
        <w:ind w:firstLine="420" w:firstLineChars="20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3 </w:t>
      </w:r>
      <w:r>
        <w:rPr>
          <w:rFonts w:hint="eastAsia" w:ascii="宋体" w:hAnsi="宋体" w:cs="HiddenHorzOCR"/>
          <w:bCs/>
          <w:color w:val="000000" w:themeColor="text1"/>
          <w:kern w:val="0"/>
          <w:szCs w:val="21"/>
          <w14:textFill>
            <w14:solidFill>
              <w14:schemeClr w14:val="tx1"/>
            </w14:solidFill>
          </w14:textFill>
        </w:rPr>
        <w:t>框架梁可作为水平支撑系统的弦杆，斜杆与弦杆的夹角宜在</w:t>
      </w:r>
      <w:r>
        <w:rPr>
          <w:rFonts w:ascii="宋体" w:hAnsi="宋体" w:cs="HiddenHorzOCR"/>
          <w:bCs/>
          <w:color w:val="000000" w:themeColor="text1"/>
          <w:kern w:val="0"/>
          <w:szCs w:val="21"/>
          <w14:textFill>
            <w14:solidFill>
              <w14:schemeClr w14:val="tx1"/>
            </w14:solidFill>
          </w14:textFill>
        </w:rPr>
        <w:t>30</w:t>
      </w:r>
      <w:r>
        <w:rPr>
          <w:rFonts w:hint="eastAsia" w:ascii="宋体" w:hAnsi="宋体" w:cs="HiddenHorzOCR"/>
          <w:bCs/>
          <w:color w:val="000000" w:themeColor="text1"/>
          <w:kern w:val="0"/>
          <w:szCs w:val="21"/>
          <w14:textFill>
            <w14:solidFill>
              <w14:schemeClr w14:val="tx1"/>
            </w14:solidFill>
          </w14:textFill>
        </w:rPr>
        <w:t>°～</w:t>
      </w:r>
      <w:r>
        <w:rPr>
          <w:rFonts w:ascii="宋体" w:hAnsi="宋体" w:cs="HiddenHorzOCR"/>
          <w:bCs/>
          <w:color w:val="000000" w:themeColor="text1"/>
          <w:kern w:val="0"/>
          <w:szCs w:val="21"/>
          <w14:textFill>
            <w14:solidFill>
              <w14:schemeClr w14:val="tx1"/>
            </w14:solidFill>
          </w14:textFill>
        </w:rPr>
        <w:t>60</w:t>
      </w:r>
      <w:r>
        <w:rPr>
          <w:rFonts w:hint="eastAsia" w:ascii="宋体" w:hAnsi="宋体" w:cs="HiddenHorzOCR"/>
          <w:bCs/>
          <w:color w:val="000000" w:themeColor="text1"/>
          <w:kern w:val="0"/>
          <w:szCs w:val="21"/>
          <w14:textFill>
            <w14:solidFill>
              <w14:schemeClr w14:val="tx1"/>
            </w14:solidFill>
          </w14:textFill>
        </w:rPr>
        <w:t>°。</w:t>
      </w:r>
    </w:p>
    <w:p>
      <w:pPr>
        <w:numPr>
          <w:ilvl w:val="255"/>
          <w:numId w:val="0"/>
        </w:numPr>
        <w:spacing w:line="360" w:lineRule="auto"/>
        <w:ind w:left="210" w:leftChars="100" w:firstLine="210" w:firstLineChars="100"/>
        <w:rPr>
          <w:rFonts w:ascii="宋体" w:hAnsi="宋体" w:cs="HiddenHorzOCR"/>
          <w:bCs/>
          <w:color w:val="000000" w:themeColor="text1"/>
          <w:kern w:val="0"/>
          <w:szCs w:val="21"/>
          <w14:textFill>
            <w14:solidFill>
              <w14:schemeClr w14:val="tx1"/>
            </w14:solidFill>
          </w14:textFill>
        </w:rPr>
      </w:pPr>
      <w:r>
        <w:rPr>
          <w:rFonts w:ascii="宋体" w:hAnsi="宋体" w:cs="HiddenHorzOCR"/>
          <w:bCs/>
          <w:color w:val="000000" w:themeColor="text1"/>
          <w:kern w:val="0"/>
          <w:szCs w:val="21"/>
          <w14:textFill>
            <w14:solidFill>
              <w14:schemeClr w14:val="tx1"/>
            </w14:solidFill>
          </w14:textFill>
        </w:rPr>
        <w:t xml:space="preserve">4 </w:t>
      </w:r>
      <w:r>
        <w:rPr>
          <w:rFonts w:hint="eastAsia" w:ascii="宋体" w:hAnsi="宋体" w:cs="HiddenHorzOCR"/>
          <w:bCs/>
          <w:color w:val="000000" w:themeColor="text1"/>
          <w:kern w:val="0"/>
          <w:szCs w:val="21"/>
          <w14:textFill>
            <w14:solidFill>
              <w14:schemeClr w14:val="tx1"/>
            </w14:solidFill>
          </w14:textFill>
        </w:rPr>
        <w:t>支撑抗震设计尚应符合第</w:t>
      </w:r>
      <w:r>
        <w:rPr>
          <w:rFonts w:ascii="宋体" w:hAnsi="宋体" w:cs="HiddenHorzOCR"/>
          <w:bCs/>
          <w:color w:val="000000" w:themeColor="text1"/>
          <w:kern w:val="0"/>
          <w:szCs w:val="21"/>
          <w14:textFill>
            <w14:solidFill>
              <w14:schemeClr w14:val="tx1"/>
            </w14:solidFill>
          </w14:textFill>
        </w:rPr>
        <w:t>9</w:t>
      </w:r>
      <w:r>
        <w:rPr>
          <w:rFonts w:hint="eastAsia" w:ascii="宋体" w:hAnsi="宋体" w:cs="HiddenHorzOCR"/>
          <w:bCs/>
          <w:color w:val="000000" w:themeColor="text1"/>
          <w:kern w:val="0"/>
          <w:szCs w:val="21"/>
          <w14:textFill>
            <w14:solidFill>
              <w14:schemeClr w14:val="tx1"/>
            </w14:solidFill>
          </w14:textFill>
        </w:rPr>
        <w:t>章要求。</w:t>
      </w:r>
      <w:r>
        <w:rPr>
          <w:rFonts w:ascii="宋体" w:hAnsi="宋体" w:cs="HiddenHorzOCR"/>
          <w:bCs/>
          <w:color w:val="000000" w:themeColor="text1"/>
          <w:kern w:val="0"/>
          <w:szCs w:val="21"/>
          <w14:textFill>
            <w14:solidFill>
              <w14:schemeClr w14:val="tx1"/>
            </w14:solidFill>
          </w14:textFill>
        </w:rPr>
        <w:t xml:space="preserve"> </w:t>
      </w:r>
    </w:p>
    <w:p>
      <w:pPr>
        <w:numPr>
          <w:ilvl w:val="255"/>
          <w:numId w:val="0"/>
        </w:numPr>
        <w:spacing w:line="360" w:lineRule="auto"/>
        <w:ind w:left="420" w:hanging="360"/>
        <w:rPr>
          <w:rFonts w:ascii="宋体" w:hAnsi="宋体" w:cs="HiddenHorzOCR"/>
          <w:bCs/>
          <w:color w:val="000000" w:themeColor="text1"/>
          <w:kern w:val="0"/>
          <w:szCs w:val="21"/>
          <w14:textFill>
            <w14:solidFill>
              <w14:schemeClr w14:val="tx1"/>
            </w14:solidFill>
          </w14:textFill>
        </w:rPr>
      </w:pPr>
    </w:p>
    <w:p>
      <w:pPr>
        <w:pStyle w:val="3"/>
      </w:pPr>
      <w:bookmarkStart w:id="224" w:name="_Toc48841064"/>
      <w:r>
        <w:rPr>
          <w:rFonts w:hint="eastAsia"/>
        </w:rPr>
        <w:t>构造措施（</w:t>
      </w:r>
      <w:r>
        <w:t>1</w:t>
      </w:r>
      <w:r>
        <w:rPr>
          <w:rFonts w:hint="eastAsia"/>
        </w:rPr>
        <w:t>）</w:t>
      </w:r>
      <w:bookmarkEnd w:id="224"/>
    </w:p>
    <w:p>
      <w:pPr>
        <w:pStyle w:val="53"/>
        <w:autoSpaceDE w:val="0"/>
        <w:autoSpaceDN w:val="0"/>
        <w:spacing w:line="360" w:lineRule="auto"/>
        <w:ind w:left="530" w:firstLine="0" w:firstLineChars="0"/>
        <w:rPr>
          <w:rFonts w:ascii="宋体" w:hAnsi="宋体" w:cs="Arial"/>
          <w:bCs/>
          <w:color w:val="000000" w:themeColor="text1"/>
          <w:kern w:val="0"/>
          <w:szCs w:val="21"/>
          <w14:textFill>
            <w14:solidFill>
              <w14:schemeClr w14:val="tx1"/>
            </w14:solidFill>
          </w14:textFill>
        </w:rPr>
      </w:pPr>
    </w:p>
    <w:p>
      <w:pPr>
        <w:autoSpaceDE w:val="0"/>
        <w:autoSpaceDN w:val="0"/>
        <w:spacing w:line="360" w:lineRule="auto"/>
        <w:ind w:firstLine="0" w:firstLineChars="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11.7.1 </w:t>
      </w:r>
      <w:r>
        <w:rPr>
          <w:rFonts w:hint="eastAsia" w:ascii="宋体" w:hAnsi="宋体" w:cs="Arial"/>
          <w:bCs/>
          <w:color w:val="000000" w:themeColor="text1"/>
          <w:kern w:val="0"/>
          <w:szCs w:val="21"/>
          <w14:textFill>
            <w14:solidFill>
              <w14:schemeClr w14:val="tx1"/>
            </w14:solidFill>
          </w14:textFill>
        </w:rPr>
        <w:t>框架柱的长细比，宜符合下列要求：</w:t>
      </w:r>
    </w:p>
    <w:p>
      <w:pPr>
        <w:autoSpaceDE w:val="0"/>
        <w:autoSpaceDN w:val="0"/>
        <w:spacing w:line="360" w:lineRule="auto"/>
        <w:ind w:firstLine="42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1 </w:t>
      </w:r>
      <w:r>
        <w:rPr>
          <w:rFonts w:hint="eastAsia" w:ascii="宋体" w:hAnsi="宋体" w:cs="Arial"/>
          <w:bCs/>
          <w:color w:val="000000" w:themeColor="text1"/>
          <w:kern w:val="0"/>
          <w:szCs w:val="21"/>
          <w14:textFill>
            <w14:solidFill>
              <w14:schemeClr w14:val="tx1"/>
            </w14:solidFill>
          </w14:textFill>
        </w:rPr>
        <w:t>弹性结构</w:t>
      </w:r>
      <w:r>
        <w:rPr>
          <w:rFonts w:ascii="宋体" w:hAnsi="宋体" w:cs="Arial"/>
          <w:bCs/>
          <w:color w:val="000000" w:themeColor="text1"/>
          <w:kern w:val="0"/>
          <w:szCs w:val="21"/>
          <w14:textFill>
            <w14:solidFill>
              <w14:schemeClr w14:val="tx1"/>
            </w14:solidFill>
          </w14:textFill>
        </w:rPr>
        <w:t>ES1</w:t>
      </w:r>
      <w:r>
        <w:rPr>
          <w:rFonts w:hint="eastAsia" w:ascii="宋体" w:hAnsi="宋体" w:cs="Arial"/>
          <w:bCs/>
          <w:color w:val="000000" w:themeColor="text1"/>
          <w:kern w:val="0"/>
          <w:szCs w:val="21"/>
          <w14:textFill>
            <w14:solidFill>
              <w14:schemeClr w14:val="tx1"/>
            </w14:solidFill>
          </w14:textFill>
        </w:rPr>
        <w:t>，地震组合（按</w:t>
      </w:r>
      <w:r>
        <w:rPr>
          <w:rFonts w:ascii="宋体" w:hAnsi="宋体" w:cs="Arial"/>
          <w:bCs/>
          <w:color w:val="000000" w:themeColor="text1"/>
          <w:kern w:val="0"/>
          <w:szCs w:val="21"/>
          <w14:textFill>
            <w14:solidFill>
              <w14:schemeClr w14:val="tx1"/>
            </w14:solidFill>
          </w14:textFill>
        </w:rPr>
        <w:t xml:space="preserve">q&gt;2 </w:t>
      </w:r>
      <w:r>
        <w:rPr>
          <w:rFonts w:hint="eastAsia" w:ascii="宋体" w:hAnsi="宋体" w:cs="Arial"/>
          <w:bCs/>
          <w:color w:val="000000" w:themeColor="text1"/>
          <w:kern w:val="0"/>
          <w:szCs w:val="21"/>
          <w14:textFill>
            <w14:solidFill>
              <w14:schemeClr w14:val="tx1"/>
            </w14:solidFill>
          </w14:textFill>
        </w:rPr>
        <w:t>计算）的轴压比不大于</w:t>
      </w:r>
      <w:r>
        <w:rPr>
          <w:rFonts w:ascii="宋体" w:hAnsi="宋体" w:cs="Arial"/>
          <w:bCs/>
          <w:color w:val="000000" w:themeColor="text1"/>
          <w:kern w:val="0"/>
          <w:szCs w:val="21"/>
          <w14:textFill>
            <w14:solidFill>
              <w14:schemeClr w14:val="tx1"/>
            </w14:solidFill>
          </w14:textFill>
        </w:rPr>
        <w:t>0.3</w:t>
      </w:r>
      <w:r>
        <w:rPr>
          <w:rFonts w:hint="eastAsia" w:ascii="宋体" w:hAnsi="宋体" w:cs="Arial"/>
          <w:bCs/>
          <w:color w:val="000000" w:themeColor="text1"/>
          <w:kern w:val="0"/>
          <w:szCs w:val="21"/>
          <w14:textFill>
            <w14:solidFill>
              <w14:schemeClr w14:val="tx1"/>
            </w14:solidFill>
          </w14:textFill>
        </w:rPr>
        <w:t>时不宜大于</w:t>
      </w:r>
      <w:r>
        <w:rPr>
          <w:rFonts w:ascii="宋体" w:hAnsi="宋体" w:cs="Arial"/>
          <w:bCs/>
          <w:color w:val="000000" w:themeColor="text1"/>
          <w:kern w:val="0"/>
          <w:szCs w:val="21"/>
          <w14:textFill>
            <w14:solidFill>
              <w14:schemeClr w14:val="tx1"/>
            </w14:solidFill>
          </w14:textFill>
        </w:rPr>
        <w:t>150</w:t>
      </w:r>
      <w:r>
        <w:rPr>
          <w:rFonts w:hint="eastAsia" w:ascii="宋体" w:hAnsi="宋体" w:cs="Arial"/>
          <w:bCs/>
          <w:color w:val="000000" w:themeColor="text1"/>
          <w:kern w:val="0"/>
          <w:szCs w:val="21"/>
          <w14:textFill>
            <w14:solidFill>
              <w14:schemeClr w14:val="tx1"/>
            </w14:solidFill>
          </w14:textFill>
        </w:rPr>
        <w:t>；大于</w:t>
      </w:r>
      <w:r>
        <w:rPr>
          <w:rFonts w:ascii="宋体" w:hAnsi="宋体" w:cs="Arial"/>
          <w:bCs/>
          <w:color w:val="000000" w:themeColor="text1"/>
          <w:kern w:val="0"/>
          <w:szCs w:val="21"/>
          <w14:textFill>
            <w14:solidFill>
              <w14:schemeClr w14:val="tx1"/>
            </w14:solidFill>
          </w14:textFill>
        </w:rPr>
        <w:t>0.3</w:t>
      </w:r>
      <w:r>
        <w:rPr>
          <w:rFonts w:hint="eastAsia" w:ascii="宋体" w:hAnsi="宋体" w:cs="Arial"/>
          <w:bCs/>
          <w:color w:val="000000" w:themeColor="text1"/>
          <w:kern w:val="0"/>
          <w:szCs w:val="21"/>
          <w14:textFill>
            <w14:solidFill>
              <w14:schemeClr w14:val="tx1"/>
            </w14:solidFill>
          </w14:textFill>
        </w:rPr>
        <w:t>时，不宜大于</w:t>
      </w:r>
      <w:bookmarkStart w:id="225" w:name="_Hlk44839660"/>
      <w:r>
        <w:rPr>
          <w:rFonts w:ascii="宋体" w:hAnsi="宋体" w:cs="Arial"/>
          <w:bCs/>
          <w:color w:val="000000" w:themeColor="text1"/>
          <w:kern w:val="0"/>
          <w:szCs w:val="21"/>
          <w14:textFill>
            <w14:solidFill>
              <w14:schemeClr w14:val="tx1"/>
            </w14:solidFill>
          </w14:textFill>
        </w:rPr>
        <w:t>120</w:t>
      </w:r>
      <m:oMath>
        <m:sSub>
          <m:sSubPr>
            <m:ctrlPr>
              <w:rPr>
                <w:rFonts w:ascii="Cambria Math" w:hAnsi="Cambria Math" w:cs="Arial"/>
                <w:bCs/>
                <w:i/>
                <w:color w:val="000000" w:themeColor="text1"/>
                <w:kern w:val="0"/>
                <w:szCs w:val="21"/>
                <w14:textFill>
                  <w14:solidFill>
                    <w14:schemeClr w14:val="tx1"/>
                  </w14:solidFill>
                </w14:textFill>
              </w:rPr>
            </m:ctrlPr>
          </m:sSubPr>
          <m:e>
            <m:r>
              <w:rPr>
                <w:rFonts w:ascii="Cambria Math" w:hAnsi="Cambria Math" w:cs="Arial"/>
                <w:color w:val="000000" w:themeColor="text1"/>
                <w:kern w:val="0"/>
                <w:szCs w:val="21"/>
                <w14:textFill>
                  <w14:solidFill>
                    <w14:schemeClr w14:val="tx1"/>
                  </w14:solidFill>
                </w14:textFill>
              </w:rPr>
              <m:t>ε</m:t>
            </m:r>
            <m:ctrlPr>
              <w:rPr>
                <w:rFonts w:ascii="Cambria Math" w:hAnsi="Cambria Math" w:cs="Arial"/>
                <w:bCs/>
                <w:i/>
                <w:color w:val="000000" w:themeColor="text1"/>
                <w:kern w:val="0"/>
                <w:szCs w:val="21"/>
                <w14:textFill>
                  <w14:solidFill>
                    <w14:schemeClr w14:val="tx1"/>
                  </w14:solidFill>
                </w14:textFill>
              </w:rPr>
            </m:ctrlPr>
          </m:e>
          <m:sub>
            <m:r>
              <w:rPr>
                <w:rFonts w:hint="eastAsia" w:ascii="Cambria Math" w:hAnsi="Cambria Math" w:cs="Arial"/>
                <w:color w:val="000000" w:themeColor="text1"/>
                <w:kern w:val="0"/>
                <w:szCs w:val="21"/>
                <w14:textFill>
                  <w14:solidFill>
                    <w14:schemeClr w14:val="tx1"/>
                  </w14:solidFill>
                </w14:textFill>
              </w:rPr>
              <m:t>k</m:t>
            </m:r>
            <w:bookmarkEnd w:id="225"/>
            <m:ctrlPr>
              <w:rPr>
                <w:rFonts w:ascii="Cambria Math" w:hAnsi="Cambria Math" w:cs="Arial"/>
                <w:bCs/>
                <w:i/>
                <w:color w:val="000000" w:themeColor="text1"/>
                <w:kern w:val="0"/>
                <w:szCs w:val="21"/>
                <w14:textFill>
                  <w14:solidFill>
                    <w14:schemeClr w14:val="tx1"/>
                  </w14:solidFill>
                </w14:textFill>
              </w:rPr>
            </m:ctrlPr>
          </m:sub>
        </m:sSub>
      </m:oMath>
      <w:r>
        <w:rPr>
          <w:rFonts w:hint="eastAsia" w:ascii="宋体" w:hAnsi="宋体" w:cs="Arial"/>
          <w:bCs/>
          <w:color w:val="000000" w:themeColor="text1"/>
          <w:kern w:val="0"/>
          <w:szCs w:val="21"/>
          <w14:textFill>
            <w14:solidFill>
              <w14:schemeClr w14:val="tx1"/>
            </w14:solidFill>
          </w14:textFill>
        </w:rPr>
        <w:t>。</w:t>
      </w:r>
    </w:p>
    <w:p>
      <w:pPr>
        <w:autoSpaceDE w:val="0"/>
        <w:autoSpaceDN w:val="0"/>
        <w:spacing w:line="360" w:lineRule="auto"/>
        <w:ind w:firstLine="42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2 </w:t>
      </w:r>
      <w:r>
        <w:rPr>
          <w:rFonts w:hint="eastAsia" w:ascii="宋体" w:hAnsi="宋体" w:cs="Arial"/>
          <w:bCs/>
          <w:color w:val="000000" w:themeColor="text1"/>
          <w:kern w:val="0"/>
          <w:szCs w:val="21"/>
          <w14:textFill>
            <w14:solidFill>
              <w14:schemeClr w14:val="tx1"/>
            </w14:solidFill>
          </w14:textFill>
        </w:rPr>
        <w:t>弹性结构</w:t>
      </w:r>
      <w:r>
        <w:rPr>
          <w:rFonts w:ascii="宋体" w:hAnsi="宋体" w:cs="Arial"/>
          <w:bCs/>
          <w:color w:val="000000" w:themeColor="text1"/>
          <w:kern w:val="0"/>
          <w:szCs w:val="21"/>
          <w14:textFill>
            <w14:solidFill>
              <w14:schemeClr w14:val="tx1"/>
            </w14:solidFill>
          </w14:textFill>
        </w:rPr>
        <w:t>ES2</w:t>
      </w:r>
      <w:r>
        <w:rPr>
          <w:rFonts w:hint="eastAsia" w:ascii="宋体" w:hAnsi="宋体" w:cs="Arial"/>
          <w:bCs/>
          <w:color w:val="000000" w:themeColor="text1"/>
          <w:kern w:val="0"/>
          <w:szCs w:val="21"/>
          <w14:textFill>
            <w14:solidFill>
              <w14:schemeClr w14:val="tx1"/>
            </w14:solidFill>
          </w14:textFill>
        </w:rPr>
        <w:t>，不宜大于</w:t>
      </w:r>
      <w:r>
        <w:rPr>
          <w:rFonts w:ascii="宋体" w:hAnsi="宋体" w:cs="Arial"/>
          <w:bCs/>
          <w:color w:val="000000" w:themeColor="text1"/>
          <w:kern w:val="0"/>
          <w:szCs w:val="21"/>
          <w14:textFill>
            <w14:solidFill>
              <w14:schemeClr w14:val="tx1"/>
            </w14:solidFill>
          </w14:textFill>
        </w:rPr>
        <w:t>180</w:t>
      </w:r>
      <w:r>
        <w:rPr>
          <w:rFonts w:hint="eastAsia" w:ascii="宋体" w:hAnsi="宋体" w:cs="Arial"/>
          <w:bCs/>
          <w:color w:val="000000" w:themeColor="text1"/>
          <w:kern w:val="0"/>
          <w:szCs w:val="21"/>
          <w14:textFill>
            <w14:solidFill>
              <w14:schemeClr w14:val="tx1"/>
            </w14:solidFill>
          </w14:textFill>
        </w:rPr>
        <w:t>。</w:t>
      </w:r>
    </w:p>
    <w:p>
      <w:pPr>
        <w:autoSpaceDE w:val="0"/>
        <w:autoSpaceDN w:val="0"/>
        <w:spacing w:line="360" w:lineRule="auto"/>
        <w:ind w:firstLine="420"/>
        <w:jc w:val="left"/>
        <w:rPr>
          <w:rFonts w:ascii="宋体" w:hAnsi="宋体" w:cs="Arial"/>
          <w:bCs/>
          <w:color w:val="000000" w:themeColor="text1"/>
          <w:kern w:val="0"/>
          <w:szCs w:val="2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3 </w:t>
      </w:r>
      <w:r>
        <w:rPr>
          <w:rFonts w:hint="eastAsia" w:ascii="宋体" w:hAnsi="宋体" w:cs="Arial"/>
          <w:bCs/>
          <w:color w:val="000000" w:themeColor="text1"/>
          <w:kern w:val="0"/>
          <w:szCs w:val="21"/>
          <w14:textFill>
            <w14:solidFill>
              <w14:schemeClr w14:val="tx1"/>
            </w14:solidFill>
          </w14:textFill>
        </w:rPr>
        <w:t>弹塑性结构</w:t>
      </w:r>
      <w:r>
        <w:rPr>
          <w:rFonts w:ascii="宋体" w:hAnsi="宋体" w:cs="Arial"/>
          <w:bCs/>
          <w:color w:val="000000" w:themeColor="text1"/>
          <w:kern w:val="0"/>
          <w:szCs w:val="21"/>
          <w14:textFill>
            <w14:solidFill>
              <w14:schemeClr w14:val="tx1"/>
            </w14:solidFill>
          </w14:textFill>
        </w:rPr>
        <w:t>PES</w:t>
      </w:r>
      <w:r>
        <w:rPr>
          <w:rFonts w:hint="eastAsia" w:ascii="宋体" w:hAnsi="宋体" w:cs="Arial"/>
          <w:bCs/>
          <w:color w:val="000000" w:themeColor="text1"/>
          <w:kern w:val="0"/>
          <w:szCs w:val="21"/>
          <w14:textFill>
            <w14:solidFill>
              <w14:schemeClr w14:val="tx1"/>
            </w14:solidFill>
          </w14:textFill>
        </w:rPr>
        <w:t>，不宜大于</w:t>
      </w:r>
      <w:r>
        <w:rPr>
          <w:rFonts w:ascii="宋体" w:hAnsi="宋体" w:cs="Arial"/>
          <w:bCs/>
          <w:color w:val="000000" w:themeColor="text1"/>
          <w:kern w:val="0"/>
          <w:szCs w:val="21"/>
          <w14:textFill>
            <w14:solidFill>
              <w14:schemeClr w14:val="tx1"/>
            </w14:solidFill>
          </w14:textFill>
        </w:rPr>
        <w:t>120</w:t>
      </w:r>
      <m:oMath>
        <m:sSub>
          <m:sSubPr>
            <m:ctrlPr>
              <w:rPr>
                <w:rFonts w:ascii="Cambria Math" w:hAnsi="Cambria Math" w:cs="Arial"/>
                <w:bCs/>
                <w:i/>
                <w:color w:val="000000" w:themeColor="text1"/>
                <w:kern w:val="0"/>
                <w:szCs w:val="21"/>
                <w14:textFill>
                  <w14:solidFill>
                    <w14:schemeClr w14:val="tx1"/>
                  </w14:solidFill>
                </w14:textFill>
              </w:rPr>
            </m:ctrlPr>
          </m:sSubPr>
          <m:e>
            <m:r>
              <w:rPr>
                <w:rFonts w:ascii="Cambria Math" w:hAnsi="Cambria Math" w:cs="Arial"/>
                <w:color w:val="000000" w:themeColor="text1"/>
                <w:kern w:val="0"/>
                <w:szCs w:val="21"/>
                <w14:textFill>
                  <w14:solidFill>
                    <w14:schemeClr w14:val="tx1"/>
                  </w14:solidFill>
                </w14:textFill>
              </w:rPr>
              <m:t>ε</m:t>
            </m:r>
            <m:ctrlPr>
              <w:rPr>
                <w:rFonts w:ascii="Cambria Math" w:hAnsi="Cambria Math" w:cs="Arial"/>
                <w:bCs/>
                <w:i/>
                <w:color w:val="000000" w:themeColor="text1"/>
                <w:kern w:val="0"/>
                <w:szCs w:val="21"/>
                <w14:textFill>
                  <w14:solidFill>
                    <w14:schemeClr w14:val="tx1"/>
                  </w14:solidFill>
                </w14:textFill>
              </w:rPr>
            </m:ctrlPr>
          </m:e>
          <m:sub>
            <m:r>
              <w:rPr>
                <w:rFonts w:hint="eastAsia" w:ascii="Cambria Math" w:hAnsi="Cambria Math" w:cs="Arial"/>
                <w:color w:val="000000" w:themeColor="text1"/>
                <w:kern w:val="0"/>
                <w:szCs w:val="21"/>
                <w14:textFill>
                  <w14:solidFill>
                    <w14:schemeClr w14:val="tx1"/>
                  </w14:solidFill>
                </w14:textFill>
              </w:rPr>
              <m:t>k</m:t>
            </m:r>
            <m:ctrlPr>
              <w:rPr>
                <w:rFonts w:ascii="Cambria Math" w:hAnsi="Cambria Math" w:cs="Arial"/>
                <w:bCs/>
                <w:i/>
                <w:color w:val="000000" w:themeColor="text1"/>
                <w:kern w:val="0"/>
                <w:szCs w:val="21"/>
                <w14:textFill>
                  <w14:solidFill>
                    <w14:schemeClr w14:val="tx1"/>
                  </w14:solidFill>
                </w14:textFill>
              </w:rPr>
            </m:ctrlPr>
          </m:sub>
        </m:sSub>
      </m:oMath>
      <w:r>
        <w:rPr>
          <w:rFonts w:hint="eastAsia" w:ascii="宋体" w:hAnsi="宋体" w:cs="Arial"/>
          <w:bCs/>
          <w:color w:val="000000" w:themeColor="text1"/>
          <w:kern w:val="0"/>
          <w:szCs w:val="21"/>
          <w14:textFill>
            <w14:solidFill>
              <w14:schemeClr w14:val="tx1"/>
            </w14:solidFill>
          </w14:textFill>
        </w:rPr>
        <w:t>。</w:t>
      </w:r>
    </w:p>
    <w:p>
      <w:pPr>
        <w:autoSpaceDE w:val="0"/>
        <w:autoSpaceDN w:val="0"/>
        <w:spacing w:line="360" w:lineRule="auto"/>
        <w:ind w:firstLine="420" w:firstLineChars="0"/>
        <w:rPr>
          <w:rFonts w:hAnsi="宋体"/>
          <w:bCs/>
          <w:color w:val="000000" w:themeColor="text1"/>
          <w14:textFill>
            <w14:solidFill>
              <w14:schemeClr w14:val="tx1"/>
            </w14:solidFill>
          </w14:textFill>
        </w:rPr>
      </w:pPr>
      <w:r>
        <w:rPr>
          <w:rFonts w:ascii="宋体" w:hAnsi="宋体" w:cs="Arial"/>
          <w:bCs/>
          <w:color w:val="000000" w:themeColor="text1"/>
          <w:kern w:val="0"/>
          <w:szCs w:val="21"/>
          <w14:textFill>
            <w14:solidFill>
              <w14:schemeClr w14:val="tx1"/>
            </w14:solidFill>
          </w14:textFill>
        </w:rPr>
        <w:t xml:space="preserve">4 </w:t>
      </w:r>
      <w:r>
        <w:rPr>
          <w:rFonts w:hint="eastAsia" w:ascii="宋体" w:hAnsi="宋体" w:cs="Arial"/>
          <w:bCs/>
          <w:color w:val="000000" w:themeColor="text1"/>
          <w:kern w:val="0"/>
          <w:szCs w:val="21"/>
          <w14:textFill>
            <w14:solidFill>
              <w14:schemeClr w14:val="tx1"/>
            </w14:solidFill>
          </w14:textFill>
        </w:rPr>
        <w:t>塑性结构</w:t>
      </w:r>
      <w:r>
        <w:rPr>
          <w:rFonts w:ascii="宋体" w:hAnsi="宋体" w:cs="Arial"/>
          <w:bCs/>
          <w:color w:val="000000" w:themeColor="text1"/>
          <w:kern w:val="0"/>
          <w:szCs w:val="21"/>
          <w14:textFill>
            <w14:solidFill>
              <w14:schemeClr w14:val="tx1"/>
            </w14:solidFill>
          </w14:textFill>
        </w:rPr>
        <w:t>PS1</w:t>
      </w:r>
      <w:r>
        <w:rPr>
          <w:rFonts w:hint="eastAsia" w:ascii="宋体" w:hAnsi="宋体" w:cs="Arial"/>
          <w:bCs/>
          <w:color w:val="000000" w:themeColor="text1"/>
          <w:kern w:val="0"/>
          <w:szCs w:val="21"/>
          <w14:textFill>
            <w14:solidFill>
              <w14:schemeClr w14:val="tx1"/>
            </w14:solidFill>
          </w14:textFill>
        </w:rPr>
        <w:t>、</w:t>
      </w:r>
      <w:r>
        <w:rPr>
          <w:rFonts w:ascii="宋体" w:hAnsi="宋体" w:cs="Arial"/>
          <w:bCs/>
          <w:color w:val="000000" w:themeColor="text1"/>
          <w:kern w:val="0"/>
          <w:szCs w:val="21"/>
          <w14:textFill>
            <w14:solidFill>
              <w14:schemeClr w14:val="tx1"/>
            </w14:solidFill>
          </w14:textFill>
        </w:rPr>
        <w:t>PS2</w:t>
      </w:r>
      <w:r>
        <w:rPr>
          <w:rFonts w:hint="eastAsia" w:ascii="宋体" w:hAnsi="宋体" w:cs="Arial"/>
          <w:bCs/>
          <w:color w:val="000000" w:themeColor="text1"/>
          <w:kern w:val="0"/>
          <w:szCs w:val="21"/>
          <w14:textFill>
            <w14:solidFill>
              <w14:schemeClr w14:val="tx1"/>
            </w14:solidFill>
          </w14:textFill>
        </w:rPr>
        <w:t>，宜按《建筑抗震设计规范》</w:t>
      </w:r>
      <w:r>
        <w:rPr>
          <w:rFonts w:ascii="宋体" w:hAnsi="宋体" w:cs="Arial"/>
          <w:bCs/>
          <w:color w:val="000000" w:themeColor="text1"/>
          <w:kern w:val="0"/>
          <w:szCs w:val="21"/>
          <w14:textFill>
            <w14:solidFill>
              <w14:schemeClr w14:val="tx1"/>
            </w14:solidFill>
          </w14:textFill>
        </w:rPr>
        <w:t>CB50011</w:t>
      </w:r>
      <w:r>
        <w:rPr>
          <w:rFonts w:hint="eastAsia" w:ascii="宋体" w:hAnsi="宋体" w:cs="Arial"/>
          <w:bCs/>
          <w:color w:val="000000" w:themeColor="text1"/>
          <w:kern w:val="0"/>
          <w:szCs w:val="21"/>
          <w14:textFill>
            <w14:solidFill>
              <w14:schemeClr w14:val="tx1"/>
            </w14:solidFill>
          </w14:textFill>
        </w:rPr>
        <w:t>取用。</w:t>
      </w:r>
    </w:p>
    <w:p>
      <w:pPr>
        <w:pStyle w:val="18"/>
        <w:ind w:firstLine="0" w:firstLineChars="0"/>
        <w:rPr>
          <w:rFonts w:hAnsi="宋体"/>
          <w:bCs/>
          <w:color w:val="000000" w:themeColor="text1"/>
          <w:spacing w:val="0"/>
          <w:kern w:val="2"/>
          <w14:textFill>
            <w14:solidFill>
              <w14:schemeClr w14:val="tx1"/>
            </w14:solidFill>
          </w14:textFill>
        </w:rPr>
      </w:pPr>
      <w:r>
        <w:rPr>
          <w:rFonts w:hAnsi="宋体"/>
          <w:bCs/>
          <w:color w:val="000000" w:themeColor="text1"/>
          <w:spacing w:val="0"/>
          <w14:textFill>
            <w14:solidFill>
              <w14:schemeClr w14:val="tx1"/>
            </w14:solidFill>
          </w14:textFill>
        </w:rPr>
        <w:t xml:space="preserve">11.7.2 </w:t>
      </w:r>
      <w:r>
        <w:rPr>
          <w:rFonts w:hint="eastAsia" w:hAnsi="宋体"/>
          <w:bCs/>
          <w:color w:val="000000" w:themeColor="text1"/>
          <w:spacing w:val="0"/>
          <w14:textFill>
            <w14:solidFill>
              <w14:schemeClr w14:val="tx1"/>
            </w14:solidFill>
          </w14:textFill>
        </w:rPr>
        <w:t>两</w:t>
      </w:r>
      <w:r>
        <w:rPr>
          <w:rFonts w:hint="eastAsia" w:hAnsi="宋体"/>
          <w:bCs/>
          <w:color w:val="000000" w:themeColor="text1"/>
          <w:spacing w:val="0"/>
          <w:kern w:val="2"/>
          <w14:textFill>
            <w14:solidFill>
              <w14:schemeClr w14:val="tx1"/>
            </w14:solidFill>
          </w14:textFill>
        </w:rPr>
        <w:t>侧梁高度不等连接于柱设置水平加劲肋时，如加劲肋间距</w:t>
      </w:r>
      <w:r>
        <w:rPr>
          <w:rFonts w:hAnsi="宋体"/>
          <w:bCs/>
          <w:color w:val="000000" w:themeColor="text1"/>
          <w:spacing w:val="0"/>
          <w:kern w:val="2"/>
          <w14:textFill>
            <w14:solidFill>
              <w14:schemeClr w14:val="tx1"/>
            </w14:solidFill>
          </w14:textFill>
        </w:rPr>
        <w:t>e</w:t>
      </w:r>
      <w:r>
        <w:rPr>
          <w:rFonts w:hint="eastAsia" w:hAnsi="宋体"/>
          <w:bCs/>
          <w:color w:val="000000" w:themeColor="text1"/>
          <w:spacing w:val="0"/>
          <w:kern w:val="2"/>
          <w14:textFill>
            <w14:solidFill>
              <w14:schemeClr w14:val="tx1"/>
            </w14:solidFill>
          </w14:textFill>
        </w:rPr>
        <w:t>大于</w:t>
      </w:r>
      <w:r>
        <w:rPr>
          <w:rFonts w:hAnsi="宋体"/>
          <w:bCs/>
          <w:color w:val="000000" w:themeColor="text1"/>
          <w:spacing w:val="0"/>
          <w:kern w:val="2"/>
          <w14:textFill>
            <w14:solidFill>
              <w14:schemeClr w14:val="tx1"/>
            </w14:solidFill>
          </w14:textFill>
        </w:rPr>
        <w:t>150mm</w:t>
      </w:r>
      <w:r>
        <w:rPr>
          <w:rFonts w:hint="eastAsia" w:hAnsi="宋体"/>
          <w:bCs/>
          <w:color w:val="000000" w:themeColor="text1"/>
          <w:spacing w:val="0"/>
          <w:kern w:val="2"/>
          <w14:textFill>
            <w14:solidFill>
              <w14:schemeClr w14:val="tx1"/>
            </w14:solidFill>
          </w14:textFill>
        </w:rPr>
        <w:t>及水平加劲肋宽度时，则可分别设置</w:t>
      </w:r>
      <w:r>
        <w:rPr>
          <w:rFonts w:hAnsi="宋体"/>
          <w:bCs/>
          <w:color w:val="000000" w:themeColor="text1"/>
          <w:spacing w:val="0"/>
          <w:kern w:val="2"/>
          <w14:textFill>
            <w14:solidFill>
              <w14:schemeClr w14:val="tx1"/>
            </w14:solidFill>
          </w14:textFill>
        </w:rPr>
        <w:t>(</w:t>
      </w:r>
      <w:r>
        <w:rPr>
          <w:rFonts w:hint="eastAsia" w:hAnsi="宋体"/>
          <w:bCs/>
          <w:color w:val="000000" w:themeColor="text1"/>
          <w:spacing w:val="0"/>
          <w:kern w:val="2"/>
          <w14:textFill>
            <w14:solidFill>
              <w14:schemeClr w14:val="tx1"/>
            </w14:solidFill>
          </w14:textFill>
        </w:rPr>
        <w:t>图</w:t>
      </w:r>
      <w:r>
        <w:rPr>
          <w:rFonts w:hAnsi="宋体"/>
          <w:bCs/>
          <w:color w:val="000000" w:themeColor="text1"/>
          <w:spacing w:val="0"/>
          <w:kern w:val="2"/>
          <w14:textFill>
            <w14:solidFill>
              <w14:schemeClr w14:val="tx1"/>
            </w14:solidFill>
          </w14:textFill>
        </w:rPr>
        <w:t>11.7.2-1a)</w:t>
      </w:r>
      <w:r>
        <w:rPr>
          <w:rFonts w:hint="eastAsia" w:hAnsi="宋体"/>
          <w:bCs/>
          <w:color w:val="000000" w:themeColor="text1"/>
          <w:spacing w:val="0"/>
          <w:kern w:val="2"/>
          <w14:textFill>
            <w14:solidFill>
              <w14:schemeClr w14:val="tx1"/>
            </w14:solidFill>
          </w14:textFill>
        </w:rPr>
        <w:t>。不满足上述要求时，可局部调整较小梁的截面高度</w:t>
      </w:r>
      <w:r>
        <w:rPr>
          <w:rFonts w:hAnsi="宋体"/>
          <w:bCs/>
          <w:color w:val="000000" w:themeColor="text1"/>
          <w:spacing w:val="0"/>
          <w:kern w:val="2"/>
          <w14:textFill>
            <w14:solidFill>
              <w14:schemeClr w14:val="tx1"/>
            </w14:solidFill>
          </w14:textFill>
        </w:rPr>
        <w:t>(</w:t>
      </w:r>
      <w:r>
        <w:rPr>
          <w:rFonts w:hint="eastAsia" w:hAnsi="宋体"/>
          <w:bCs/>
          <w:color w:val="000000" w:themeColor="text1"/>
          <w:spacing w:val="0"/>
          <w:kern w:val="2"/>
          <w14:textFill>
            <w14:solidFill>
              <w14:schemeClr w14:val="tx1"/>
            </w14:solidFill>
          </w14:textFill>
        </w:rPr>
        <w:t>图</w:t>
      </w:r>
      <w:r>
        <w:rPr>
          <w:rFonts w:hAnsi="宋体"/>
          <w:bCs/>
          <w:color w:val="000000" w:themeColor="text1"/>
          <w:spacing w:val="0"/>
          <w:kern w:val="2"/>
          <w14:textFill>
            <w14:solidFill>
              <w14:schemeClr w14:val="tx1"/>
            </w14:solidFill>
          </w14:textFill>
        </w:rPr>
        <w:t>11.7.2-1b)</w:t>
      </w:r>
      <w:r>
        <w:rPr>
          <w:rFonts w:hint="eastAsia" w:hAnsi="宋体"/>
          <w:bCs/>
          <w:color w:val="000000" w:themeColor="text1"/>
          <w:spacing w:val="0"/>
          <w:kern w:val="2"/>
          <w14:textFill>
            <w14:solidFill>
              <w14:schemeClr w14:val="tx1"/>
            </w14:solidFill>
          </w14:textFill>
        </w:rPr>
        <w:t>；两个互相垂直的方向连接的梁高度不同时，亦可参照上述方法处理。</w:t>
      </w:r>
    </w:p>
    <w:p>
      <w:pPr>
        <w:pStyle w:val="18"/>
        <w:ind w:firstLine="420"/>
        <w:jc w:val="center"/>
        <w:rPr>
          <w:rFonts w:hAnsi="宋体"/>
          <w:bCs/>
          <w:color w:val="000000" w:themeColor="text1"/>
          <w:spacing w:val="0"/>
          <w:kern w:val="2"/>
          <w14:textFill>
            <w14:solidFill>
              <w14:schemeClr w14:val="tx1"/>
            </w14:solidFill>
          </w14:textFill>
        </w:rPr>
      </w:pPr>
      <w:r>
        <w:rPr>
          <w:rFonts w:hAnsi="宋体"/>
          <w:bCs/>
          <w:color w:val="000000" w:themeColor="text1"/>
          <w:spacing w:val="0"/>
          <w:kern w:val="2"/>
          <w14:textFill>
            <w14:solidFill>
              <w14:schemeClr w14:val="tx1"/>
            </w14:solidFill>
          </w14:textFill>
        </w:rPr>
        <w:drawing>
          <wp:inline distT="0" distB="0" distL="0" distR="0">
            <wp:extent cx="3009900" cy="17145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3009900" cy="1714500"/>
                    </a:xfrm>
                    <a:prstGeom prst="rect">
                      <a:avLst/>
                    </a:prstGeom>
                    <a:noFill/>
                    <a:ln>
                      <a:noFill/>
                    </a:ln>
                  </pic:spPr>
                </pic:pic>
              </a:graphicData>
            </a:graphic>
          </wp:inline>
        </w:drawing>
      </w:r>
    </w:p>
    <w:p>
      <w:pPr>
        <w:pStyle w:val="18"/>
        <w:ind w:firstLine="0" w:firstLineChars="0"/>
        <w:jc w:val="center"/>
        <w:rPr>
          <w:rFonts w:hAnsi="宋体"/>
          <w:bCs/>
          <w:color w:val="000000" w:themeColor="text1"/>
          <w:spacing w:val="0"/>
          <w:kern w:val="2"/>
          <w14:textFill>
            <w14:solidFill>
              <w14:schemeClr w14:val="tx1"/>
            </w14:solidFill>
          </w14:textFill>
        </w:rPr>
      </w:pPr>
      <w:r>
        <w:rPr>
          <w:rFonts w:hint="eastAsia" w:hAnsi="宋体"/>
          <w:bCs/>
          <w:color w:val="000000" w:themeColor="text1"/>
          <w:spacing w:val="0"/>
          <w:kern w:val="2"/>
          <w14:textFill>
            <w14:solidFill>
              <w14:schemeClr w14:val="tx1"/>
            </w14:solidFill>
          </w14:textFill>
        </w:rPr>
        <w:t>图</w:t>
      </w:r>
      <w:r>
        <w:rPr>
          <w:rFonts w:hAnsi="宋体"/>
          <w:bCs/>
          <w:color w:val="000000" w:themeColor="text1"/>
          <w:spacing w:val="0"/>
          <w:kern w:val="2"/>
          <w14:textFill>
            <w14:solidFill>
              <w14:schemeClr w14:val="tx1"/>
            </w14:solidFill>
          </w14:textFill>
        </w:rPr>
        <w:t xml:space="preserve">11.7.2-1  </w:t>
      </w:r>
      <w:r>
        <w:rPr>
          <w:rFonts w:hint="eastAsia" w:hAnsi="宋体"/>
          <w:bCs/>
          <w:color w:val="000000" w:themeColor="text1"/>
          <w:spacing w:val="0"/>
          <w:kern w:val="2"/>
          <w14:textFill>
            <w14:solidFill>
              <w14:schemeClr w14:val="tx1"/>
            </w14:solidFill>
          </w14:textFill>
        </w:rPr>
        <w:t>柱两侧与不等高粱的连接</w:t>
      </w:r>
    </w:p>
    <w:p>
      <w:pPr>
        <w:pStyle w:val="18"/>
        <w:ind w:firstLine="0" w:firstLineChars="0"/>
        <w:rPr>
          <w:rFonts w:hAnsi="宋体"/>
          <w:bCs/>
          <w:color w:val="000000" w:themeColor="text1"/>
          <w14:textFill>
            <w14:solidFill>
              <w14:schemeClr w14:val="tx1"/>
            </w14:solidFill>
          </w14:textFill>
        </w:rPr>
      </w:pPr>
      <w:r>
        <w:rPr>
          <w:rFonts w:hAnsi="宋体"/>
          <w:bCs/>
          <w:color w:val="000000" w:themeColor="text1"/>
          <w:spacing w:val="0"/>
          <w:kern w:val="2"/>
          <w14:textFill>
            <w14:solidFill>
              <w14:schemeClr w14:val="tx1"/>
            </w14:solidFill>
          </w14:textFill>
        </w:rPr>
        <w:t xml:space="preserve">11.7.3 </w:t>
      </w:r>
      <w:r>
        <w:rPr>
          <w:rFonts w:hint="eastAsia" w:hAnsi="宋体"/>
          <w:bCs/>
          <w:color w:val="000000" w:themeColor="text1"/>
          <w:spacing w:val="0"/>
          <w:kern w:val="2"/>
          <w14:textFill>
            <w14:solidFill>
              <w14:schemeClr w14:val="tx1"/>
            </w14:solidFill>
          </w14:textFill>
        </w:rPr>
        <w:t>外露式柱脚锚栓均应采用双螺帽构造，当柱脚受有较大地震作用剪力时</w:t>
      </w:r>
      <w:r>
        <w:rPr>
          <w:rFonts w:hAnsi="宋体"/>
          <w:bCs/>
          <w:color w:val="000000" w:themeColor="text1"/>
          <w:spacing w:val="0"/>
          <w:kern w:val="2"/>
          <w14:textFill>
            <w14:solidFill>
              <w14:schemeClr w14:val="tx1"/>
            </w14:solidFill>
          </w14:textFill>
        </w:rPr>
        <w:t>(</w:t>
      </w:r>
      <w:r>
        <w:rPr>
          <w:rFonts w:hint="eastAsia" w:hAnsi="宋体"/>
          <w:bCs/>
          <w:color w:val="000000" w:themeColor="text1"/>
          <w:spacing w:val="0"/>
          <w:kern w:val="2"/>
          <w14:textFill>
            <w14:solidFill>
              <w14:schemeClr w14:val="tx1"/>
            </w14:solidFill>
          </w14:textFill>
        </w:rPr>
        <w:t>如柱列内与柱间支撑相连的柱脚</w:t>
      </w:r>
      <w:r>
        <w:rPr>
          <w:rFonts w:hAnsi="宋体"/>
          <w:bCs/>
          <w:color w:val="000000" w:themeColor="text1"/>
          <w:spacing w:val="0"/>
          <w:kern w:val="2"/>
          <w14:textFill>
            <w14:solidFill>
              <w14:schemeClr w14:val="tx1"/>
            </w14:solidFill>
          </w14:textFill>
        </w:rPr>
        <w:t xml:space="preserve">) </w:t>
      </w:r>
      <w:r>
        <w:rPr>
          <w:rFonts w:hint="eastAsia" w:hAnsi="宋体"/>
          <w:bCs/>
          <w:color w:val="000000" w:themeColor="text1"/>
          <w:spacing w:val="0"/>
          <w:kern w:val="2"/>
          <w14:textFill>
            <w14:solidFill>
              <w14:schemeClr w14:val="tx1"/>
            </w14:solidFill>
          </w14:textFill>
        </w:rPr>
        <w:t>，宜采用带抗剪键的柱脚构造。</w:t>
      </w:r>
    </w:p>
    <w:p>
      <w:pPr>
        <w:pStyle w:val="18"/>
        <w:ind w:firstLine="0" w:firstLineChars="0"/>
        <w:rPr>
          <w:rFonts w:hAnsi="宋体" w:asciiTheme="minorEastAsia"/>
          <w:bCs/>
          <w:color w:val="000000" w:themeColor="text1"/>
          <w:szCs w:val="21"/>
          <w14:textFill>
            <w14:solidFill>
              <w14:schemeClr w14:val="tx1"/>
            </w14:solidFill>
          </w14:textFill>
        </w:rPr>
      </w:pPr>
      <w:r>
        <w:rPr>
          <w:rFonts w:hAnsi="宋体"/>
          <w:bCs/>
          <w:color w:val="000000" w:themeColor="text1"/>
          <w:spacing w:val="0"/>
          <w:kern w:val="2"/>
          <w14:textFill>
            <w14:solidFill>
              <w14:schemeClr w14:val="tx1"/>
            </w14:solidFill>
          </w14:textFill>
        </w:rPr>
        <w:t xml:space="preserve">11.7.4 </w:t>
      </w:r>
      <w:r>
        <w:rPr>
          <w:rFonts w:hint="eastAsia" w:hAnsi="宋体"/>
          <w:bCs/>
          <w:color w:val="000000" w:themeColor="text1"/>
          <w:spacing w:val="0"/>
          <w:kern w:val="2"/>
          <w14:textFill>
            <w14:solidFill>
              <w14:schemeClr w14:val="tx1"/>
            </w14:solidFill>
          </w14:textFill>
        </w:rPr>
        <w:t>靴梁式柱脚锚栓自由长度宜大于柱截面高度。</w:t>
      </w:r>
      <w:r>
        <w:rPr>
          <w:rFonts w:hAnsi="宋体" w:asciiTheme="minorEastAsia" w:cstheme="minorBidi"/>
          <w:bCs/>
          <w:color w:val="000000" w:themeColor="text1"/>
          <w:spacing w:val="0"/>
          <w:kern w:val="2"/>
          <w:szCs w:val="21"/>
          <w14:textFill>
            <w14:solidFill>
              <w14:schemeClr w14:val="tx1"/>
            </w14:solidFill>
          </w14:textFill>
        </w:rPr>
        <w:t xml:space="preserve"> </w:t>
      </w:r>
    </w:p>
    <w:p>
      <w:pPr>
        <w:spacing w:line="360" w:lineRule="auto"/>
        <w:ind w:firstLine="0" w:firstLineChars="0"/>
        <w:rPr>
          <w:bCs/>
          <w:color w:val="000000" w:themeColor="text1"/>
          <w:szCs w:val="21"/>
          <w14:textFill>
            <w14:solidFill>
              <w14:schemeClr w14:val="tx1"/>
            </w14:solidFill>
          </w14:textFill>
        </w:rPr>
      </w:pPr>
      <w:r>
        <w:rPr>
          <w:rFonts w:ascii="宋体" w:hAnsi="宋体" w:cs="Times New Roman"/>
          <w:bCs/>
          <w:snapToGrid w:val="0"/>
          <w:color w:val="000000" w:themeColor="text1"/>
          <w:spacing w:val="20"/>
          <w:kern w:val="0"/>
          <w:szCs w:val="21"/>
          <w14:textFill>
            <w14:solidFill>
              <w14:schemeClr w14:val="tx1"/>
            </w14:solidFill>
          </w14:textFill>
        </w:rPr>
        <w:t>11.7.5</w:t>
      </w:r>
      <w:r>
        <w:rPr>
          <w:rFonts w:hint="eastAsia" w:ascii="宋体" w:hAnsi="宋体" w:cs="Times New Roman"/>
          <w:bCs/>
          <w:snapToGrid w:val="0"/>
          <w:color w:val="000000" w:themeColor="text1"/>
          <w:spacing w:val="20"/>
          <w:kern w:val="0"/>
          <w:szCs w:val="21"/>
          <w14:textFill>
            <w14:solidFill>
              <w14:schemeClr w14:val="tx1"/>
            </w14:solidFill>
          </w14:textFill>
        </w:rPr>
        <w:t>多层钢框架构造措施应符合第</w:t>
      </w:r>
      <w:r>
        <w:rPr>
          <w:rFonts w:ascii="宋体" w:hAnsi="宋体" w:cs="Times New Roman"/>
          <w:bCs/>
          <w:snapToGrid w:val="0"/>
          <w:color w:val="000000" w:themeColor="text1"/>
          <w:spacing w:val="20"/>
          <w:kern w:val="0"/>
          <w:szCs w:val="21"/>
          <w14:textFill>
            <w14:solidFill>
              <w14:schemeClr w14:val="tx1"/>
            </w14:solidFill>
          </w14:textFill>
        </w:rPr>
        <w:t>9</w:t>
      </w:r>
      <w:r>
        <w:rPr>
          <w:rFonts w:hint="eastAsia" w:ascii="宋体" w:hAnsi="宋体" w:cs="Times New Roman"/>
          <w:bCs/>
          <w:snapToGrid w:val="0"/>
          <w:color w:val="000000" w:themeColor="text1"/>
          <w:spacing w:val="20"/>
          <w:kern w:val="0"/>
          <w:szCs w:val="21"/>
          <w14:textFill>
            <w14:solidFill>
              <w14:schemeClr w14:val="tx1"/>
            </w14:solidFill>
          </w14:textFill>
        </w:rPr>
        <w:t>章的相关规定</w:t>
      </w: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26" w:name="_Toc48841065"/>
      <w:r>
        <w:rPr>
          <w:rFonts w:hint="eastAsia"/>
          <w:color w:val="000000" w:themeColor="text1"/>
          <w14:textFill>
            <w14:solidFill>
              <w14:schemeClr w14:val="tx1"/>
            </w14:solidFill>
          </w14:textFill>
        </w:rPr>
        <w:t>附录A 大跨度料场封闭结构</w:t>
      </w:r>
      <w:bookmarkEnd w:id="226"/>
    </w:p>
    <w:p>
      <w:pPr>
        <w:spacing w:before="156" w:beforeLines="50" w:after="156" w:afterLines="50"/>
        <w:ind w:firstLine="0" w:firstLineChars="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A.1 一般规定</w:t>
      </w:r>
    </w:p>
    <w:p>
      <w:pPr>
        <w:spacing w:before="156" w:beforeLines="50" w:after="156" w:afterLines="50"/>
        <w:ind w:firstLine="0" w:firstLineChars="0"/>
        <w:jc w:val="center"/>
        <w:rPr>
          <w:bCs/>
          <w:color w:val="000000" w:themeColor="text1"/>
          <w:szCs w:val="21"/>
          <w14:textFill>
            <w14:solidFill>
              <w14:schemeClr w14:val="tx1"/>
            </w14:solidFill>
          </w14:textFill>
        </w:rPr>
      </w:pPr>
    </w:p>
    <w:p>
      <w:pPr>
        <w:spacing w:line="360" w:lineRule="auto"/>
        <w:ind w:firstLine="0" w:firstLineChars="0"/>
        <w:rPr>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A.1.1 </w:t>
      </w:r>
      <w:r>
        <w:rPr>
          <w:rFonts w:hint="eastAsia"/>
          <w:bCs/>
          <w:color w:val="000000" w:themeColor="text1"/>
          <w:szCs w:val="21"/>
          <w14:textFill>
            <w14:solidFill>
              <w14:schemeClr w14:val="tx1"/>
            </w14:solidFill>
          </w14:textFill>
        </w:rPr>
        <w:t>本</w:t>
      </w:r>
      <w:r>
        <w:rPr>
          <w:rFonts w:hint="eastAsia"/>
          <w:color w:val="000000" w:themeColor="text1"/>
          <w:szCs w:val="21"/>
          <w14:textFill>
            <w14:solidFill>
              <w14:schemeClr w14:val="tx1"/>
            </w14:solidFill>
          </w14:textFill>
        </w:rPr>
        <w:t>附录适用于由空间网格结构（网架、网壳、立体桁架）、预应力索拱、预应力管桁架、张弦桁架、索结构等承重的电厂、煤场、码头、矿区等大跨度</w:t>
      </w:r>
      <w:bookmarkStart w:id="227" w:name="OLE_LINK1"/>
      <w:bookmarkStart w:id="228" w:name="OLE_LINK2"/>
      <w:r>
        <w:rPr>
          <w:rFonts w:hint="eastAsia"/>
          <w:color w:val="000000" w:themeColor="text1"/>
          <w:szCs w:val="21"/>
          <w14:textFill>
            <w14:solidFill>
              <w14:schemeClr w14:val="tx1"/>
            </w14:solidFill>
          </w14:textFill>
        </w:rPr>
        <w:t>料场封闭结构</w:t>
      </w:r>
      <w:bookmarkEnd w:id="227"/>
      <w:bookmarkEnd w:id="228"/>
      <w:r>
        <w:rPr>
          <w:rFonts w:hint="eastAsia"/>
          <w:color w:val="000000" w:themeColor="text1"/>
          <w:szCs w:val="21"/>
          <w14:textFill>
            <w14:solidFill>
              <w14:schemeClr w14:val="tx1"/>
            </w14:solidFill>
          </w14:textFill>
        </w:rPr>
        <w:t>的抗震设计。</w:t>
      </w:r>
    </w:p>
    <w:p>
      <w:pPr>
        <w:spacing w:line="360" w:lineRule="auto"/>
        <w:ind w:firstLine="0" w:firstLineChars="0"/>
        <w:rPr>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 xml:space="preserve">A.1.2 </w:t>
      </w:r>
      <w:r>
        <w:rPr>
          <w:rFonts w:hint="eastAsia"/>
          <w:color w:val="000000" w:themeColor="text1"/>
          <w:szCs w:val="21"/>
          <w14:textFill>
            <w14:solidFill>
              <w14:schemeClr w14:val="tx1"/>
            </w14:solidFill>
          </w14:textFill>
        </w:rPr>
        <w:t>本附录适用于结构跨度在</w:t>
      </w:r>
      <w:r>
        <w:rPr>
          <w:color w:val="000000" w:themeColor="text1"/>
          <w:szCs w:val="21"/>
          <w14:textFill>
            <w14:solidFill>
              <w14:schemeClr w14:val="tx1"/>
            </w14:solidFill>
          </w14:textFill>
        </w:rPr>
        <w:t>200m</w:t>
      </w:r>
      <w:r>
        <w:rPr>
          <w:rFonts w:hint="eastAsia"/>
          <w:color w:val="000000" w:themeColor="text1"/>
          <w:szCs w:val="21"/>
          <w14:textFill>
            <w14:solidFill>
              <w14:schemeClr w14:val="tx1"/>
            </w14:solidFill>
          </w14:textFill>
        </w:rPr>
        <w:t>以下的料场封闭结构。对于跨度大于</w:t>
      </w:r>
      <w:r>
        <w:rPr>
          <w:color w:val="000000" w:themeColor="text1"/>
          <w:szCs w:val="21"/>
          <w14:textFill>
            <w14:solidFill>
              <w14:schemeClr w14:val="tx1"/>
            </w14:solidFill>
          </w14:textFill>
        </w:rPr>
        <w:t>200m</w:t>
      </w:r>
      <w:r>
        <w:rPr>
          <w:rFonts w:hint="eastAsia"/>
          <w:color w:val="000000" w:themeColor="text1"/>
          <w:szCs w:val="21"/>
          <w14:textFill>
            <w14:solidFill>
              <w14:schemeClr w14:val="tx1"/>
            </w14:solidFill>
          </w14:textFill>
        </w:rPr>
        <w:t>的料场封闭结构，其抗震设计应进行专门研究和论证，采取有效的加强措施。</w:t>
      </w:r>
    </w:p>
    <w:p>
      <w:pPr>
        <w:spacing w:line="360" w:lineRule="auto"/>
        <w:ind w:firstLine="0" w:firstLineChars="0"/>
        <w:rPr>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A.1.3 </w:t>
      </w:r>
      <w:r>
        <w:rPr>
          <w:rFonts w:hint="eastAsia"/>
          <w:color w:val="000000" w:themeColor="text1"/>
          <w:szCs w:val="21"/>
          <w14:textFill>
            <w14:solidFill>
              <w14:schemeClr w14:val="tx1"/>
            </w14:solidFill>
          </w14:textFill>
        </w:rPr>
        <w:t>大跨度料场封闭结构的布置应满足以下要求：</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1. </w:t>
      </w:r>
      <w:r>
        <w:rPr>
          <w:rFonts w:hint="eastAsia"/>
          <w:color w:val="000000" w:themeColor="text1"/>
          <w:szCs w:val="21"/>
          <w14:textFill>
            <w14:solidFill>
              <w14:schemeClr w14:val="tx1"/>
            </w14:solidFill>
          </w14:textFill>
        </w:rPr>
        <w:t>大跨度料场封闭结构在满足工艺要求的前提下，宜符合平面、立面和竖向剖面的规则性要求。</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2. </w:t>
      </w:r>
      <w:r>
        <w:rPr>
          <w:rFonts w:hint="eastAsia"/>
          <w:color w:val="000000" w:themeColor="text1"/>
          <w:szCs w:val="21"/>
          <w14:textFill>
            <w14:solidFill>
              <w14:schemeClr w14:val="tx1"/>
            </w14:solidFill>
          </w14:textFill>
        </w:rPr>
        <w:t>结构传力路径明确，支座能将地震作用有效地传递到地基与基础。</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3. </w:t>
      </w:r>
      <w:r>
        <w:rPr>
          <w:rFonts w:hint="eastAsia"/>
          <w:color w:val="000000" w:themeColor="text1"/>
          <w:szCs w:val="21"/>
          <w14:textFill>
            <w14:solidFill>
              <w14:schemeClr w14:val="tx1"/>
            </w14:solidFill>
          </w14:textFill>
        </w:rPr>
        <w:t>应具有合理的刚度和承载力分布，屋盖及其支承构件布置宜均匀对称。</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4. </w:t>
      </w:r>
      <w:r>
        <w:rPr>
          <w:rFonts w:hint="eastAsia"/>
          <w:color w:val="000000" w:themeColor="text1"/>
          <w:szCs w:val="21"/>
          <w14:textFill>
            <w14:solidFill>
              <w14:schemeClr w14:val="tx1"/>
            </w14:solidFill>
          </w14:textFill>
        </w:rPr>
        <w:t>结构沿两个水平方向宜形成刚度均衡的空间传力体系，避免出现局部削弱或突变形成薄弱部位。对于可能出现的薄弱部位，应采取措施提高其抗震能力。</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5. </w:t>
      </w:r>
      <w:r>
        <w:rPr>
          <w:rFonts w:hint="eastAsia"/>
          <w:color w:val="000000" w:themeColor="text1"/>
          <w:szCs w:val="21"/>
          <w14:textFill>
            <w14:solidFill>
              <w14:schemeClr w14:val="tx1"/>
            </w14:solidFill>
          </w14:textFill>
        </w:rPr>
        <w:t>下部支承结构应合理布置，避免覆盖结构产生过大的地震扭转效应。</w:t>
      </w:r>
    </w:p>
    <w:p>
      <w:pPr>
        <w:spacing w:line="360" w:lineRule="auto"/>
        <w:ind w:firstLine="420"/>
        <w:rPr>
          <w:color w:val="000000" w:themeColor="text1"/>
          <w:szCs w:val="21"/>
          <w14:textFill>
            <w14:solidFill>
              <w14:schemeClr w14:val="tx1"/>
            </w14:solidFill>
          </w14:textFill>
        </w:rPr>
      </w:pPr>
    </w:p>
    <w:p>
      <w:pPr>
        <w:spacing w:before="156" w:beforeLines="50" w:after="156" w:afterLines="50"/>
        <w:ind w:firstLine="0" w:firstLineChars="0"/>
        <w:jc w:val="center"/>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A.2 </w:t>
      </w:r>
      <w:r>
        <w:rPr>
          <w:rFonts w:hint="eastAsia"/>
          <w:bCs/>
          <w:color w:val="000000" w:themeColor="text1"/>
          <w:szCs w:val="21"/>
          <w14:textFill>
            <w14:solidFill>
              <w14:schemeClr w14:val="tx1"/>
            </w14:solidFill>
          </w14:textFill>
        </w:rPr>
        <w:t>抗震计算原则</w:t>
      </w:r>
    </w:p>
    <w:p>
      <w:pPr>
        <w:spacing w:before="156" w:beforeLines="50" w:after="156" w:afterLines="50"/>
        <w:ind w:firstLine="0" w:firstLineChars="0"/>
        <w:jc w:val="center"/>
        <w:rPr>
          <w:bCs/>
          <w:color w:val="000000" w:themeColor="text1"/>
          <w:szCs w:val="21"/>
          <w14:textFill>
            <w14:solidFill>
              <w14:schemeClr w14:val="tx1"/>
            </w14:solidFill>
          </w14:textFill>
        </w:rPr>
      </w:pPr>
    </w:p>
    <w:p>
      <w:pPr>
        <w:spacing w:line="360" w:lineRule="auto"/>
        <w:ind w:firstLine="0" w:firstLineChars="0"/>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A.2.1 </w:t>
      </w:r>
      <w:r>
        <w:rPr>
          <w:rFonts w:hint="eastAsia"/>
          <w:bCs/>
          <w:color w:val="000000" w:themeColor="text1"/>
          <w:szCs w:val="21"/>
          <w14:textFill>
            <w14:solidFill>
              <w14:schemeClr w14:val="tx1"/>
            </w14:solidFill>
          </w14:textFill>
        </w:rPr>
        <w:t>大跨度料场封闭结构宜采用高强度-低延性的抗震设计方法进行设计</w:t>
      </w:r>
      <w:r>
        <w:rPr>
          <w:rFonts w:hint="eastAsia"/>
          <w:bCs/>
          <w:color w:val="000000" w:themeColor="text1"/>
          <w14:textFill>
            <w14:solidFill>
              <w14:schemeClr w14:val="tx1"/>
            </w14:solidFill>
          </w14:textFill>
        </w:rPr>
        <w:t>。</w:t>
      </w:r>
    </w:p>
    <w:p>
      <w:pPr>
        <w:spacing w:line="360" w:lineRule="auto"/>
        <w:ind w:firstLine="0" w:firstLineChars="0"/>
        <w:rPr>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A.2.2 </w:t>
      </w:r>
      <w:r>
        <w:rPr>
          <w:rFonts w:hint="eastAsia"/>
          <w:bCs/>
          <w:color w:val="000000" w:themeColor="text1"/>
          <w:szCs w:val="21"/>
          <w14:textFill>
            <w14:solidFill>
              <w14:schemeClr w14:val="tx1"/>
            </w14:solidFill>
          </w14:textFill>
        </w:rPr>
        <w:t>抗</w:t>
      </w:r>
      <w:r>
        <w:rPr>
          <w:rFonts w:hint="eastAsia"/>
          <w:color w:val="000000" w:themeColor="text1"/>
          <w:szCs w:val="21"/>
          <w14:textFill>
            <w14:solidFill>
              <w14:schemeClr w14:val="tx1"/>
            </w14:solidFill>
          </w14:textFill>
        </w:rPr>
        <w:t>震计算模型应满足以下要求：</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．应合理确定屋盖结构的计算模型，其连接假定应与构造相符。</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．计算模型中的支座约束应与支座的实际构造一致。</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．计算模型应计入屋盖结构与下部支承结构的协同作用。</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r>
        <w:rPr>
          <w:rFonts w:hint="eastAsia"/>
          <w:color w:val="000000" w:themeColor="text1"/>
          <w:szCs w:val="21"/>
          <w14:textFill>
            <w14:solidFill>
              <w14:schemeClr w14:val="tx1"/>
            </w14:solidFill>
          </w14:textFill>
        </w:rPr>
        <w:t>．对于有预应力索参与的预应力索拱体系、预应力管桁架、张弦桁架、索结构等的地震作用计算模型，应计入索的几何刚度影响。</w:t>
      </w:r>
    </w:p>
    <w:p>
      <w:pPr>
        <w:spacing w:line="360" w:lineRule="auto"/>
        <w:ind w:firstLine="0" w:firstLineChars="0"/>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A.2.3 </w:t>
      </w:r>
      <w:r>
        <w:rPr>
          <w:rFonts w:hint="eastAsia"/>
          <w:bCs/>
          <w:color w:val="000000" w:themeColor="text1"/>
          <w:szCs w:val="21"/>
          <w14:textFill>
            <w14:solidFill>
              <w14:schemeClr w14:val="tx1"/>
            </w14:solidFill>
          </w14:textFill>
        </w:rPr>
        <w:t>抗震分析时结构的阻尼比宜按下列取值：</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1. </w:t>
      </w:r>
      <w:r>
        <w:rPr>
          <w:rFonts w:hint="eastAsia"/>
          <w:bCs/>
          <w:color w:val="000000" w:themeColor="text1"/>
          <w:szCs w:val="21"/>
          <w14:textFill>
            <w14:solidFill>
              <w14:schemeClr w14:val="tx1"/>
            </w14:solidFill>
          </w14:textFill>
        </w:rPr>
        <w:t>当下部支承结构为钢结构或屋盖直接支承在地面时，阻尼比可取</w:t>
      </w:r>
      <w:r>
        <w:rPr>
          <w:bCs/>
          <w:color w:val="000000" w:themeColor="text1"/>
          <w:szCs w:val="21"/>
          <w14:textFill>
            <w14:solidFill>
              <w14:schemeClr w14:val="tx1"/>
            </w14:solidFill>
          </w14:textFill>
        </w:rPr>
        <w:t>0.02</w:t>
      </w:r>
      <w:r>
        <w:rPr>
          <w:rFonts w:hint="eastAsia"/>
          <w:bCs/>
          <w:color w:val="000000" w:themeColor="text1"/>
          <w:szCs w:val="21"/>
          <w14:textFill>
            <w14:solidFill>
              <w14:schemeClr w14:val="tx1"/>
            </w14:solidFill>
          </w14:textFill>
        </w:rPr>
        <w:t>。</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2. </w:t>
      </w:r>
      <w:r>
        <w:rPr>
          <w:rFonts w:hint="eastAsia"/>
          <w:bCs/>
          <w:color w:val="000000" w:themeColor="text1"/>
          <w:szCs w:val="21"/>
          <w14:textFill>
            <w14:solidFill>
              <w14:schemeClr w14:val="tx1"/>
            </w14:solidFill>
          </w14:textFill>
        </w:rPr>
        <w:t>当下部支承结构为混凝土柱或连续墙时，阻尼比可取</w:t>
      </w:r>
      <w:r>
        <w:rPr>
          <w:bCs/>
          <w:color w:val="000000" w:themeColor="text1"/>
          <w:szCs w:val="21"/>
          <w14:textFill>
            <w14:solidFill>
              <w14:schemeClr w14:val="tx1"/>
            </w14:solidFill>
          </w14:textFill>
        </w:rPr>
        <w:t>0.025-0.035</w:t>
      </w:r>
      <w:r>
        <w:rPr>
          <w:rFonts w:hint="eastAsia"/>
          <w:bCs/>
          <w:color w:val="000000" w:themeColor="text1"/>
          <w:szCs w:val="21"/>
          <w14:textFill>
            <w14:solidFill>
              <w14:schemeClr w14:val="tx1"/>
            </w14:solidFill>
          </w14:textFill>
        </w:rPr>
        <w:t>。</w:t>
      </w:r>
    </w:p>
    <w:p>
      <w:pPr>
        <w:spacing w:line="360" w:lineRule="auto"/>
        <w:ind w:firstLine="0" w:firstLineChars="0"/>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A.2.4 抗震计算方法的选取应满足以下要求：</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1. </w:t>
      </w:r>
      <w:r>
        <w:rPr>
          <w:rFonts w:hint="eastAsia"/>
          <w:bCs/>
          <w:color w:val="000000" w:themeColor="text1"/>
          <w:szCs w:val="21"/>
          <w14:textFill>
            <w14:solidFill>
              <w14:schemeClr w14:val="tx1"/>
            </w14:solidFill>
          </w14:textFill>
        </w:rPr>
        <w:t>对于跨度在</w:t>
      </w:r>
      <w:r>
        <w:rPr>
          <w:bCs/>
          <w:color w:val="000000" w:themeColor="text1"/>
          <w:szCs w:val="21"/>
          <w14:textFill>
            <w14:solidFill>
              <w14:schemeClr w14:val="tx1"/>
            </w14:solidFill>
          </w14:textFill>
        </w:rPr>
        <w:t>120m</w:t>
      </w:r>
      <w:r>
        <w:rPr>
          <w:rFonts w:hint="eastAsia"/>
          <w:bCs/>
          <w:color w:val="000000" w:themeColor="text1"/>
          <w:szCs w:val="21"/>
          <w14:textFill>
            <w14:solidFill>
              <w14:schemeClr w14:val="tx1"/>
            </w14:solidFill>
          </w14:textFill>
        </w:rPr>
        <w:t>以下的料场封闭结构，当结构布置规则时，地震作用效应分析可采用振型分解反应谱法；当结构体型复杂、布置不规则时，宜考虑多维地震作用效应影响，并采用时程分析法进行补充计算。</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2. </w:t>
      </w:r>
      <w:r>
        <w:rPr>
          <w:rFonts w:hint="eastAsia"/>
          <w:bCs/>
          <w:color w:val="000000" w:themeColor="text1"/>
          <w:szCs w:val="21"/>
          <w14:textFill>
            <w14:solidFill>
              <w14:schemeClr w14:val="tx1"/>
            </w14:solidFill>
          </w14:textFill>
        </w:rPr>
        <w:t>对于跨度在</w:t>
      </w:r>
      <w:r>
        <w:rPr>
          <w:bCs/>
          <w:color w:val="000000" w:themeColor="text1"/>
          <w:szCs w:val="21"/>
          <w14:textFill>
            <w14:solidFill>
              <w14:schemeClr w14:val="tx1"/>
            </w14:solidFill>
          </w14:textFill>
        </w:rPr>
        <w:t>120m~200m</w:t>
      </w:r>
      <w:r>
        <w:rPr>
          <w:rFonts w:hint="eastAsia"/>
          <w:bCs/>
          <w:color w:val="000000" w:themeColor="text1"/>
          <w:szCs w:val="21"/>
          <w14:textFill>
            <w14:solidFill>
              <w14:schemeClr w14:val="tx1"/>
            </w14:solidFill>
          </w14:textFill>
        </w:rPr>
        <w:t>的大跨度料场封闭结构，应进行三向地震作用下的多维地震效应分析，分别采用多维地震反应谱法和时程分析法，抗震设计时取两者计算结果的较大值。</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3. </w:t>
      </w:r>
      <w:r>
        <w:rPr>
          <w:rFonts w:hint="eastAsia"/>
          <w:bCs/>
          <w:color w:val="000000" w:themeColor="text1"/>
          <w:szCs w:val="21"/>
          <w14:textFill>
            <w14:solidFill>
              <w14:schemeClr w14:val="tx1"/>
            </w14:solidFill>
          </w14:textFill>
        </w:rPr>
        <w:t>当结构长度超过</w:t>
      </w:r>
      <w:r>
        <w:rPr>
          <w:bCs/>
          <w:color w:val="000000" w:themeColor="text1"/>
          <w:szCs w:val="21"/>
          <w14:textFill>
            <w14:solidFill>
              <w14:schemeClr w14:val="tx1"/>
            </w14:solidFill>
          </w14:textFill>
        </w:rPr>
        <w:t>300m</w:t>
      </w:r>
      <w:r>
        <w:rPr>
          <w:rFonts w:hint="eastAsia"/>
          <w:bCs/>
          <w:color w:val="000000" w:themeColor="text1"/>
          <w:szCs w:val="21"/>
          <w14:textFill>
            <w14:solidFill>
              <w14:schemeClr w14:val="tx1"/>
            </w14:solidFill>
          </w14:textFill>
        </w:rPr>
        <w:t>时，应考虑地震行波效应影响的多点激励。</w:t>
      </w:r>
    </w:p>
    <w:p>
      <w:pPr>
        <w:spacing w:line="360" w:lineRule="auto"/>
        <w:ind w:firstLine="0" w:firstLineChars="0"/>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A.2.5 </w:t>
      </w:r>
      <w:r>
        <w:rPr>
          <w:rFonts w:hint="eastAsia"/>
          <w:bCs/>
          <w:color w:val="000000" w:themeColor="text1"/>
          <w:szCs w:val="21"/>
          <w14:textFill>
            <w14:solidFill>
              <w14:schemeClr w14:val="tx1"/>
            </w14:solidFill>
          </w14:textFill>
        </w:rPr>
        <w:t>当采用振型分解反应谱法时，参与组合的振型数应足够多，振型个数可取振型参与质量达到总质量</w:t>
      </w:r>
      <w:r>
        <w:rPr>
          <w:bCs/>
          <w:color w:val="000000" w:themeColor="text1"/>
          <w:szCs w:val="21"/>
          <w14:textFill>
            <w14:solidFill>
              <w14:schemeClr w14:val="tx1"/>
            </w14:solidFill>
          </w14:textFill>
        </w:rPr>
        <w:t>90%</w:t>
      </w:r>
      <w:r>
        <w:rPr>
          <w:rFonts w:hint="eastAsia"/>
          <w:bCs/>
          <w:color w:val="000000" w:themeColor="text1"/>
          <w:szCs w:val="21"/>
          <w14:textFill>
            <w14:solidFill>
              <w14:schemeClr w14:val="tx1"/>
            </w14:solidFill>
          </w14:textFill>
        </w:rPr>
        <w:t>所需的振型数。</w:t>
      </w:r>
    </w:p>
    <w:p>
      <w:pPr>
        <w:spacing w:line="360" w:lineRule="auto"/>
        <w:ind w:firstLine="0" w:firstLineChars="0"/>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A.2.6 </w:t>
      </w:r>
      <w:r>
        <w:rPr>
          <w:rFonts w:hint="eastAsia"/>
          <w:bCs/>
          <w:color w:val="000000" w:themeColor="text1"/>
          <w:szCs w:val="21"/>
          <w14:textFill>
            <w14:solidFill>
              <w14:schemeClr w14:val="tx1"/>
            </w14:solidFill>
          </w14:textFill>
        </w:rPr>
        <w:t>当抗震设防烈度为</w:t>
      </w:r>
      <w:r>
        <w:rPr>
          <w:bCs/>
          <w:color w:val="000000" w:themeColor="text1"/>
          <w:szCs w:val="21"/>
          <w14:textFill>
            <w14:solidFill>
              <w14:schemeClr w14:val="tx1"/>
            </w14:solidFill>
          </w14:textFill>
        </w:rPr>
        <w:t>8</w:t>
      </w:r>
      <w:r>
        <w:rPr>
          <w:rFonts w:hint="eastAsia"/>
          <w:bCs/>
          <w:color w:val="000000" w:themeColor="text1"/>
          <w:szCs w:val="21"/>
          <w14:textFill>
            <w14:solidFill>
              <w14:schemeClr w14:val="tx1"/>
            </w14:solidFill>
          </w14:textFill>
        </w:rPr>
        <w:t>度及以上时，应对结构进行大震弹塑性分析，并对薄弱部位进行加强处理。当抗震设防烈度为</w:t>
      </w:r>
      <w:r>
        <w:rPr>
          <w:bCs/>
          <w:color w:val="000000" w:themeColor="text1"/>
          <w:szCs w:val="21"/>
          <w14:textFill>
            <w14:solidFill>
              <w14:schemeClr w14:val="tx1"/>
            </w14:solidFill>
          </w14:textFill>
        </w:rPr>
        <w:t>8</w:t>
      </w:r>
      <w:r>
        <w:rPr>
          <w:rFonts w:hint="eastAsia"/>
          <w:bCs/>
          <w:color w:val="000000" w:themeColor="text1"/>
          <w:szCs w:val="21"/>
          <w14:textFill>
            <w14:solidFill>
              <w14:schemeClr w14:val="tx1"/>
            </w14:solidFill>
          </w14:textFill>
        </w:rPr>
        <w:t>度以下时，可不进行大震弹塑性分析，结构构造应满足相关要求。</w:t>
      </w:r>
    </w:p>
    <w:p>
      <w:pPr>
        <w:spacing w:line="360" w:lineRule="auto"/>
        <w:ind w:firstLine="0" w:firstLineChars="0"/>
        <w:rPr>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A.2.7 </w:t>
      </w:r>
      <w:r>
        <w:rPr>
          <w:rFonts w:hint="eastAsia"/>
          <w:color w:val="000000" w:themeColor="text1"/>
          <w:szCs w:val="21"/>
          <w14:textFill>
            <w14:solidFill>
              <w14:schemeClr w14:val="tx1"/>
            </w14:solidFill>
          </w14:textFill>
        </w:rPr>
        <w:t>料场封闭结构在重力荷载代表值和竖向地震作用标准值下的组合挠度值不宜超过表</w:t>
      </w:r>
      <w:r>
        <w:rPr>
          <w:color w:val="000000" w:themeColor="text1"/>
          <w:szCs w:val="21"/>
          <w14:textFill>
            <w14:solidFill>
              <w14:schemeClr w14:val="tx1"/>
            </w14:solidFill>
          </w14:textFill>
        </w:rPr>
        <w:t>A.</w:t>
      </w:r>
      <w:r>
        <w:rPr>
          <w:rFonts w:hint="eastAsia"/>
          <w:color w:val="000000" w:themeColor="text1"/>
          <w:szCs w:val="21"/>
          <w14:textFill>
            <w14:solidFill>
              <w14:schemeClr w14:val="tx1"/>
            </w14:solidFill>
          </w14:textFill>
        </w:rPr>
        <w:t>2.7-</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的限值。</w:t>
      </w:r>
    </w:p>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表</w:t>
      </w:r>
      <w:r>
        <w:rPr>
          <w:color w:val="000000" w:themeColor="text1"/>
          <w:szCs w:val="21"/>
          <w14:textFill>
            <w14:solidFill>
              <w14:schemeClr w14:val="tx1"/>
            </w14:solidFill>
          </w14:textFill>
        </w:rPr>
        <w:t>A.</w:t>
      </w:r>
      <w:r>
        <w:rPr>
          <w:rFonts w:hint="eastAsia"/>
          <w:color w:val="000000" w:themeColor="text1"/>
          <w:szCs w:val="21"/>
          <w14:textFill>
            <w14:solidFill>
              <w14:schemeClr w14:val="tx1"/>
            </w14:solidFill>
          </w14:textFill>
        </w:rPr>
        <w:t>2.7-</w:t>
      </w:r>
      <w:r>
        <w:rPr>
          <w:color w:val="000000" w:themeColor="text1"/>
          <w:szCs w:val="21"/>
          <w14:textFill>
            <w14:solidFill>
              <w14:schemeClr w14:val="tx1"/>
            </w14:solidFill>
          </w14:textFill>
        </w:rPr>
        <w:t xml:space="preserve">1 </w:t>
      </w:r>
      <w:r>
        <w:rPr>
          <w:rFonts w:hint="eastAsia"/>
          <w:color w:val="000000" w:themeColor="text1"/>
          <w:szCs w:val="21"/>
          <w14:textFill>
            <w14:solidFill>
              <w14:schemeClr w14:val="tx1"/>
            </w14:solidFill>
          </w14:textFill>
        </w:rPr>
        <w:t>料场封闭结构的挠度限值</w:t>
      </w:r>
    </w:p>
    <w:tbl>
      <w:tblPr>
        <w:tblStyle w:val="32"/>
        <w:tblW w:w="0" w:type="auto"/>
        <w:tblInd w:w="10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4"/>
        <w:gridCol w:w="3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3454"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结构体系</w:t>
            </w:r>
          </w:p>
        </w:tc>
        <w:tc>
          <w:tcPr>
            <w:tcW w:w="3634"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挠度限值（跨度</w:t>
            </w:r>
            <w:r>
              <w:rPr>
                <w:rFonts w:cs="Times New Roman"/>
                <w:i/>
                <w:iCs/>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454"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桁架、网架、张弦桁架、预应力索拱、预应力管桁架</w:t>
            </w:r>
          </w:p>
        </w:tc>
        <w:tc>
          <w:tcPr>
            <w:tcW w:w="3634"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color w:val="000000" w:themeColor="text1"/>
                <w:szCs w:val="21"/>
                <w14:textFill>
                  <w14:solidFill>
                    <w14:schemeClr w14:val="tx1"/>
                  </w14:solidFill>
                </w14:textFill>
              </w:rPr>
            </w:pPr>
            <w:r>
              <w:rPr>
                <w:rFonts w:cs="Times New Roman"/>
                <w:i/>
                <w:iCs/>
                <w:color w:val="000000" w:themeColor="text1"/>
                <w:szCs w:val="21"/>
                <w14:textFill>
                  <w14:solidFill>
                    <w14:schemeClr w14:val="tx1"/>
                  </w14:solidFill>
                </w14:textFill>
              </w:rPr>
              <w:t>l</w:t>
            </w:r>
            <w:r>
              <w:rPr>
                <w:color w:val="000000" w:themeColor="text1"/>
                <w:szCs w:val="21"/>
                <w14:textFill>
                  <w14:solidFill>
                    <w14:schemeClr w14:val="tx1"/>
                  </w14:solidFill>
                </w14:textFill>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3454"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双层网壳、弦支网壳</w:t>
            </w:r>
          </w:p>
        </w:tc>
        <w:tc>
          <w:tcPr>
            <w:tcW w:w="3634" w:type="dxa"/>
            <w:tcBorders>
              <w:top w:val="single" w:color="auto" w:sz="4" w:space="0"/>
              <w:left w:val="single" w:color="auto" w:sz="4" w:space="0"/>
              <w:bottom w:val="single" w:color="auto" w:sz="4" w:space="0"/>
              <w:right w:val="single" w:color="auto" w:sz="4" w:space="0"/>
            </w:tcBorders>
          </w:tcPr>
          <w:p>
            <w:pPr>
              <w:spacing w:line="300" w:lineRule="auto"/>
              <w:ind w:firstLine="0" w:firstLineChars="0"/>
              <w:jc w:val="center"/>
              <w:rPr>
                <w:color w:val="000000" w:themeColor="text1"/>
                <w:szCs w:val="21"/>
                <w14:textFill>
                  <w14:solidFill>
                    <w14:schemeClr w14:val="tx1"/>
                  </w14:solidFill>
                </w14:textFill>
              </w:rPr>
            </w:pPr>
            <w:r>
              <w:rPr>
                <w:rFonts w:cs="Times New Roman"/>
                <w:i/>
                <w:iCs/>
                <w:color w:val="000000" w:themeColor="text1"/>
                <w:szCs w:val="21"/>
                <w14:textFill>
                  <w14:solidFill>
                    <w14:schemeClr w14:val="tx1"/>
                  </w14:solidFill>
                </w14:textFill>
              </w:rPr>
              <w:t>l</w:t>
            </w:r>
            <w:r>
              <w:rPr>
                <w:color w:val="000000" w:themeColor="text1"/>
                <w:szCs w:val="21"/>
                <w14:textFill>
                  <w14:solidFill>
                    <w14:schemeClr w14:val="tx1"/>
                  </w14:solidFill>
                </w14:textFill>
              </w:rPr>
              <w:t>/250</w:t>
            </w:r>
          </w:p>
        </w:tc>
      </w:tr>
    </w:tbl>
    <w:p>
      <w:pPr>
        <w:spacing w:line="360" w:lineRule="auto"/>
        <w:ind w:firstLine="420"/>
        <w:rPr>
          <w:color w:val="000000" w:themeColor="text1"/>
          <w:szCs w:val="21"/>
          <w14:textFill>
            <w14:solidFill>
              <w14:schemeClr w14:val="tx1"/>
            </w14:solidFill>
          </w14:textFill>
        </w:rPr>
      </w:pPr>
    </w:p>
    <w:p>
      <w:pPr>
        <w:spacing w:line="360" w:lineRule="auto"/>
        <w:ind w:firstLine="0" w:firstLineChars="0"/>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 xml:space="preserve">A.2.8 </w:t>
      </w:r>
      <w:r>
        <w:rPr>
          <w:rFonts w:hint="eastAsia"/>
          <w:bCs/>
          <w:color w:val="000000" w:themeColor="text1"/>
          <w:szCs w:val="21"/>
          <w14:textFill>
            <w14:solidFill>
              <w14:schemeClr w14:val="tx1"/>
            </w14:solidFill>
          </w14:textFill>
        </w:rPr>
        <w:t>料场封闭结构的支座，在地震作用下，除应具有足够的竖向承载力外，尚应保证可靠的抗拔能力，其受力状况宜按实体模型进行有限元分析。</w:t>
      </w:r>
    </w:p>
    <w:p>
      <w:pPr>
        <w:spacing w:line="360" w:lineRule="auto"/>
        <w:ind w:firstLine="0" w:firstLineChars="0"/>
        <w:rPr>
          <w:bCs/>
          <w:color w:val="000000" w:themeColor="text1"/>
          <w:szCs w:val="21"/>
          <w14:textFill>
            <w14:solidFill>
              <w14:schemeClr w14:val="tx1"/>
            </w14:solidFill>
          </w14:textFill>
        </w:rPr>
      </w:pPr>
    </w:p>
    <w:p>
      <w:pPr>
        <w:spacing w:before="156" w:beforeLines="50" w:after="156" w:afterLines="50"/>
        <w:ind w:firstLine="0" w:firstLineChars="0"/>
        <w:jc w:val="center"/>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A.3</w:t>
      </w:r>
      <w:r>
        <w:rPr>
          <w:rFonts w:hint="eastAsia"/>
          <w:bCs/>
          <w:color w:val="000000" w:themeColor="text1"/>
          <w:szCs w:val="21"/>
          <w14:textFill>
            <w14:solidFill>
              <w14:schemeClr w14:val="tx1"/>
            </w14:solidFill>
          </w14:textFill>
        </w:rPr>
        <w:t>抗震构造措施</w:t>
      </w:r>
    </w:p>
    <w:p>
      <w:pPr>
        <w:spacing w:before="156" w:beforeLines="50" w:after="156" w:afterLines="50"/>
        <w:ind w:firstLine="0" w:firstLineChars="0"/>
        <w:jc w:val="center"/>
        <w:rPr>
          <w:bCs/>
          <w:color w:val="000000" w:themeColor="text1"/>
          <w:szCs w:val="21"/>
          <w14:textFill>
            <w14:solidFill>
              <w14:schemeClr w14:val="tx1"/>
            </w14:solidFill>
          </w14:textFill>
        </w:rPr>
      </w:pPr>
    </w:p>
    <w:p>
      <w:pPr>
        <w:spacing w:line="360" w:lineRule="auto"/>
        <w:ind w:firstLine="0" w:firstLineChars="0"/>
        <w:rPr>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A.3.1</w:t>
      </w:r>
      <w:r>
        <w:rPr>
          <w:rFonts w:hint="eastAsia"/>
          <w:bCs/>
          <w:color w:val="000000" w:themeColor="text1"/>
          <w:szCs w:val="21"/>
          <w14:textFill>
            <w14:solidFill>
              <w14:schemeClr w14:val="tx1"/>
            </w14:solidFill>
          </w14:textFill>
        </w:rPr>
        <w:t>节点构造</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1. </w:t>
      </w:r>
      <w:r>
        <w:rPr>
          <w:rFonts w:hint="eastAsia"/>
          <w:bCs/>
          <w:color w:val="000000" w:themeColor="text1"/>
          <w:szCs w:val="21"/>
          <w14:textFill>
            <w14:solidFill>
              <w14:schemeClr w14:val="tx1"/>
            </w14:solidFill>
          </w14:textFill>
        </w:rPr>
        <w:t>采用节点板连接各杆件时，节点板的厚度不宜小于连接杆件最大壁厚的</w:t>
      </w:r>
      <w:r>
        <w:rPr>
          <w:bCs/>
          <w:color w:val="000000" w:themeColor="text1"/>
          <w:szCs w:val="21"/>
          <w14:textFill>
            <w14:solidFill>
              <w14:schemeClr w14:val="tx1"/>
            </w14:solidFill>
          </w14:textFill>
        </w:rPr>
        <w:t>1.2</w:t>
      </w:r>
      <w:r>
        <w:rPr>
          <w:rFonts w:hint="eastAsia"/>
          <w:bCs/>
          <w:color w:val="000000" w:themeColor="text1"/>
          <w:szCs w:val="21"/>
          <w14:textFill>
            <w14:solidFill>
              <w14:schemeClr w14:val="tx1"/>
            </w14:solidFill>
          </w14:textFill>
        </w:rPr>
        <w:t>倍；</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2. </w:t>
      </w:r>
      <w:r>
        <w:rPr>
          <w:rFonts w:hint="eastAsia"/>
          <w:bCs/>
          <w:color w:val="000000" w:themeColor="text1"/>
          <w:szCs w:val="21"/>
          <w14:textFill>
            <w14:solidFill>
              <w14:schemeClr w14:val="tx1"/>
            </w14:solidFill>
          </w14:textFill>
        </w:rPr>
        <w:t>采用相贯节点时，应将内力较大的杆件直通。直通杆件的壁厚不应小于焊于其上各杆件的壁厚；</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3. </w:t>
      </w:r>
      <w:r>
        <w:rPr>
          <w:rFonts w:hint="eastAsia"/>
          <w:bCs/>
          <w:color w:val="000000" w:themeColor="text1"/>
          <w:szCs w:val="21"/>
          <w14:textFill>
            <w14:solidFill>
              <w14:schemeClr w14:val="tx1"/>
            </w14:solidFill>
          </w14:textFill>
        </w:rPr>
        <w:t>采用焊接球节点时，球体的壁厚不应小于相连主体杆件最大壁厚的</w:t>
      </w:r>
      <w:r>
        <w:rPr>
          <w:bCs/>
          <w:color w:val="000000" w:themeColor="text1"/>
          <w:szCs w:val="21"/>
          <w14:textFill>
            <w14:solidFill>
              <w14:schemeClr w14:val="tx1"/>
            </w14:solidFill>
          </w14:textFill>
        </w:rPr>
        <w:t>1.3</w:t>
      </w:r>
      <w:r>
        <w:rPr>
          <w:rFonts w:hint="eastAsia"/>
          <w:bCs/>
          <w:color w:val="000000" w:themeColor="text1"/>
          <w:szCs w:val="21"/>
          <w14:textFill>
            <w14:solidFill>
              <w14:schemeClr w14:val="tx1"/>
            </w14:solidFill>
          </w14:textFill>
        </w:rPr>
        <w:t>倍；</w:t>
      </w:r>
    </w:p>
    <w:p>
      <w:pPr>
        <w:spacing w:line="360" w:lineRule="auto"/>
        <w:ind w:firstLine="42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 xml:space="preserve">4. </w:t>
      </w:r>
      <w:r>
        <w:rPr>
          <w:rFonts w:hint="eastAsia"/>
          <w:bCs/>
          <w:color w:val="000000" w:themeColor="text1"/>
          <w:szCs w:val="21"/>
          <w14:textFill>
            <w14:solidFill>
              <w14:schemeClr w14:val="tx1"/>
            </w14:solidFill>
          </w14:textFill>
        </w:rPr>
        <w:t>杆件中心线宜相交于节点中心。</w:t>
      </w:r>
    </w:p>
    <w:p>
      <w:pPr>
        <w:spacing w:line="360" w:lineRule="auto"/>
        <w:ind w:firstLine="0" w:firstLineChars="0"/>
        <w:rPr>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A.3.2</w:t>
      </w:r>
      <w:r>
        <w:rPr>
          <w:rFonts w:hint="eastAsia"/>
          <w:bCs/>
          <w:color w:val="000000" w:themeColor="text1"/>
          <w:szCs w:val="21"/>
          <w14:textFill>
            <w14:solidFill>
              <w14:schemeClr w14:val="tx1"/>
            </w14:solidFill>
          </w14:textFill>
        </w:rPr>
        <w:t>支</w:t>
      </w:r>
      <w:r>
        <w:rPr>
          <w:rFonts w:hint="eastAsia"/>
          <w:color w:val="000000" w:themeColor="text1"/>
          <w:szCs w:val="21"/>
          <w14:textFill>
            <w14:solidFill>
              <w14:schemeClr w14:val="tx1"/>
            </w14:solidFill>
          </w14:textFill>
        </w:rPr>
        <w:t>座构造</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1. </w:t>
      </w:r>
      <w:r>
        <w:rPr>
          <w:rFonts w:hint="eastAsia"/>
          <w:color w:val="000000" w:themeColor="text1"/>
          <w:szCs w:val="21"/>
          <w14:textFill>
            <w14:solidFill>
              <w14:schemeClr w14:val="tx1"/>
            </w14:solidFill>
          </w14:textFill>
        </w:rPr>
        <w:t>支座节点构造形式应传力可靠、连接简单，并符合计算假定；</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2. </w:t>
      </w:r>
      <w:r>
        <w:rPr>
          <w:rFonts w:hint="eastAsia"/>
          <w:color w:val="000000" w:themeColor="text1"/>
          <w:szCs w:val="21"/>
          <w14:textFill>
            <w14:solidFill>
              <w14:schemeClr w14:val="tx1"/>
            </w14:solidFill>
          </w14:textFill>
        </w:rPr>
        <w:t>支座应具有足够的强度、刚度和抗拔能力，对于铰接支座应具有转动能力，在荷载作用下不应先于杆件和其他节点破坏；</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3. </w:t>
      </w:r>
      <w:r>
        <w:rPr>
          <w:rFonts w:hint="eastAsia"/>
          <w:color w:val="000000" w:themeColor="text1"/>
          <w:szCs w:val="21"/>
          <w14:textFill>
            <w14:solidFill>
              <w14:schemeClr w14:val="tx1"/>
            </w14:solidFill>
          </w14:textFill>
        </w:rPr>
        <w:t>对设计时不承受上拔力的支座，应设置竖向抗拔构造，且抗拔承载力设计值不宜小于竖向压力的</w:t>
      </w:r>
      <w:r>
        <w:rPr>
          <w:color w:val="000000" w:themeColor="text1"/>
          <w:szCs w:val="21"/>
          <w14:textFill>
            <w14:solidFill>
              <w14:schemeClr w14:val="tx1"/>
            </w14:solidFill>
          </w14:textFill>
        </w:rPr>
        <w:t>20%</w:t>
      </w:r>
      <w:r>
        <w:rPr>
          <w:rFonts w:hint="eastAsia"/>
          <w:color w:val="000000" w:themeColor="text1"/>
          <w:szCs w:val="21"/>
          <w14:textFill>
            <w14:solidFill>
              <w14:schemeClr w14:val="tx1"/>
            </w14:solidFill>
          </w14:textFill>
        </w:rPr>
        <w:t>；</w:t>
      </w:r>
    </w:p>
    <w:p>
      <w:pPr>
        <w:spacing w:line="360" w:lineRule="auto"/>
        <w:ind w:firstLine="42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4. </w:t>
      </w:r>
      <w:r>
        <w:rPr>
          <w:rFonts w:hint="eastAsia"/>
          <w:color w:val="000000" w:themeColor="text1"/>
          <w:szCs w:val="21"/>
          <w14:textFill>
            <w14:solidFill>
              <w14:schemeClr w14:val="tx1"/>
            </w14:solidFill>
          </w14:textFill>
        </w:rPr>
        <w:t>支座构造应充分考虑上部结构水平推力的影响。</w:t>
      </w:r>
    </w:p>
    <w:p>
      <w:pPr>
        <w:spacing w:line="360" w:lineRule="auto"/>
        <w:ind w:firstLine="420"/>
        <w:rPr>
          <w:color w:val="000000" w:themeColor="text1"/>
          <w:szCs w:val="21"/>
          <w14:textFill>
            <w14:solidFill>
              <w14:schemeClr w14:val="tx1"/>
            </w14:solidFill>
          </w14:textFill>
        </w:rPr>
      </w:pPr>
    </w:p>
    <w:p>
      <w:pPr>
        <w:spacing w:before="156" w:beforeLines="50" w:after="156" w:afterLines="50"/>
        <w:ind w:firstLine="0" w:firstLineChars="0"/>
        <w:jc w:val="center"/>
        <w:rPr>
          <w:rFonts w:asciiTheme="minorEastAsia" w:hAnsiTheme="minorEastAsia"/>
          <w:bCs/>
          <w:color w:val="000000" w:themeColor="text1"/>
          <w:szCs w:val="21"/>
          <w14:textFill>
            <w14:solidFill>
              <w14:schemeClr w14:val="tx1"/>
            </w14:solidFill>
          </w14:textFill>
        </w:rPr>
      </w:pPr>
      <w:r>
        <w:rPr>
          <w:rFonts w:hint="eastAsia" w:asciiTheme="minorEastAsia" w:hAnsiTheme="minorEastAsia"/>
          <w:bCs/>
          <w:color w:val="000000" w:themeColor="text1"/>
          <w:szCs w:val="21"/>
          <w14:textFill>
            <w14:solidFill>
              <w14:schemeClr w14:val="tx1"/>
            </w14:solidFill>
          </w14:textFill>
        </w:rPr>
        <w:t>A.4 基础设计</w:t>
      </w:r>
    </w:p>
    <w:p>
      <w:pPr>
        <w:spacing w:before="156" w:beforeLines="50" w:after="156" w:afterLines="50"/>
        <w:ind w:firstLine="0" w:firstLineChars="0"/>
        <w:jc w:val="center"/>
        <w:rPr>
          <w:rFonts w:asciiTheme="minorEastAsia" w:hAnsiTheme="minorEastAsia"/>
          <w:bCs/>
          <w:color w:val="000000" w:themeColor="text1"/>
          <w:szCs w:val="21"/>
          <w14:textFill>
            <w14:solidFill>
              <w14:schemeClr w14:val="tx1"/>
            </w14:solidFill>
          </w14:textFill>
        </w:rPr>
      </w:pPr>
    </w:p>
    <w:p>
      <w:pPr>
        <w:spacing w:line="360" w:lineRule="auto"/>
        <w:ind w:firstLine="0" w:firstLineChars="0"/>
        <w:rPr>
          <w:rFonts w:asciiTheme="minorEastAsia" w:hAnsiTheme="minorEastAsia"/>
          <w:bCs/>
          <w:color w:val="000000" w:themeColor="text1"/>
          <w:szCs w:val="21"/>
          <w14:textFill>
            <w14:solidFill>
              <w14:schemeClr w14:val="tx1"/>
            </w14:solidFill>
          </w14:textFill>
        </w:rPr>
      </w:pPr>
      <w:r>
        <w:rPr>
          <w:rFonts w:hint="eastAsia" w:cs="Times New Roman" w:asciiTheme="minorEastAsia" w:hAnsiTheme="minorEastAsia"/>
          <w:bCs/>
          <w:color w:val="000000" w:themeColor="text1"/>
          <w:szCs w:val="21"/>
          <w14:textFill>
            <w14:solidFill>
              <w14:schemeClr w14:val="tx1"/>
            </w14:solidFill>
          </w14:textFill>
        </w:rPr>
        <w:t>A</w:t>
      </w:r>
      <w:r>
        <w:rPr>
          <w:rFonts w:cs="Times New Roman" w:asciiTheme="minorEastAsia" w:hAnsiTheme="minorEastAsia"/>
          <w:bCs/>
          <w:color w:val="000000" w:themeColor="text1"/>
          <w:szCs w:val="21"/>
          <w14:textFill>
            <w14:solidFill>
              <w14:schemeClr w14:val="tx1"/>
            </w14:solidFill>
          </w14:textFill>
        </w:rPr>
        <w:t>.4.1</w:t>
      </w:r>
      <w:r>
        <w:rPr>
          <w:rFonts w:hint="eastAsia" w:asciiTheme="minorEastAsia" w:hAnsiTheme="minorEastAsia"/>
          <w:color w:val="000000" w:themeColor="text1"/>
          <w:szCs w:val="21"/>
          <w14:textFill>
            <w14:solidFill>
              <w14:schemeClr w14:val="tx1"/>
            </w14:solidFill>
          </w14:textFill>
        </w:rPr>
        <w:t xml:space="preserve"> </w:t>
      </w:r>
      <w:r>
        <w:rPr>
          <w:rFonts w:hint="eastAsia" w:asciiTheme="minorEastAsia" w:hAnsiTheme="minorEastAsia"/>
          <w:bCs/>
          <w:color w:val="000000" w:themeColor="text1"/>
          <w:szCs w:val="21"/>
          <w14:textFill>
            <w14:solidFill>
              <w14:schemeClr w14:val="tx1"/>
            </w14:solidFill>
          </w14:textFill>
        </w:rPr>
        <w:t>大跨度料场封闭结构基础设计，应遵循以下原则：</w:t>
      </w:r>
    </w:p>
    <w:p>
      <w:pPr>
        <w:numPr>
          <w:ilvl w:val="0"/>
          <w:numId w:val="7"/>
        </w:numPr>
        <w:spacing w:line="360" w:lineRule="auto"/>
        <w:ind w:firstLine="42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拱脚基础采用天然地基或处理地基时，可采用基底摩擦力和被动土压力承担水平推力，应对基坑回填土的材料、密实度及范围提出要求；</w:t>
      </w:r>
    </w:p>
    <w:p>
      <w:pPr>
        <w:numPr>
          <w:ilvl w:val="0"/>
          <w:numId w:val="7"/>
        </w:numPr>
        <w:spacing w:line="360" w:lineRule="auto"/>
        <w:ind w:firstLine="42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采用桩基时，应考虑承台、桩群和土的共同作用效应承担水平推力，应计算基桩桩身的偏心受压承载力，桩身弯矩计算宜采用</w:t>
      </w:r>
      <w:r>
        <w:rPr>
          <w:rFonts w:cs="Times New Roman"/>
          <w:color w:val="000000" w:themeColor="text1"/>
          <w:szCs w:val="21"/>
          <w14:textFill>
            <w14:solidFill>
              <w14:schemeClr w14:val="tx1"/>
            </w14:solidFill>
          </w14:textFill>
        </w:rPr>
        <w:t>m</w:t>
      </w:r>
      <w:r>
        <w:rPr>
          <w:rFonts w:hint="eastAsia" w:asciiTheme="minorEastAsia" w:hAnsiTheme="minorEastAsia"/>
          <w:color w:val="000000" w:themeColor="text1"/>
          <w:szCs w:val="21"/>
          <w14:textFill>
            <w14:solidFill>
              <w14:schemeClr w14:val="tx1"/>
            </w14:solidFill>
          </w14:textFill>
        </w:rPr>
        <w:t>法；</w:t>
      </w:r>
    </w:p>
    <w:p>
      <w:pPr>
        <w:numPr>
          <w:ilvl w:val="0"/>
          <w:numId w:val="7"/>
        </w:numPr>
        <w:spacing w:line="360" w:lineRule="auto"/>
        <w:ind w:firstLine="42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天然地基、处理地基或桩基，当拱脚基础的水平推力较大采用锚杆承担水平推力时，应采用永久锚杆，宜采用抗拔承载力较高的扩体锚杆，锚筋宜采用预应力混凝土用螺纹钢筋，需要施加预应力时，锚筋应采用预应力钢绞线。</w:t>
      </w:r>
    </w:p>
    <w:p>
      <w:pPr>
        <w:spacing w:line="360" w:lineRule="auto"/>
        <w:ind w:firstLine="420"/>
        <w:rPr>
          <w:color w:val="000000" w:themeColor="text1"/>
          <w:szCs w:val="21"/>
          <w14:textFill>
            <w14:solidFill>
              <w14:schemeClr w14:val="tx1"/>
            </w14:solidFill>
          </w14:textFill>
        </w:rPr>
      </w:pPr>
    </w:p>
    <w:p>
      <w:pPr>
        <w:spacing w:line="360" w:lineRule="auto"/>
        <w:ind w:firstLine="420"/>
        <w:rPr>
          <w:color w:val="000000" w:themeColor="text1"/>
          <w:szCs w:val="21"/>
          <w14:textFill>
            <w14:solidFill>
              <w14:schemeClr w14:val="tx1"/>
            </w14:solidFill>
          </w14:textFill>
        </w:rPr>
      </w:pPr>
    </w:p>
    <w:p>
      <w:pPr>
        <w:spacing w:line="360" w:lineRule="auto"/>
        <w:ind w:firstLine="420"/>
        <w:rPr>
          <w:color w:val="000000" w:themeColor="text1"/>
          <w:szCs w:val="21"/>
          <w14:textFill>
            <w14:solidFill>
              <w14:schemeClr w14:val="tx1"/>
            </w14:solidFill>
          </w14:textFill>
        </w:rPr>
      </w:pPr>
    </w:p>
    <w:p>
      <w:pPr>
        <w:spacing w:line="360" w:lineRule="auto"/>
        <w:ind w:firstLine="420"/>
        <w:rPr>
          <w:color w:val="000000" w:themeColor="text1"/>
          <w:szCs w:val="21"/>
          <w14:textFill>
            <w14:solidFill>
              <w14:schemeClr w14:val="tx1"/>
            </w14:solidFill>
          </w14:textFill>
        </w:rPr>
      </w:pPr>
    </w:p>
    <w:p>
      <w:pPr>
        <w:spacing w:line="360" w:lineRule="auto"/>
        <w:ind w:firstLine="420"/>
        <w:rPr>
          <w:color w:val="000000" w:themeColor="text1"/>
          <w:szCs w:val="21"/>
          <w14:textFill>
            <w14:solidFill>
              <w14:schemeClr w14:val="tx1"/>
            </w14:solidFill>
          </w14:textFill>
        </w:rPr>
      </w:pPr>
    </w:p>
    <w:p>
      <w:pPr>
        <w:spacing w:line="360" w:lineRule="auto"/>
        <w:ind w:firstLine="420"/>
        <w:rPr>
          <w:color w:val="000000" w:themeColor="text1"/>
          <w:szCs w:val="21"/>
          <w14:textFill>
            <w14:solidFill>
              <w14:schemeClr w14:val="tx1"/>
            </w14:solidFill>
          </w14:textFill>
        </w:rPr>
      </w:pPr>
    </w:p>
    <w:p>
      <w:pPr>
        <w:spacing w:line="360" w:lineRule="auto"/>
        <w:ind w:firstLine="420"/>
        <w:rPr>
          <w:color w:val="000000" w:themeColor="text1"/>
          <w:szCs w:val="21"/>
          <w14:textFill>
            <w14:solidFill>
              <w14:schemeClr w14:val="tx1"/>
            </w14:solidFill>
          </w14:textFill>
        </w:rPr>
      </w:pPr>
    </w:p>
    <w:p>
      <w:pPr>
        <w:widowControl/>
        <w:adjustRightInd/>
        <w:snapToGrid/>
        <w:ind w:firstLine="0" w:firstLineChars="0"/>
        <w:jc w:val="left"/>
        <w:rPr>
          <w:b/>
          <w:color w:val="000000" w:themeColor="text1"/>
          <w:sz w:val="30"/>
          <w14:textFill>
            <w14:solidFill>
              <w14:schemeClr w14:val="tx1"/>
            </w14:solidFill>
          </w14:textFill>
        </w:rPr>
      </w:pPr>
      <w:r>
        <w:rPr>
          <w:color w:val="000000" w:themeColor="text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29" w:name="_Toc48841066"/>
      <w:r>
        <w:rPr>
          <w:rFonts w:hint="eastAsia"/>
          <w:color w:val="000000" w:themeColor="text1"/>
          <w14:textFill>
            <w14:solidFill>
              <w14:schemeClr w14:val="tx1"/>
            </w14:solidFill>
          </w14:textFill>
        </w:rPr>
        <w:t>附录</w:t>
      </w:r>
      <w:r>
        <w:rPr>
          <w:color w:val="000000" w:themeColor="text1"/>
          <w14:textFill>
            <w14:solidFill>
              <w14:schemeClr w14:val="tx1"/>
            </w14:solidFill>
          </w14:textFill>
        </w:rPr>
        <w:t xml:space="preserve">B </w:t>
      </w:r>
      <w:r>
        <w:rPr>
          <w:rFonts w:hint="eastAsia"/>
          <w:color w:val="000000" w:themeColor="text1"/>
          <w14:textFill>
            <w14:solidFill>
              <w14:schemeClr w14:val="tx1"/>
            </w14:solidFill>
          </w14:textFill>
        </w:rPr>
        <w:t>巷道式</w:t>
      </w:r>
      <w:r>
        <w:rPr>
          <w:color w:val="000000" w:themeColor="text1"/>
          <w14:textFill>
            <w14:solidFill>
              <w14:schemeClr w14:val="tx1"/>
            </w14:solidFill>
          </w14:textFill>
        </w:rPr>
        <w:t>货架</w:t>
      </w:r>
      <w:bookmarkEnd w:id="229"/>
    </w:p>
    <w:p>
      <w:pPr>
        <w:ind w:firstLine="420"/>
        <w:jc w:val="center"/>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 简介</w:t>
      </w:r>
    </w:p>
    <w:p>
      <w:pPr>
        <w:ind w:firstLine="420"/>
        <w:jc w:val="center"/>
        <w:rPr>
          <w:color w:val="000000" w:themeColor="text1"/>
          <w14:textFill>
            <w14:solidFill>
              <w14:schemeClr w14:val="tx1"/>
            </w14:solidFill>
          </w14:textFill>
        </w:rPr>
      </w:pPr>
    </w:p>
    <w:p>
      <w:pPr>
        <w:spacing w:line="360" w:lineRule="auto"/>
        <w:ind w:left="420" w:hanging="420" w:hangingChars="200"/>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1.1 </w:t>
      </w:r>
      <w:r>
        <w:rPr>
          <w:rFonts w:hint="eastAsia"/>
          <w:color w:val="000000" w:themeColor="text1"/>
          <w14:textFill>
            <w14:solidFill>
              <w14:schemeClr w14:val="tx1"/>
            </w14:solidFill>
          </w14:textFill>
        </w:rPr>
        <w:t>结构</w:t>
      </w:r>
      <w:r>
        <w:rPr>
          <w:color w:val="000000" w:themeColor="text1"/>
          <w14:textFill>
            <w14:solidFill>
              <w14:schemeClr w14:val="tx1"/>
            </w14:solidFill>
          </w14:textFill>
        </w:rPr>
        <w:t>布置及其要求</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参照</w:t>
      </w:r>
      <w:r>
        <w:rPr>
          <w:color w:val="000000" w:themeColor="text1"/>
          <w14:textFill>
            <w14:solidFill>
              <w14:schemeClr w14:val="tx1"/>
            </w14:solidFill>
          </w14:textFill>
        </w:rPr>
        <w:t>图B</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-1，货架</w:t>
      </w:r>
      <w:r>
        <w:rPr>
          <w:color w:val="000000" w:themeColor="text1"/>
          <w14:textFill>
            <w14:solidFill>
              <w14:schemeClr w14:val="tx1"/>
            </w14:solidFill>
          </w14:textFill>
        </w:rPr>
        <w:t>由立柱</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纵梁、</w:t>
      </w:r>
      <w:r>
        <w:rPr>
          <w:rFonts w:hint="eastAsia"/>
          <w:color w:val="000000" w:themeColor="text1"/>
          <w14:textFill>
            <w14:solidFill>
              <w14:schemeClr w14:val="tx1"/>
            </w14:solidFill>
          </w14:textFill>
        </w:rPr>
        <w:t>背撑架</w:t>
      </w:r>
      <w:r>
        <w:rPr>
          <w:color w:val="000000" w:themeColor="text1"/>
          <w14:textFill>
            <w14:solidFill>
              <w14:schemeClr w14:val="tx1"/>
            </w14:solidFill>
          </w14:textFill>
        </w:rPr>
        <w:t>组成</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纵向结构</w:t>
      </w:r>
      <w:r>
        <w:rPr>
          <w:rFonts w:hint="eastAsia"/>
          <w:color w:val="000000" w:themeColor="text1"/>
          <w14:textFill>
            <w14:solidFill>
              <w14:schemeClr w14:val="tx1"/>
            </w14:solidFill>
          </w14:textFill>
        </w:rPr>
        <w:t>与</w:t>
      </w:r>
      <w:r>
        <w:rPr>
          <w:color w:val="000000" w:themeColor="text1"/>
          <w14:textFill>
            <w14:solidFill>
              <w14:schemeClr w14:val="tx1"/>
            </w14:solidFill>
          </w14:textFill>
        </w:rPr>
        <w:t>货架片</w:t>
      </w:r>
      <w:r>
        <w:rPr>
          <w:rFonts w:hint="eastAsia"/>
          <w:color w:val="000000" w:themeColor="text1"/>
          <w14:textFill>
            <w14:solidFill>
              <w14:schemeClr w14:val="tx1"/>
            </w14:solidFill>
          </w14:textFill>
        </w:rPr>
        <w:t>组成的横向结</w:t>
      </w:r>
    </w:p>
    <w:p>
      <w:pPr>
        <w:spacing w:line="360" w:lineRule="auto"/>
        <w:ind w:left="420" w:hanging="420" w:hangingChars="20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构</w:t>
      </w:r>
      <w:r>
        <w:rPr>
          <w:color w:val="000000" w:themeColor="text1"/>
          <w14:textFill>
            <w14:solidFill>
              <w14:schemeClr w14:val="tx1"/>
            </w14:solidFill>
          </w14:textFill>
        </w:rPr>
        <w:t>在顶部相互联系而成。</w:t>
      </w:r>
      <w:r>
        <w:rPr>
          <w:rFonts w:hint="eastAsia"/>
          <w:color w:val="000000" w:themeColor="text1"/>
          <w14:textFill>
            <w14:solidFill>
              <w14:schemeClr w14:val="tx1"/>
            </w14:solidFill>
          </w14:textFill>
        </w:rPr>
        <w:t>在</w:t>
      </w:r>
      <w:r>
        <w:rPr>
          <w:color w:val="000000" w:themeColor="text1"/>
          <w14:textFill>
            <w14:solidFill>
              <w14:schemeClr w14:val="tx1"/>
            </w14:solidFill>
          </w14:textFill>
        </w:rPr>
        <w:t>货架顶部</w:t>
      </w:r>
      <w:r>
        <w:rPr>
          <w:rFonts w:hint="eastAsia"/>
          <w:color w:val="000000" w:themeColor="text1"/>
          <w14:textFill>
            <w14:solidFill>
              <w14:schemeClr w14:val="tx1"/>
            </w14:solidFill>
          </w14:textFill>
        </w:rPr>
        <w:t>和中部应设</w:t>
      </w:r>
      <w:r>
        <w:rPr>
          <w:color w:val="000000" w:themeColor="text1"/>
          <w14:textFill>
            <w14:solidFill>
              <w14:schemeClr w14:val="tx1"/>
            </w14:solidFill>
          </w14:textFill>
        </w:rPr>
        <w:t>置</w:t>
      </w:r>
      <w:r>
        <w:rPr>
          <w:rFonts w:hint="eastAsia"/>
          <w:color w:val="000000" w:themeColor="text1"/>
          <w14:textFill>
            <w14:solidFill>
              <w14:schemeClr w14:val="tx1"/>
            </w14:solidFill>
          </w14:textFill>
        </w:rPr>
        <w:t>横向</w:t>
      </w:r>
      <w:r>
        <w:rPr>
          <w:color w:val="000000" w:themeColor="text1"/>
          <w14:textFill>
            <w14:solidFill>
              <w14:schemeClr w14:val="tx1"/>
            </w14:solidFill>
          </w14:textFill>
        </w:rPr>
        <w:t>水平支撑</w:t>
      </w:r>
      <w:r>
        <w:rPr>
          <w:rFonts w:hint="eastAsia"/>
          <w:color w:val="000000" w:themeColor="text1"/>
          <w14:textFill>
            <w14:solidFill>
              <w14:schemeClr w14:val="tx1"/>
            </w14:solidFill>
          </w14:textFill>
        </w:rPr>
        <w:t>(图</w:t>
      </w:r>
      <w:r>
        <w:rPr>
          <w:color w:val="000000" w:themeColor="text1"/>
          <w14:textFill>
            <w14:solidFill>
              <w14:schemeClr w14:val="tx1"/>
            </w14:solidFill>
          </w14:textFill>
        </w:rPr>
        <w:t>B</w:t>
      </w:r>
      <w:r>
        <w:rPr>
          <w:rFonts w:hint="eastAsia"/>
          <w:color w:val="000000" w:themeColor="text1"/>
          <w14:textFill>
            <w14:solidFill>
              <w14:schemeClr w14:val="tx1"/>
            </w14:solidFill>
          </w14:textFill>
        </w:rPr>
        <w:t>.1.1-1</w:t>
      </w:r>
      <w:r>
        <w:rPr>
          <w:color w:val="000000" w:themeColor="text1"/>
          <w14:textFill>
            <w14:solidFill>
              <w14:schemeClr w14:val="tx1"/>
            </w14:solidFill>
          </w14:textFill>
        </w:rPr>
        <w:t>c</w:t>
      </w:r>
      <w:r>
        <w:rPr>
          <w:rFonts w:hint="eastAsia"/>
          <w:color w:val="000000" w:themeColor="text1"/>
          <w14:textFill>
            <w14:solidFill>
              <w14:schemeClr w14:val="tx1"/>
            </w14:solidFill>
          </w14:textFill>
        </w:rPr>
        <w:t>、d</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object>
          <v:shape id="_x0000_i1059" o:spt="75" type="#_x0000_t75" style="height:256.5pt;width:370.85pt;" o:ole="t" filled="f" o:preferrelative="t" stroked="f" coordsize="21600,21600">
            <v:path/>
            <v:fill on="f" focussize="0,0"/>
            <v:stroke on="f" joinstyle="miter"/>
            <v:imagedata r:id="rId137" cropleft="7774f" croptop="16688f" cropright="36800f" cropbottom="7897f" o:title=""/>
            <o:lock v:ext="edit" aspectratio="t"/>
            <w10:wrap type="none"/>
            <w10:anchorlock/>
          </v:shape>
          <o:OLEObject Type="Embed" ProgID="AutoCAD.Drawing.19" ShapeID="_x0000_i1059" DrawAspect="Content" ObjectID="_1468075759" r:id="rId136">
            <o:LockedField>false</o:LockedField>
          </o:OLEObject>
        </w:object>
      </w:r>
    </w:p>
    <w:p>
      <w:pPr>
        <w:spacing w:line="360" w:lineRule="auto"/>
        <w:ind w:left="420" w:hanging="420" w:hangingChars="200"/>
        <w:jc w:val="center"/>
        <w:rPr>
          <w:color w:val="000000" w:themeColor="text1"/>
          <w14:textFill>
            <w14:solidFill>
              <w14:schemeClr w14:val="tx1"/>
            </w14:solidFill>
          </w14:textFill>
        </w:rPr>
      </w:pPr>
      <w:r>
        <w:rPr>
          <w:color w:val="000000" w:themeColor="text1"/>
          <w14:textFill>
            <w14:solidFill>
              <w14:schemeClr w14:val="tx1"/>
            </w14:solidFill>
          </w14:textFill>
        </w:rPr>
        <w:t>图B</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货架结构布置图</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a-梁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g-单</w:t>
      </w:r>
      <w:r>
        <w:rPr>
          <w:color w:val="000000" w:themeColor="text1"/>
          <w14:textFill>
            <w14:solidFill>
              <w14:schemeClr w14:val="tx1"/>
            </w14:solidFill>
          </w14:textFill>
        </w:rPr>
        <w:t>货位</w:t>
      </w:r>
      <w:r>
        <w:rPr>
          <w:rFonts w:hint="eastAsia"/>
          <w:color w:val="000000" w:themeColor="text1"/>
          <w14:textFill>
            <w14:solidFill>
              <w14:schemeClr w14:val="tx1"/>
            </w14:solidFill>
          </w14:textFill>
        </w:rPr>
        <w:t>边</w:t>
      </w:r>
      <w:r>
        <w:rPr>
          <w:color w:val="000000" w:themeColor="text1"/>
          <w14:textFill>
            <w14:solidFill>
              <w14:schemeClr w14:val="tx1"/>
            </w14:solidFill>
          </w14:textFill>
        </w:rPr>
        <w:t>货架</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b</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立柱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h－巷道，</w:t>
      </w:r>
      <w:r>
        <w:rPr>
          <w:color w:val="000000" w:themeColor="text1"/>
          <w14:textFill>
            <w14:solidFill>
              <w14:schemeClr w14:val="tx1"/>
            </w14:solidFill>
          </w14:textFill>
        </w:rPr>
        <w:t>巷道</w:t>
      </w:r>
      <w:r>
        <w:rPr>
          <w:rFonts w:hint="eastAsia"/>
          <w:color w:val="000000" w:themeColor="text1"/>
          <w14:textFill>
            <w14:solidFill>
              <w14:schemeClr w14:val="tx1"/>
            </w14:solidFill>
          </w14:textFill>
        </w:rPr>
        <w:t>宽度</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 xml:space="preserve">c-背撑           </w:t>
      </w:r>
      <w:r>
        <w:rPr>
          <w:color w:val="000000" w:themeColor="text1"/>
          <w14:textFill>
            <w14:solidFill>
              <w14:schemeClr w14:val="tx1"/>
            </w14:solidFill>
          </w14:textFill>
        </w:rPr>
        <w:t xml:space="preserve"> j</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双货位货架</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d-撑梁            </w:t>
      </w:r>
      <w:r>
        <w:rPr>
          <w:color w:val="000000" w:themeColor="text1"/>
          <w14:textFill>
            <w14:solidFill>
              <w14:schemeClr w14:val="tx1"/>
            </w14:solidFill>
          </w14:textFill>
        </w:rPr>
        <w:t>n—</w:t>
      </w:r>
      <w:r>
        <w:rPr>
          <w:rFonts w:hint="eastAsia"/>
          <w:color w:val="000000" w:themeColor="text1"/>
          <w14:textFill>
            <w14:solidFill>
              <w14:schemeClr w14:val="tx1"/>
            </w14:solidFill>
          </w14:textFill>
        </w:rPr>
        <w:t>顶部横向</w:t>
      </w:r>
      <w:r>
        <w:rPr>
          <w:color w:val="000000" w:themeColor="text1"/>
          <w14:textFill>
            <w14:solidFill>
              <w14:schemeClr w14:val="tx1"/>
            </w14:solidFill>
          </w14:textFill>
        </w:rPr>
        <w:t>水平支撑</w:t>
      </w:r>
    </w:p>
    <w:p>
      <w:pPr>
        <w:spacing w:line="360" w:lineRule="auto"/>
        <w:ind w:left="420" w:hanging="420" w:hangingChars="200"/>
        <w:jc w:val="center"/>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e-顶</w:t>
      </w:r>
      <w:r>
        <w:rPr>
          <w:color w:val="000000" w:themeColor="text1"/>
          <w14:textFill>
            <w14:solidFill>
              <w14:schemeClr w14:val="tx1"/>
            </w14:solidFill>
          </w14:textFill>
        </w:rPr>
        <w:t>系梁</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ｆ</w:t>
      </w:r>
      <w:r>
        <w:rPr>
          <w:color w:val="000000" w:themeColor="text1"/>
          <w14:textFill>
            <w14:solidFill>
              <w14:schemeClr w14:val="tx1"/>
            </w14:solidFill>
          </w14:textFill>
        </w:rPr>
        <w:t>－腹杆</w:t>
      </w:r>
      <w:r>
        <w:rPr>
          <w:color w:val="000000" w:themeColor="text1"/>
          <w14:textFill>
            <w14:solidFill>
              <w14:schemeClr w14:val="tx1"/>
            </w14:solidFill>
          </w14:textFill>
        </w:rPr>
        <w:br w:type="textWrapping"/>
      </w:r>
      <w:r>
        <w:rPr>
          <w:color w:val="000000" w:themeColor="text1"/>
          <w14:textFill>
            <w14:solidFill>
              <w14:schemeClr w14:val="tx1"/>
            </w14:solidFill>
          </w14:textFill>
        </w:rPr>
        <w:object>
          <v:shape id="_x0000_i1060" o:spt="75" type="#_x0000_t75" style="height:159.5pt;width:349.85pt;" o:ole="t" filled="f" o:preferrelative="t" stroked="f" coordsize="21600,21600">
            <v:path/>
            <v:fill on="f" focussize="0,0"/>
            <v:stroke on="f" joinstyle="miter"/>
            <v:imagedata r:id="rId139" cropleft="4471f" croptop="17503f" cropright="5575f" cropbottom="8866f" o:title=""/>
            <o:lock v:ext="edit" aspectratio="t"/>
            <w10:wrap type="none"/>
            <w10:anchorlock/>
          </v:shape>
          <o:OLEObject Type="Embed" ProgID="AutoCAD.Drawing.19" ShapeID="_x0000_i1060" DrawAspect="Content" ObjectID="_1468075760" r:id="rId138">
            <o:LockedField>false</o:LockedField>
          </o:OLEObject>
        </w:objec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交叉腹杆系</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b</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D形</w:t>
      </w:r>
      <w:r>
        <w:rPr>
          <w:color w:val="000000" w:themeColor="text1"/>
          <w14:textFill>
            <w14:solidFill>
              <w14:schemeClr w14:val="tx1"/>
            </w14:solidFill>
          </w14:textFill>
        </w:rPr>
        <w:t>腹杆系</w:t>
      </w:r>
      <w:r>
        <w:rPr>
          <w:rFonts w:hint="eastAsia"/>
          <w:color w:val="000000" w:themeColor="text1"/>
          <w14:textFill>
            <w14:solidFill>
              <w14:schemeClr w14:val="tx1"/>
            </w14:solidFill>
          </w14:textFill>
        </w:rPr>
        <w:t>　</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c</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单斜</w:t>
      </w:r>
      <w:r>
        <w:rPr>
          <w:color w:val="000000" w:themeColor="text1"/>
          <w14:textFill>
            <w14:solidFill>
              <w14:schemeClr w14:val="tx1"/>
            </w14:solidFill>
          </w14:textFill>
        </w:rPr>
        <w:t>腹杆系　</w:t>
      </w:r>
      <w:r>
        <w:rPr>
          <w:rFonts w:hint="eastAsia"/>
          <w:color w:val="000000" w:themeColor="text1"/>
          <w14:textFill>
            <w14:solidFill>
              <w14:schemeClr w14:val="tx1"/>
            </w14:solidFill>
          </w14:textFill>
        </w:rPr>
        <w:t xml:space="preserve">  (d) </w:t>
      </w:r>
      <w:r>
        <w:rPr>
          <w:color w:val="000000" w:themeColor="text1"/>
          <w14:textFill>
            <w14:solidFill>
              <w14:schemeClr w14:val="tx1"/>
            </w14:solidFill>
          </w14:textFill>
        </w:rPr>
        <w:t>K</w:t>
      </w:r>
      <w:r>
        <w:rPr>
          <w:rFonts w:hint="eastAsia"/>
          <w:color w:val="000000" w:themeColor="text1"/>
          <w14:textFill>
            <w14:solidFill>
              <w14:schemeClr w14:val="tx1"/>
            </w14:solidFill>
          </w14:textFill>
        </w:rPr>
        <w:t>形腹杆</w:t>
      </w:r>
      <w:r>
        <w:rPr>
          <w:color w:val="000000" w:themeColor="text1"/>
          <w14:textFill>
            <w14:solidFill>
              <w14:schemeClr w14:val="tx1"/>
            </w14:solidFill>
          </w14:textFill>
        </w:rPr>
        <w:t>系</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图</w:t>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典型货架立柱片</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1.2 货架</w:t>
      </w:r>
      <w:r>
        <w:rPr>
          <w:rFonts w:hint="eastAsia"/>
          <w:color w:val="000000" w:themeColor="text1"/>
          <w14:textFill>
            <w14:solidFill>
              <w14:schemeClr w14:val="tx1"/>
            </w14:solidFill>
          </w14:textFill>
        </w:rPr>
        <w:t>片由</w:t>
      </w:r>
      <w:r>
        <w:rPr>
          <w:color w:val="000000" w:themeColor="text1"/>
          <w14:textFill>
            <w14:solidFill>
              <w14:schemeClr w14:val="tx1"/>
            </w14:solidFill>
          </w14:textFill>
        </w:rPr>
        <w:t>两根立柱</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腹杆体系组成</w:t>
      </w:r>
      <w:r>
        <w:rPr>
          <w:rFonts w:hint="eastAsia"/>
          <w:color w:val="000000" w:themeColor="text1"/>
          <w14:textFill>
            <w14:solidFill>
              <w14:schemeClr w14:val="tx1"/>
            </w14:solidFill>
          </w14:textFill>
        </w:rPr>
        <w:t>，腹杆</w:t>
      </w:r>
      <w:r>
        <w:rPr>
          <w:color w:val="000000" w:themeColor="text1"/>
          <w14:textFill>
            <w14:solidFill>
              <w14:schemeClr w14:val="tx1"/>
            </w14:solidFill>
          </w14:textFill>
        </w:rPr>
        <w:t>体系</w:t>
      </w:r>
      <w:r>
        <w:rPr>
          <w:rFonts w:hint="eastAsia"/>
          <w:color w:val="000000" w:themeColor="text1"/>
          <w14:textFill>
            <w14:solidFill>
              <w14:schemeClr w14:val="tx1"/>
            </w14:solidFill>
          </w14:textFill>
        </w:rPr>
        <w:t>可以</w:t>
      </w:r>
      <w:r>
        <w:rPr>
          <w:color w:val="000000" w:themeColor="text1"/>
          <w14:textFill>
            <w14:solidFill>
              <w14:schemeClr w14:val="tx1"/>
            </w14:solidFill>
          </w14:textFill>
        </w:rPr>
        <w:t>不汇交</w:t>
      </w:r>
      <w:r>
        <w:rPr>
          <w:rFonts w:hint="eastAsia"/>
          <w:color w:val="000000" w:themeColor="text1"/>
          <w14:textFill>
            <w14:solidFill>
              <w14:schemeClr w14:val="tx1"/>
            </w14:solidFill>
          </w14:textFill>
        </w:rPr>
        <w:t>于</w:t>
      </w:r>
      <w:r>
        <w:rPr>
          <w:color w:val="000000" w:themeColor="text1"/>
          <w14:textFill>
            <w14:solidFill>
              <w14:schemeClr w14:val="tx1"/>
            </w14:solidFill>
          </w14:textFill>
        </w:rPr>
        <w:t>一点，但汇交点不应跑出柱身截面宽度范围以外。</w:t>
      </w:r>
      <w:r>
        <w:rPr>
          <w:rFonts w:hint="eastAsia"/>
          <w:color w:val="000000" w:themeColor="text1"/>
          <w14:textFill>
            <w14:solidFill>
              <w14:schemeClr w14:val="tx1"/>
            </w14:solidFill>
          </w14:textFill>
        </w:rPr>
        <w:t>设计</w:t>
      </w:r>
      <w:r>
        <w:rPr>
          <w:color w:val="000000" w:themeColor="text1"/>
          <w14:textFill>
            <w14:solidFill>
              <w14:schemeClr w14:val="tx1"/>
            </w14:solidFill>
          </w14:textFill>
        </w:rPr>
        <w:t>应考虑节点偏心对立柱产生的弯矩。</w:t>
      </w:r>
      <w:r>
        <w:rPr>
          <w:rFonts w:hint="eastAsia"/>
          <w:color w:val="000000" w:themeColor="text1"/>
          <w14:textFill>
            <w14:solidFill>
              <w14:schemeClr w14:val="tx1"/>
            </w14:solidFill>
          </w14:textFill>
        </w:rPr>
        <w:t>腹杆</w:t>
      </w:r>
      <w:r>
        <w:rPr>
          <w:color w:val="000000" w:themeColor="text1"/>
          <w14:textFill>
            <w14:solidFill>
              <w14:schemeClr w14:val="tx1"/>
            </w14:solidFill>
          </w14:textFill>
        </w:rPr>
        <w:t>宜采用</w:t>
      </w:r>
      <w:r>
        <w:rPr>
          <w:rFonts w:hint="eastAsia"/>
          <w:color w:val="000000" w:themeColor="text1"/>
          <w14:textFill>
            <w14:solidFill>
              <w14:schemeClr w14:val="tx1"/>
            </w14:solidFill>
          </w14:textFill>
        </w:rPr>
        <w:t>卷边C形</w:t>
      </w:r>
      <w:r>
        <w:rPr>
          <w:color w:val="000000" w:themeColor="text1"/>
          <w14:textFill>
            <w14:solidFill>
              <w14:schemeClr w14:val="tx1"/>
            </w14:solidFill>
          </w14:textFill>
        </w:rPr>
        <w:t>钢，槽口向下平放</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槽钢腹板高度与立柱截面开口宽度一致</w:t>
      </w:r>
      <w:r>
        <w:rPr>
          <w:rFonts w:hint="eastAsia"/>
          <w:color w:val="000000" w:themeColor="text1"/>
          <w14:textFill>
            <w14:solidFill>
              <w14:schemeClr w14:val="tx1"/>
            </w14:solidFill>
          </w14:textFill>
        </w:rPr>
        <w:t>。当</w:t>
      </w:r>
      <w:r>
        <w:rPr>
          <w:color w:val="000000" w:themeColor="text1"/>
          <w14:textFill>
            <w14:solidFill>
              <w14:schemeClr w14:val="tx1"/>
            </w14:solidFill>
          </w14:textFill>
        </w:rPr>
        <w:t>采用</w:t>
      </w:r>
      <w:r>
        <w:rPr>
          <w:rFonts w:hint="eastAsia"/>
          <w:color w:val="000000" w:themeColor="text1"/>
          <w14:textFill>
            <w14:solidFill>
              <w14:schemeClr w14:val="tx1"/>
            </w14:solidFill>
          </w14:textFill>
        </w:rPr>
        <w:t>腹杆C形</w:t>
      </w:r>
      <w:r>
        <w:rPr>
          <w:color w:val="000000" w:themeColor="text1"/>
          <w14:textFill>
            <w14:solidFill>
              <w14:schemeClr w14:val="tx1"/>
            </w14:solidFill>
          </w14:textFill>
        </w:rPr>
        <w:t>钢立放时，</w:t>
      </w:r>
      <w:r>
        <w:rPr>
          <w:rFonts w:hint="eastAsia"/>
          <w:color w:val="000000" w:themeColor="text1"/>
          <w14:textFill>
            <w14:solidFill>
              <w14:schemeClr w14:val="tx1"/>
            </w14:solidFill>
          </w14:textFill>
        </w:rPr>
        <w:t>前后</w:t>
      </w:r>
      <w:r>
        <w:rPr>
          <w:color w:val="000000" w:themeColor="text1"/>
          <w14:textFill>
            <w14:solidFill>
              <w14:schemeClr w14:val="tx1"/>
            </w14:solidFill>
          </w14:textFill>
        </w:rPr>
        <w:t>两个写腹杆将</w:t>
      </w:r>
      <w:r>
        <w:rPr>
          <w:rFonts w:hint="eastAsia"/>
          <w:color w:val="000000" w:themeColor="text1"/>
          <w14:textFill>
            <w14:solidFill>
              <w14:schemeClr w14:val="tx1"/>
            </w14:solidFill>
          </w14:textFill>
        </w:rPr>
        <w:t>对</w:t>
      </w:r>
      <w:r>
        <w:rPr>
          <w:color w:val="000000" w:themeColor="text1"/>
          <w14:textFill>
            <w14:solidFill>
              <w14:schemeClr w14:val="tx1"/>
            </w14:solidFill>
          </w14:textFill>
        </w:rPr>
        <w:t>立柱施加扭矩，应考虑该扭矩的影响。</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color w:val="000000" w:themeColor="text1"/>
          <w14:textFill>
            <w14:solidFill>
              <w14:schemeClr w14:val="tx1"/>
            </w14:solidFill>
          </w14:textFill>
        </w:rPr>
        <w:object>
          <v:shape id="_x0000_i1061" o:spt="75" type="#_x0000_t75" style="height:87.5pt;width:334.85pt;" o:ole="t" filled="f" o:preferrelative="t" stroked="f" coordsize="21600,21600">
            <v:path/>
            <v:fill on="f" focussize="0,0"/>
            <v:stroke on="f" joinstyle="miter"/>
            <v:imagedata r:id="rId141" cropleft="11221f" croptop="24632f" cropright="18925f" cropbottom="25188f" o:title=""/>
            <o:lock v:ext="edit" aspectratio="t"/>
            <w10:wrap type="none"/>
            <w10:anchorlock/>
          </v:shape>
          <o:OLEObject Type="Embed" ProgID="AutoCAD.Drawing.19" ShapeID="_x0000_i1061" DrawAspect="Content" ObjectID="_1468075761" r:id="rId140">
            <o:LockedField>false</o:LockedField>
          </o:OLEObject>
        </w:objec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(a)抗震</w:t>
      </w:r>
      <w:r>
        <w:rPr>
          <w:color w:val="000000" w:themeColor="text1"/>
          <w14:textFill>
            <w14:solidFill>
              <w14:schemeClr w14:val="tx1"/>
            </w14:solidFill>
          </w14:textFill>
        </w:rPr>
        <w:t>有利的构造</w:t>
      </w:r>
      <w:r>
        <w:rPr>
          <w:rFonts w:hint="eastAsia"/>
          <w:color w:val="000000" w:themeColor="text1"/>
          <w14:textFill>
            <w14:solidFill>
              <w14:schemeClr w14:val="tx1"/>
            </w14:solidFill>
          </w14:textFill>
        </w:rPr>
        <w:t xml:space="preserve">                (b) 不利</w:t>
      </w:r>
      <w:r>
        <w:rPr>
          <w:color w:val="000000" w:themeColor="text1"/>
          <w14:textFill>
            <w14:solidFill>
              <w14:schemeClr w14:val="tx1"/>
            </w14:solidFill>
          </w14:textFill>
        </w:rPr>
        <w:t>的构造</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w:t>
      </w:r>
      <w:r>
        <w:rPr>
          <w:color w:val="000000" w:themeColor="text1"/>
          <w14:textFill>
            <w14:solidFill>
              <w14:schemeClr w14:val="tx1"/>
            </w14:solidFill>
          </w14:textFill>
        </w:rPr>
        <w:object>
          <v:shape id="_x0000_i1062" o:spt="75" type="#_x0000_t75" style="height:180pt;width:252pt;" o:ole="t" filled="f" o:preferrelative="t" stroked="f" coordsize="21600,21600">
            <v:path/>
            <v:fill on="f" focussize="0,0"/>
            <v:stroke on="f" joinstyle="miter"/>
            <v:imagedata r:id="rId143" cropleft="17570f" croptop="11963f" cropright="15235f" cropbottom="12715f" o:title=""/>
            <o:lock v:ext="edit" aspectratio="t"/>
            <w10:wrap type="none"/>
            <w10:anchorlock/>
          </v:shape>
          <o:OLEObject Type="Embed" ProgID="AutoCAD.Drawing.19" ShapeID="_x0000_i1062" DrawAspect="Content" ObjectID="_1468075762" r:id="rId142">
            <o:LockedField>false</o:LockedField>
          </o:OLEObject>
        </w:object>
      </w:r>
    </w:p>
    <w:p>
      <w:pPr>
        <w:spacing w:line="360" w:lineRule="auto"/>
        <w:ind w:firstLine="420"/>
        <w:jc w:val="center"/>
        <w:rPr>
          <w:color w:val="000000" w:themeColor="text1"/>
          <w14:textFill>
            <w14:solidFill>
              <w14:schemeClr w14:val="tx1"/>
            </w14:solidFill>
          </w14:textFill>
        </w:rPr>
      </w:pPr>
      <w:r>
        <w:rPr>
          <w:color w:val="000000" w:themeColor="text1"/>
          <w14:textFill>
            <w14:solidFill>
              <w14:schemeClr w14:val="tx1"/>
            </w14:solidFill>
          </w14:textFill>
        </w:rPr>
        <w:t>(c)</w:t>
      </w:r>
      <w:r>
        <w:rPr>
          <w:rFonts w:hint="eastAsia"/>
          <w:color w:val="000000" w:themeColor="text1"/>
          <w14:textFill>
            <w14:solidFill>
              <w14:schemeClr w14:val="tx1"/>
            </w14:solidFill>
          </w14:textFill>
        </w:rPr>
        <w:t>竖向分力和水平分力均导致截面畸变和翘曲，极大影响腹杆体系的刚度</w:t>
      </w:r>
      <w:r>
        <w:rPr>
          <w:color w:val="000000" w:themeColor="text1"/>
          <w14:textFill>
            <w14:solidFill>
              <w14:schemeClr w14:val="tx1"/>
            </w14:solidFill>
          </w14:textFill>
        </w:rPr>
        <w:t xml:space="preserve">   </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 xml:space="preserve">   图</w:t>
      </w:r>
      <w:r>
        <w:rPr>
          <w:color w:val="000000" w:themeColor="text1"/>
          <w14:textFill>
            <w14:solidFill>
              <w14:schemeClr w14:val="tx1"/>
            </w14:solidFill>
          </w14:textFill>
        </w:rPr>
        <w:t>B</w:t>
      </w:r>
      <w:r>
        <w:rPr>
          <w:rFonts w:hint="eastAsia"/>
          <w:color w:val="000000" w:themeColor="text1"/>
          <w14:textFill>
            <w14:solidFill>
              <w14:schemeClr w14:val="tx1"/>
            </w14:solidFill>
          </w14:textFill>
        </w:rPr>
        <w:t>.1.2-2</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1.3 </w:t>
      </w:r>
      <w:r>
        <w:rPr>
          <w:rFonts w:hint="eastAsia"/>
          <w:color w:val="000000" w:themeColor="text1"/>
          <w14:textFill>
            <w14:solidFill>
              <w14:schemeClr w14:val="tx1"/>
            </w14:solidFill>
          </w14:textFill>
        </w:rPr>
        <w:t>背撑</w:t>
      </w:r>
      <w:r>
        <w:rPr>
          <w:color w:val="000000" w:themeColor="text1"/>
          <w14:textFill>
            <w14:solidFill>
              <w14:schemeClr w14:val="tx1"/>
            </w14:solidFill>
          </w14:textFill>
        </w:rPr>
        <w:t>由斜撑、背撑横压杆和设置在相邻货架</w:t>
      </w:r>
      <w:r>
        <w:rPr>
          <w:rFonts w:hint="eastAsia"/>
          <w:color w:val="000000" w:themeColor="text1"/>
          <w14:textFill>
            <w14:solidFill>
              <w14:schemeClr w14:val="tx1"/>
            </w14:solidFill>
          </w14:textFill>
        </w:rPr>
        <w:t>片</w:t>
      </w:r>
      <w:r>
        <w:rPr>
          <w:color w:val="000000" w:themeColor="text1"/>
          <w14:textFill>
            <w14:solidFill>
              <w14:schemeClr w14:val="tx1"/>
            </w14:solidFill>
          </w14:textFill>
        </w:rPr>
        <w:t>立柱</w:t>
      </w:r>
      <w:r>
        <w:rPr>
          <w:rFonts w:hint="eastAsia"/>
          <w:color w:val="000000" w:themeColor="text1"/>
          <w14:textFill>
            <w14:solidFill>
              <w14:schemeClr w14:val="tx1"/>
            </w14:solidFill>
          </w14:textFill>
        </w:rPr>
        <w:t>之间</w:t>
      </w:r>
      <w:r>
        <w:rPr>
          <w:color w:val="000000" w:themeColor="text1"/>
          <w14:textFill>
            <w14:solidFill>
              <w14:schemeClr w14:val="tx1"/>
            </w14:solidFill>
          </w14:textFill>
        </w:rPr>
        <w:t>的撑梁</w:t>
      </w:r>
      <w:r>
        <w:rPr>
          <w:rFonts w:hint="eastAsia"/>
          <w:color w:val="000000" w:themeColor="text1"/>
          <w14:textFill>
            <w14:solidFill>
              <w14:schemeClr w14:val="tx1"/>
            </w14:solidFill>
          </w14:textFill>
        </w:rPr>
        <w:t>组成</w:t>
      </w:r>
      <w:r>
        <w:rPr>
          <w:color w:val="000000" w:themeColor="text1"/>
          <w14:textFill>
            <w14:solidFill>
              <w14:schemeClr w14:val="tx1"/>
            </w14:solidFill>
          </w14:textFill>
        </w:rPr>
        <w:t>，通过撑梁，背撑利用相邻货架片的立柱作为</w:t>
      </w:r>
      <w:r>
        <w:rPr>
          <w:rFonts w:hint="eastAsia"/>
          <w:color w:val="000000" w:themeColor="text1"/>
          <w14:textFill>
            <w14:solidFill>
              <w14:schemeClr w14:val="tx1"/>
            </w14:solidFill>
          </w14:textFill>
        </w:rPr>
        <w:t>背撑</w:t>
      </w:r>
      <w:r>
        <w:rPr>
          <w:color w:val="000000" w:themeColor="text1"/>
          <w14:textFill>
            <w14:solidFill>
              <w14:schemeClr w14:val="tx1"/>
            </w14:solidFill>
          </w14:textFill>
        </w:rPr>
        <w:t>架的</w:t>
      </w:r>
      <w:r>
        <w:rPr>
          <w:rFonts w:hint="eastAsia"/>
          <w:color w:val="000000" w:themeColor="text1"/>
          <w14:textFill>
            <w14:solidFill>
              <w14:schemeClr w14:val="tx1"/>
            </w14:solidFill>
          </w14:textFill>
        </w:rPr>
        <w:t>左右</w:t>
      </w:r>
      <w:r>
        <w:rPr>
          <w:color w:val="000000" w:themeColor="text1"/>
          <w14:textFill>
            <w14:solidFill>
              <w14:schemeClr w14:val="tx1"/>
            </w14:solidFill>
          </w14:textFill>
        </w:rPr>
        <w:t>弦杆，</w:t>
      </w:r>
      <w:r>
        <w:rPr>
          <w:rFonts w:hint="eastAsia"/>
          <w:color w:val="000000" w:themeColor="text1"/>
          <w14:textFill>
            <w14:solidFill>
              <w14:schemeClr w14:val="tx1"/>
            </w14:solidFill>
          </w14:textFill>
        </w:rPr>
        <w:t>必要</w:t>
      </w:r>
      <w:r>
        <w:rPr>
          <w:color w:val="000000" w:themeColor="text1"/>
          <w14:textFill>
            <w14:solidFill>
              <w14:schemeClr w14:val="tx1"/>
            </w14:solidFill>
          </w14:textFill>
        </w:rPr>
        <w:t>时背撑立柱截面应比其他立柱</w:t>
      </w:r>
      <w:r>
        <w:rPr>
          <w:rFonts w:hint="eastAsia"/>
          <w:color w:val="000000" w:themeColor="text1"/>
          <w14:textFill>
            <w14:solidFill>
              <w14:schemeClr w14:val="tx1"/>
            </w14:solidFill>
          </w14:textFill>
        </w:rPr>
        <w:t>更厚</w:t>
      </w:r>
      <w:r>
        <w:rPr>
          <w:color w:val="000000" w:themeColor="text1"/>
          <w14:textFill>
            <w14:solidFill>
              <w14:schemeClr w14:val="tx1"/>
            </w14:solidFill>
          </w14:textFill>
        </w:rPr>
        <w:t>或更大。背撑</w:t>
      </w:r>
      <w:r>
        <w:rPr>
          <w:rFonts w:hint="eastAsia"/>
          <w:color w:val="000000" w:themeColor="text1"/>
          <w14:textFill>
            <w14:solidFill>
              <w14:schemeClr w14:val="tx1"/>
            </w14:solidFill>
          </w14:textFill>
        </w:rPr>
        <w:t>也</w:t>
      </w:r>
      <w:r>
        <w:rPr>
          <w:color w:val="000000" w:themeColor="text1"/>
          <w14:textFill>
            <w14:solidFill>
              <w14:schemeClr w14:val="tx1"/>
            </w14:solidFill>
          </w14:textFill>
        </w:rPr>
        <w:t>可以增加独立的立柱</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此时撑梁仍应保留，以保证背撑能够对货架纵向起到支撑作用。</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1.4 </w:t>
      </w:r>
      <w:r>
        <w:rPr>
          <w:rFonts w:hint="eastAsia"/>
          <w:color w:val="000000" w:themeColor="text1"/>
          <w14:textFill>
            <w14:solidFill>
              <w14:schemeClr w14:val="tx1"/>
            </w14:solidFill>
          </w14:textFill>
        </w:rPr>
        <w:t>结构</w:t>
      </w:r>
      <w:r>
        <w:rPr>
          <w:color w:val="000000" w:themeColor="text1"/>
          <w14:textFill>
            <w14:solidFill>
              <w14:schemeClr w14:val="tx1"/>
            </w14:solidFill>
          </w14:textFill>
        </w:rPr>
        <w:t>布置，或</w:t>
      </w:r>
      <w:r>
        <w:rPr>
          <w:rFonts w:hint="eastAsia"/>
          <w:color w:val="000000" w:themeColor="text1"/>
          <w14:textFill>
            <w14:solidFill>
              <w14:schemeClr w14:val="tx1"/>
            </w14:solidFill>
          </w14:textFill>
        </w:rPr>
        <w:t>撑梁</w:t>
      </w:r>
      <w:r>
        <w:rPr>
          <w:color w:val="000000" w:themeColor="text1"/>
          <w14:textFill>
            <w14:solidFill>
              <w14:schemeClr w14:val="tx1"/>
            </w14:solidFill>
          </w14:textFill>
        </w:rPr>
        <w:t>与立柱的连接节点</w:t>
      </w:r>
      <w:r>
        <w:rPr>
          <w:rFonts w:hint="eastAsia"/>
          <w:color w:val="000000" w:themeColor="text1"/>
          <w14:textFill>
            <w14:solidFill>
              <w14:schemeClr w14:val="tx1"/>
            </w14:solidFill>
          </w14:textFill>
        </w:rPr>
        <w:t>构造</w:t>
      </w:r>
      <w:r>
        <w:rPr>
          <w:color w:val="000000" w:themeColor="text1"/>
          <w14:textFill>
            <w14:solidFill>
              <w14:schemeClr w14:val="tx1"/>
            </w14:solidFill>
          </w14:textFill>
        </w:rPr>
        <w:t>，应避免出现背撑</w:t>
      </w:r>
      <w:r>
        <w:rPr>
          <w:rFonts w:hint="eastAsia"/>
          <w:color w:val="000000" w:themeColor="text1"/>
          <w14:textFill>
            <w14:solidFill>
              <w14:schemeClr w14:val="tx1"/>
            </w14:solidFill>
          </w14:textFill>
        </w:rPr>
        <w:t>作用</w:t>
      </w:r>
      <w:r>
        <w:rPr>
          <w:color w:val="000000" w:themeColor="text1"/>
          <w14:textFill>
            <w14:solidFill>
              <w14:schemeClr w14:val="tx1"/>
            </w14:solidFill>
          </w14:textFill>
        </w:rPr>
        <w:t>无</w:t>
      </w:r>
      <w:r>
        <w:rPr>
          <w:rFonts w:hint="eastAsia"/>
          <w:color w:val="000000" w:themeColor="text1"/>
          <w14:textFill>
            <w14:solidFill>
              <w14:schemeClr w14:val="tx1"/>
            </w14:solidFill>
          </w14:textFill>
        </w:rPr>
        <w:t>法</w:t>
      </w:r>
      <w:r>
        <w:rPr>
          <w:color w:val="000000" w:themeColor="text1"/>
          <w14:textFill>
            <w14:solidFill>
              <w14:schemeClr w14:val="tx1"/>
            </w14:solidFill>
          </w14:textFill>
        </w:rPr>
        <w:t>传递</w:t>
      </w:r>
      <w:r>
        <w:rPr>
          <w:rFonts w:hint="eastAsia"/>
          <w:color w:val="000000" w:themeColor="text1"/>
          <w14:textFill>
            <w14:solidFill>
              <w14:schemeClr w14:val="tx1"/>
            </w14:solidFill>
          </w14:textFill>
        </w:rPr>
        <w:t>到</w:t>
      </w:r>
      <w:r>
        <w:rPr>
          <w:color w:val="000000" w:themeColor="text1"/>
          <w14:textFill>
            <w14:solidFill>
              <w14:schemeClr w14:val="tx1"/>
            </w14:solidFill>
          </w14:textFill>
        </w:rPr>
        <w:t>非紧邻纵向框架的情况，如图B</w:t>
      </w:r>
      <w:r>
        <w:rPr>
          <w:rFonts w:hint="eastAsia"/>
          <w:color w:val="000000" w:themeColor="text1"/>
          <w14:textFill>
            <w14:solidFill>
              <w14:schemeClr w14:val="tx1"/>
            </w14:solidFill>
          </w14:textFill>
        </w:rPr>
        <w:t>.1.4-1。在</w:t>
      </w:r>
      <w:r>
        <w:rPr>
          <w:color w:val="000000" w:themeColor="text1"/>
          <w14:textFill>
            <w14:solidFill>
              <w14:schemeClr w14:val="tx1"/>
            </w14:solidFill>
          </w14:textFill>
        </w:rPr>
        <w:t>背撑横压杆，相邻两根纵梁之间布置</w:t>
      </w:r>
      <w:r>
        <w:rPr>
          <w:rFonts w:hint="eastAsia"/>
          <w:color w:val="000000" w:themeColor="text1"/>
          <w14:textFill>
            <w14:solidFill>
              <w14:schemeClr w14:val="tx1"/>
            </w14:solidFill>
          </w14:textFill>
        </w:rPr>
        <w:t>1-2mm</w:t>
      </w:r>
      <w:r>
        <w:rPr>
          <w:color w:val="000000" w:themeColor="text1"/>
          <w14:textFill>
            <w14:solidFill>
              <w14:schemeClr w14:val="tx1"/>
            </w14:solidFill>
          </w14:textFill>
        </w:rPr>
        <w:t>剪力板</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自攻螺钉连接，是避免这种情况的有效</w:t>
      </w:r>
      <w:r>
        <w:rPr>
          <w:rFonts w:hint="eastAsia"/>
          <w:color w:val="000000" w:themeColor="text1"/>
          <w14:textFill>
            <w14:solidFill>
              <w14:schemeClr w14:val="tx1"/>
            </w14:solidFill>
          </w14:textFill>
        </w:rPr>
        <w:t>措施，如图B.1.4-2</w:t>
      </w:r>
      <w:r>
        <w:rPr>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object>
          <v:shape id="_x0000_i1063" o:spt="75" type="#_x0000_t75" style="height:216pt;width:344.5pt;" o:ole="t" filled="f" o:preferrelative="t" stroked="f" coordsize="21600,21600">
            <v:path/>
            <v:fill on="f" focussize="0,0"/>
            <v:stroke on="f" joinstyle="miter"/>
            <v:imagedata r:id="rId145" cropleft="6169f" croptop="8211f" cropright="11619f" cropbottom="4742f" o:title=""/>
            <o:lock v:ext="edit" aspectratio="t"/>
            <w10:wrap type="none"/>
            <w10:anchorlock/>
          </v:shape>
          <o:OLEObject Type="Embed" ProgID="AutoCAD.Drawing.19" ShapeID="_x0000_i1063" DrawAspect="Content" ObjectID="_1468075763" r:id="rId144">
            <o:LockedField>false</o:LockedField>
          </o:OLEObject>
        </w:object>
      </w:r>
    </w:p>
    <w:p>
      <w:pPr>
        <w:spacing w:line="360" w:lineRule="auto"/>
        <w:ind w:firstLine="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图</w:t>
      </w:r>
      <w:r>
        <w:rPr>
          <w:color w:val="000000" w:themeColor="text1"/>
          <w14:textFill>
            <w14:solidFill>
              <w14:schemeClr w14:val="tx1"/>
            </w14:solidFill>
          </w14:textFill>
        </w:rPr>
        <w:t>B</w:t>
      </w:r>
      <w:r>
        <w:rPr>
          <w:rFonts w:hint="eastAsia"/>
          <w:color w:val="000000" w:themeColor="text1"/>
          <w14:textFill>
            <w14:solidFill>
              <w14:schemeClr w14:val="tx1"/>
            </w14:solidFill>
          </w14:textFill>
        </w:rPr>
        <w:t>.1.4-1 背撑</w:t>
      </w:r>
      <w:r>
        <w:rPr>
          <w:color w:val="000000" w:themeColor="text1"/>
          <w14:textFill>
            <w14:solidFill>
              <w14:schemeClr w14:val="tx1"/>
            </w14:solidFill>
          </w14:textFill>
        </w:rPr>
        <w:t>作用</w:t>
      </w:r>
      <w:r>
        <w:rPr>
          <w:rFonts w:hint="eastAsia"/>
          <w:color w:val="000000" w:themeColor="text1"/>
          <w14:textFill>
            <w14:solidFill>
              <w14:schemeClr w14:val="tx1"/>
            </w14:solidFill>
          </w14:textFill>
        </w:rPr>
        <w:t>不能发挥</w:t>
      </w:r>
      <w:r>
        <w:rPr>
          <w:color w:val="000000" w:themeColor="text1"/>
          <w14:textFill>
            <w14:solidFill>
              <w14:schemeClr w14:val="tx1"/>
            </w14:solidFill>
          </w14:textFill>
        </w:rPr>
        <w:t>的情况</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w:t>
      </w:r>
      <w:r>
        <w:rPr>
          <w:color w:val="000000" w:themeColor="text1"/>
          <w14:textFill>
            <w14:solidFill>
              <w14:schemeClr w14:val="tx1"/>
            </w14:solidFill>
          </w14:textFill>
        </w:rPr>
        <w:object>
          <v:shape id="_x0000_i1064" o:spt="75" type="#_x0000_t75" style="height:113pt;width:364.65pt;" o:ole="t" filled="f" o:preferrelative="t" stroked="f" coordsize="21600,21600">
            <v:path/>
            <v:fill on="f" focussize="0,0"/>
            <v:stroke on="f" joinstyle="miter"/>
            <v:imagedata r:id="rId147" cropleft="26462f" croptop="29906f" cropright="22441f" cropbottom="26515f" o:title=""/>
            <o:lock v:ext="edit" aspectratio="t"/>
            <w10:wrap type="none"/>
            <w10:anchorlock/>
          </v:shape>
          <o:OLEObject Type="Embed" ProgID="AutoCAD.Drawing.19" ShapeID="_x0000_i1064" DrawAspect="Content" ObjectID="_1468075764" r:id="rId146">
            <o:LockedField>false</o:LockedField>
          </o:OLEObject>
        </w:objec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c-背撑</w:t>
      </w:r>
      <w:r>
        <w:rPr>
          <w:color w:val="000000" w:themeColor="text1"/>
          <w14:textFill>
            <w14:solidFill>
              <w14:schemeClr w14:val="tx1"/>
            </w14:solidFill>
          </w14:textFill>
        </w:rPr>
        <w:t>横压杆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ｄ－背撑梁</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e-</w:t>
      </w:r>
      <w:r>
        <w:rPr>
          <w:rFonts w:hint="eastAsia"/>
          <w:color w:val="000000" w:themeColor="text1"/>
          <w14:textFill>
            <w14:solidFill>
              <w14:schemeClr w14:val="tx1"/>
            </w14:solidFill>
          </w14:textFill>
        </w:rPr>
        <w:t>立柱</w:t>
      </w:r>
      <w:r>
        <w:rPr>
          <w:color w:val="000000" w:themeColor="text1"/>
          <w14:textFill>
            <w14:solidFill>
              <w14:schemeClr w14:val="tx1"/>
            </w14:solidFill>
          </w14:textFill>
        </w:rPr>
        <w:t>片</w:t>
      </w:r>
      <w:r>
        <w:rPr>
          <w:rFonts w:hint="eastAsia"/>
          <w:color w:val="000000" w:themeColor="text1"/>
          <w14:textFill>
            <w14:solidFill>
              <w14:schemeClr w14:val="tx1"/>
            </w14:solidFill>
          </w14:textFill>
        </w:rPr>
        <w:t>，m-水平</w:t>
      </w:r>
      <w:r>
        <w:rPr>
          <w:color w:val="000000" w:themeColor="text1"/>
          <w14:textFill>
            <w14:solidFill>
              <w14:schemeClr w14:val="tx1"/>
            </w14:solidFill>
          </w14:textFill>
        </w:rPr>
        <w:t>撑</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 xml:space="preserve"> ｐ</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剪力</w:t>
      </w:r>
      <w:r>
        <w:rPr>
          <w:color w:val="000000" w:themeColor="text1"/>
          <w14:textFill>
            <w14:solidFill>
              <w14:schemeClr w14:val="tx1"/>
            </w14:solidFill>
          </w14:textFill>
        </w:rPr>
        <w:t>片，</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２</w:t>
      </w:r>
      <w:r>
        <w:rPr>
          <w:rFonts w:hint="eastAsia"/>
          <w:color w:val="000000" w:themeColor="text1"/>
          <w14:textFill>
            <w14:solidFill>
              <w14:schemeClr w14:val="tx1"/>
            </w14:solidFill>
          </w14:textFill>
        </w:rPr>
        <w:t>mm厚</w:t>
      </w:r>
      <w:r>
        <w:rPr>
          <w:color w:val="000000" w:themeColor="text1"/>
          <w14:textFill>
            <w14:solidFill>
              <w14:schemeClr w14:val="tx1"/>
            </w14:solidFill>
          </w14:textFill>
        </w:rPr>
        <w:t>钢板，自攻螺钉</w:t>
      </w:r>
      <w:r>
        <w:rPr>
          <w:rFonts w:hint="eastAsia"/>
          <w:color w:val="000000" w:themeColor="text1"/>
          <w14:textFill>
            <w14:solidFill>
              <w14:schemeClr w14:val="tx1"/>
            </w14:solidFill>
          </w14:textFill>
        </w:rPr>
        <w:t>与a,c连接</w:t>
      </w:r>
    </w:p>
    <w:p>
      <w:pPr>
        <w:spacing w:line="36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图</w:t>
      </w:r>
      <w:r>
        <w:rPr>
          <w:color w:val="000000" w:themeColor="text1"/>
          <w14:textFill>
            <w14:solidFill>
              <w14:schemeClr w14:val="tx1"/>
            </w14:solidFill>
          </w14:textFill>
        </w:rPr>
        <w:t>B</w:t>
      </w:r>
      <w:r>
        <w:rPr>
          <w:rFonts w:hint="eastAsia"/>
          <w:color w:val="000000" w:themeColor="text1"/>
          <w14:textFill>
            <w14:solidFill>
              <w14:schemeClr w14:val="tx1"/>
            </w14:solidFill>
          </w14:textFill>
        </w:rPr>
        <w:t>.1.4-2 背撑</w:t>
      </w:r>
      <w:r>
        <w:rPr>
          <w:color w:val="000000" w:themeColor="text1"/>
          <w14:textFill>
            <w14:solidFill>
              <w14:schemeClr w14:val="tx1"/>
            </w14:solidFill>
          </w14:textFill>
        </w:rPr>
        <w:t>发挥作用的</w:t>
      </w:r>
      <w:r>
        <w:rPr>
          <w:rFonts w:hint="eastAsia"/>
          <w:color w:val="000000" w:themeColor="text1"/>
          <w14:textFill>
            <w14:solidFill>
              <w14:schemeClr w14:val="tx1"/>
            </w14:solidFill>
          </w14:textFill>
        </w:rPr>
        <w:t>措施</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边货架</w:t>
      </w:r>
      <w:r>
        <w:rPr>
          <w:color w:val="000000" w:themeColor="text1"/>
          <w14:textFill>
            <w14:solidFill>
              <w14:schemeClr w14:val="tx1"/>
            </w14:solidFill>
          </w14:textFill>
        </w:rPr>
        <w:t>的背撑，</w:t>
      </w:r>
      <w:r>
        <w:rPr>
          <w:rFonts w:hint="eastAsia"/>
          <w:color w:val="000000" w:themeColor="text1"/>
          <w14:textFill>
            <w14:solidFill>
              <w14:schemeClr w14:val="tx1"/>
            </w14:solidFill>
          </w14:textFill>
        </w:rPr>
        <w:t>因</w:t>
      </w:r>
      <w:r>
        <w:rPr>
          <w:color w:val="000000" w:themeColor="text1"/>
          <w14:textFill>
            <w14:solidFill>
              <w14:schemeClr w14:val="tx1"/>
            </w14:solidFill>
          </w14:textFill>
        </w:rPr>
        <w:t>设置独立的立柱。应采取确保</w:t>
      </w:r>
      <w:r>
        <w:rPr>
          <w:rFonts w:hint="eastAsia"/>
          <w:color w:val="000000" w:themeColor="text1"/>
          <w14:textFill>
            <w14:solidFill>
              <w14:schemeClr w14:val="tx1"/>
            </w14:solidFill>
          </w14:textFill>
        </w:rPr>
        <w:t>纵向</w:t>
      </w:r>
      <w:r>
        <w:rPr>
          <w:color w:val="000000" w:themeColor="text1"/>
          <w14:textFill>
            <w14:solidFill>
              <w14:schemeClr w14:val="tx1"/>
            </w14:solidFill>
          </w14:textFill>
        </w:rPr>
        <w:t>水平力（地震作用）能够传递到背撑架上。</w:t>
      </w:r>
      <w:r>
        <w:rPr>
          <w:rFonts w:hint="eastAsia"/>
          <w:color w:val="000000" w:themeColor="text1"/>
          <w14:textFill>
            <w14:solidFill>
              <w14:schemeClr w14:val="tx1"/>
            </w14:solidFill>
          </w14:textFill>
        </w:rPr>
        <w:t>图B.1.5-1为</w:t>
      </w:r>
      <w:r>
        <w:rPr>
          <w:color w:val="000000" w:themeColor="text1"/>
          <w14:textFill>
            <w14:solidFill>
              <w14:schemeClr w14:val="tx1"/>
            </w14:solidFill>
          </w14:textFill>
        </w:rPr>
        <w:t>一个方案。</w:t>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object>
          <v:shape id="_x0000_i1065" o:spt="75" type="#_x0000_t75" style="height:134.05pt;width:406.9pt;" o:ole="t" filled="f" o:preferrelative="t" stroked="f" coordsize="21600,21600">
            <v:path/>
            <v:fill on="f" focussize="0,0"/>
            <v:stroke on="f" joinstyle="miter"/>
            <v:imagedata r:id="rId149" cropleft="28878f" croptop="34831f" cropright="13265f" cropbottom="18777f" o:title=""/>
            <o:lock v:ext="edit" aspectratio="t"/>
            <w10:wrap type="none"/>
            <w10:anchorlock/>
          </v:shape>
          <o:OLEObject Type="Embed" ProgID="AutoCAD.Drawing.19" ShapeID="_x0000_i1065" DrawAspect="Content" ObjectID="_1468075765" r:id="rId148">
            <o:LockedField>false</o:LockedField>
          </o:OLEObject>
        </w:objec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a1-前</w:t>
      </w:r>
      <w:r>
        <w:rPr>
          <w:color w:val="000000" w:themeColor="text1"/>
          <w14:textFill>
            <w14:solidFill>
              <w14:schemeClr w14:val="tx1"/>
            </w14:solidFill>
          </w14:textFill>
        </w:rPr>
        <w:t>纵梁，</w:t>
      </w:r>
      <w:r>
        <w:rPr>
          <w:rFonts w:hint="eastAsia"/>
          <w:color w:val="000000" w:themeColor="text1"/>
          <w14:textFill>
            <w14:solidFill>
              <w14:schemeClr w14:val="tx1"/>
            </w14:solidFill>
          </w14:textFill>
        </w:rPr>
        <w:t>a2-后</w:t>
      </w:r>
      <w:r>
        <w:rPr>
          <w:color w:val="000000" w:themeColor="text1"/>
          <w14:textFill>
            <w14:solidFill>
              <w14:schemeClr w14:val="tx1"/>
            </w14:solidFill>
          </w14:textFill>
        </w:rPr>
        <w:t>纵梁</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c-背撑</w:t>
      </w:r>
      <w:r>
        <w:rPr>
          <w:color w:val="000000" w:themeColor="text1"/>
          <w14:textFill>
            <w14:solidFill>
              <w14:schemeClr w14:val="tx1"/>
            </w14:solidFill>
          </w14:textFill>
        </w:rPr>
        <w:t>横压杆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ｄ－背撑梁</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e-</w:t>
      </w:r>
      <w:r>
        <w:rPr>
          <w:rFonts w:hint="eastAsia"/>
          <w:color w:val="000000" w:themeColor="text1"/>
          <w14:textFill>
            <w14:solidFill>
              <w14:schemeClr w14:val="tx1"/>
            </w14:solidFill>
          </w14:textFill>
        </w:rPr>
        <w:t>立柱</w:t>
      </w:r>
      <w:r>
        <w:rPr>
          <w:color w:val="000000" w:themeColor="text1"/>
          <w14:textFill>
            <w14:solidFill>
              <w14:schemeClr w14:val="tx1"/>
            </w14:solidFill>
          </w14:textFill>
        </w:rPr>
        <w:t>片</w:t>
      </w:r>
      <w:r>
        <w:rPr>
          <w:rFonts w:hint="eastAsia"/>
          <w:color w:val="000000" w:themeColor="text1"/>
          <w14:textFill>
            <w14:solidFill>
              <w14:schemeClr w14:val="tx1"/>
            </w14:solidFill>
          </w14:textFill>
        </w:rPr>
        <w:t>，m-水平</w:t>
      </w:r>
      <w:r>
        <w:rPr>
          <w:color w:val="000000" w:themeColor="text1"/>
          <w14:textFill>
            <w14:solidFill>
              <w14:schemeClr w14:val="tx1"/>
            </w14:solidFill>
          </w14:textFill>
        </w:rPr>
        <w:t>撑</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ｐ</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剪力</w:t>
      </w:r>
      <w:r>
        <w:rPr>
          <w:color w:val="000000" w:themeColor="text1"/>
          <w14:textFill>
            <w14:solidFill>
              <w14:schemeClr w14:val="tx1"/>
            </w14:solidFill>
          </w14:textFill>
        </w:rPr>
        <w:t>片</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mm厚</w:t>
      </w:r>
      <w:r>
        <w:rPr>
          <w:color w:val="000000" w:themeColor="text1"/>
          <w14:textFill>
            <w14:solidFill>
              <w14:schemeClr w14:val="tx1"/>
            </w14:solidFill>
          </w14:textFill>
        </w:rPr>
        <w:t>钢板，自攻螺钉</w:t>
      </w:r>
      <w:r>
        <w:rPr>
          <w:rFonts w:hint="eastAsia"/>
          <w:color w:val="000000" w:themeColor="text1"/>
          <w14:textFill>
            <w14:solidFill>
              <w14:schemeClr w14:val="tx1"/>
            </w14:solidFill>
          </w14:textFill>
        </w:rPr>
        <w:t>与a2，c连接</w:t>
      </w:r>
      <w:r>
        <w:rPr>
          <w:color w:val="000000" w:themeColor="text1"/>
          <w14:textFill>
            <w14:solidFill>
              <w14:schemeClr w14:val="tx1"/>
            </w14:solidFill>
          </w14:textFill>
        </w:rPr>
        <w:t>。</w:t>
      </w:r>
    </w:p>
    <w:p>
      <w:pPr>
        <w:spacing w:line="36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图</w:t>
      </w:r>
      <w:r>
        <w:rPr>
          <w:color w:val="000000" w:themeColor="text1"/>
          <w14:textFill>
            <w14:solidFill>
              <w14:schemeClr w14:val="tx1"/>
            </w14:solidFill>
          </w14:textFill>
        </w:rPr>
        <w:t>B</w:t>
      </w:r>
      <w:r>
        <w:rPr>
          <w:rFonts w:hint="eastAsia"/>
          <w:color w:val="000000" w:themeColor="text1"/>
          <w14:textFill>
            <w14:solidFill>
              <w14:schemeClr w14:val="tx1"/>
            </w14:solidFill>
          </w14:textFill>
        </w:rPr>
        <w:t>.1.5-1</w:t>
      </w:r>
      <w:r>
        <w:rPr>
          <w:color w:val="000000" w:themeColor="text1"/>
          <w14:textFill>
            <w14:solidFill>
              <w14:schemeClr w14:val="tx1"/>
            </w14:solidFill>
          </w14:textFill>
        </w:rPr>
        <w:t>　边货架</w:t>
      </w:r>
      <w:r>
        <w:rPr>
          <w:rFonts w:hint="eastAsia"/>
          <w:color w:val="000000" w:themeColor="text1"/>
          <w14:textFill>
            <w14:solidFill>
              <w14:schemeClr w14:val="tx1"/>
            </w14:solidFill>
          </w14:textFill>
        </w:rPr>
        <w:t>侧向力</w:t>
      </w:r>
      <w:r>
        <w:rPr>
          <w:color w:val="000000" w:themeColor="text1"/>
          <w14:textFill>
            <w14:solidFill>
              <w14:schemeClr w14:val="tx1"/>
            </w14:solidFill>
          </w14:textFill>
        </w:rPr>
        <w:t>传递到背撑的方法</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撑梁</w:t>
      </w:r>
      <w:r>
        <w:rPr>
          <w:color w:val="000000" w:themeColor="text1"/>
          <w14:textFill>
            <w14:solidFill>
              <w14:schemeClr w14:val="tx1"/>
            </w14:solidFill>
          </w14:textFill>
        </w:rPr>
        <w:t>是</w:t>
      </w:r>
      <w:r>
        <w:rPr>
          <w:rFonts w:hint="eastAsia"/>
          <w:color w:val="000000" w:themeColor="text1"/>
          <w14:textFill>
            <w14:solidFill>
              <w14:schemeClr w14:val="tx1"/>
            </w14:solidFill>
          </w14:textFill>
        </w:rPr>
        <w:t>将</w:t>
      </w:r>
      <w:r>
        <w:rPr>
          <w:color w:val="000000" w:themeColor="text1"/>
          <w14:textFill>
            <w14:solidFill>
              <w14:schemeClr w14:val="tx1"/>
            </w14:solidFill>
          </w14:textFill>
        </w:rPr>
        <w:t>斜</w:t>
      </w:r>
      <w:r>
        <w:rPr>
          <w:rFonts w:hint="eastAsia"/>
          <w:color w:val="000000" w:themeColor="text1"/>
          <w14:textFill>
            <w14:solidFill>
              <w14:schemeClr w14:val="tx1"/>
            </w14:solidFill>
          </w14:textFill>
        </w:rPr>
        <w:t>背</w:t>
      </w:r>
      <w:r>
        <w:rPr>
          <w:color w:val="000000" w:themeColor="text1"/>
          <w14:textFill>
            <w14:solidFill>
              <w14:schemeClr w14:val="tx1"/>
            </w14:solidFill>
          </w14:textFill>
        </w:rPr>
        <w:t>撑</w:t>
      </w:r>
      <w:r>
        <w:rPr>
          <w:rFonts w:hint="eastAsia"/>
          <w:color w:val="000000" w:themeColor="text1"/>
          <w14:textFill>
            <w14:solidFill>
              <w14:schemeClr w14:val="tx1"/>
            </w14:solidFill>
          </w14:textFill>
        </w:rPr>
        <w:t>的力</w:t>
      </w:r>
      <w:r>
        <w:rPr>
          <w:color w:val="000000" w:themeColor="text1"/>
          <w14:textFill>
            <w14:solidFill>
              <w14:schemeClr w14:val="tx1"/>
            </w14:solidFill>
          </w14:textFill>
        </w:rPr>
        <w:t>传递给立柱的重要部件，</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具有较大的</w:t>
      </w:r>
      <w:r>
        <w:rPr>
          <w:rFonts w:hint="eastAsia"/>
          <w:color w:val="000000" w:themeColor="text1"/>
          <w14:textFill>
            <w14:solidFill>
              <w14:schemeClr w14:val="tx1"/>
            </w14:solidFill>
          </w14:textFill>
        </w:rPr>
        <w:t>竖向</w:t>
      </w:r>
      <w:r>
        <w:rPr>
          <w:color w:val="000000" w:themeColor="text1"/>
          <w14:textFill>
            <w14:solidFill>
              <w14:schemeClr w14:val="tx1"/>
            </w14:solidFill>
          </w14:textFill>
        </w:rPr>
        <w:t>刚度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在背撑架中省略了横压杆时，撑梁</w:t>
      </w:r>
      <w:r>
        <w:rPr>
          <w:rFonts w:hint="eastAsia"/>
          <w:color w:val="000000" w:themeColor="text1"/>
          <w14:textFill>
            <w14:solidFill>
              <w14:schemeClr w14:val="tx1"/>
            </w14:solidFill>
          </w14:textFill>
        </w:rPr>
        <w:t>也应</w:t>
      </w:r>
      <w:r>
        <w:rPr>
          <w:color w:val="000000" w:themeColor="text1"/>
          <w14:textFill>
            <w14:solidFill>
              <w14:schemeClr w14:val="tx1"/>
            </w14:solidFill>
          </w14:textFill>
        </w:rPr>
        <w:t>具有较大的水平刚度</w:t>
      </w:r>
      <w:r>
        <w:rPr>
          <w:rFonts w:hint="eastAsia"/>
          <w:color w:val="000000" w:themeColor="text1"/>
          <w14:textFill>
            <w14:solidFill>
              <w14:schemeClr w14:val="tx1"/>
            </w14:solidFill>
          </w14:textFill>
        </w:rPr>
        <w:t>。</w:t>
      </w:r>
    </w:p>
    <w:p>
      <w:pPr>
        <w:spacing w:line="360" w:lineRule="auto"/>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 xml:space="preserve">7 </w:t>
      </w:r>
      <w:r>
        <w:rPr>
          <w:color w:val="000000" w:themeColor="text1"/>
          <w14:textFill>
            <w14:solidFill>
              <w14:schemeClr w14:val="tx1"/>
            </w14:solidFill>
          </w14:textFill>
        </w:rPr>
        <w:t>将撑梁与立柱连接的端</w:t>
      </w:r>
      <w:r>
        <w:rPr>
          <w:rFonts w:hint="eastAsia"/>
          <w:color w:val="000000" w:themeColor="text1"/>
          <w14:textFill>
            <w14:solidFill>
              <w14:schemeClr w14:val="tx1"/>
            </w14:solidFill>
          </w14:textFill>
        </w:rPr>
        <w:t>板连接</w:t>
      </w:r>
      <w:r>
        <w:rPr>
          <w:color w:val="000000" w:themeColor="text1"/>
          <w14:textFill>
            <w14:solidFill>
              <w14:schemeClr w14:val="tx1"/>
            </w14:solidFill>
          </w14:textFill>
        </w:rPr>
        <w:t>节点，</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仔细计算</w:t>
      </w:r>
      <w:r>
        <w:rPr>
          <w:rFonts w:hint="eastAsia"/>
          <w:color w:val="000000" w:themeColor="text1"/>
          <w14:textFill>
            <w14:solidFill>
              <w14:schemeClr w14:val="tx1"/>
            </w14:solidFill>
          </w14:textFill>
        </w:rPr>
        <w:t>连接</w:t>
      </w:r>
      <w:r>
        <w:rPr>
          <w:color w:val="000000" w:themeColor="text1"/>
          <w14:textFill>
            <w14:solidFill>
              <w14:schemeClr w14:val="tx1"/>
            </w14:solidFill>
          </w14:textFill>
        </w:rPr>
        <w:t>螺栓的强度</w:t>
      </w:r>
      <w:r>
        <w:rPr>
          <w:rFonts w:hint="eastAsia"/>
          <w:color w:val="000000" w:themeColor="text1"/>
          <w14:textFill>
            <w14:solidFill>
              <w14:schemeClr w14:val="tx1"/>
            </w14:solidFill>
          </w14:textFill>
        </w:rPr>
        <w:t>。必要</w:t>
      </w:r>
      <w:r>
        <w:rPr>
          <w:color w:val="000000" w:themeColor="text1"/>
          <w14:textFill>
            <w14:solidFill>
              <w14:schemeClr w14:val="tx1"/>
            </w14:solidFill>
          </w14:textFill>
        </w:rPr>
        <w:t>时应采用抱住立柱的槽形连接件，三面与柱子螺栓连接。</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8</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柱脚宜</w:t>
      </w:r>
      <w:r>
        <w:rPr>
          <w:color w:val="000000" w:themeColor="text1"/>
          <w14:textFill>
            <w14:solidFill>
              <w14:schemeClr w14:val="tx1"/>
            </w14:solidFill>
          </w14:textFill>
        </w:rPr>
        <w:t>采用平板式柱脚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9</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背撑</w:t>
      </w:r>
      <w:r>
        <w:rPr>
          <w:color w:val="000000" w:themeColor="text1"/>
          <w14:textFill>
            <w14:solidFill>
              <w14:schemeClr w14:val="tx1"/>
            </w14:solidFill>
          </w14:textFill>
        </w:rPr>
        <w:t>的落地点宜在立柱附近，充分利用</w:t>
      </w:r>
      <w:r>
        <w:rPr>
          <w:rFonts w:hint="eastAsia"/>
          <w:color w:val="000000" w:themeColor="text1"/>
          <w14:textFill>
            <w14:solidFill>
              <w14:schemeClr w14:val="tx1"/>
            </w14:solidFill>
          </w14:textFill>
        </w:rPr>
        <w:t>立柱</w:t>
      </w:r>
      <w:r>
        <w:rPr>
          <w:color w:val="000000" w:themeColor="text1"/>
          <w14:textFill>
            <w14:solidFill>
              <w14:schemeClr w14:val="tx1"/>
            </w14:solidFill>
          </w14:textFill>
        </w:rPr>
        <w:t>的重力</w:t>
      </w:r>
      <w:r>
        <w:rPr>
          <w:rFonts w:hint="eastAsia"/>
          <w:color w:val="000000" w:themeColor="text1"/>
          <w14:textFill>
            <w14:solidFill>
              <w14:schemeClr w14:val="tx1"/>
            </w14:solidFill>
          </w14:textFill>
        </w:rPr>
        <w:t>抵消</w:t>
      </w:r>
      <w:r>
        <w:rPr>
          <w:color w:val="000000" w:themeColor="text1"/>
          <w14:textFill>
            <w14:solidFill>
              <w14:schemeClr w14:val="tx1"/>
            </w14:solidFill>
          </w14:textFill>
        </w:rPr>
        <w:t>对</w:t>
      </w:r>
      <w:r>
        <w:rPr>
          <w:rFonts w:hint="eastAsia"/>
          <w:color w:val="000000" w:themeColor="text1"/>
          <w14:textFill>
            <w14:solidFill>
              <w14:schemeClr w14:val="tx1"/>
            </w14:solidFill>
          </w14:textFill>
        </w:rPr>
        <w:t>背撑</w:t>
      </w:r>
      <w:r>
        <w:rPr>
          <w:color w:val="000000" w:themeColor="text1"/>
          <w14:textFill>
            <w14:solidFill>
              <w14:schemeClr w14:val="tx1"/>
            </w14:solidFill>
          </w14:textFill>
        </w:rPr>
        <w:t>地面</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拔力；独立设置时，应</w:t>
      </w:r>
      <w:r>
        <w:rPr>
          <w:rFonts w:hint="eastAsia"/>
          <w:color w:val="000000" w:themeColor="text1"/>
          <w14:textFill>
            <w14:solidFill>
              <w14:schemeClr w14:val="tx1"/>
            </w14:solidFill>
          </w14:textFill>
        </w:rPr>
        <w:t>有</w:t>
      </w:r>
      <w:r>
        <w:rPr>
          <w:color w:val="000000" w:themeColor="text1"/>
          <w14:textFill>
            <w14:solidFill>
              <w14:schemeClr w14:val="tx1"/>
            </w14:solidFill>
          </w14:textFill>
        </w:rPr>
        <w:t>可靠的锚固，并保证</w:t>
      </w:r>
      <w:r>
        <w:rPr>
          <w:rFonts w:hint="eastAsia"/>
          <w:color w:val="000000" w:themeColor="text1"/>
          <w14:textFill>
            <w14:solidFill>
              <w14:schemeClr w14:val="tx1"/>
            </w14:solidFill>
          </w14:textFill>
        </w:rPr>
        <w:t>不会</w:t>
      </w:r>
      <w:r>
        <w:rPr>
          <w:color w:val="000000" w:themeColor="text1"/>
          <w14:textFill>
            <w14:solidFill>
              <w14:schemeClr w14:val="tx1"/>
            </w14:solidFill>
          </w14:textFill>
        </w:rPr>
        <w:t>因</w:t>
      </w:r>
      <w:r>
        <w:rPr>
          <w:rFonts w:hint="eastAsia"/>
          <w:color w:val="000000" w:themeColor="text1"/>
          <w14:textFill>
            <w14:solidFill>
              <w14:schemeClr w14:val="tx1"/>
            </w14:solidFill>
          </w14:textFill>
        </w:rPr>
        <w:t>锚固</w:t>
      </w:r>
      <w:r>
        <w:rPr>
          <w:color w:val="000000" w:themeColor="text1"/>
          <w14:textFill>
            <w14:solidFill>
              <w14:schemeClr w14:val="tx1"/>
            </w14:solidFill>
          </w14:textFill>
        </w:rPr>
        <w:t>件自身的变形而削弱</w:t>
      </w:r>
      <w:r>
        <w:rPr>
          <w:rFonts w:hint="eastAsia"/>
          <w:color w:val="000000" w:themeColor="text1"/>
          <w14:textFill>
            <w14:solidFill>
              <w14:schemeClr w14:val="tx1"/>
            </w14:solidFill>
          </w14:textFill>
        </w:rPr>
        <w:t>了</w:t>
      </w:r>
      <w:r>
        <w:rPr>
          <w:color w:val="000000" w:themeColor="text1"/>
          <w14:textFill>
            <w14:solidFill>
              <w14:schemeClr w14:val="tx1"/>
            </w14:solidFill>
          </w14:textFill>
        </w:rPr>
        <w:t>背撑的刚度。</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跨层</w:t>
      </w:r>
      <w:r>
        <w:rPr>
          <w:color w:val="000000" w:themeColor="text1"/>
          <w14:textFill>
            <w14:solidFill>
              <w14:schemeClr w14:val="tx1"/>
            </w14:solidFill>
          </w14:textFill>
        </w:rPr>
        <w:t>的背撑，</w:t>
      </w:r>
      <w:r>
        <w:rPr>
          <w:rFonts w:hint="eastAsia"/>
          <w:color w:val="000000" w:themeColor="text1"/>
          <w14:textFill>
            <w14:solidFill>
              <w14:schemeClr w14:val="tx1"/>
            </w14:solidFill>
          </w14:textFill>
        </w:rPr>
        <w:t>宜</w:t>
      </w:r>
      <w:r>
        <w:rPr>
          <w:color w:val="000000" w:themeColor="text1"/>
          <w14:textFill>
            <w14:solidFill>
              <w14:schemeClr w14:val="tx1"/>
            </w14:solidFill>
          </w14:textFill>
        </w:rPr>
        <w:t>保证</w:t>
      </w:r>
      <w:r>
        <w:rPr>
          <w:rFonts w:hint="eastAsia"/>
          <w:color w:val="000000" w:themeColor="text1"/>
          <w14:textFill>
            <w14:solidFill>
              <w14:schemeClr w14:val="tx1"/>
            </w14:solidFill>
          </w14:textFill>
        </w:rPr>
        <w:t>背撑对</w:t>
      </w:r>
      <w:r>
        <w:rPr>
          <w:color w:val="000000" w:themeColor="text1"/>
          <w14:textFill>
            <w14:solidFill>
              <w14:schemeClr w14:val="tx1"/>
            </w14:solidFill>
          </w14:textFill>
        </w:rPr>
        <w:t>每一层的货位提供侧向支</w:t>
      </w:r>
      <w:r>
        <w:rPr>
          <w:rFonts w:hint="eastAsia"/>
          <w:color w:val="000000" w:themeColor="text1"/>
          <w14:textFill>
            <w14:solidFill>
              <w14:schemeClr w14:val="tx1"/>
            </w14:solidFill>
          </w14:textFill>
        </w:rPr>
        <w:t>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单根</w:t>
      </w:r>
      <w:r>
        <w:rPr>
          <w:color w:val="000000" w:themeColor="text1"/>
          <w14:textFill>
            <w14:solidFill>
              <w14:schemeClr w14:val="tx1"/>
            </w14:solidFill>
          </w14:textFill>
        </w:rPr>
        <w:t>斜杆在一</w:t>
      </w:r>
      <w:r>
        <w:rPr>
          <w:rFonts w:hint="eastAsia"/>
          <w:color w:val="000000" w:themeColor="text1"/>
          <w14:textFill>
            <w14:solidFill>
              <w14:schemeClr w14:val="tx1"/>
            </w14:solidFill>
          </w14:textFill>
        </w:rPr>
        <w:t>个</w:t>
      </w:r>
      <w:r>
        <w:rPr>
          <w:color w:val="000000" w:themeColor="text1"/>
          <w14:textFill>
            <w14:solidFill>
              <w14:schemeClr w14:val="tx1"/>
            </w14:solidFill>
          </w14:textFill>
        </w:rPr>
        <w:t>纵向跨</w:t>
      </w:r>
      <w:r>
        <w:rPr>
          <w:rFonts w:hint="eastAsia"/>
          <w:color w:val="000000" w:themeColor="text1"/>
          <w14:textFill>
            <w14:solidFill>
              <w14:schemeClr w14:val="tx1"/>
            </w14:solidFill>
          </w14:textFill>
        </w:rPr>
        <w:t>距</w:t>
      </w:r>
      <w:r>
        <w:rPr>
          <w:color w:val="000000" w:themeColor="text1"/>
          <w14:textFill>
            <w14:solidFill>
              <w14:schemeClr w14:val="tx1"/>
            </w14:solidFill>
          </w14:textFill>
        </w:rPr>
        <w:t>内</w:t>
      </w:r>
      <w:r>
        <w:rPr>
          <w:rFonts w:hint="eastAsia"/>
          <w:color w:val="000000" w:themeColor="text1"/>
          <w14:textFill>
            <w14:solidFill>
              <w14:schemeClr w14:val="tx1"/>
            </w14:solidFill>
          </w14:textFill>
        </w:rPr>
        <w:t>跨越</w:t>
      </w:r>
      <w:r>
        <w:rPr>
          <w:color w:val="000000" w:themeColor="text1"/>
          <w14:textFill>
            <w14:solidFill>
              <w14:schemeClr w14:val="tx1"/>
            </w14:solidFill>
          </w14:textFill>
        </w:rPr>
        <w:t>两层或三层时，</w:t>
      </w:r>
      <w:r>
        <w:rPr>
          <w:rFonts w:hint="eastAsia"/>
          <w:color w:val="000000" w:themeColor="text1"/>
          <w14:textFill>
            <w14:solidFill>
              <w14:schemeClr w14:val="tx1"/>
            </w14:solidFill>
          </w14:textFill>
        </w:rPr>
        <w:t>中间</w:t>
      </w:r>
      <w:r>
        <w:rPr>
          <w:color w:val="000000" w:themeColor="text1"/>
          <w14:textFill>
            <w14:solidFill>
              <w14:schemeClr w14:val="tx1"/>
            </w14:solidFill>
          </w14:textFill>
        </w:rPr>
        <w:t>的货物对应的地震作用将对立柱产生额外的纵向弯矩，必须考虑这个弯矩，并且立柱的计算长度应参照有侧移屈曲的模式</w:t>
      </w:r>
      <w:r>
        <w:rPr>
          <w:rFonts w:hint="eastAsia"/>
          <w:color w:val="000000" w:themeColor="text1"/>
          <w14:textFill>
            <w14:solidFill>
              <w14:schemeClr w14:val="tx1"/>
            </w14:solidFill>
          </w14:textFill>
        </w:rPr>
        <w:t>计算</w:t>
      </w:r>
      <w:r>
        <w:rPr>
          <w:color w:val="000000" w:themeColor="text1"/>
          <w14:textFill>
            <w14:solidFill>
              <w14:schemeClr w14:val="tx1"/>
            </w14:solidFill>
          </w14:textFill>
        </w:rPr>
        <w:t>，但可以不大于</w:t>
      </w:r>
      <w:r>
        <w:rPr>
          <w:rFonts w:hint="eastAsia"/>
          <w:color w:val="000000" w:themeColor="text1"/>
          <w14:textFill>
            <w14:solidFill>
              <w14:schemeClr w14:val="tx1"/>
            </w14:solidFill>
          </w14:textFill>
        </w:rPr>
        <w:t>单根</w:t>
      </w:r>
      <w:r>
        <w:rPr>
          <w:color w:val="000000" w:themeColor="text1"/>
          <w14:textFill>
            <w14:solidFill>
              <w14:schemeClr w14:val="tx1"/>
            </w14:solidFill>
          </w14:textFill>
        </w:rPr>
        <w:t>斜撑跨越的高度。</w:t>
      </w:r>
    </w:p>
    <w:p>
      <w:pPr>
        <w:spacing w:line="360" w:lineRule="auto"/>
        <w:ind w:firstLine="0" w:firstLineChars="0"/>
        <w:rPr>
          <w:color w:val="000000" w:themeColor="text1"/>
          <w14:textFill>
            <w14:solidFill>
              <w14:schemeClr w14:val="tx1"/>
            </w14:solidFill>
          </w14:textFill>
        </w:rPr>
      </w:pPr>
    </w:p>
    <w:p>
      <w:pPr>
        <w:spacing w:line="36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.2 一般</w:t>
      </w:r>
      <w:r>
        <w:rPr>
          <w:color w:val="000000" w:themeColor="text1"/>
          <w14:textFill>
            <w14:solidFill>
              <w14:schemeClr w14:val="tx1"/>
            </w14:solidFill>
          </w14:textFill>
        </w:rPr>
        <w:t>规定</w:t>
      </w:r>
    </w:p>
    <w:p>
      <w:pPr>
        <w:spacing w:line="360" w:lineRule="auto"/>
        <w:ind w:firstLine="0" w:firstLineChars="0"/>
        <w:jc w:val="center"/>
        <w:rPr>
          <w:color w:val="000000" w:themeColor="text1"/>
          <w14:textFill>
            <w14:solidFill>
              <w14:schemeClr w14:val="tx1"/>
            </w14:solidFill>
          </w14:textFill>
        </w:rPr>
      </w:pPr>
    </w:p>
    <w:p>
      <w:pPr>
        <w:spacing w:line="360" w:lineRule="auto"/>
        <w:ind w:firstLine="0" w:firstLineChars="0"/>
        <w:jc w:val="left"/>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2.1 </w:t>
      </w:r>
      <w:r>
        <w:rPr>
          <w:rFonts w:hint="eastAsia"/>
          <w:color w:val="000000" w:themeColor="text1"/>
          <w14:textFill>
            <w14:solidFill>
              <w14:schemeClr w14:val="tx1"/>
            </w14:solidFill>
          </w14:textFill>
        </w:rPr>
        <w:t>地震力</w:t>
      </w:r>
      <w:r>
        <w:rPr>
          <w:color w:val="000000" w:themeColor="text1"/>
          <w14:textFill>
            <w14:solidFill>
              <w14:schemeClr w14:val="tx1"/>
            </w14:solidFill>
          </w14:textFill>
        </w:rPr>
        <w:t>的计算，可采用</w:t>
      </w:r>
      <w:r>
        <w:rPr>
          <w:rFonts w:hint="eastAsia"/>
          <w:color w:val="000000" w:themeColor="text1"/>
          <w14:textFill>
            <w14:solidFill>
              <w14:schemeClr w14:val="tx1"/>
            </w14:solidFill>
          </w14:textFill>
        </w:rPr>
        <w:t>基地</w:t>
      </w:r>
      <w:r>
        <w:rPr>
          <w:color w:val="000000" w:themeColor="text1"/>
          <w14:textFill>
            <w14:solidFill>
              <w14:schemeClr w14:val="tx1"/>
            </w14:solidFill>
          </w14:textFill>
        </w:rPr>
        <w:t>剪力</w:t>
      </w:r>
      <w:r>
        <w:rPr>
          <w:rFonts w:hint="eastAsia"/>
          <w:color w:val="000000" w:themeColor="text1"/>
          <w14:textFill>
            <w14:solidFill>
              <w14:schemeClr w14:val="tx1"/>
            </w14:solidFill>
          </w14:textFill>
        </w:rPr>
        <w:t>法。</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 xml:space="preserve"> 落地</w:t>
      </w:r>
      <w:r>
        <w:rPr>
          <w:color w:val="000000" w:themeColor="text1"/>
          <w14:textFill>
            <w14:solidFill>
              <w14:schemeClr w14:val="tx1"/>
            </w14:solidFill>
          </w14:textFill>
        </w:rPr>
        <w:t>的</w:t>
      </w:r>
      <w:r>
        <w:rPr>
          <w:rFonts w:hint="eastAsia"/>
          <w:color w:val="000000" w:themeColor="text1"/>
          <w14:textFill>
            <w14:solidFill>
              <w14:schemeClr w14:val="tx1"/>
            </w14:solidFill>
          </w14:textFill>
        </w:rPr>
        <w:t>单层货架</w:t>
      </w:r>
      <w:r>
        <w:rPr>
          <w:color w:val="000000" w:themeColor="text1"/>
          <w14:textFill>
            <w14:solidFill>
              <w14:schemeClr w14:val="tx1"/>
            </w14:solidFill>
          </w14:textFill>
        </w:rPr>
        <w:t>的地震影响系数，</w:t>
      </w:r>
      <w:r>
        <w:rPr>
          <w:rFonts w:hint="eastAsia"/>
          <w:color w:val="000000" w:themeColor="text1"/>
          <w14:textFill>
            <w14:solidFill>
              <w14:schemeClr w14:val="tx1"/>
            </w14:solidFill>
          </w14:textFill>
        </w:rPr>
        <w:t>采用《建筑抗震设计规范》GB500011</w:t>
      </w:r>
      <w:r>
        <w:rPr>
          <w:color w:val="000000" w:themeColor="text1"/>
          <w14:textFill>
            <w14:solidFill>
              <w14:schemeClr w14:val="tx1"/>
            </w14:solidFill>
          </w14:textFill>
        </w:rPr>
        <w:t>的</w:t>
      </w:r>
      <w:r>
        <w:rPr>
          <w:rFonts w:hint="eastAsia"/>
          <w:color w:val="000000" w:themeColor="text1"/>
          <w14:textFill>
            <w14:solidFill>
              <w14:schemeClr w14:val="tx1"/>
            </w14:solidFill>
          </w14:textFill>
        </w:rPr>
        <w:t>加速度</w:t>
      </w:r>
      <w:r>
        <w:rPr>
          <w:color w:val="000000" w:themeColor="text1"/>
          <w14:textFill>
            <w14:solidFill>
              <w14:schemeClr w14:val="tx1"/>
            </w14:solidFill>
          </w14:textFill>
        </w:rPr>
        <w:t>反应谱</w:t>
      </w:r>
      <w:r>
        <w:rPr>
          <w:rFonts w:hint="eastAsia"/>
          <w:color w:val="000000" w:themeColor="text1"/>
          <w14:textFill>
            <w14:solidFill>
              <w14:schemeClr w14:val="tx1"/>
            </w14:solidFill>
          </w14:textFill>
        </w:rPr>
        <w:t>，</w:t>
      </w:r>
      <w:r>
        <w:rPr>
          <w:rFonts w:hint="eastAsia"/>
          <w:bCs/>
          <w:color w:val="000000" w:themeColor="text1"/>
          <w14:textFill>
            <w14:solidFill>
              <w14:schemeClr w14:val="tx1"/>
            </w14:solidFill>
          </w14:textFill>
        </w:rPr>
        <w:t>并</w:t>
      </w:r>
      <w:r>
        <w:rPr>
          <w:bCs/>
          <w:color w:val="000000" w:themeColor="text1"/>
          <w14:textFill>
            <w14:solidFill>
              <w14:schemeClr w14:val="tx1"/>
            </w14:solidFill>
          </w14:textFill>
        </w:rPr>
        <w:t>乘以B</w:t>
      </w:r>
      <w:r>
        <w:rPr>
          <w:rFonts w:hint="eastAsia"/>
          <w:bCs/>
          <w:color w:val="000000" w:themeColor="text1"/>
          <w14:textFill>
            <w14:solidFill>
              <w14:schemeClr w14:val="tx1"/>
            </w14:solidFill>
          </w14:textFill>
        </w:rPr>
        <w:t>.2.</w:t>
      </w:r>
      <w:r>
        <w:rPr>
          <w:bCs/>
          <w:color w:val="000000" w:themeColor="text1"/>
          <w14:textFill>
            <w14:solidFill>
              <w14:schemeClr w14:val="tx1"/>
            </w14:solidFill>
          </w14:textFill>
        </w:rPr>
        <w:t>1</w:t>
      </w:r>
      <w:r>
        <w:rPr>
          <w:rFonts w:hint="eastAsia"/>
          <w:bCs/>
          <w:color w:val="000000" w:themeColor="text1"/>
          <w14:textFill>
            <w14:solidFill>
              <w14:schemeClr w14:val="tx1"/>
            </w14:solidFill>
          </w14:textFill>
        </w:rPr>
        <w:t>3条</w:t>
      </w:r>
      <w:r>
        <w:rPr>
          <w:bCs/>
          <w:color w:val="000000" w:themeColor="text1"/>
          <w14:textFill>
            <w14:solidFill>
              <w14:schemeClr w14:val="tx1"/>
            </w14:solidFill>
          </w14:textFill>
        </w:rPr>
        <w:t>确定的地震</w:t>
      </w:r>
      <w:r>
        <w:rPr>
          <w:rFonts w:hint="eastAsia"/>
          <w:bCs/>
          <w:color w:val="000000" w:themeColor="text1"/>
          <w14:textFill>
            <w14:solidFill>
              <w14:schemeClr w14:val="tx1"/>
            </w14:solidFill>
          </w14:textFill>
        </w:rPr>
        <w:t>作用</w:t>
      </w:r>
      <w:r>
        <w:rPr>
          <w:bCs/>
          <w:color w:val="000000" w:themeColor="text1"/>
          <w14:textFill>
            <w14:solidFill>
              <w14:schemeClr w14:val="tx1"/>
            </w14:solidFill>
          </w14:textFill>
        </w:rPr>
        <w:t>放大系数</w:t>
      </w:r>
      <w:r>
        <w:rPr>
          <w:rFonts w:hint="eastAsia"/>
          <w:bCs/>
          <w:color w:val="000000" w:themeColor="text1"/>
          <w14:textFill>
            <w14:solidFill>
              <w14:schemeClr w14:val="tx1"/>
            </w14:solidFill>
          </w14:textFill>
        </w:rPr>
        <w:t>和</w:t>
      </w:r>
      <w:r>
        <w:rPr>
          <w:bCs/>
          <w:color w:val="000000" w:themeColor="text1"/>
          <w14:textFill>
            <w14:solidFill>
              <w14:schemeClr w14:val="tx1"/>
            </w14:solidFill>
          </w14:textFill>
        </w:rPr>
        <w:t>B</w:t>
      </w:r>
      <w:r>
        <w:rPr>
          <w:rFonts w:hint="eastAsia"/>
          <w:bCs/>
          <w:color w:val="000000" w:themeColor="text1"/>
          <w14:textFill>
            <w14:solidFill>
              <w14:schemeClr w14:val="tx1"/>
            </w14:solidFill>
          </w14:textFill>
        </w:rPr>
        <w:t>.2.7条</w:t>
      </w:r>
      <w:r>
        <w:rPr>
          <w:bCs/>
          <w:color w:val="000000" w:themeColor="text1"/>
          <w14:textFill>
            <w14:solidFill>
              <w14:schemeClr w14:val="tx1"/>
            </w14:solidFill>
          </w14:textFill>
        </w:rPr>
        <w:t>的折减系数；</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2.3 </w:t>
      </w:r>
      <w:r>
        <w:rPr>
          <w:rFonts w:hint="eastAsia"/>
          <w:color w:val="000000" w:themeColor="text1"/>
          <w14:textFill>
            <w14:solidFill>
              <w14:schemeClr w14:val="tx1"/>
            </w14:solidFill>
          </w14:textFill>
        </w:rPr>
        <w:t>二层</w:t>
      </w:r>
      <w:r>
        <w:rPr>
          <w:color w:val="000000" w:themeColor="text1"/>
          <w14:textFill>
            <w14:solidFill>
              <w14:schemeClr w14:val="tx1"/>
            </w14:solidFill>
          </w14:textFill>
        </w:rPr>
        <w:t>及以上厂房中，放置在</w:t>
      </w:r>
      <w:r>
        <w:rPr>
          <w:rFonts w:hint="eastAsia"/>
          <w:color w:val="000000" w:themeColor="text1"/>
          <w14:textFill>
            <w14:solidFill>
              <w14:schemeClr w14:val="tx1"/>
            </w14:solidFill>
          </w14:textFill>
        </w:rPr>
        <w:t>二</w:t>
      </w:r>
      <w:r>
        <w:rPr>
          <w:color w:val="000000" w:themeColor="text1"/>
          <w14:textFill>
            <w14:solidFill>
              <w14:schemeClr w14:val="tx1"/>
            </w14:solidFill>
          </w14:textFill>
        </w:rPr>
        <w:t>层</w:t>
      </w:r>
      <w:r>
        <w:rPr>
          <w:rFonts w:hint="eastAsia"/>
          <w:color w:val="000000" w:themeColor="text1"/>
          <w14:textFill>
            <w14:solidFill>
              <w14:schemeClr w14:val="tx1"/>
            </w14:solidFill>
          </w14:textFill>
        </w:rPr>
        <w:t>及</w:t>
      </w:r>
      <w:r>
        <w:rPr>
          <w:color w:val="000000" w:themeColor="text1"/>
          <w14:textFill>
            <w14:solidFill>
              <w14:schemeClr w14:val="tx1"/>
            </w14:solidFill>
          </w14:textFill>
        </w:rPr>
        <w:t>以上的货架的地震</w:t>
      </w:r>
      <w:r>
        <w:rPr>
          <w:rFonts w:hint="eastAsia"/>
          <w:color w:val="000000" w:themeColor="text1"/>
          <w14:textFill>
            <w14:solidFill>
              <w14:schemeClr w14:val="tx1"/>
            </w14:solidFill>
          </w14:textFill>
        </w:rPr>
        <w:t>力</w:t>
      </w:r>
      <w:r>
        <w:rPr>
          <w:color w:val="000000" w:themeColor="text1"/>
          <w14:textFill>
            <w14:solidFill>
              <w14:schemeClr w14:val="tx1"/>
            </w14:solidFill>
          </w14:textFill>
        </w:rPr>
        <w:t>的计算，宜采用与厂房一起分析的</w:t>
      </w:r>
      <w:r>
        <w:rPr>
          <w:rFonts w:hint="eastAsia"/>
          <w:color w:val="000000" w:themeColor="text1"/>
          <w14:textFill>
            <w14:solidFill>
              <w14:schemeClr w14:val="tx1"/>
            </w14:solidFill>
          </w14:textFill>
        </w:rPr>
        <w:t>振型</w:t>
      </w:r>
      <w:r>
        <w:rPr>
          <w:color w:val="000000" w:themeColor="text1"/>
          <w14:textFill>
            <w14:solidFill>
              <w14:schemeClr w14:val="tx1"/>
            </w14:solidFill>
          </w14:textFill>
        </w:rPr>
        <w:t>分</w:t>
      </w:r>
      <w:r>
        <w:rPr>
          <w:rFonts w:hint="eastAsia"/>
          <w:color w:val="000000" w:themeColor="text1"/>
          <w14:textFill>
            <w14:solidFill>
              <w14:schemeClr w14:val="tx1"/>
            </w14:solidFill>
          </w14:textFill>
        </w:rPr>
        <w:t>解反应谱法。没有</w:t>
      </w:r>
      <w:r>
        <w:rPr>
          <w:color w:val="000000" w:themeColor="text1"/>
          <w14:textFill>
            <w14:solidFill>
              <w14:schemeClr w14:val="tx1"/>
            </w14:solidFill>
          </w14:textFill>
        </w:rPr>
        <w:t>条件时，</w:t>
      </w:r>
      <w:r>
        <w:rPr>
          <w:rFonts w:hint="eastAsia"/>
          <w:color w:val="000000" w:themeColor="text1"/>
          <w14:textFill>
            <w14:solidFill>
              <w14:schemeClr w14:val="tx1"/>
            </w14:solidFill>
          </w14:textFill>
        </w:rPr>
        <w:t>取</w:t>
      </w:r>
      <w:r>
        <w:rPr>
          <w:color w:val="000000" w:themeColor="text1"/>
          <w14:textFill>
            <w14:solidFill>
              <w14:schemeClr w14:val="tx1"/>
            </w14:solidFill>
          </w14:textFill>
        </w:rPr>
        <w:t>主结构</w:t>
      </w:r>
      <w:r>
        <w:rPr>
          <w:rFonts w:hint="eastAsia"/>
          <w:color w:val="000000" w:themeColor="text1"/>
          <w14:textFill>
            <w14:solidFill>
              <w14:schemeClr w14:val="tx1"/>
            </w14:solidFill>
          </w14:textFill>
        </w:rPr>
        <w:t>的地震</w:t>
      </w:r>
      <w:r>
        <w:rPr>
          <w:color w:val="000000" w:themeColor="text1"/>
          <w14:textFill>
            <w14:solidFill>
              <w14:schemeClr w14:val="tx1"/>
            </w14:solidFill>
          </w14:textFill>
        </w:rPr>
        <w:t>力分配到</w:t>
      </w:r>
      <w:r>
        <w:rPr>
          <w:rFonts w:hint="eastAsia"/>
          <w:color w:val="000000" w:themeColor="text1"/>
          <w14:textFill>
            <w14:solidFill>
              <w14:schemeClr w14:val="tx1"/>
            </w14:solidFill>
          </w14:textFill>
        </w:rPr>
        <w:t>各</w:t>
      </w:r>
      <w:r>
        <w:rPr>
          <w:color w:val="000000" w:themeColor="text1"/>
          <w14:textFill>
            <w14:solidFill>
              <w14:schemeClr w14:val="tx1"/>
            </w14:solidFill>
          </w14:textFill>
        </w:rPr>
        <w:t>楼层的数值</w:t>
      </w:r>
      <w:r>
        <w:rPr>
          <w:rFonts w:hint="eastAsia"/>
          <w:color w:val="000000" w:themeColor="text1"/>
          <w14:textFill>
            <w14:solidFill>
              <w14:schemeClr w14:val="tx1"/>
            </w14:solidFill>
          </w14:textFill>
        </w:rPr>
        <w:t>，按照</w:t>
      </w:r>
      <w:r>
        <w:rPr>
          <w:color w:val="000000" w:themeColor="text1"/>
          <w14:textFill>
            <w14:solidFill>
              <w14:schemeClr w14:val="tx1"/>
            </w14:solidFill>
          </w14:textFill>
        </w:rPr>
        <w:t>货架</w:t>
      </w:r>
      <w:r>
        <w:rPr>
          <w:rFonts w:hint="eastAsia"/>
          <w:color w:val="000000" w:themeColor="text1"/>
          <w14:textFill>
            <w14:solidFill>
              <w14:schemeClr w14:val="tx1"/>
            </w14:solidFill>
          </w14:textFill>
        </w:rPr>
        <w:t>质量</w:t>
      </w:r>
      <w:r>
        <w:rPr>
          <w:color w:val="000000" w:themeColor="text1"/>
          <w14:textFill>
            <w14:solidFill>
              <w14:schemeClr w14:val="tx1"/>
            </w14:solidFill>
          </w14:textFill>
        </w:rPr>
        <w:t>占该层的质量的比例，进行该层货架地震作用的</w:t>
      </w:r>
      <w:r>
        <w:rPr>
          <w:rFonts w:hint="eastAsia"/>
          <w:color w:val="000000" w:themeColor="text1"/>
          <w14:textFill>
            <w14:solidFill>
              <w14:schemeClr w14:val="tx1"/>
            </w14:solidFill>
          </w14:textFill>
        </w:rPr>
        <w:t>计算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并</w:t>
      </w:r>
      <w:r>
        <w:rPr>
          <w:color w:val="000000" w:themeColor="text1"/>
          <w14:textFill>
            <w14:solidFill>
              <w14:schemeClr w14:val="tx1"/>
            </w14:solidFill>
          </w14:textFill>
        </w:rPr>
        <w:t>乘以放大系数</w:t>
      </w:r>
      <w:r>
        <w:rPr>
          <w:rFonts w:hint="eastAsia"/>
          <w:color w:val="000000" w:themeColor="text1"/>
          <w14:textFill>
            <w14:solidFill>
              <w14:schemeClr w14:val="tx1"/>
            </w14:solidFill>
          </w14:textFill>
        </w:rPr>
        <w:t>1.5</w:t>
      </w:r>
      <w:r>
        <w:rPr>
          <w:color w:val="000000" w:themeColor="text1"/>
          <w14:textFill>
            <w14:solidFill>
              <w14:schemeClr w14:val="tx1"/>
            </w14:solidFill>
          </w14:textFill>
        </w:rPr>
        <w:t>分布到个货架层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 xml:space="preserve"> 货架</w:t>
      </w:r>
      <w:r>
        <w:rPr>
          <w:color w:val="000000" w:themeColor="text1"/>
          <w14:textFill>
            <w14:solidFill>
              <w14:schemeClr w14:val="tx1"/>
            </w14:solidFill>
          </w14:textFill>
        </w:rPr>
        <w:t>抗震设计，可以两个</w:t>
      </w:r>
      <w:r>
        <w:rPr>
          <w:rFonts w:hint="eastAsia"/>
          <w:color w:val="000000" w:themeColor="text1"/>
          <w14:textFill>
            <w14:solidFill>
              <w14:schemeClr w14:val="tx1"/>
            </w14:solidFill>
          </w14:textFill>
        </w:rPr>
        <w:t>主</w:t>
      </w:r>
      <w:r>
        <w:rPr>
          <w:color w:val="000000" w:themeColor="text1"/>
          <w14:textFill>
            <w14:solidFill>
              <w14:schemeClr w14:val="tx1"/>
            </w14:solidFill>
          </w14:textFill>
        </w:rPr>
        <w:t>方向独立进行，</w:t>
      </w:r>
      <w:r>
        <w:rPr>
          <w:rFonts w:hint="eastAsia"/>
          <w:color w:val="000000" w:themeColor="text1"/>
          <w14:textFill>
            <w14:solidFill>
              <w14:schemeClr w14:val="tx1"/>
            </w14:solidFill>
          </w14:textFill>
        </w:rPr>
        <w:t>不</w:t>
      </w:r>
      <w:r>
        <w:rPr>
          <w:color w:val="000000" w:themeColor="text1"/>
          <w14:textFill>
            <w14:solidFill>
              <w14:schemeClr w14:val="tx1"/>
            </w14:solidFill>
          </w14:textFill>
        </w:rPr>
        <w:t>考虑垂直地震</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.5确定地震作用时，阻尼</w:t>
      </w:r>
      <w:r>
        <w:rPr>
          <w:rFonts w:hint="eastAsia"/>
          <w:color w:val="000000" w:themeColor="text1"/>
          <w14:textFill>
            <w14:solidFill>
              <w14:schemeClr w14:val="tx1"/>
            </w14:solidFill>
          </w14:textFill>
        </w:rPr>
        <w:t>比</w:t>
      </w:r>
      <w:r>
        <w:rPr>
          <w:color w:val="000000" w:themeColor="text1"/>
          <w14:textFill>
            <w14:solidFill>
              <w14:schemeClr w14:val="tx1"/>
            </w14:solidFill>
          </w14:textFill>
        </w:rPr>
        <w:t>取</w:t>
      </w:r>
      <w:r>
        <w:rPr>
          <w:rFonts w:hint="eastAsia"/>
          <w:color w:val="000000" w:themeColor="text1"/>
          <w14:textFill>
            <w14:solidFill>
              <w14:schemeClr w14:val="tx1"/>
            </w14:solidFill>
          </w14:textFill>
        </w:rPr>
        <w:t>0.03。</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2.6 </w:t>
      </w:r>
      <w:r>
        <w:rPr>
          <w:rFonts w:hint="eastAsia"/>
          <w:color w:val="000000" w:themeColor="text1"/>
          <w14:textFill>
            <w14:solidFill>
              <w14:schemeClr w14:val="tx1"/>
            </w14:solidFill>
          </w14:textFill>
        </w:rPr>
        <w:t>货架</w:t>
      </w:r>
      <w:r>
        <w:rPr>
          <w:color w:val="000000" w:themeColor="text1"/>
          <w14:textFill>
            <w14:solidFill>
              <w14:schemeClr w14:val="tx1"/>
            </w14:solidFill>
          </w14:textFill>
        </w:rPr>
        <w:t>的使用寿命可以按照</w:t>
      </w:r>
      <w:r>
        <w:rPr>
          <w:rFonts w:hint="eastAsia"/>
          <w:color w:val="000000" w:themeColor="text1"/>
          <w14:textFill>
            <w14:solidFill>
              <w14:schemeClr w14:val="tx1"/>
            </w14:solidFill>
          </w14:textFill>
        </w:rPr>
        <w:t>30年</w:t>
      </w:r>
      <w:r>
        <w:rPr>
          <w:color w:val="000000" w:themeColor="text1"/>
          <w14:textFill>
            <w14:solidFill>
              <w14:schemeClr w14:val="tx1"/>
            </w14:solidFill>
          </w14:textFill>
        </w:rPr>
        <w:t>考虑，</w:t>
      </w:r>
      <w:r>
        <w:rPr>
          <w:rFonts w:hint="eastAsia"/>
          <w:color w:val="000000" w:themeColor="text1"/>
          <w14:textFill>
            <w14:solidFill>
              <w14:schemeClr w14:val="tx1"/>
            </w14:solidFill>
          </w14:textFill>
        </w:rPr>
        <w:t>相比</w:t>
      </w:r>
      <w:r>
        <w:rPr>
          <w:color w:val="000000" w:themeColor="text1"/>
          <w14:textFill>
            <w14:solidFill>
              <w14:schemeClr w14:val="tx1"/>
            </w14:solidFill>
          </w14:textFill>
        </w:rPr>
        <w:t>于使用寿命五十年的建筑，</w:t>
      </w:r>
      <w:r>
        <w:rPr>
          <w:rFonts w:hint="eastAsia"/>
          <w:color w:val="000000" w:themeColor="text1"/>
          <w14:textFill>
            <w14:solidFill>
              <w14:schemeClr w14:val="tx1"/>
            </w14:solidFill>
          </w14:textFill>
        </w:rPr>
        <w:t>地震</w:t>
      </w:r>
      <w:r>
        <w:rPr>
          <w:color w:val="000000" w:themeColor="text1"/>
          <w14:textFill>
            <w14:solidFill>
              <w14:schemeClr w14:val="tx1"/>
            </w14:solidFill>
          </w14:textFill>
        </w:rPr>
        <w:t>作用引入</w:t>
      </w:r>
      <w:r>
        <w:rPr>
          <w:rFonts w:hint="eastAsia"/>
          <w:color w:val="000000" w:themeColor="text1"/>
          <w14:textFill>
            <w14:solidFill>
              <w14:schemeClr w14:val="tx1"/>
            </w14:solidFill>
          </w14:textFill>
        </w:rPr>
        <w:t>如下调整</w:t>
      </w:r>
      <w:r>
        <w:rPr>
          <w:color w:val="000000" w:themeColor="text1"/>
          <w14:textFill>
            <w14:solidFill>
              <w14:schemeClr w14:val="tx1"/>
            </w14:solidFill>
          </w14:textFill>
        </w:rPr>
        <w:t>系数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1 </w:t>
      </w:r>
      <w:r>
        <w:rPr>
          <w:rFonts w:hint="eastAsia"/>
          <w:color w:val="000000" w:themeColor="text1"/>
          <w14:textFill>
            <w14:solidFill>
              <w14:schemeClr w14:val="tx1"/>
            </w14:solidFill>
          </w14:textFill>
        </w:rPr>
        <w:t>自动化</w:t>
      </w:r>
      <w:r>
        <w:rPr>
          <w:color w:val="000000" w:themeColor="text1"/>
          <w14:textFill>
            <w14:solidFill>
              <w14:schemeClr w14:val="tx1"/>
            </w14:solidFill>
          </w14:textFill>
        </w:rPr>
        <w:t>程度高的仓库</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67</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    2 普通</w:t>
      </w:r>
      <w:r>
        <w:rPr>
          <w:color w:val="000000" w:themeColor="text1"/>
          <w14:textFill>
            <w14:solidFill>
              <w14:schemeClr w14:val="tx1"/>
            </w14:solidFill>
          </w14:textFill>
        </w:rPr>
        <w:t>仓库</w:t>
      </w:r>
      <w:r>
        <w:rPr>
          <w:rFonts w:hint="eastAsia"/>
          <w:color w:val="000000" w:themeColor="text1"/>
          <w14:textFill>
            <w14:solidFill>
              <w14:schemeClr w14:val="tx1"/>
            </w14:solidFill>
          </w14:textFill>
        </w:rPr>
        <w:t>0.5；</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3 人员密集区的货架</w:t>
      </w:r>
      <w:r>
        <w:rPr>
          <w:rFonts w:hint="eastAsia"/>
          <w:color w:val="000000" w:themeColor="text1"/>
          <w14:textFill>
            <w14:solidFill>
              <w14:schemeClr w14:val="tx1"/>
            </w14:solidFill>
          </w14:textFill>
        </w:rPr>
        <w:t>（每个防火</w:t>
      </w:r>
      <w:r>
        <w:rPr>
          <w:color w:val="000000" w:themeColor="text1"/>
          <w14:textFill>
            <w14:solidFill>
              <w14:schemeClr w14:val="tx1"/>
            </w14:solidFill>
          </w14:textFill>
        </w:rPr>
        <w:t>分区</w:t>
      </w:r>
      <w:r>
        <w:rPr>
          <w:rFonts w:hint="eastAsia"/>
          <w:color w:val="000000" w:themeColor="text1"/>
          <w14:textFill>
            <w14:solidFill>
              <w14:schemeClr w14:val="tx1"/>
            </w14:solidFill>
          </w14:textFill>
        </w:rPr>
        <w:t>同时</w:t>
      </w:r>
      <w:r>
        <w:rPr>
          <w:color w:val="000000" w:themeColor="text1"/>
          <w14:textFill>
            <w14:solidFill>
              <w14:schemeClr w14:val="tx1"/>
            </w14:solidFill>
          </w14:textFill>
        </w:rPr>
        <w:t>作业人员超过５个</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货架</w:t>
      </w:r>
      <w:r>
        <w:rPr>
          <w:rFonts w:hint="eastAsia"/>
          <w:color w:val="000000" w:themeColor="text1"/>
          <w14:textFill>
            <w14:solidFill>
              <w14:schemeClr w14:val="tx1"/>
            </w14:solidFill>
          </w14:textFill>
        </w:rPr>
        <w:t>，超市</w:t>
      </w:r>
      <w:r>
        <w:rPr>
          <w:color w:val="000000" w:themeColor="text1"/>
          <w14:textFill>
            <w14:solidFill>
              <w14:schemeClr w14:val="tx1"/>
            </w14:solidFill>
          </w14:textFill>
        </w:rPr>
        <w:t>货架</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1.2</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储存</w:t>
      </w:r>
      <w:r>
        <w:rPr>
          <w:color w:val="000000" w:themeColor="text1"/>
          <w14:textFill>
            <w14:solidFill>
              <w14:schemeClr w14:val="tx1"/>
            </w14:solidFill>
          </w14:textFill>
        </w:rPr>
        <w:t>危险品</w:t>
      </w:r>
      <w:r>
        <w:rPr>
          <w:rFonts w:hint="eastAsia"/>
          <w:color w:val="000000" w:themeColor="text1"/>
          <w14:textFill>
            <w14:solidFill>
              <w14:schemeClr w14:val="tx1"/>
            </w14:solidFill>
          </w14:textFill>
        </w:rPr>
        <w:t>仓库1.</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w:t>
      </w:r>
    </w:p>
    <w:p>
      <w:pPr>
        <w:spacing w:line="360" w:lineRule="auto"/>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7 </w:t>
      </w:r>
      <w:r>
        <w:rPr>
          <w:rFonts w:hint="eastAsia"/>
          <w:color w:val="000000" w:themeColor="text1"/>
          <w14:textFill>
            <w14:solidFill>
              <w14:schemeClr w14:val="tx1"/>
            </w14:solidFill>
          </w14:textFill>
        </w:rPr>
        <w:t>地震</w:t>
      </w:r>
      <w:r>
        <w:rPr>
          <w:color w:val="000000" w:themeColor="text1"/>
          <w14:textFill>
            <w14:solidFill>
              <w14:schemeClr w14:val="tx1"/>
            </w14:solidFill>
          </w14:textFill>
        </w:rPr>
        <w:t>作</w:t>
      </w:r>
      <w:r>
        <w:rPr>
          <w:rFonts w:hint="eastAsia"/>
          <w:color w:val="000000" w:themeColor="text1"/>
          <w14:textFill>
            <w14:solidFill>
              <w14:schemeClr w14:val="tx1"/>
            </w14:solidFill>
          </w14:textFill>
        </w:rPr>
        <w:t>用</w:t>
      </w:r>
      <w:r>
        <w:rPr>
          <w:color w:val="000000" w:themeColor="text1"/>
          <w14:textFill>
            <w14:solidFill>
              <w14:schemeClr w14:val="tx1"/>
            </w14:solidFill>
          </w14:textFill>
        </w:rPr>
        <w:t>允许乘以如下折减系数；</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m:oMath>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E</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dl</m:t>
            </m:r>
            <m:ctrlPr>
              <w:rPr>
                <w:rFonts w:ascii="Cambria Math" w:hAnsi="Cambria Math" w:eastAsiaTheme="minorEastAsia"/>
                <w:i/>
                <w:color w:val="000000" w:themeColor="text1"/>
                <w14:textFill>
                  <w14:solidFill>
                    <w14:schemeClr w14:val="tx1"/>
                  </w14:solidFill>
                </w14:textFill>
              </w:rPr>
            </m:ctrlPr>
          </m:sub>
        </m:sSub>
        <m:r>
          <w:rPr>
            <w:rFonts w:ascii="Cambria Math" w:hAnsi="Cambria Math"/>
            <w:color w:val="000000" w:themeColor="text1"/>
            <w14:textFill>
              <w14:solidFill>
                <w14:schemeClr w14:val="tx1"/>
              </w14:solidFill>
            </w14:textFill>
          </w:rPr>
          <m:t>=</m:t>
        </m:r>
        <m:f>
          <m:fPr>
            <m:ctrlPr>
              <w:rPr>
                <w:rFonts w:ascii="Cambria Math" w:hAnsi="Cambria Math" w:eastAsiaTheme="minorEastAsia"/>
                <w:i/>
                <w:color w:val="000000" w:themeColor="text1"/>
                <w14:textFill>
                  <w14:solidFill>
                    <w14:schemeClr w14:val="tx1"/>
                  </w14:solidFill>
                </w14:textFill>
              </w:rPr>
            </m:ctrlPr>
          </m:fPr>
          <m:num>
            <m:r>
              <w:rPr>
                <w:rFonts w:ascii="Cambria Math" w:hAnsi="Cambria Math"/>
                <w:color w:val="000000" w:themeColor="text1"/>
                <w14:textFill>
                  <w14:solidFill>
                    <w14:schemeClr w14:val="tx1"/>
                  </w14:solidFill>
                </w14:textFill>
              </w:rPr>
              <m:t>2</m:t>
            </m:r>
            <m:ctrlPr>
              <w:rPr>
                <w:rFonts w:ascii="Cambria Math" w:hAnsi="Cambria Math" w:eastAsiaTheme="minorEastAsia"/>
                <w:i/>
                <w:color w:val="000000" w:themeColor="text1"/>
                <w14:textFill>
                  <w14:solidFill>
                    <w14:schemeClr w14:val="tx1"/>
                  </w14:solidFill>
                </w14:textFill>
              </w:rPr>
            </m:ctrlPr>
          </m:num>
          <m:den>
            <m:r>
              <w:rPr>
                <w:rFonts w:ascii="Cambria Math" w:hAnsi="Cambria Math"/>
                <w:color w:val="000000" w:themeColor="text1"/>
                <w14:textFill>
                  <w14:solidFill>
                    <w14:schemeClr w14:val="tx1"/>
                  </w14:solidFill>
                </w14:textFill>
              </w:rPr>
              <m:t>3</m:t>
            </m:r>
            <m:ctrlPr>
              <w:rPr>
                <w:rFonts w:ascii="Cambria Math" w:hAnsi="Cambria Math" w:eastAsiaTheme="minorEastAsia"/>
                <w:i/>
                <w:color w:val="000000" w:themeColor="text1"/>
                <w14:textFill>
                  <w14:solidFill>
                    <w14:schemeClr w14:val="tx1"/>
                  </w14:solidFill>
                </w14:textFill>
              </w:rPr>
            </m:ctrlPr>
          </m:den>
        </m:f>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R</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F</m:t>
            </m:r>
            <m:ctrlPr>
              <w:rPr>
                <w:rFonts w:ascii="Cambria Math" w:hAnsi="Cambria Math" w:eastAsiaTheme="minorEastAsia"/>
                <w:i/>
                <w:color w:val="000000" w:themeColor="text1"/>
                <w14:textFill>
                  <w14:solidFill>
                    <w14:schemeClr w14:val="tx1"/>
                  </w14:solidFill>
                </w14:textFill>
              </w:rPr>
            </m:ctrlPr>
          </m:sub>
        </m:sSub>
        <m:r>
          <w:rPr>
            <w:rFonts w:ascii="Cambria Math" w:hAnsi="Cambria Math"/>
            <w:color w:val="000000" w:themeColor="text1"/>
            <w14:textFill>
              <w14:solidFill>
                <w14:schemeClr w14:val="tx1"/>
              </w14:solidFill>
            </w14:textFill>
          </w:rPr>
          <m:t>max</m:t>
        </m:r>
        <m:d>
          <m:dPr>
            <m:begChr m:val="["/>
            <m:endChr m:val="]"/>
            <m:ctrlPr>
              <w:rPr>
                <w:rFonts w:ascii="Cambria Math" w:hAnsi="Cambria Math" w:eastAsiaTheme="minorEastAsia"/>
                <w:i/>
                <w:color w:val="000000" w:themeColor="text1"/>
                <w14:textFill>
                  <w14:solidFill>
                    <w14:schemeClr w14:val="tx1"/>
                  </w14:solidFill>
                </w14:textFill>
              </w:rPr>
            </m:ctrlPr>
          </m:dPr>
          <m:e>
            <m:r>
              <w:rPr>
                <w:rFonts w:ascii="Cambria Math" w:hAnsi="Cambria Math"/>
                <w:color w:val="000000" w:themeColor="text1"/>
                <w14:textFill>
                  <w14:solidFill>
                    <w14:schemeClr w14:val="tx1"/>
                  </w14:solidFill>
                </w14:textFill>
              </w:rPr>
              <m:t>0.5,025+</m:t>
            </m:r>
            <m:f>
              <m:fPr>
                <m:ctrlPr>
                  <w:rPr>
                    <w:rFonts w:ascii="Cambria Math" w:hAnsi="Cambria Math" w:eastAsiaTheme="minorEastAsia"/>
                    <w:i/>
                    <w:color w:val="000000" w:themeColor="text1"/>
                    <w14:textFill>
                      <w14:solidFill>
                        <w14:schemeClr w14:val="tx1"/>
                      </w14:solidFill>
                    </w14:textFill>
                  </w:rPr>
                </m:ctrlPr>
              </m:fPr>
              <m:num>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μ</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s</m:t>
                    </m:r>
                    <m:ctrlPr>
                      <w:rPr>
                        <w:rFonts w:ascii="Cambria Math" w:hAnsi="Cambria Math" w:eastAsiaTheme="minorEastAsia"/>
                        <w:i/>
                        <w:color w:val="000000" w:themeColor="text1"/>
                        <w14:textFill>
                          <w14:solidFill>
                            <w14:schemeClr w14:val="tx1"/>
                          </w14:solidFill>
                        </w14:textFill>
                      </w:rPr>
                    </m:ctrlPr>
                  </m:sub>
                </m:sSub>
                <m:ctrlPr>
                  <w:rPr>
                    <w:rFonts w:ascii="Cambria Math" w:hAnsi="Cambria Math" w:eastAsiaTheme="minorEastAsia"/>
                    <w:i/>
                    <w:color w:val="000000" w:themeColor="text1"/>
                    <w14:textFill>
                      <w14:solidFill>
                        <w14:schemeClr w14:val="tx1"/>
                      </w14:solidFill>
                    </w14:textFill>
                  </w:rPr>
                </m:ctrlPr>
              </m:num>
              <m:den>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S</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a</m:t>
                    </m:r>
                    <m:ctrlPr>
                      <w:rPr>
                        <w:rFonts w:ascii="Cambria Math" w:hAnsi="Cambria Math" w:eastAsiaTheme="minorEastAsia"/>
                        <w:i/>
                        <w:color w:val="000000" w:themeColor="text1"/>
                        <w14:textFill>
                          <w14:solidFill>
                            <w14:schemeClr w14:val="tx1"/>
                          </w14:solidFill>
                        </w14:textFill>
                      </w:rPr>
                    </m:ctrlPr>
                  </m:sub>
                </m:sSub>
                <m:d>
                  <m:dPr>
                    <m:ctrlPr>
                      <w:rPr>
                        <w:rFonts w:ascii="Cambria Math" w:hAnsi="Cambria Math" w:eastAsiaTheme="minorEastAsia"/>
                        <w:i/>
                        <w:color w:val="000000" w:themeColor="text1"/>
                        <w14:textFill>
                          <w14:solidFill>
                            <w14:schemeClr w14:val="tx1"/>
                          </w14:solidFill>
                        </w14:textFill>
                      </w:rPr>
                    </m:ctrlPr>
                  </m:dPr>
                  <m:e>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T</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1</m:t>
                        </m:r>
                        <m:ctrlPr>
                          <w:rPr>
                            <w:rFonts w:ascii="Cambria Math" w:hAnsi="Cambria Math" w:eastAsiaTheme="minorEastAsia"/>
                            <w:i/>
                            <w:color w:val="000000" w:themeColor="text1"/>
                            <w14:textFill>
                              <w14:solidFill>
                                <w14:schemeClr w14:val="tx1"/>
                              </w14:solidFill>
                            </w14:textFill>
                          </w:rPr>
                        </m:ctrlPr>
                      </m:sub>
                    </m:sSub>
                    <m:ctrlPr>
                      <w:rPr>
                        <w:rFonts w:ascii="Cambria Math" w:hAnsi="Cambria Math" w:eastAsiaTheme="minorEastAsia"/>
                        <w:i/>
                        <w:color w:val="000000" w:themeColor="text1"/>
                        <w14:textFill>
                          <w14:solidFill>
                            <w14:schemeClr w14:val="tx1"/>
                          </w14:solidFill>
                        </w14:textFill>
                      </w:rPr>
                    </m:ctrlPr>
                  </m:e>
                </m:d>
                <m:ctrlPr>
                  <w:rPr>
                    <w:rFonts w:ascii="Cambria Math" w:hAnsi="Cambria Math" w:eastAsiaTheme="minorEastAsia"/>
                    <w:i/>
                    <w:color w:val="000000" w:themeColor="text1"/>
                    <w14:textFill>
                      <w14:solidFill>
                        <w14:schemeClr w14:val="tx1"/>
                      </w14:solidFill>
                    </w14:textFill>
                  </w:rPr>
                </m:ctrlPr>
              </m:den>
            </m:f>
            <m:ctrlPr>
              <w:rPr>
                <w:rFonts w:ascii="Cambria Math" w:hAnsi="Cambria Math" w:eastAsiaTheme="minorEastAsia"/>
                <w:i/>
                <w:color w:val="000000" w:themeColor="text1"/>
                <w14:textFill>
                  <w14:solidFill>
                    <w14:schemeClr w14:val="tx1"/>
                  </w14:solidFill>
                </w14:textFill>
              </w:rPr>
            </m:ctrlPr>
          </m:e>
        </m:d>
      </m:oMath>
      <w:r>
        <w:rPr>
          <w:color w:val="000000" w:themeColor="text1"/>
          <w14:textFill>
            <w14:solidFill>
              <w14:schemeClr w14:val="tx1"/>
            </w14:solidFill>
          </w14:textFill>
        </w:rPr>
        <w:t xml:space="preserve">                 (B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2.7</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式中：</w:t>
      </w:r>
      <m:oMath>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R</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F</m:t>
            </m:r>
            <m:ctrlPr>
              <w:rPr>
                <w:rFonts w:ascii="Cambria Math" w:hAnsi="Cambria Math" w:eastAsiaTheme="minorEastAsia"/>
                <w:i/>
                <w:color w:val="000000" w:themeColor="text1"/>
                <w14:textFill>
                  <w14:solidFill>
                    <w14:schemeClr w14:val="tx1"/>
                  </w14:solidFill>
                </w14:textFill>
              </w:rPr>
            </m:ctrlPr>
          </m:sub>
        </m:sSub>
      </m:oMath>
      <w:r>
        <w:rPr>
          <w:rFonts w:hint="eastAsia"/>
          <w:color w:val="000000" w:themeColor="text1"/>
          <w14:textFill>
            <w14:solidFill>
              <w14:schemeClr w14:val="tx1"/>
            </w14:solidFill>
          </w14:textFill>
        </w:rPr>
        <w:t>——质量</w:t>
      </w:r>
      <w:r>
        <w:rPr>
          <w:color w:val="000000" w:themeColor="text1"/>
          <w14:textFill>
            <w14:solidFill>
              <w14:schemeClr w14:val="tx1"/>
            </w14:solidFill>
          </w14:textFill>
        </w:rPr>
        <w:t>类别</w:t>
      </w:r>
      <w:r>
        <w:rPr>
          <w:rFonts w:hint="eastAsia"/>
          <w:color w:val="000000" w:themeColor="text1"/>
          <w14:textFill>
            <w14:solidFill>
              <w14:schemeClr w14:val="tx1"/>
            </w14:solidFill>
          </w14:textFill>
        </w:rPr>
        <w:t>折减</w:t>
      </w:r>
      <w:r>
        <w:rPr>
          <w:color w:val="000000" w:themeColor="text1"/>
          <w14:textFill>
            <w14:solidFill>
              <w14:schemeClr w14:val="tx1"/>
            </w14:solidFill>
          </w14:textFill>
        </w:rPr>
        <w:t>系数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紧凑型货物</w:t>
      </w:r>
      <w:r>
        <w:rPr>
          <w:rFonts w:hint="eastAsia"/>
          <w:color w:val="000000" w:themeColor="text1"/>
          <w14:textFill>
            <w14:solidFill>
              <w14:schemeClr w14:val="tx1"/>
            </w14:solidFill>
          </w14:textFill>
        </w:rPr>
        <w:t>为1.0；颗粒</w:t>
      </w:r>
      <w:r>
        <w:rPr>
          <w:color w:val="000000" w:themeColor="text1"/>
          <w14:textFill>
            <w14:solidFill>
              <w14:schemeClr w14:val="tx1"/>
            </w14:solidFill>
          </w14:textFill>
        </w:rPr>
        <w:t>状</w:t>
      </w:r>
      <w:r>
        <w:rPr>
          <w:rFonts w:hint="eastAsia"/>
          <w:color w:val="000000" w:themeColor="text1"/>
          <w14:textFill>
            <w14:solidFill>
              <w14:schemeClr w14:val="tx1"/>
            </w14:solidFill>
          </w14:textFill>
        </w:rPr>
        <w:t>散货可能</w:t>
      </w:r>
      <w:r>
        <w:rPr>
          <w:color w:val="000000" w:themeColor="text1"/>
          <w14:textFill>
            <w14:solidFill>
              <w14:schemeClr w14:val="tx1"/>
            </w14:solidFill>
          </w14:textFill>
        </w:rPr>
        <w:t>左右漂移时</w:t>
      </w:r>
      <w:r>
        <w:rPr>
          <w:rFonts w:hint="eastAsia"/>
          <w:color w:val="000000" w:themeColor="text1"/>
          <w14:textFill>
            <w14:solidFill>
              <w14:schemeClr w14:val="tx1"/>
            </w14:solidFill>
          </w14:textFill>
        </w:rPr>
        <w:t>0.8；</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液体</w:t>
      </w:r>
      <w:r>
        <w:rPr>
          <w:rFonts w:hint="eastAsia"/>
          <w:color w:val="000000" w:themeColor="text1"/>
          <w14:textFill>
            <w14:solidFill>
              <w14:schemeClr w14:val="tx1"/>
            </w14:solidFill>
          </w14:textFill>
        </w:rPr>
        <w:t>1.0；</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m:oMath>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S</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a</m:t>
            </m:r>
            <m:ctrlPr>
              <w:rPr>
                <w:rFonts w:ascii="Cambria Math" w:hAnsi="Cambria Math" w:eastAsiaTheme="minorEastAsia"/>
                <w:i/>
                <w:color w:val="000000" w:themeColor="text1"/>
                <w14:textFill>
                  <w14:solidFill>
                    <w14:schemeClr w14:val="tx1"/>
                  </w14:solidFill>
                </w14:textFill>
              </w:rPr>
            </m:ctrlPr>
          </m:sub>
        </m:sSub>
        <m:d>
          <m:dPr>
            <m:ctrlPr>
              <w:rPr>
                <w:rFonts w:ascii="Cambria Math" w:hAnsi="Cambria Math" w:eastAsiaTheme="minorEastAsia"/>
                <w:i/>
                <w:color w:val="000000" w:themeColor="text1"/>
                <w14:textFill>
                  <w14:solidFill>
                    <w14:schemeClr w14:val="tx1"/>
                  </w14:solidFill>
                </w14:textFill>
              </w:rPr>
            </m:ctrlPr>
          </m:dPr>
          <m:e>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T</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1</m:t>
                </m:r>
                <m:ctrlPr>
                  <w:rPr>
                    <w:rFonts w:ascii="Cambria Math" w:hAnsi="Cambria Math" w:eastAsiaTheme="minorEastAsia"/>
                    <w:i/>
                    <w:color w:val="000000" w:themeColor="text1"/>
                    <w14:textFill>
                      <w14:solidFill>
                        <w14:schemeClr w14:val="tx1"/>
                      </w14:solidFill>
                    </w14:textFill>
                  </w:rPr>
                </m:ctrlPr>
              </m:sub>
            </m:sSub>
            <m:ctrlPr>
              <w:rPr>
                <w:rFonts w:ascii="Cambria Math" w:hAnsi="Cambria Math" w:eastAsiaTheme="minorEastAsia"/>
                <w:i/>
                <w:color w:val="000000" w:themeColor="text1"/>
                <w14:textFill>
                  <w14:solidFill>
                    <w14:schemeClr w14:val="tx1"/>
                  </w14:solidFill>
                </w14:textFill>
              </w:rPr>
            </m:ctrlPr>
          </m:e>
        </m:d>
      </m:oMath>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——第一</w:t>
      </w:r>
      <w:r>
        <w:rPr>
          <w:color w:val="000000" w:themeColor="text1"/>
          <w14:textFill>
            <w14:solidFill>
              <w14:schemeClr w14:val="tx1"/>
            </w14:solidFill>
          </w14:textFill>
        </w:rPr>
        <w:t>特征周期处的</w:t>
      </w:r>
      <w:r>
        <w:rPr>
          <w:rFonts w:hint="eastAsia"/>
          <w:color w:val="000000" w:themeColor="text1"/>
          <w14:textFill>
            <w14:solidFill>
              <w14:schemeClr w14:val="tx1"/>
            </w14:solidFill>
          </w14:textFill>
        </w:rPr>
        <w:t>加速度</w:t>
      </w:r>
      <w:r>
        <w:rPr>
          <w:color w:val="000000" w:themeColor="text1"/>
          <w14:textFill>
            <w14:solidFill>
              <w14:schemeClr w14:val="tx1"/>
            </w14:solidFill>
          </w14:textFill>
        </w:rPr>
        <w:t>反应谱的谱值，即地震影响系数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.8 托盘</w:t>
      </w:r>
      <w:r>
        <w:rPr>
          <w:color w:val="000000" w:themeColor="text1"/>
          <w14:textFill>
            <w14:solidFill>
              <w14:schemeClr w14:val="tx1"/>
            </w14:solidFill>
          </w14:textFill>
        </w:rPr>
        <w:t>与钢梁的摩擦系数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见表B</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表</w:t>
      </w:r>
      <w:r>
        <w:rPr>
          <w:color w:val="000000" w:themeColor="text1"/>
          <w14:textFill>
            <w14:solidFill>
              <w14:schemeClr w14:val="tx1"/>
            </w14:solidFill>
          </w14:textFill>
        </w:rPr>
        <w:t>B</w:t>
      </w:r>
      <w:r>
        <w:rPr>
          <w:rFonts w:hint="eastAsia"/>
          <w:color w:val="000000" w:themeColor="text1"/>
          <w14:textFill>
            <w14:solidFill>
              <w14:schemeClr w14:val="tx1"/>
            </w14:solidFill>
          </w14:textFill>
        </w:rPr>
        <w:t>.2.8-1 托盘</w:t>
      </w:r>
      <w:r>
        <w:rPr>
          <w:color w:val="000000" w:themeColor="text1"/>
          <w14:textFill>
            <w14:solidFill>
              <w14:schemeClr w14:val="tx1"/>
            </w14:solidFill>
          </w14:textFill>
        </w:rPr>
        <w:t>与钢梁的摩擦系数</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173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托盘</w:t>
            </w:r>
            <w:r>
              <w:rPr>
                <w:color w:val="000000" w:themeColor="text1"/>
                <w14:textFill>
                  <w14:solidFill>
                    <w14:schemeClr w14:val="tx1"/>
                  </w14:solidFill>
                </w14:textFill>
              </w:rPr>
              <w:t>材料</w:t>
            </w:r>
          </w:p>
        </w:tc>
        <w:tc>
          <w:tcPr>
            <w:tcW w:w="173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环境</w:t>
            </w:r>
          </w:p>
        </w:tc>
        <w:tc>
          <w:tcPr>
            <w:tcW w:w="252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摩擦</w:t>
            </w:r>
            <w:r>
              <w:rPr>
                <w:color w:val="000000" w:themeColor="text1"/>
                <w14:textFill>
                  <w14:solidFill>
                    <w14:schemeClr w14:val="tx1"/>
                  </w14:solidFill>
                </w14:textFill>
              </w:rPr>
              <w:t>系数</w:t>
            </w:r>
            <m:oMath>
              <m:sSub>
                <m:sSubPr>
                  <m:ctrlPr>
                    <w:rPr>
                      <w:rFonts w:ascii="Cambria Math" w:hAnsi="Cambria Math" w:eastAsiaTheme="minorEastAsia"/>
                      <w:i/>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μ</m:t>
                  </m:r>
                  <m:ctrlPr>
                    <w:rPr>
                      <w:rFonts w:ascii="Cambria Math" w:hAnsi="Cambria Math" w:eastAsiaTheme="minorEastAsia"/>
                      <w:i/>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s</m:t>
                  </m:r>
                  <m:ctrlPr>
                    <w:rPr>
                      <w:rFonts w:ascii="Cambria Math" w:hAnsi="Cambria Math" w:eastAsiaTheme="minorEastAsia"/>
                      <w:i/>
                      <w:color w:val="000000" w:themeColor="text1"/>
                      <w14:textFill>
                        <w14:solidFill>
                          <w14:schemeClr w14:val="tx1"/>
                        </w14:solidFill>
                      </w14:textFill>
                    </w:rPr>
                  </m:ctrlPr>
                </m:sub>
              </m:sSub>
            </m:oMath>
            <w:r>
              <w:rPr>
                <w:color w:val="000000" w:themeColor="text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钢梁</w:t>
            </w:r>
            <w:r>
              <w:rPr>
                <w:color w:val="000000" w:themeColor="text1"/>
                <w14:textFill>
                  <w14:solidFill>
                    <w14:schemeClr w14:val="tx1"/>
                  </w14:solidFill>
                </w14:textFill>
              </w:rPr>
              <w:t>－木制托盘</w:t>
            </w:r>
          </w:p>
        </w:tc>
        <w:tc>
          <w:tcPr>
            <w:tcW w:w="173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普通</w:t>
            </w:r>
          </w:p>
        </w:tc>
        <w:tc>
          <w:tcPr>
            <w:tcW w:w="252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钢梁</w:t>
            </w:r>
            <w:r>
              <w:rPr>
                <w:color w:val="000000" w:themeColor="text1"/>
                <w14:textFill>
                  <w14:solidFill>
                    <w14:schemeClr w14:val="tx1"/>
                  </w14:solidFill>
                </w14:textFill>
              </w:rPr>
              <w:t>－塑料托盘</w:t>
            </w:r>
            <w:r>
              <w:rPr>
                <w:rFonts w:hint="eastAsia"/>
                <w:color w:val="000000" w:themeColor="text1"/>
                <w14:textFill>
                  <w14:solidFill>
                    <w14:schemeClr w14:val="tx1"/>
                  </w14:solidFill>
                </w14:textFill>
              </w:rPr>
              <w:t>/钢制</w:t>
            </w:r>
            <w:r>
              <w:rPr>
                <w:color w:val="000000" w:themeColor="text1"/>
                <w14:textFill>
                  <w14:solidFill>
                    <w14:schemeClr w14:val="tx1"/>
                  </w14:solidFill>
                </w14:textFill>
              </w:rPr>
              <w:t>托盘</w:t>
            </w:r>
          </w:p>
        </w:tc>
        <w:tc>
          <w:tcPr>
            <w:tcW w:w="173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普通</w:t>
            </w:r>
          </w:p>
        </w:tc>
        <w:tc>
          <w:tcPr>
            <w:tcW w:w="252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钢梁</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木制</w:t>
            </w:r>
            <w:r>
              <w:rPr>
                <w:color w:val="000000" w:themeColor="text1"/>
                <w14:textFill>
                  <w14:solidFill>
                    <w14:schemeClr w14:val="tx1"/>
                  </w14:solidFill>
                </w14:textFill>
              </w:rPr>
              <w:t>托盘</w:t>
            </w:r>
          </w:p>
        </w:tc>
        <w:tc>
          <w:tcPr>
            <w:tcW w:w="173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冷冻</w:t>
            </w:r>
            <w:r>
              <w:rPr>
                <w:color w:val="000000" w:themeColor="text1"/>
                <w14:textFill>
                  <w14:solidFill>
                    <w14:schemeClr w14:val="tx1"/>
                  </w14:solidFill>
                </w14:textFill>
              </w:rPr>
              <w:t>冷藏</w:t>
            </w:r>
          </w:p>
        </w:tc>
        <w:tc>
          <w:tcPr>
            <w:tcW w:w="252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钢梁</w:t>
            </w:r>
            <w:r>
              <w:rPr>
                <w:color w:val="000000" w:themeColor="text1"/>
                <w14:textFill>
                  <w14:solidFill>
                    <w14:schemeClr w14:val="tx1"/>
                  </w14:solidFill>
                </w14:textFill>
              </w:rPr>
              <w:t>－塑料托盘</w:t>
            </w:r>
            <w:r>
              <w:rPr>
                <w:rFonts w:hint="eastAsia"/>
                <w:color w:val="000000" w:themeColor="text1"/>
                <w14:textFill>
                  <w14:solidFill>
                    <w14:schemeClr w14:val="tx1"/>
                  </w14:solidFill>
                </w14:textFill>
              </w:rPr>
              <w:t>/钢制</w:t>
            </w:r>
            <w:r>
              <w:rPr>
                <w:color w:val="000000" w:themeColor="text1"/>
                <w14:textFill>
                  <w14:solidFill>
                    <w14:schemeClr w14:val="tx1"/>
                  </w14:solidFill>
                </w14:textFill>
              </w:rPr>
              <w:t>托盘</w:t>
            </w:r>
          </w:p>
        </w:tc>
        <w:tc>
          <w:tcPr>
            <w:tcW w:w="173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冷冻冷藏</w:t>
            </w:r>
          </w:p>
        </w:tc>
        <w:tc>
          <w:tcPr>
            <w:tcW w:w="252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钢梁</w:t>
            </w:r>
            <w:r>
              <w:rPr>
                <w:color w:val="000000" w:themeColor="text1"/>
                <w14:textFill>
                  <w14:solidFill>
                    <w14:schemeClr w14:val="tx1"/>
                  </w14:solidFill>
                </w14:textFill>
              </w:rPr>
              <w:t>－木制托盘</w:t>
            </w:r>
          </w:p>
        </w:tc>
        <w:tc>
          <w:tcPr>
            <w:tcW w:w="173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冷藏</w:t>
            </w:r>
            <w:r>
              <w:rPr>
                <w:color w:val="000000" w:themeColor="text1"/>
                <w14:textFill>
                  <w14:solidFill>
                    <w14:schemeClr w14:val="tx1"/>
                  </w14:solidFill>
                </w14:textFill>
              </w:rPr>
              <w:t>，潮</w:t>
            </w:r>
            <w:r>
              <w:rPr>
                <w:rFonts w:hint="eastAsia"/>
                <w:color w:val="000000" w:themeColor="text1"/>
                <w14:textFill>
                  <w14:solidFill>
                    <w14:schemeClr w14:val="tx1"/>
                  </w14:solidFill>
                </w14:textFill>
              </w:rPr>
              <w:t>湿</w:t>
            </w:r>
            <w:r>
              <w:rPr>
                <w:color w:val="000000" w:themeColor="text1"/>
                <w14:textFill>
                  <w14:solidFill>
                    <w14:schemeClr w14:val="tx1"/>
                  </w14:solidFill>
                </w14:textFill>
              </w:rPr>
              <w:t>环境</w:t>
            </w:r>
          </w:p>
        </w:tc>
        <w:tc>
          <w:tcPr>
            <w:tcW w:w="2520" w:type="dxa"/>
          </w:tcPr>
          <w:p>
            <w:pPr>
              <w:spacing w:line="300" w:lineRule="auto"/>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0.1</w:t>
            </w:r>
          </w:p>
        </w:tc>
      </w:tr>
    </w:tbl>
    <w:p>
      <w:pPr>
        <w:spacing w:line="360" w:lineRule="auto"/>
        <w:ind w:firstLine="0" w:firstLineChars="0"/>
        <w:rPr>
          <w:color w:val="000000" w:themeColor="text1"/>
          <w14:textFill>
            <w14:solidFill>
              <w14:schemeClr w14:val="tx1"/>
            </w14:solidFill>
          </w14:textFill>
        </w:rPr>
      </w:pPr>
    </w:p>
    <w:p>
      <w:pPr>
        <w:spacing w:line="360" w:lineRule="auto"/>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2.9 </w:t>
      </w:r>
      <w:r>
        <w:rPr>
          <w:rFonts w:hint="eastAsia"/>
          <w:color w:val="000000" w:themeColor="text1"/>
          <w14:textFill>
            <w14:solidFill>
              <w14:schemeClr w14:val="tx1"/>
            </w14:solidFill>
          </w14:textFill>
        </w:rPr>
        <w:t>当</w:t>
      </w:r>
      <w:r>
        <w:rPr>
          <w:color w:val="000000" w:themeColor="text1"/>
          <w14:textFill>
            <w14:solidFill>
              <w14:schemeClr w14:val="tx1"/>
            </w14:solidFill>
          </w14:textFill>
        </w:rPr>
        <w:t>地质条件未知时，应</w:t>
      </w:r>
      <w:r>
        <w:rPr>
          <w:rFonts w:hint="eastAsia"/>
          <w:color w:val="000000" w:themeColor="text1"/>
          <w14:textFill>
            <w14:solidFill>
              <w14:schemeClr w14:val="tx1"/>
            </w14:solidFill>
          </w14:textFill>
        </w:rPr>
        <w:t>取</w:t>
      </w:r>
      <w:r>
        <w:rPr>
          <w:color w:val="000000" w:themeColor="text1"/>
          <w14:textFill>
            <w14:solidFill>
              <w14:schemeClr w14:val="tx1"/>
            </w14:solidFill>
          </w14:textFill>
        </w:rPr>
        <w:t>场地类别</w:t>
      </w:r>
      <w:r>
        <w:rPr>
          <w:rFonts w:hint="eastAsia"/>
          <w:color w:val="000000" w:themeColor="text1"/>
          <w14:textFill>
            <w14:solidFill>
              <w14:schemeClr w14:val="tx1"/>
            </w14:solidFill>
          </w14:textFill>
        </w:rPr>
        <w:t>４</w:t>
      </w:r>
      <w:r>
        <w:rPr>
          <w:color w:val="000000" w:themeColor="text1"/>
          <w14:textFill>
            <w14:solidFill>
              <w14:schemeClr w14:val="tx1"/>
            </w14:solidFill>
          </w14:textFill>
        </w:rPr>
        <w:t>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2.10 </w:t>
      </w:r>
      <w:r>
        <w:rPr>
          <w:rFonts w:hint="eastAsia"/>
          <w:color w:val="000000" w:themeColor="text1"/>
          <w14:textFill>
            <w14:solidFill>
              <w14:schemeClr w14:val="tx1"/>
            </w14:solidFill>
          </w14:textFill>
        </w:rPr>
        <w:t>地震</w:t>
      </w:r>
      <w:r>
        <w:rPr>
          <w:color w:val="000000" w:themeColor="text1"/>
          <w14:textFill>
            <w14:solidFill>
              <w14:schemeClr w14:val="tx1"/>
            </w14:solidFill>
          </w14:textFill>
        </w:rPr>
        <w:t>作用组合中，用于计算地震作用的</w:t>
      </w:r>
      <w:r>
        <w:rPr>
          <w:rFonts w:hint="eastAsia"/>
          <w:color w:val="000000" w:themeColor="text1"/>
          <w14:textFill>
            <w14:solidFill>
              <w14:schemeClr w14:val="tx1"/>
            </w14:solidFill>
          </w14:textFill>
        </w:rPr>
        <w:t>储物</w:t>
      </w:r>
      <w:r>
        <w:rPr>
          <w:color w:val="000000" w:themeColor="text1"/>
          <w14:textFill>
            <w14:solidFill>
              <w14:schemeClr w14:val="tx1"/>
            </w14:solidFill>
          </w14:textFill>
        </w:rPr>
        <w:t>质量，</w:t>
      </w:r>
      <w:r>
        <w:rPr>
          <w:rFonts w:hint="eastAsia"/>
          <w:color w:val="000000" w:themeColor="text1"/>
          <w14:textFill>
            <w14:solidFill>
              <w14:schemeClr w14:val="tx1"/>
            </w14:solidFill>
          </w14:textFill>
        </w:rPr>
        <w:t>取如下</w:t>
      </w:r>
      <w:r>
        <w:rPr>
          <w:color w:val="000000" w:themeColor="text1"/>
          <w14:textFill>
            <w14:solidFill>
              <w14:schemeClr w14:val="tx1"/>
            </w14:solidFill>
          </w14:textFill>
        </w:rPr>
        <w:t>组合系数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纵向</w:t>
      </w:r>
      <w:r>
        <w:rPr>
          <w:rFonts w:hint="eastAsia"/>
          <w:color w:val="000000" w:themeColor="text1"/>
          <w14:textFill>
            <w14:solidFill>
              <w14:schemeClr w14:val="tx1"/>
            </w14:solidFill>
          </w14:textFill>
        </w:rPr>
        <w:t>0.8；横向1.0。</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2.1</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对７度及以上抗震设防的地区，</w:t>
      </w:r>
      <w:r>
        <w:rPr>
          <w:rFonts w:hint="eastAsia"/>
          <w:color w:val="000000" w:themeColor="text1"/>
          <w14:textFill>
            <w14:solidFill>
              <w14:schemeClr w14:val="tx1"/>
            </w14:solidFill>
          </w14:textFill>
        </w:rPr>
        <w:t>货架总</w:t>
      </w:r>
      <w:r>
        <w:rPr>
          <w:color w:val="000000" w:themeColor="text1"/>
          <w14:textFill>
            <w14:solidFill>
              <w14:schemeClr w14:val="tx1"/>
            </w14:solidFill>
          </w14:textFill>
        </w:rPr>
        <w:t>重力荷载</w:t>
      </w:r>
      <m:oMath>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P</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tot</m:t>
            </m:r>
            <m:ctrlPr>
              <w:rPr>
                <w:rFonts w:ascii="Cambria Math" w:hAnsi="Cambria Math"/>
                <w:color w:val="000000" w:themeColor="text1"/>
                <w14:textFill>
                  <w14:solidFill>
                    <w14:schemeClr w14:val="tx1"/>
                  </w14:solidFill>
                </w14:textFill>
              </w:rPr>
            </m:ctrlPr>
          </m:sub>
        </m:sSub>
      </m:oMath>
      <w:r>
        <w:rPr>
          <w:color w:val="000000" w:themeColor="text1"/>
          <w14:textFill>
            <w14:solidFill>
              <w14:schemeClr w14:val="tx1"/>
            </w14:solidFill>
          </w14:textFill>
        </w:rPr>
        <w:t>,与以货架底层立柱轴力总和计算的临界荷载</w:t>
      </w:r>
      <m:oMath>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P</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cr</m:t>
            </m:r>
            <m:ctrlPr>
              <w:rPr>
                <w:rFonts w:ascii="Cambria Math" w:hAnsi="Cambria Math"/>
                <w:color w:val="000000" w:themeColor="text1"/>
                <w14:textFill>
                  <w14:solidFill>
                    <w14:schemeClr w14:val="tx1"/>
                  </w14:solidFill>
                </w14:textFill>
              </w:rPr>
            </m:ctrlPr>
          </m:sub>
        </m:sSub>
      </m:oMath>
      <w:r>
        <w:rPr>
          <w:rFonts w:hint="eastAsia"/>
          <w:color w:val="000000" w:themeColor="text1"/>
          <w14:textFill>
            <w14:solidFill>
              <w14:schemeClr w14:val="tx1"/>
            </w14:solidFill>
          </w14:textFill>
        </w:rPr>
        <w:t>之比</w:t>
      </w:r>
      <w:r>
        <w:rPr>
          <w:color w:val="000000" w:themeColor="text1"/>
          <w14:textFill>
            <w14:solidFill>
              <w14:schemeClr w14:val="tx1"/>
            </w14:solidFill>
          </w14:textFill>
        </w:rPr>
        <w:t>不应大于</w:t>
      </w:r>
      <w:r>
        <w:rPr>
          <w:rFonts w:hint="eastAsia"/>
          <w:color w:val="000000" w:themeColor="text1"/>
          <w14:textFill>
            <w14:solidFill>
              <w14:schemeClr w14:val="tx1"/>
            </w14:solidFill>
          </w14:textFill>
        </w:rPr>
        <w:t>0.5。</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.2.12</w:t>
      </w:r>
      <w:r>
        <w:rPr>
          <w:color w:val="000000" w:themeColor="text1"/>
          <w14:textFill>
            <w14:solidFill>
              <w14:schemeClr w14:val="tx1"/>
            </w14:solidFill>
          </w14:textFill>
        </w:rPr>
        <w:t xml:space="preserve"> 二</w:t>
      </w:r>
      <w:r>
        <w:rPr>
          <w:rFonts w:hint="eastAsia"/>
          <w:color w:val="000000" w:themeColor="text1"/>
          <w14:textFill>
            <w14:solidFill>
              <w14:schemeClr w14:val="tx1"/>
            </w14:solidFill>
          </w14:textFill>
        </w:rPr>
        <w:t>阶</w:t>
      </w:r>
      <w:r>
        <w:rPr>
          <w:color w:val="000000" w:themeColor="text1"/>
          <w14:textFill>
            <w14:solidFill>
              <w14:schemeClr w14:val="tx1"/>
            </w14:solidFill>
          </w14:textFill>
        </w:rPr>
        <w:t>效应系数</w:t>
      </w:r>
      <m:oMath>
        <m:r>
          <w:rPr>
            <w:rFonts w:ascii="Cambria Math" w:hAnsi="Cambria Math"/>
            <w:color w:val="000000" w:themeColor="text1"/>
            <w14:textFill>
              <w14:solidFill>
                <w14:schemeClr w14:val="tx1"/>
              </w14:solidFill>
            </w14:textFill>
          </w:rPr>
          <m:t>θ</m:t>
        </m:r>
        <m:r>
          <m:rPr>
            <m:sty m:val="p"/>
          </m:rPr>
          <w:rPr>
            <w:rFonts w:ascii="Cambria Math" w:hAnsi="Cambria Math"/>
            <w:color w:val="000000" w:themeColor="text1"/>
            <w14:textFill>
              <w14:solidFill>
                <w14:schemeClr w14:val="tx1"/>
              </w14:solidFill>
            </w14:textFill>
          </w:rPr>
          <m:t>=</m:t>
        </m:r>
        <m:f>
          <m:fPr>
            <m:ctrlPr>
              <w:rPr>
                <w:rFonts w:ascii="Cambria Math" w:hAnsi="Cambria Math"/>
                <w:color w:val="000000" w:themeColor="text1"/>
                <w14:textFill>
                  <w14:solidFill>
                    <w14:schemeClr w14:val="tx1"/>
                  </w14:solidFill>
                </w14:textFill>
              </w:rPr>
            </m:ctrlPr>
          </m:fPr>
          <m:num>
            <m:r>
              <m:rPr>
                <m:sty m:val="p"/>
              </m:rPr>
              <w:rPr>
                <w:rFonts w:ascii="Cambria Math" w:hAnsi="Cambria Math"/>
                <w:color w:val="000000" w:themeColor="text1"/>
                <w14:textFill>
                  <w14:solidFill>
                    <w14:schemeClr w14:val="tx1"/>
                  </w14:solidFill>
                </w14:textFill>
              </w:rPr>
              <m:t>1</m:t>
            </m:r>
            <m:ctrlPr>
              <w:rPr>
                <w:rFonts w:ascii="Cambria Math" w:hAnsi="Cambria Math"/>
                <w:color w:val="000000" w:themeColor="text1"/>
                <w14:textFill>
                  <w14:solidFill>
                    <w14:schemeClr w14:val="tx1"/>
                  </w14:solidFill>
                </w14:textFill>
              </w:rPr>
            </m:ctrlPr>
          </m:num>
          <m:den>
            <m:r>
              <m:rPr>
                <m:sty m:val="p"/>
              </m:rPr>
              <w:rPr>
                <w:rFonts w:ascii="Cambria Math" w:hAnsi="Cambria Math"/>
                <w:color w:val="000000" w:themeColor="text1"/>
                <w14:textFill>
                  <w14:solidFill>
                    <w14:schemeClr w14:val="tx1"/>
                  </w14:solidFill>
                </w14:textFill>
              </w:rPr>
              <m:t>1-</m:t>
            </m:r>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P</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tot</m:t>
                </m:r>
                <m:ctrlPr>
                  <w:rPr>
                    <w:rFonts w:ascii="Cambria Math" w:hAnsi="Cambria Math"/>
                    <w:color w:val="000000" w:themeColor="text1"/>
                    <w14:textFill>
                      <w14:solidFill>
                        <w14:schemeClr w14:val="tx1"/>
                      </w14:solidFill>
                    </w14:textFill>
                  </w:rPr>
                </m:ctrlPr>
              </m:sub>
            </m:sSub>
            <m:r>
              <m:rPr>
                <m:sty m:val="p"/>
              </m:rPr>
              <w:rPr>
                <w:rFonts w:ascii="Cambria Math" w:hAnsi="Cambria Math"/>
                <w:color w:val="000000" w:themeColor="text1"/>
                <w14:textFill>
                  <w14:solidFill>
                    <w14:schemeClr w14:val="tx1"/>
                  </w14:solidFill>
                </w14:textFill>
              </w:rPr>
              <m:t>/</m:t>
            </m:r>
            <m:sSub>
              <m:sSubPr>
                <m:ctrlPr>
                  <w:rPr>
                    <w:rFonts w:ascii="Cambria Math" w:hAnsi="Cambria Math"/>
                    <w:color w:val="000000" w:themeColor="text1"/>
                    <w14:textFill>
                      <w14:solidFill>
                        <w14:schemeClr w14:val="tx1"/>
                      </w14:solidFill>
                    </w14:textFill>
                  </w:rPr>
                </m:ctrlPr>
              </m:sSubPr>
              <m:e>
                <m:r>
                  <w:rPr>
                    <w:rFonts w:ascii="Cambria Math" w:hAnsi="Cambria Math"/>
                    <w:color w:val="000000" w:themeColor="text1"/>
                    <w14:textFill>
                      <w14:solidFill>
                        <w14:schemeClr w14:val="tx1"/>
                      </w14:solidFill>
                    </w14:textFill>
                  </w:rPr>
                  <m:t>P</m:t>
                </m:r>
                <m:ctrlPr>
                  <w:rPr>
                    <w:rFonts w:ascii="Cambria Math" w:hAnsi="Cambria Math"/>
                    <w:color w:val="000000" w:themeColor="text1"/>
                    <w14:textFill>
                      <w14:solidFill>
                        <w14:schemeClr w14:val="tx1"/>
                      </w14:solidFill>
                    </w14:textFill>
                  </w:rPr>
                </m:ctrlPr>
              </m:e>
              <m:sub>
                <m:r>
                  <w:rPr>
                    <w:rFonts w:ascii="Cambria Math" w:hAnsi="Cambria Math"/>
                    <w:color w:val="000000" w:themeColor="text1"/>
                    <w14:textFill>
                      <w14:solidFill>
                        <w14:schemeClr w14:val="tx1"/>
                      </w14:solidFill>
                    </w14:textFill>
                  </w:rPr>
                  <m:t>cr</m:t>
                </m:r>
                <m:ctrlPr>
                  <w:rPr>
                    <w:rFonts w:ascii="Cambria Math" w:hAnsi="Cambria Math"/>
                    <w:color w:val="000000" w:themeColor="text1"/>
                    <w14:textFill>
                      <w14:solidFill>
                        <w14:schemeClr w14:val="tx1"/>
                      </w14:solidFill>
                    </w14:textFill>
                  </w:rPr>
                </m:ctrlPr>
              </m:sub>
            </m:sSub>
            <m:ctrlPr>
              <w:rPr>
                <w:rFonts w:ascii="Cambria Math" w:hAnsi="Cambria Math"/>
                <w:color w:val="000000" w:themeColor="text1"/>
                <w14:textFill>
                  <w14:solidFill>
                    <w14:schemeClr w14:val="tx1"/>
                  </w14:solidFill>
                </w14:textFill>
              </w:rPr>
            </m:ctrlPr>
          </m:den>
        </m:f>
      </m:oMath>
      <w:r>
        <w:rPr>
          <w:rFonts w:hint="eastAsia" w:ascii="Cambria Math" w:hAnsi="Cambria Math"/>
          <w:color w:val="000000" w:themeColor="text1"/>
          <w14:textFill>
            <w14:solidFill>
              <w14:schemeClr w14:val="tx1"/>
            </w14:solidFill>
          </w14:textFill>
        </w:rPr>
        <w:t>，适用于</w:t>
      </w:r>
      <w:r>
        <w:rPr>
          <w:color w:val="000000" w:themeColor="text1"/>
          <w14:textFill>
            <w14:solidFill>
              <w14:schemeClr w14:val="tx1"/>
            </w14:solidFill>
          </w14:textFill>
        </w:rPr>
        <w:t>所有层</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.2.1</w:t>
      </w:r>
      <w:r>
        <w:rPr>
          <w:color w:val="000000" w:themeColor="text1"/>
          <w14:textFill>
            <w14:solidFill>
              <w14:schemeClr w14:val="tx1"/>
            </w14:solidFill>
          </w14:textFill>
        </w:rPr>
        <w:t xml:space="preserve">3 </w:t>
      </w:r>
      <w:r>
        <w:rPr>
          <w:rFonts w:hint="eastAsia"/>
          <w:color w:val="000000" w:themeColor="text1"/>
          <w14:textFill>
            <w14:solidFill>
              <w14:schemeClr w14:val="tx1"/>
            </w14:solidFill>
          </w14:textFill>
        </w:rPr>
        <w:t>货架</w:t>
      </w:r>
      <w:r>
        <w:rPr>
          <w:color w:val="000000" w:themeColor="text1"/>
          <w14:textFill>
            <w14:solidFill>
              <w14:schemeClr w14:val="tx1"/>
            </w14:solidFill>
          </w14:textFill>
        </w:rPr>
        <w:t>采用冷弯型钢薄壁的规则密集开孔构件，</w:t>
      </w:r>
      <w:r>
        <w:rPr>
          <w:rFonts w:hint="eastAsia"/>
          <w:color w:val="000000" w:themeColor="text1"/>
          <w14:textFill>
            <w14:solidFill>
              <w14:schemeClr w14:val="tx1"/>
            </w14:solidFill>
          </w14:textFill>
        </w:rPr>
        <w:t>无法通过</w:t>
      </w:r>
      <w:r>
        <w:rPr>
          <w:color w:val="000000" w:themeColor="text1"/>
          <w14:textFill>
            <w14:solidFill>
              <w14:schemeClr w14:val="tx1"/>
            </w14:solidFill>
          </w14:textFill>
        </w:rPr>
        <w:t>塑性</w:t>
      </w:r>
      <w:r>
        <w:rPr>
          <w:rFonts w:hint="eastAsia"/>
          <w:color w:val="000000" w:themeColor="text1"/>
          <w14:textFill>
            <w14:solidFill>
              <w14:schemeClr w14:val="tx1"/>
            </w14:solidFill>
          </w14:textFill>
        </w:rPr>
        <w:t>变形</w:t>
      </w:r>
      <w:r>
        <w:rPr>
          <w:color w:val="000000" w:themeColor="text1"/>
          <w14:textFill>
            <w14:solidFill>
              <w14:schemeClr w14:val="tx1"/>
            </w14:solidFill>
          </w14:textFill>
        </w:rPr>
        <w:t>削减地震作用的能量，小震</w:t>
      </w:r>
      <w:r>
        <w:rPr>
          <w:rFonts w:hint="eastAsia"/>
          <w:color w:val="000000" w:themeColor="text1"/>
          <w14:textFill>
            <w14:solidFill>
              <w14:schemeClr w14:val="tx1"/>
            </w14:solidFill>
          </w14:textFill>
        </w:rPr>
        <w:t>反应谱应进行</w:t>
      </w:r>
      <w:r>
        <w:rPr>
          <w:color w:val="000000" w:themeColor="text1"/>
          <w14:textFill>
            <w14:solidFill>
              <w14:schemeClr w14:val="tx1"/>
            </w14:solidFill>
          </w14:textFill>
        </w:rPr>
        <w:t>放大，</w:t>
      </w:r>
      <w:r>
        <w:rPr>
          <w:rFonts w:hint="eastAsia"/>
          <w:color w:val="000000" w:themeColor="text1"/>
          <w14:textFill>
            <w14:solidFill>
              <w14:schemeClr w14:val="tx1"/>
            </w14:solidFill>
          </w14:textFill>
        </w:rPr>
        <w:t>放大系</w:t>
      </w:r>
      <w:r>
        <w:rPr>
          <w:color w:val="000000" w:themeColor="text1"/>
          <w14:textFill>
            <w14:solidFill>
              <w14:schemeClr w14:val="tx1"/>
            </w14:solidFill>
          </w14:textFill>
        </w:rPr>
        <w:t>数</w:t>
      </w:r>
      <w:r>
        <w:rPr>
          <w:rFonts w:hint="eastAsia"/>
          <w:color w:val="000000" w:themeColor="text1"/>
          <w14:textFill>
            <w14:solidFill>
              <w14:schemeClr w14:val="tx1"/>
            </w14:solidFill>
          </w14:textFill>
        </w:rPr>
        <w:t>为max（2,</w:t>
      </w:r>
      <w:r>
        <w:rPr>
          <w:color w:val="000000" w:themeColor="text1"/>
          <w14:textFill>
            <w14:solidFill>
              <w14:schemeClr w14:val="tx1"/>
            </w14:solidFill>
          </w14:textFill>
        </w:rPr>
        <w:t>7</w:t>
      </w:r>
      <m:oMath>
        <m:r>
          <w:rPr>
            <w:rFonts w:ascii="Cambria Math" w:hAnsi="Cambria Math"/>
            <w:color w:val="000000" w:themeColor="text1"/>
            <w14:textFill>
              <w14:solidFill>
                <w14:schemeClr w14:val="tx1"/>
              </w14:solidFill>
            </w14:textFill>
          </w:rPr>
          <m:t>θ</m:t>
        </m:r>
      </m:oMath>
      <w:r>
        <w:rPr>
          <w:rFonts w:hint="eastAsia"/>
          <w:color w:val="000000" w:themeColor="text1"/>
          <w14:textFill>
            <w14:solidFill>
              <w14:schemeClr w14:val="tx1"/>
            </w14:solidFill>
          </w14:textFill>
        </w:rPr>
        <w:t>）；</w:t>
      </w:r>
    </w:p>
    <w:p>
      <w:pPr>
        <w:spacing w:line="360" w:lineRule="auto"/>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2.14 ８度及以上抗震设防区，</w:t>
      </w:r>
      <w:r>
        <w:rPr>
          <w:rFonts w:hint="eastAsia"/>
          <w:color w:val="000000" w:themeColor="text1"/>
          <w14:textFill>
            <w14:solidFill>
              <w14:schemeClr w14:val="tx1"/>
            </w14:solidFill>
          </w14:textFill>
        </w:rPr>
        <w:t>高度</w:t>
      </w:r>
      <w:r>
        <w:rPr>
          <w:color w:val="000000" w:themeColor="text1"/>
          <w14:textFill>
            <w14:solidFill>
              <w14:schemeClr w14:val="tx1"/>
            </w14:solidFill>
          </w14:textFill>
        </w:rPr>
        <w:t>达到９ｍ以上</w:t>
      </w:r>
      <w:r>
        <w:rPr>
          <w:rFonts w:hint="eastAsia"/>
          <w:color w:val="000000" w:themeColor="text1"/>
          <w14:textFill>
            <w14:solidFill>
              <w14:schemeClr w14:val="tx1"/>
            </w14:solidFill>
          </w14:textFill>
        </w:rPr>
        <w:t>时</w:t>
      </w:r>
      <w:r>
        <w:rPr>
          <w:color w:val="000000" w:themeColor="text1"/>
          <w14:textFill>
            <w14:solidFill>
              <w14:schemeClr w14:val="tx1"/>
            </w14:solidFill>
          </w14:textFill>
        </w:rPr>
        <w:t>，背撑</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布置单独的立柱</w:t>
      </w:r>
      <w:r>
        <w:rPr>
          <w:rFonts w:hint="eastAsia"/>
          <w:color w:val="000000" w:themeColor="text1"/>
          <w14:textFill>
            <w14:solidFill>
              <w14:schemeClr w14:val="tx1"/>
            </w14:solidFill>
          </w14:textFill>
        </w:rPr>
        <w:t>作为</w:t>
      </w:r>
      <w:r>
        <w:rPr>
          <w:color w:val="000000" w:themeColor="text1"/>
          <w14:textFill>
            <w14:solidFill>
              <w14:schemeClr w14:val="tx1"/>
            </w14:solidFill>
          </w14:textFill>
        </w:rPr>
        <w:t>支撑架</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弦杆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15 地震作用下</w:t>
      </w:r>
      <w:r>
        <w:rPr>
          <w:rFonts w:hint="eastAsia"/>
          <w:color w:val="000000" w:themeColor="text1"/>
          <w14:textFill>
            <w14:solidFill>
              <w14:schemeClr w14:val="tx1"/>
            </w14:solidFill>
          </w14:textFill>
        </w:rPr>
        <w:t>货架</w:t>
      </w:r>
      <w:r>
        <w:rPr>
          <w:color w:val="000000" w:themeColor="text1"/>
          <w14:textFill>
            <w14:solidFill>
              <w14:schemeClr w14:val="tx1"/>
            </w14:solidFill>
          </w14:textFill>
        </w:rPr>
        <w:t>的侧移</w:t>
      </w:r>
      <w:r>
        <w:rPr>
          <w:rFonts w:hint="eastAsia"/>
          <w:color w:val="000000" w:themeColor="text1"/>
          <w14:textFill>
            <w14:solidFill>
              <w14:schemeClr w14:val="tx1"/>
            </w14:solidFill>
          </w14:textFill>
        </w:rPr>
        <w:t>角</w:t>
      </w:r>
      <w:r>
        <w:rPr>
          <w:color w:val="000000" w:themeColor="text1"/>
          <w14:textFill>
            <w14:solidFill>
              <w14:schemeClr w14:val="tx1"/>
            </w14:solidFill>
          </w14:textFill>
        </w:rPr>
        <w:t>限值</w:t>
      </w:r>
      <w:r>
        <w:rPr>
          <w:rFonts w:hint="eastAsia"/>
          <w:color w:val="000000" w:themeColor="text1"/>
          <w14:textFill>
            <w14:solidFill>
              <w14:schemeClr w14:val="tx1"/>
            </w14:solidFill>
          </w14:textFill>
        </w:rPr>
        <w:t>为</w:t>
      </w:r>
      <m:oMath>
        <m:r>
          <m:rPr>
            <m:sty m:val="p"/>
          </m:rPr>
          <w:rPr>
            <w:rFonts w:ascii="Cambria Math" w:hAnsi="Cambria Math"/>
            <w:color w:val="000000" w:themeColor="text1"/>
            <w14:textFill>
              <w14:solidFill>
                <w14:schemeClr w14:val="tx1"/>
              </w14:solidFill>
            </w14:textFill>
          </w:rPr>
          <m:t xml:space="preserve"> </m:t>
        </m:r>
        <m:f>
          <m:fPr>
            <m:ctrlPr>
              <w:rPr>
                <w:rFonts w:ascii="Cambria Math" w:hAnsi="Cambria Math"/>
                <w:color w:val="000000" w:themeColor="text1"/>
                <w14:textFill>
                  <w14:solidFill>
                    <w14:schemeClr w14:val="tx1"/>
                  </w14:solidFill>
                </w14:textFill>
              </w:rPr>
            </m:ctrlPr>
          </m:fPr>
          <m:num>
            <m:r>
              <m:rPr>
                <m:sty m:val="p"/>
              </m:rPr>
              <w:rPr>
                <w:rFonts w:ascii="Cambria Math" w:hAnsi="Cambria Math"/>
                <w:color w:val="000000" w:themeColor="text1"/>
                <w14:textFill>
                  <w14:solidFill>
                    <w14:schemeClr w14:val="tx1"/>
                  </w14:solidFill>
                </w14:textFill>
              </w:rPr>
              <m:t>1-</m:t>
            </m:r>
            <m:r>
              <w:rPr>
                <w:rFonts w:ascii="Cambria Math" w:hAnsi="Cambria Math"/>
                <w:color w:val="000000" w:themeColor="text1"/>
                <w14:textFill>
                  <w14:solidFill>
                    <w14:schemeClr w14:val="tx1"/>
                  </w14:solidFill>
                </w14:textFill>
              </w:rPr>
              <m:t>θ</m:t>
            </m:r>
            <m:ctrlPr>
              <w:rPr>
                <w:rFonts w:ascii="Cambria Math" w:hAnsi="Cambria Math"/>
                <w:color w:val="000000" w:themeColor="text1"/>
                <w14:textFill>
                  <w14:solidFill>
                    <w14:schemeClr w14:val="tx1"/>
                  </w14:solidFill>
                </w14:textFill>
              </w:rPr>
            </m:ctrlPr>
          </m:num>
          <m:den>
            <m:r>
              <m:rPr>
                <m:sty m:val="p"/>
              </m:rPr>
              <w:rPr>
                <w:rFonts w:ascii="Cambria Math" w:hAnsi="Cambria Math"/>
                <w:color w:val="000000" w:themeColor="text1"/>
                <w14:textFill>
                  <w14:solidFill>
                    <w14:schemeClr w14:val="tx1"/>
                  </w14:solidFill>
                </w14:textFill>
              </w:rPr>
              <m:t>50</m:t>
            </m:r>
            <m:ctrlPr>
              <w:rPr>
                <w:rFonts w:ascii="Cambria Math" w:hAnsi="Cambria Math"/>
                <w:color w:val="000000" w:themeColor="text1"/>
                <w14:textFill>
                  <w14:solidFill>
                    <w14:schemeClr w14:val="tx1"/>
                  </w14:solidFill>
                </w14:textFill>
              </w:rPr>
            </m:ctrlPr>
          </m:den>
        </m:f>
      </m:oMath>
      <w:r>
        <w:rPr>
          <w:rFonts w:hint="eastAsia" w:ascii="Cambria Math" w:hAnsi="Cambria Math"/>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.2.16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货架</w:t>
      </w:r>
      <w:r>
        <w:rPr>
          <w:color w:val="000000" w:themeColor="text1"/>
          <w14:textFill>
            <w14:solidFill>
              <w14:schemeClr w14:val="tx1"/>
            </w14:solidFill>
          </w14:textFill>
        </w:rPr>
        <w:t>结构</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取</w:t>
      </w:r>
      <w:r>
        <w:rPr>
          <w:rFonts w:hint="eastAsia"/>
          <w:color w:val="000000" w:themeColor="text1"/>
          <w14:textFill>
            <w14:solidFill>
              <w14:schemeClr w14:val="tx1"/>
            </w14:solidFill>
          </w14:textFill>
        </w:rPr>
        <w:t>0.2</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重力作为水平力</w:t>
      </w:r>
      <w:r>
        <w:rPr>
          <w:rFonts w:hint="eastAsia"/>
          <w:color w:val="000000" w:themeColor="text1"/>
          <w14:textFill>
            <w14:solidFill>
              <w14:schemeClr w14:val="tx1"/>
            </w14:solidFill>
          </w14:textFill>
        </w:rPr>
        <w:t>参与</w:t>
      </w:r>
      <w:r>
        <w:rPr>
          <w:color w:val="000000" w:themeColor="text1"/>
          <w14:textFill>
            <w14:solidFill>
              <w14:schemeClr w14:val="tx1"/>
            </w14:solidFill>
          </w14:textFill>
        </w:rPr>
        <w:t>地震作用</w:t>
      </w:r>
      <w:r>
        <w:rPr>
          <w:rFonts w:hint="eastAsia"/>
          <w:color w:val="000000" w:themeColor="text1"/>
          <w14:textFill>
            <w14:solidFill>
              <w14:schemeClr w14:val="tx1"/>
            </w14:solidFill>
          </w14:textFill>
        </w:rPr>
        <w:t>组合</w:t>
      </w:r>
      <w:r>
        <w:rPr>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.2.17 货架</w:t>
      </w:r>
      <w:r>
        <w:rPr>
          <w:color w:val="000000" w:themeColor="text1"/>
          <w14:textFill>
            <w14:solidFill>
              <w14:schemeClr w14:val="tx1"/>
            </w14:solidFill>
          </w14:textFill>
        </w:rPr>
        <w:t>结构的抗震承载力调整系数取</w:t>
      </w:r>
      <w:r>
        <w:rPr>
          <w:rFonts w:hint="eastAsia"/>
          <w:color w:val="000000" w:themeColor="text1"/>
          <w14:textFill>
            <w14:solidFill>
              <w14:schemeClr w14:val="tx1"/>
            </w14:solidFill>
          </w14:textFill>
        </w:rPr>
        <w:t>1.0, 地震</w:t>
      </w:r>
      <w:r>
        <w:rPr>
          <w:color w:val="000000" w:themeColor="text1"/>
          <w14:textFill>
            <w14:solidFill>
              <w14:schemeClr w14:val="tx1"/>
            </w14:solidFill>
          </w14:textFill>
        </w:rPr>
        <w:t>作用</w:t>
      </w:r>
      <w:r>
        <w:rPr>
          <w:rFonts w:hint="eastAsia"/>
          <w:color w:val="000000" w:themeColor="text1"/>
          <w14:textFill>
            <w14:solidFill>
              <w14:schemeClr w14:val="tx1"/>
            </w14:solidFill>
          </w14:textFill>
        </w:rPr>
        <w:t>荷载分项</w:t>
      </w:r>
      <w:r>
        <w:rPr>
          <w:color w:val="000000" w:themeColor="text1"/>
          <w14:textFill>
            <w14:solidFill>
              <w14:schemeClr w14:val="tx1"/>
            </w14:solidFill>
          </w14:textFill>
        </w:rPr>
        <w:t>系数取</w:t>
      </w:r>
      <w:r>
        <w:rPr>
          <w:rFonts w:hint="eastAsia"/>
          <w:color w:val="000000" w:themeColor="text1"/>
          <w14:textFill>
            <w14:solidFill>
              <w14:schemeClr w14:val="tx1"/>
            </w14:solidFill>
          </w14:textFill>
        </w:rPr>
        <w:t>1.0，</w:t>
      </w:r>
      <w:r>
        <w:rPr>
          <w:color w:val="000000" w:themeColor="text1"/>
          <w14:textFill>
            <w14:solidFill>
              <w14:schemeClr w14:val="tx1"/>
            </w14:solidFill>
          </w14:textFill>
        </w:rPr>
        <w:t>重力荷载分项系数取</w:t>
      </w:r>
      <w:r>
        <w:rPr>
          <w:rFonts w:hint="eastAsia"/>
          <w:color w:val="000000" w:themeColor="text1"/>
          <w14:textFill>
            <w14:solidFill>
              <w14:schemeClr w14:val="tx1"/>
            </w14:solidFill>
          </w14:textFill>
        </w:rPr>
        <w:t>1.2, 假想</w:t>
      </w:r>
      <w:r>
        <w:rPr>
          <w:color w:val="000000" w:themeColor="text1"/>
          <w14:textFill>
            <w14:solidFill>
              <w14:schemeClr w14:val="tx1"/>
            </w14:solidFill>
          </w14:textFill>
        </w:rPr>
        <w:t>水平力的荷载</w:t>
      </w:r>
      <w:r>
        <w:rPr>
          <w:rFonts w:hint="eastAsia"/>
          <w:color w:val="000000" w:themeColor="text1"/>
          <w14:textFill>
            <w14:solidFill>
              <w14:schemeClr w14:val="tx1"/>
            </w14:solidFill>
          </w14:textFill>
        </w:rPr>
        <w:t>分项</w:t>
      </w:r>
      <w:r>
        <w:rPr>
          <w:color w:val="000000" w:themeColor="text1"/>
          <w14:textFill>
            <w14:solidFill>
              <w14:schemeClr w14:val="tx1"/>
            </w14:solidFill>
          </w14:textFill>
        </w:rPr>
        <w:t>系数</w:t>
      </w:r>
      <w:r>
        <w:rPr>
          <w:rFonts w:hint="eastAsia"/>
          <w:color w:val="000000" w:themeColor="text1"/>
          <w14:textFill>
            <w14:solidFill>
              <w14:schemeClr w14:val="tx1"/>
            </w14:solidFill>
          </w14:textFill>
        </w:rPr>
        <w:t>取1.0。</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2.18</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地震作用下</w:t>
      </w:r>
      <w:r>
        <w:rPr>
          <w:rFonts w:hint="eastAsia"/>
          <w:color w:val="000000" w:themeColor="text1"/>
          <w14:textFill>
            <w14:solidFill>
              <w14:schemeClr w14:val="tx1"/>
            </w14:solidFill>
          </w14:textFill>
        </w:rPr>
        <w:t>托盘</w:t>
      </w:r>
      <w:r>
        <w:rPr>
          <w:color w:val="000000" w:themeColor="text1"/>
          <w14:textFill>
            <w14:solidFill>
              <w14:schemeClr w14:val="tx1"/>
            </w14:solidFill>
          </w14:textFill>
        </w:rPr>
        <w:t>滑落</w:t>
      </w:r>
      <w:r>
        <w:rPr>
          <w:rFonts w:hint="eastAsia"/>
          <w:color w:val="000000" w:themeColor="text1"/>
          <w14:textFill>
            <w14:solidFill>
              <w14:schemeClr w14:val="tx1"/>
            </w14:solidFill>
          </w14:textFill>
        </w:rPr>
        <w:t>按如下</w:t>
      </w:r>
      <w:r>
        <w:rPr>
          <w:color w:val="000000" w:themeColor="text1"/>
          <w14:textFill>
            <w14:solidFill>
              <w14:schemeClr w14:val="tx1"/>
            </w14:solidFill>
          </w14:textFill>
        </w:rPr>
        <w:t>计算</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    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对应</w:t>
      </w:r>
      <w:r>
        <w:rPr>
          <w:color w:val="000000" w:themeColor="text1"/>
          <w14:textFill>
            <w14:solidFill>
              <w14:schemeClr w14:val="tx1"/>
            </w14:solidFill>
          </w14:textFill>
        </w:rPr>
        <w:t>高度处的托盘</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地震加速度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按照该层</w:t>
      </w:r>
      <w:r>
        <w:rPr>
          <w:rFonts w:hint="eastAsia"/>
          <w:color w:val="000000" w:themeColor="text1"/>
          <w14:textFill>
            <w14:solidFill>
              <w14:schemeClr w14:val="tx1"/>
            </w14:solidFill>
          </w14:textFill>
        </w:rPr>
        <w:t>分配</w:t>
      </w:r>
      <w:r>
        <w:rPr>
          <w:color w:val="000000" w:themeColor="text1"/>
          <w14:textFill>
            <w14:solidFill>
              <w14:schemeClr w14:val="tx1"/>
            </w14:solidFill>
          </w14:textFill>
        </w:rPr>
        <w:t>到的地震剪力反算；</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 抗滑落计算的摩擦系数取表B</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-1的0.67倍;</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    3 </w:t>
      </w:r>
      <w:r>
        <w:rPr>
          <w:rFonts w:hint="eastAsia"/>
          <w:color w:val="000000" w:themeColor="text1"/>
          <w14:textFill>
            <w14:solidFill>
              <w14:schemeClr w14:val="tx1"/>
            </w14:solidFill>
          </w14:textFill>
        </w:rPr>
        <w:t>抗滑落</w:t>
      </w:r>
      <w:r>
        <w:rPr>
          <w:color w:val="000000" w:themeColor="text1"/>
          <w14:textFill>
            <w14:solidFill>
              <w14:schemeClr w14:val="tx1"/>
            </w14:solidFill>
          </w14:textFill>
        </w:rPr>
        <w:t>计算</w:t>
      </w:r>
      <w:r>
        <w:rPr>
          <w:rFonts w:hint="eastAsia"/>
          <w:color w:val="000000" w:themeColor="text1"/>
          <w14:textFill>
            <w14:solidFill>
              <w14:schemeClr w14:val="tx1"/>
            </w14:solidFill>
          </w14:textFill>
        </w:rPr>
        <w:t>不</w:t>
      </w:r>
      <w:r>
        <w:rPr>
          <w:color w:val="000000" w:themeColor="text1"/>
          <w14:textFill>
            <w14:solidFill>
              <w14:schemeClr w14:val="tx1"/>
            </w14:solidFill>
          </w14:textFill>
        </w:rPr>
        <w:t>满足时，视滑落的危害性，采取必要的措施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对托盘</w:t>
      </w:r>
      <w:r>
        <w:rPr>
          <w:rFonts w:hint="eastAsia"/>
          <w:color w:val="000000" w:themeColor="text1"/>
          <w14:textFill>
            <w14:solidFill>
              <w14:schemeClr w14:val="tx1"/>
            </w14:solidFill>
          </w14:textFill>
        </w:rPr>
        <w:t>安装链子和卡</w:t>
      </w:r>
      <w:r>
        <w:rPr>
          <w:color w:val="000000" w:themeColor="text1"/>
          <w14:textFill>
            <w14:solidFill>
              <w14:schemeClr w14:val="tx1"/>
            </w14:solidFill>
          </w14:textFill>
        </w:rPr>
        <w:t>扣</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防滑落但不得防滑动，否则B</w:t>
      </w:r>
      <w:r>
        <w:rPr>
          <w:rFonts w:hint="eastAsia"/>
          <w:color w:val="000000" w:themeColor="text1"/>
          <w14:textFill>
            <w14:solidFill>
              <w14:schemeClr w14:val="tx1"/>
            </w14:solidFill>
          </w14:textFill>
        </w:rPr>
        <w:t>.2.7条</w:t>
      </w:r>
      <w:r>
        <w:rPr>
          <w:color w:val="000000" w:themeColor="text1"/>
          <w14:textFill>
            <w14:solidFill>
              <w14:schemeClr w14:val="tx1"/>
            </w14:solidFill>
          </w14:textFill>
        </w:rPr>
        <w:t>的地震力折减系数取</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2.19 </w:t>
      </w:r>
      <w:r>
        <w:rPr>
          <w:rFonts w:hint="eastAsia"/>
          <w:color w:val="000000" w:themeColor="text1"/>
          <w14:textFill>
            <w14:solidFill>
              <w14:schemeClr w14:val="tx1"/>
            </w14:solidFill>
          </w14:textFill>
        </w:rPr>
        <w:t>进行</w:t>
      </w:r>
      <w:r>
        <w:rPr>
          <w:color w:val="000000" w:themeColor="text1"/>
          <w14:textFill>
            <w14:solidFill>
              <w14:schemeClr w14:val="tx1"/>
            </w14:solidFill>
          </w14:textFill>
        </w:rPr>
        <w:t>钢梁</w:t>
      </w:r>
      <w:r>
        <w:rPr>
          <w:rFonts w:hint="eastAsia"/>
          <w:color w:val="000000" w:themeColor="text1"/>
          <w14:textFill>
            <w14:solidFill>
              <w14:schemeClr w14:val="tx1"/>
            </w14:solidFill>
          </w14:textFill>
        </w:rPr>
        <w:t>及其</w:t>
      </w:r>
      <w:r>
        <w:rPr>
          <w:color w:val="000000" w:themeColor="text1"/>
          <w14:textFill>
            <w14:solidFill>
              <w14:schemeClr w14:val="tx1"/>
            </w14:solidFill>
          </w14:textFill>
        </w:rPr>
        <w:t>连接的强度计算</w:t>
      </w:r>
      <w:r>
        <w:rPr>
          <w:rFonts w:hint="eastAsia"/>
          <w:color w:val="000000" w:themeColor="text1"/>
          <w14:textFill>
            <w14:solidFill>
              <w14:schemeClr w14:val="tx1"/>
            </w14:solidFill>
          </w14:textFill>
        </w:rPr>
        <w:t>时</w:t>
      </w:r>
      <w:r>
        <w:rPr>
          <w:color w:val="000000" w:themeColor="text1"/>
          <w14:textFill>
            <w14:solidFill>
              <w14:schemeClr w14:val="tx1"/>
            </w14:solidFill>
          </w14:textFill>
        </w:rPr>
        <w:t>，传递给钢梁的水平力</w:t>
      </w:r>
      <w:r>
        <w:rPr>
          <w:rFonts w:hint="eastAsia"/>
          <w:color w:val="000000" w:themeColor="text1"/>
          <w14:textFill>
            <w14:solidFill>
              <w14:schemeClr w14:val="tx1"/>
            </w14:solidFill>
          </w14:textFill>
        </w:rPr>
        <w:t>按下面要求取值。</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１</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按分配的地震力计算；</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 xml:space="preserve">２ </w:t>
      </w:r>
      <w:r>
        <w:rPr>
          <w:color w:val="000000" w:themeColor="text1"/>
          <w14:textFill>
            <w14:solidFill>
              <w14:schemeClr w14:val="tx1"/>
            </w14:solidFill>
          </w14:textFill>
        </w:rPr>
        <w:t>按照摩擦系数为</w:t>
      </w:r>
      <w:r>
        <w:rPr>
          <w:color w:val="000000" w:themeColor="text1"/>
          <w14:textFill>
            <w14:solidFill>
              <w14:schemeClr w14:val="tx1"/>
            </w14:solidFill>
          </w14:textFill>
        </w:rPr>
        <w:object>
          <v:shape id="_x0000_i1066" o:spt="75" type="#_x0000_t75" style="height:15.5pt;width:26pt;" o:ole="t" filled="f" o:preferrelative="t" stroked="f" coordsize="21600,21600">
            <v:path/>
            <v:fill on="f" focussize="0,0"/>
            <v:stroke on="f" joinstyle="miter"/>
            <v:imagedata r:id="rId151" o:title=""/>
            <o:lock v:ext="edit" aspectratio="t"/>
            <w10:wrap type="none"/>
            <w10:anchorlock/>
          </v:shape>
          <o:OLEObject Type="Embed" ProgID="Equation.DSMT4" ShapeID="_x0000_i1066" DrawAspect="Content" ObjectID="_1468075766" r:id="rId150">
            <o:LockedField>false</o:LockedField>
          </o:OLEObject>
        </w:objec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计算</w:t>
      </w:r>
      <w:r>
        <w:rPr>
          <w:color w:val="000000" w:themeColor="text1"/>
          <w14:textFill>
            <w14:solidFill>
              <w14:schemeClr w14:val="tx1"/>
            </w14:solidFill>
          </w14:textFill>
        </w:rPr>
        <w:t>的水平</w:t>
      </w:r>
      <w:r>
        <w:rPr>
          <w:rFonts w:hint="eastAsia"/>
          <w:color w:val="000000" w:themeColor="text1"/>
          <w14:textFill>
            <w14:solidFill>
              <w14:schemeClr w14:val="tx1"/>
            </w14:solidFill>
          </w14:textFill>
        </w:rPr>
        <w:t>摩擦力</w:t>
      </w:r>
      <w:r>
        <w:rPr>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　</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 xml:space="preserve">3 </w:t>
      </w:r>
      <w:r>
        <w:rPr>
          <w:color w:val="000000" w:themeColor="text1"/>
          <w14:textFill>
            <w14:solidFill>
              <w14:schemeClr w14:val="tx1"/>
            </w14:solidFill>
          </w14:textFill>
        </w:rPr>
        <w:t>地震力作用在货物重心</w:t>
      </w:r>
      <w:r>
        <w:rPr>
          <w:rFonts w:hint="eastAsia"/>
          <w:color w:val="000000" w:themeColor="text1"/>
          <w14:textFill>
            <w14:solidFill>
              <w14:schemeClr w14:val="tx1"/>
            </w14:solidFill>
          </w14:textFill>
        </w:rPr>
        <w:t>，应考虑</w:t>
      </w:r>
      <w:r>
        <w:rPr>
          <w:color w:val="000000" w:themeColor="text1"/>
          <w14:textFill>
            <w14:solidFill>
              <w14:schemeClr w14:val="tx1"/>
            </w14:solidFill>
          </w14:textFill>
        </w:rPr>
        <w:t>对纵梁倾覆力矩产生</w:t>
      </w:r>
      <w:r>
        <w:rPr>
          <w:rFonts w:hint="eastAsia"/>
          <w:color w:val="000000" w:themeColor="text1"/>
          <w14:textFill>
            <w14:solidFill>
              <w14:schemeClr w14:val="tx1"/>
            </w14:solidFill>
          </w14:textFill>
        </w:rPr>
        <w:t>的</w:t>
      </w:r>
      <w:r>
        <w:rPr>
          <w:color w:val="000000" w:themeColor="text1"/>
          <w14:textFill>
            <w14:solidFill>
              <w14:schemeClr w14:val="tx1"/>
            </w14:solidFill>
          </w14:textFill>
        </w:rPr>
        <w:t>竖向分力</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color w:val="000000" w:themeColor="text1"/>
          <w14:textFill>
            <w14:solidFill>
              <w14:schemeClr w14:val="tx1"/>
            </w14:solidFill>
          </w14:textFill>
        </w:rPr>
        <w:object>
          <v:shape id="_x0000_i1067" o:spt="75" type="#_x0000_t75" style="height:165pt;width:299.1pt;" o:ole="t" filled="f" o:preferrelative="t" stroked="f" coordsize="21600,21600">
            <v:path/>
            <v:fill on="f" focussize="0,0"/>
            <v:stroke on="f" joinstyle="miter"/>
            <v:imagedata r:id="rId153" cropleft="5925f" croptop="2892f" cropright="10473f" cropbottom="14718f" o:title=""/>
            <o:lock v:ext="edit" aspectratio="t"/>
            <w10:wrap type="none"/>
            <w10:anchorlock/>
          </v:shape>
          <o:OLEObject Type="Embed" ProgID="AutoCAD.Drawing.19" ShapeID="_x0000_i1067" DrawAspect="Content" ObjectID="_1468075767" r:id="rId152">
            <o:LockedField>false</o:LockedField>
          </o:OLEObject>
        </w:object>
      </w:r>
      <w:r>
        <w:rPr>
          <w:color w:val="000000" w:themeColor="text1"/>
          <w14:textFill>
            <w14:solidFill>
              <w14:schemeClr w14:val="tx1"/>
            </w14:solidFill>
          </w14:textFill>
        </w:rPr>
        <w:br w:type="textWrapping"/>
      </w:r>
      <w:r>
        <w:rPr>
          <w:color w:val="000000" w:themeColor="text1"/>
          <w14:textFill>
            <w14:solidFill>
              <w14:schemeClr w14:val="tx1"/>
            </w14:solidFill>
          </w14:textFill>
        </w:rPr>
        <w:t>(a)</w:t>
      </w:r>
      <w:r>
        <w:rPr>
          <w:color w:val="000000" w:themeColor="text1"/>
          <w14:textFill>
            <w14:solidFill>
              <w14:schemeClr w14:val="tx1"/>
            </w14:solidFill>
          </w14:textFill>
        </w:rPr>
        <w:br w:type="textWrapping"/>
      </w:r>
      <w:r>
        <w:rPr>
          <w:color w:val="000000" w:themeColor="text1"/>
          <w14:textFill>
            <w14:solidFill>
              <w14:schemeClr w14:val="tx1"/>
            </w14:solidFill>
          </w14:textFill>
        </w:rPr>
        <w:object>
          <v:shape id="_x0000_i1068" o:spt="75" type="#_x0000_t75" style="height:113pt;width:406pt;" o:ole="t" filled="f" o:preferrelative="t" stroked="f" coordsize="21600,21600">
            <v:path/>
            <v:fill on="f" focussize="0,0"/>
            <v:stroke on="f" joinstyle="miter"/>
            <v:imagedata r:id="rId155" cropleft="6938f" croptop="26061f" cropright="18518f" cropbottom="19781f" o:title=""/>
            <o:lock v:ext="edit" aspectratio="t"/>
            <w10:wrap type="none"/>
            <w10:anchorlock/>
          </v:shape>
          <o:OLEObject Type="Embed" ProgID="AutoCAD.Drawing.19" ShapeID="_x0000_i1068" DrawAspect="Content" ObjectID="_1468075768" r:id="rId154">
            <o:LockedField>false</o:LockedField>
          </o:OLEObject>
        </w:object>
      </w:r>
      <w:r>
        <w:rPr>
          <w:color w:val="000000" w:themeColor="text1"/>
          <w14:textFill>
            <w14:solidFill>
              <w14:schemeClr w14:val="tx1"/>
            </w14:solidFill>
          </w14:textFill>
        </w:rPr>
        <w:br w:type="textWrapping"/>
      </w:r>
      <w:r>
        <w:rPr>
          <w:color w:val="000000" w:themeColor="text1"/>
          <w14:textFill>
            <w14:solidFill>
              <w14:schemeClr w14:val="tx1"/>
            </w14:solidFill>
          </w14:textFill>
        </w:rPr>
        <w:t>(b)</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图B.2</w:t>
      </w:r>
      <w:r>
        <w:rPr>
          <w:color w:val="000000" w:themeColor="text1"/>
          <w14:textFill>
            <w14:solidFill>
              <w14:schemeClr w14:val="tx1"/>
            </w14:solidFill>
          </w14:textFill>
        </w:rPr>
        <w:t>.19</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地震力</w:t>
      </w:r>
      <w:r>
        <w:rPr>
          <w:color w:val="000000" w:themeColor="text1"/>
          <w14:textFill>
            <w14:solidFill>
              <w14:schemeClr w14:val="tx1"/>
            </w14:solidFill>
          </w14:textFill>
        </w:rPr>
        <w:t>的局部传递</w:t>
      </w: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autoSpaceDE w:val="0"/>
        <w:autoSpaceDN w:val="0"/>
        <w:spacing w:line="360" w:lineRule="auto"/>
        <w:ind w:firstLine="420"/>
        <w:rPr>
          <w:rFonts w:cs="HiddenHorzOCR" w:asciiTheme="minorEastAsia" w:hAnsiTheme="minorEastAsia"/>
          <w:color w:val="000000" w:themeColor="text1"/>
          <w:kern w:val="0"/>
          <w:szCs w:val="21"/>
          <w14:textFill>
            <w14:solidFill>
              <w14:schemeClr w14:val="tx1"/>
            </w14:solidFill>
          </w14:textFill>
        </w:rPr>
      </w:pPr>
    </w:p>
    <w:p>
      <w:pPr>
        <w:widowControl/>
        <w:adjustRightInd/>
        <w:snapToGrid/>
        <w:ind w:firstLine="0" w:firstLineChars="0"/>
        <w:jc w:val="left"/>
        <w:rPr>
          <w:b/>
          <w:color w:val="000000" w:themeColor="text1"/>
          <w:sz w:val="30"/>
          <w14:textFill>
            <w14:solidFill>
              <w14:schemeClr w14:val="tx1"/>
            </w14:solidFill>
          </w14:textFill>
        </w:rPr>
      </w:pPr>
      <w:r>
        <w:rPr>
          <w:color w:val="000000" w:themeColor="text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30" w:name="_Toc48841067"/>
      <w:r>
        <w:rPr>
          <w:rFonts w:hint="eastAsia"/>
          <w:color w:val="000000" w:themeColor="text1"/>
          <w14:textFill>
            <w14:solidFill>
              <w14:schemeClr w14:val="tx1"/>
            </w14:solidFill>
          </w14:textFill>
        </w:rPr>
        <w:t>附录</w:t>
      </w:r>
      <w:r>
        <w:rPr>
          <w:color w:val="000000" w:themeColor="text1"/>
          <w14:textFill>
            <w14:solidFill>
              <w14:schemeClr w14:val="tx1"/>
            </w14:solidFill>
          </w14:textFill>
        </w:rPr>
        <w:t xml:space="preserve">C </w:t>
      </w:r>
      <w:r>
        <w:rPr>
          <w:rFonts w:hint="eastAsia"/>
          <w:color w:val="000000" w:themeColor="text1"/>
          <w14:textFill>
            <w14:solidFill>
              <w14:schemeClr w14:val="tx1"/>
            </w14:solidFill>
          </w14:textFill>
        </w:rPr>
        <w:t>盒式结构</w:t>
      </w:r>
      <w:bookmarkEnd w:id="230"/>
    </w:p>
    <w:p>
      <w:pPr>
        <w:spacing w:line="360" w:lineRule="auto"/>
        <w:ind w:firstLine="0" w:firstLineChars="0"/>
        <w:jc w:val="center"/>
        <w:rPr>
          <w:rFonts w:ascii="黑体" w:hAnsi="黑体" w:eastAsia="黑体"/>
          <w:bCs/>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C.</w:t>
      </w:r>
      <w:r>
        <w:rPr>
          <w:rFonts w:hint="eastAsia" w:ascii="黑体" w:hAnsi="黑体" w:eastAsia="黑体"/>
          <w:bCs/>
          <w:color w:val="000000" w:themeColor="text1"/>
          <w:szCs w:val="21"/>
          <w14:textFill>
            <w14:solidFill>
              <w14:schemeClr w14:val="tx1"/>
            </w14:solidFill>
          </w14:textFill>
        </w:rPr>
        <w:t>0 术语</w:t>
      </w:r>
    </w:p>
    <w:p>
      <w:pPr>
        <w:ind w:firstLine="420"/>
        <w:jc w:val="center"/>
        <w:rPr>
          <w:color w:val="000000" w:themeColor="text1"/>
          <w14:textFill>
            <w14:solidFill>
              <w14:schemeClr w14:val="tx1"/>
            </w14:solidFill>
          </w14:textFill>
        </w:rPr>
      </w:pP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.0.1</w:t>
      </w:r>
      <w:r>
        <w:rPr>
          <w:rFonts w:ascii="宋体" w:hAnsi="宋体"/>
          <w:bCs/>
          <w:color w:val="000000" w:themeColor="text1"/>
          <w:szCs w:val="21"/>
          <w14:textFill>
            <w14:solidFill>
              <w14:schemeClr w14:val="tx1"/>
            </w14:solidFill>
          </w14:textFill>
        </w:rPr>
        <w:t xml:space="preserve"> 空腹夹层板</w:t>
      </w:r>
      <w:r>
        <w:rPr>
          <w:rFonts w:hint="eastAsia" w:ascii="宋体" w:hAnsi="宋体"/>
          <w:bCs/>
          <w:color w:val="000000" w:themeColor="text1"/>
          <w:szCs w:val="21"/>
          <w14:textFill>
            <w14:solidFill>
              <w14:schemeClr w14:val="tx1"/>
            </w14:solidFill>
          </w14:textFill>
        </w:rPr>
        <w:t xml:space="preserve"> </w:t>
      </w:r>
      <w:r>
        <w:rPr>
          <w:rFonts w:ascii="宋体" w:hAnsi="宋体"/>
          <w:bCs/>
          <w:color w:val="000000" w:themeColor="text1"/>
          <w:szCs w:val="21"/>
          <w14:textFill>
            <w14:solidFill>
              <w14:schemeClr w14:val="tx1"/>
            </w14:solidFill>
          </w14:textFill>
        </w:rPr>
        <w:t>open-web sandwich plate</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由通过剪力键连接的上、下肋和支承于上肋的表面薄板组成的空腹楼盖结构。</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.0.2</w:t>
      </w:r>
      <w:r>
        <w:rPr>
          <w:rFonts w:ascii="宋体" w:hAnsi="宋体"/>
          <w:bCs/>
          <w:color w:val="000000" w:themeColor="text1"/>
          <w:szCs w:val="21"/>
          <w14:textFill>
            <w14:solidFill>
              <w14:schemeClr w14:val="tx1"/>
            </w14:solidFill>
          </w14:textFill>
        </w:rPr>
        <w:t xml:space="preserve"> 剪力键 shear key</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连接上、下肋的多面棱柱体。</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.0.3</w:t>
      </w:r>
      <w:r>
        <w:rPr>
          <w:rFonts w:ascii="宋体" w:hAnsi="宋体"/>
          <w:bCs/>
          <w:color w:val="000000" w:themeColor="text1"/>
          <w:szCs w:val="21"/>
          <w14:textFill>
            <w14:solidFill>
              <w14:schemeClr w14:val="tx1"/>
            </w14:solidFill>
          </w14:textFill>
        </w:rPr>
        <w:t xml:space="preserve"> 上肋 top rib</w:t>
      </w:r>
    </w:p>
    <w:p>
      <w:pPr>
        <w:spacing w:line="360" w:lineRule="auto"/>
        <w:ind w:firstLine="420"/>
        <w:jc w:val="left"/>
        <w:rPr>
          <w:bCs/>
          <w:color w:val="000000" w:themeColor="text1"/>
          <w14:textFill>
            <w14:solidFill>
              <w14:schemeClr w14:val="tx1"/>
            </w14:solidFill>
          </w14:textFill>
        </w:rPr>
      </w:pPr>
      <w:r>
        <w:rPr>
          <w:rFonts w:ascii="宋体" w:hAnsi="宋体"/>
          <w:bCs/>
          <w:color w:val="000000" w:themeColor="text1"/>
          <w:szCs w:val="21"/>
          <w14:textFill>
            <w14:solidFill>
              <w14:schemeClr w14:val="tx1"/>
            </w14:solidFill>
          </w14:textFill>
        </w:rPr>
        <w:t>位于剪力键顶面，</w:t>
      </w:r>
      <w:r>
        <w:rPr>
          <w:rFonts w:hint="eastAsia" w:ascii="宋体" w:hAnsi="宋体"/>
          <w:bCs/>
          <w:color w:val="000000" w:themeColor="text1"/>
          <w:szCs w:val="21"/>
          <w14:textFill>
            <w14:solidFill>
              <w14:schemeClr w14:val="tx1"/>
            </w14:solidFill>
          </w14:textFill>
        </w:rPr>
        <w:t>可采用方钢管，H型钢或T型钢。</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.0.4</w:t>
      </w:r>
      <w:r>
        <w:rPr>
          <w:rFonts w:ascii="宋体" w:hAnsi="宋体"/>
          <w:bCs/>
          <w:color w:val="000000" w:themeColor="text1"/>
          <w:szCs w:val="21"/>
          <w14:textFill>
            <w14:solidFill>
              <w14:schemeClr w14:val="tx1"/>
            </w14:solidFill>
          </w14:textFill>
        </w:rPr>
        <w:t xml:space="preserve"> 下肋 bottom rib</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位于剪力键底面，宜与上肋和剪力键一次现浇成型。当采用U型钢板-混凝土组合空腹夹层板时，下肋为钢筋混凝土外包U型钢板组合构件。</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.0.5</w:t>
      </w:r>
      <w:r>
        <w:rPr>
          <w:rFonts w:ascii="宋体" w:hAnsi="宋体"/>
          <w:bCs/>
          <w:color w:val="000000" w:themeColor="text1"/>
          <w:szCs w:val="21"/>
          <w14:textFill>
            <w14:solidFill>
              <w14:schemeClr w14:val="tx1"/>
            </w14:solidFill>
          </w14:textFill>
        </w:rPr>
        <w:t xml:space="preserve"> 空腹梁</w:t>
      </w:r>
      <w:r>
        <w:rPr>
          <w:rFonts w:hint="eastAsia" w:ascii="宋体" w:hAnsi="宋体"/>
          <w:bCs/>
          <w:color w:val="000000" w:themeColor="text1"/>
          <w:szCs w:val="21"/>
          <w14:textFill>
            <w14:solidFill>
              <w14:schemeClr w14:val="tx1"/>
            </w14:solidFill>
          </w14:textFill>
        </w:rPr>
        <w:t xml:space="preserve"> </w:t>
      </w:r>
      <w:r>
        <w:rPr>
          <w:rFonts w:ascii="宋体" w:hAnsi="宋体"/>
          <w:bCs/>
          <w:color w:val="000000" w:themeColor="text1"/>
          <w:szCs w:val="21"/>
          <w14:textFill>
            <w14:solidFill>
              <w14:schemeClr w14:val="tx1"/>
            </w14:solidFill>
          </w14:textFill>
        </w:rPr>
        <w:t>open-web girder</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空腹夹层板的基本组成构件，通过剪力键连接上、下肋而形成，在梁中和轴附近及两个剪力键之间为空腹，外观类似空腹桁架。</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.0.6</w:t>
      </w:r>
      <w:r>
        <w:rPr>
          <w:rFonts w:ascii="宋体" w:hAnsi="宋体"/>
          <w:bCs/>
          <w:color w:val="000000" w:themeColor="text1"/>
          <w:szCs w:val="21"/>
          <w14:textFill>
            <w14:solidFill>
              <w14:schemeClr w14:val="tx1"/>
            </w14:solidFill>
          </w14:textFill>
        </w:rPr>
        <w:t xml:space="preserve"> U型钢板-混凝土组合空腹夹层板 </w:t>
      </w:r>
      <w:r>
        <w:rPr>
          <w:rFonts w:hint="eastAsia" w:ascii="宋体" w:hAnsi="宋体"/>
          <w:bCs/>
          <w:color w:val="000000" w:themeColor="text1"/>
          <w:szCs w:val="21"/>
          <w14:textFill>
            <w14:solidFill>
              <w14:schemeClr w14:val="tx1"/>
            </w14:solidFill>
          </w14:textFill>
        </w:rPr>
        <w:t xml:space="preserve"> </w:t>
      </w:r>
      <w:r>
        <w:rPr>
          <w:rFonts w:ascii="宋体" w:hAnsi="宋体"/>
          <w:bCs/>
          <w:color w:val="000000" w:themeColor="text1"/>
          <w:szCs w:val="21"/>
          <w14:textFill>
            <w14:solidFill>
              <w14:schemeClr w14:val="tx1"/>
            </w14:solidFill>
          </w14:textFill>
        </w:rPr>
        <w:t>U shape steel plate-concrete composite open-web sandwich plate</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空腹夹层板下肋外包U型钢板，通过栓钉或S形抗剪钢筋与混凝土连接形成U型钢板混凝土组合下肋。U型钢板在节点处采用上下盖板由摩擦型小直径高强螺栓连接。</w:t>
      </w:r>
    </w:p>
    <w:p>
      <w:pPr>
        <w:spacing w:line="360" w:lineRule="auto"/>
        <w:ind w:firstLine="420"/>
        <w:jc w:val="left"/>
        <w:rPr>
          <w:rFonts w:ascii="宋体" w:hAnsi="宋体"/>
          <w:bCs/>
          <w:color w:val="000000" w:themeColor="text1"/>
          <w:szCs w:val="21"/>
          <w14:textFill>
            <w14:solidFill>
              <w14:schemeClr w14:val="tx1"/>
            </w14:solidFill>
          </w14:textFill>
        </w:rPr>
      </w:pPr>
    </w:p>
    <w:p>
      <w:pPr>
        <w:spacing w:line="360" w:lineRule="auto"/>
        <w:ind w:firstLine="0" w:firstLineChars="0"/>
        <w:jc w:val="center"/>
        <w:rPr>
          <w:rFonts w:ascii="黑体" w:hAnsi="黑体" w:eastAsia="黑体"/>
          <w:bCs/>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C.1</w:t>
      </w:r>
      <w:r>
        <w:rPr>
          <w:rFonts w:hint="eastAsia" w:ascii="黑体" w:hAnsi="黑体" w:eastAsia="黑体"/>
          <w:bCs/>
          <w:color w:val="000000" w:themeColor="text1"/>
          <w:szCs w:val="21"/>
          <w14:textFill>
            <w14:solidFill>
              <w14:schemeClr w14:val="tx1"/>
            </w14:solidFill>
          </w14:textFill>
        </w:rPr>
        <w:t xml:space="preserve"> 一般规定</w:t>
      </w:r>
    </w:p>
    <w:p>
      <w:pPr>
        <w:spacing w:line="360" w:lineRule="auto"/>
        <w:ind w:firstLine="0" w:firstLineChars="0"/>
        <w:jc w:val="center"/>
        <w:rPr>
          <w:rFonts w:ascii="黑体" w:hAnsi="黑体" w:eastAsia="黑体"/>
          <w:bCs/>
          <w:color w:val="000000" w:themeColor="text1"/>
          <w:szCs w:val="21"/>
          <w14:textFill>
            <w14:solidFill>
              <w14:schemeClr w14:val="tx1"/>
            </w14:solidFill>
          </w14:textFill>
        </w:rPr>
      </w:pP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1.1 本章适用于下列结构形式的钢筋混凝土或钢结构多层厂房抗震设计。</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 柱网或跨度在</w:t>
      </w:r>
      <w:r>
        <w:rPr>
          <w:rFonts w:ascii="宋体" w:hAnsi="宋体"/>
          <w:bCs/>
          <w:color w:val="000000" w:themeColor="text1"/>
          <w:szCs w:val="21"/>
          <w14:textFill>
            <w14:solidFill>
              <w14:schemeClr w14:val="tx1"/>
            </w14:solidFill>
          </w14:textFill>
        </w:rPr>
        <w:t>12m</w:t>
      </w:r>
      <w:r>
        <w:rPr>
          <w:rFonts w:hint="eastAsia" w:ascii="宋体" w:hAnsi="宋体"/>
          <w:bCs/>
          <w:color w:val="000000" w:themeColor="text1"/>
          <w:szCs w:val="21"/>
          <w14:textFill>
            <w14:solidFill>
              <w14:schemeClr w14:val="tx1"/>
            </w14:solidFill>
          </w14:textFill>
        </w:rPr>
        <w:t>～30</w:t>
      </w:r>
      <w:r>
        <w:rPr>
          <w:rFonts w:ascii="宋体" w:hAnsi="宋体"/>
          <w:bCs/>
          <w:color w:val="000000" w:themeColor="text1"/>
          <w:szCs w:val="21"/>
          <w14:textFill>
            <w14:solidFill>
              <w14:schemeClr w14:val="tx1"/>
            </w14:solidFill>
          </w14:textFill>
        </w:rPr>
        <w:t>m</w:t>
      </w:r>
      <w:r>
        <w:rPr>
          <w:rFonts w:hint="eastAsia" w:ascii="宋体" w:hAnsi="宋体"/>
          <w:bCs/>
          <w:color w:val="000000" w:themeColor="text1"/>
          <w:szCs w:val="21"/>
          <w14:textFill>
            <w14:solidFill>
              <w14:schemeClr w14:val="tx1"/>
            </w14:solidFill>
          </w14:textFill>
        </w:rPr>
        <w:t>范围内的工业建筑的钢或混凝土盒式结构的设计与施工；</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 结构横向和结构纵向均采用网格式框架，楼屋面采用空腹夹层板，框架柱上端与空腹夹层板固接、下端与基础固接。</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1.2 盒式结构多层厂房的最大高度和层数应符合表</w:t>
      </w: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.1.2-1要求。</w:t>
      </w:r>
    </w:p>
    <w:p>
      <w:pPr>
        <w:spacing w:line="360" w:lineRule="auto"/>
        <w:ind w:firstLine="2520" w:firstLineChars="12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表</w:t>
      </w: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.1.2-1 最大高度和层数</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烈度</w:t>
            </w:r>
          </w:p>
        </w:tc>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w:t>
            </w:r>
          </w:p>
        </w:tc>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7</w:t>
            </w:r>
          </w:p>
        </w:tc>
        <w:tc>
          <w:tcPr>
            <w:tcW w:w="1705"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8</w:t>
            </w:r>
          </w:p>
        </w:tc>
        <w:tc>
          <w:tcPr>
            <w:tcW w:w="1705"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高度</w:t>
            </w:r>
          </w:p>
        </w:tc>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24</w:t>
            </w:r>
          </w:p>
        </w:tc>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24</w:t>
            </w:r>
          </w:p>
        </w:tc>
        <w:tc>
          <w:tcPr>
            <w:tcW w:w="1705"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18</w:t>
            </w:r>
          </w:p>
        </w:tc>
        <w:tc>
          <w:tcPr>
            <w:tcW w:w="1705"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层数</w:t>
            </w:r>
          </w:p>
        </w:tc>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w:t>
            </w:r>
          </w:p>
        </w:tc>
        <w:tc>
          <w:tcPr>
            <w:tcW w:w="1704"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w:t>
            </w:r>
          </w:p>
        </w:tc>
        <w:tc>
          <w:tcPr>
            <w:tcW w:w="1705"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w:t>
            </w:r>
          </w:p>
        </w:tc>
        <w:tc>
          <w:tcPr>
            <w:tcW w:w="1705" w:type="dxa"/>
            <w:shd w:val="clear" w:color="auto" w:fill="auto"/>
          </w:tcPr>
          <w:p>
            <w:pPr>
              <w:spacing w:line="300" w:lineRule="auto"/>
              <w:ind w:firstLine="0" w:firstLineChars="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w:t>
            </w:r>
          </w:p>
        </w:tc>
      </w:tr>
    </w:tbl>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 xml:space="preserve"> </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.1.</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 xml:space="preserve"> 结构采用的材料应符合下列要求。</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 可以采用钢结构、混凝土结构或钢-混凝土组合结构。</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 混凝土空腹夹层板应采用细石混凝土，对于截面高度大于180mm的上、下肋，可采用普通混凝土。</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 空腹夹层板楼盖结构的混凝土强度等级不宜低于C30；当上肋二次浇筑时，混凝土强度等级不宜低于C35；当楼板面设置叠合层时，叠合层的混凝土强度等级不宜低于C35。</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 组成空腹夹层板的各构件，当同一构件内配置有不同种类的钢筋时，钢筋应采用各自的强度设计值；上下肋、剪力键和上表面薄板纵筋宜采用HRB400级。</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5 空腹夹层板构件的箍筋宜采用HPB300级或HRB400级。</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 钢盒式结构或U型钢板-混凝土组合空腹夹层板的U型钢板采用Q345级钢。</w:t>
      </w:r>
    </w:p>
    <w:p>
      <w:pPr>
        <w:spacing w:line="360" w:lineRule="auto"/>
        <w:ind w:firstLine="420"/>
        <w:jc w:val="left"/>
        <w:rPr>
          <w:rFonts w:ascii="宋体" w:hAnsi="宋体"/>
          <w:bCs/>
          <w:color w:val="000000" w:themeColor="text1"/>
          <w:szCs w:val="21"/>
          <w14:textFill>
            <w14:solidFill>
              <w14:schemeClr w14:val="tx1"/>
            </w14:solidFill>
          </w14:textFill>
        </w:rPr>
      </w:pPr>
    </w:p>
    <w:p>
      <w:pPr>
        <w:spacing w:line="360" w:lineRule="auto"/>
        <w:ind w:firstLine="0" w:firstLineChars="0"/>
        <w:jc w:val="center"/>
        <w:rPr>
          <w:rFonts w:ascii="黑体" w:hAnsi="黑体" w:eastAsia="黑体"/>
          <w:bCs/>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C</w:t>
      </w:r>
      <w:r>
        <w:rPr>
          <w:rFonts w:hint="eastAsia" w:ascii="黑体" w:hAnsi="黑体" w:eastAsia="黑体"/>
          <w:bCs/>
          <w:color w:val="000000" w:themeColor="text1"/>
          <w:szCs w:val="21"/>
          <w14:textFill>
            <w14:solidFill>
              <w14:schemeClr w14:val="tx1"/>
            </w14:solidFill>
          </w14:textFill>
        </w:rPr>
        <w:t>.2 结构布置</w:t>
      </w:r>
    </w:p>
    <w:p>
      <w:pPr>
        <w:spacing w:line="360" w:lineRule="auto"/>
        <w:ind w:firstLine="0" w:firstLineChars="0"/>
        <w:jc w:val="center"/>
        <w:rPr>
          <w:rFonts w:ascii="黑体" w:hAnsi="黑体" w:eastAsia="黑体"/>
          <w:bCs/>
          <w:color w:val="000000" w:themeColor="text1"/>
          <w:szCs w:val="21"/>
          <w14:textFill>
            <w14:solidFill>
              <w14:schemeClr w14:val="tx1"/>
            </w14:solidFill>
          </w14:textFill>
        </w:rPr>
      </w:pP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.2.1 多层盒式结构的结构布置，应符合下列要求：</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 盒式结构平面和竖向布置应规则，跨度不宜超过30米；</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 盒式结构的空腹夹层板布置，应符合下列要求：</w:t>
      </w:r>
    </w:p>
    <w:p>
      <w:pPr>
        <w:spacing w:line="360" w:lineRule="auto"/>
        <w:ind w:left="1050" w:leftChars="400" w:hanging="210" w:hangingChars="10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mc:AlternateContent>
          <mc:Choice Requires="wpg">
            <w:drawing>
              <wp:anchor distT="0" distB="0" distL="114300" distR="114300" simplePos="0" relativeHeight="251650048" behindDoc="0" locked="0" layoutInCell="1" allowOverlap="1">
                <wp:simplePos x="0" y="0"/>
                <wp:positionH relativeFrom="column">
                  <wp:posOffset>2295525</wp:posOffset>
                </wp:positionH>
                <wp:positionV relativeFrom="paragraph">
                  <wp:posOffset>753110</wp:posOffset>
                </wp:positionV>
                <wp:extent cx="1463675" cy="1595120"/>
                <wp:effectExtent l="0" t="0" r="0" b="0"/>
                <wp:wrapNone/>
                <wp:docPr id="10" name="组合 10"/>
                <wp:cNvGraphicFramePr/>
                <a:graphic xmlns:a="http://schemas.openxmlformats.org/drawingml/2006/main">
                  <a:graphicData uri="http://schemas.microsoft.com/office/word/2010/wordprocessingGroup">
                    <wpg:wgp>
                      <wpg:cNvGrpSpPr/>
                      <wpg:grpSpPr>
                        <a:xfrm>
                          <a:off x="0" y="0"/>
                          <a:ext cx="1463675" cy="1595120"/>
                          <a:chOff x="0" y="0"/>
                          <a:chExt cx="1463675" cy="1595120"/>
                        </a:xfrm>
                      </wpg:grpSpPr>
                      <pic:pic xmlns:pic="http://schemas.openxmlformats.org/drawingml/2006/picture">
                        <pic:nvPicPr>
                          <pic:cNvPr id="109" name="图片 109"/>
                          <pic:cNvPicPr>
                            <a:picLocks noChangeAspect="1"/>
                          </pic:cNvPicPr>
                        </pic:nvPicPr>
                        <pic:blipFill>
                          <a:blip r:embed="rId156" cstate="print">
                            <a:extLst>
                              <a:ext uri="{28A0092B-C50C-407E-A947-70E740481C1C}">
                                <a14:useLocalDpi xmlns:a14="http://schemas.microsoft.com/office/drawing/2010/main" val="0"/>
                              </a:ext>
                            </a:extLst>
                          </a:blip>
                          <a:srcRect l="38229" t="11133" r="59303" b="28212"/>
                          <a:stretch>
                            <a:fillRect/>
                          </a:stretch>
                        </pic:blipFill>
                        <pic:spPr>
                          <a:xfrm>
                            <a:off x="1263650" y="1349375"/>
                            <a:ext cx="133350" cy="245745"/>
                          </a:xfrm>
                          <a:prstGeom prst="rect">
                            <a:avLst/>
                          </a:prstGeom>
                          <a:noFill/>
                          <a:ln>
                            <a:noFill/>
                          </a:ln>
                        </pic:spPr>
                      </pic:pic>
                      <pic:pic xmlns:pic="http://schemas.openxmlformats.org/drawingml/2006/picture">
                        <pic:nvPicPr>
                          <pic:cNvPr id="108" name="图片 108"/>
                          <pic:cNvPicPr>
                            <a:picLocks noChangeAspect="1"/>
                          </pic:cNvPicPr>
                        </pic:nvPicPr>
                        <pic:blipFill>
                          <a:blip r:embed="rId156" cstate="print">
                            <a:extLst>
                              <a:ext uri="{28A0092B-C50C-407E-A947-70E740481C1C}">
                                <a14:useLocalDpi xmlns:a14="http://schemas.microsoft.com/office/drawing/2010/main" val="0"/>
                              </a:ext>
                            </a:extLst>
                          </a:blip>
                          <a:srcRect l="35667" t="11133" r="61301"/>
                          <a:stretch>
                            <a:fillRect/>
                          </a:stretch>
                        </pic:blipFill>
                        <pic:spPr>
                          <a:xfrm>
                            <a:off x="0" y="0"/>
                            <a:ext cx="163830" cy="360045"/>
                          </a:xfrm>
                          <a:prstGeom prst="rect">
                            <a:avLst/>
                          </a:prstGeom>
                          <a:noFill/>
                          <a:ln>
                            <a:noFill/>
                          </a:ln>
                        </pic:spPr>
                      </pic:pic>
                      <pic:pic xmlns:pic="http://schemas.openxmlformats.org/drawingml/2006/picture">
                        <pic:nvPicPr>
                          <pic:cNvPr id="110" name="图片 110"/>
                          <pic:cNvPicPr>
                            <a:picLocks noChangeAspect="1"/>
                          </pic:cNvPicPr>
                        </pic:nvPicPr>
                        <pic:blipFill>
                          <a:blip r:embed="rId156" cstate="print">
                            <a:extLst>
                              <a:ext uri="{28A0092B-C50C-407E-A947-70E740481C1C}">
                                <a14:useLocalDpi xmlns:a14="http://schemas.microsoft.com/office/drawing/2010/main" val="0"/>
                              </a:ext>
                            </a:extLst>
                          </a:blip>
                          <a:srcRect l="41049" t="11133" r="55779" b="28212"/>
                          <a:stretch>
                            <a:fillRect/>
                          </a:stretch>
                        </pic:blipFill>
                        <pic:spPr>
                          <a:xfrm>
                            <a:off x="1292225" y="15875"/>
                            <a:ext cx="171450" cy="245745"/>
                          </a:xfrm>
                          <a:prstGeom prst="rect">
                            <a:avLst/>
                          </a:prstGeom>
                          <a:noFill/>
                          <a:ln>
                            <a:noFill/>
                          </a:ln>
                        </pic:spPr>
                      </pic:pic>
                      <pic:pic xmlns:pic="http://schemas.openxmlformats.org/drawingml/2006/picture">
                        <pic:nvPicPr>
                          <pic:cNvPr id="107" name="图片 107"/>
                          <pic:cNvPicPr>
                            <a:picLocks noChangeAspect="1"/>
                          </pic:cNvPicPr>
                        </pic:nvPicPr>
                        <pic:blipFill>
                          <a:blip r:embed="rId156" cstate="print">
                            <a:extLst>
                              <a:ext uri="{28A0092B-C50C-407E-A947-70E740481C1C}">
                                <a14:useLocalDpi xmlns:a14="http://schemas.microsoft.com/office/drawing/2010/main" val="0"/>
                              </a:ext>
                            </a:extLst>
                          </a:blip>
                          <a:srcRect l="43164" t="11133" r="54204" b="28212"/>
                          <a:stretch>
                            <a:fillRect/>
                          </a:stretch>
                        </pic:blipFill>
                        <pic:spPr>
                          <a:xfrm>
                            <a:off x="612775" y="0"/>
                            <a:ext cx="142240" cy="245745"/>
                          </a:xfrm>
                          <a:prstGeom prst="rect">
                            <a:avLst/>
                          </a:prstGeom>
                          <a:noFill/>
                          <a:ln>
                            <a:noFill/>
                          </a:ln>
                        </pic:spPr>
                      </pic:pic>
                    </wpg:wgp>
                  </a:graphicData>
                </a:graphic>
              </wp:anchor>
            </w:drawing>
          </mc:Choice>
          <mc:Fallback>
            <w:pict>
              <v:group id="_x0000_s1026" o:spid="_x0000_s1026" o:spt="203" style="position:absolute;left:0pt;margin-left:180.75pt;margin-top:59.3pt;height:125.6pt;width:115.25pt;z-index:251650048;mso-width-relative:page;mso-height-relative:page;" coordsize="1463675,1595120" o:gfxdata="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">
                <o:lock v:ext="edit" aspectratio="f"/>
                <v:shape id="_x0000_s1026" o:spid="_x0000_s1026" o:spt="75" type="#_x0000_t75" style="position:absolute;left:1263650;top:1349375;height:245745;width:133350;" filled="f" o:preferrelative="t" stroked="f" coordsize="21600,21600" o:gfxdata="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oDrNrsAAADc&#10;AAAADwAAAAAAAAABACAAAAAiAAAAZHJzL2Rvd25yZXYueG1sUEsBAhQAFAAAAAgAh07iQDMvBZ47&#10;AAAAOQAAABAAAAAAAAAAAQAgAAAACgEAAGRycy9zaGFwZXhtbC54bWxQSwUGAAAAAAYABgBbAQAA&#10;tAMAAAAA&#10;">
                  <v:fill on="f" focussize="0,0"/>
                  <v:stroke on="f"/>
                  <v:imagedata r:id="rId156" cropleft="25054f" croptop="7296f" cropright="38865f" cropbottom="18489f" o:title=""/>
                  <o:lock v:ext="edit" aspectratio="t"/>
                </v:shape>
                <v:shape id="_x0000_s1026" o:spid="_x0000_s1026" o:spt="75" type="#_x0000_t75" style="position:absolute;left:0;top:0;height:360045;width:163830;" filled="f" o:preferrelative="t" stroked="f" coordsize="21600,21600" o:gfxdata="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iHMlL4A&#10;AADcAAAADwAAAAAAAAABACAAAAAiAAAAZHJzL2Rvd25yZXYueG1sUEsBAhQAFAAAAAgAh07iQDMv&#10;BZ47AAAAOQAAABAAAAAAAAAAAQAgAAAADQEAAGRycy9zaGFwZXhtbC54bWxQSwUGAAAAAAYABgBb&#10;AQAAtwMAAAAA&#10;">
                  <v:fill on="f" focussize="0,0"/>
                  <v:stroke on="f"/>
                  <v:imagedata r:id="rId156" cropleft="23375f" croptop="7296f" cropright="40174f" o:title=""/>
                  <o:lock v:ext="edit" aspectratio="t"/>
                </v:shape>
                <v:shape id="_x0000_s1026" o:spid="_x0000_s1026" o:spt="75" type="#_x0000_t75" style="position:absolute;left:1292225;top:15875;height:245745;width:171450;" filled="f" o:preferrelative="t" stroked="f" coordsize="21600,21600" o:gfxdata="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kobsW/&#10;AAAA3AAAAA8AAAAAAAAAAQAgAAAAIgAAAGRycy9kb3ducmV2LnhtbFBLAQIUABQAAAAIAIdO4kAz&#10;LwWeOwAAADkAAAAQAAAAAAAAAAEAIAAAAA4BAABkcnMvc2hhcGV4bWwueG1sUEsFBgAAAAAGAAYA&#10;WwEAALgDAAAAAA==&#10;">
                  <v:fill on="f" focussize="0,0"/>
                  <v:stroke on="f"/>
                  <v:imagedata r:id="rId156" cropleft="26902f" croptop="7296f" cropright="36555f" cropbottom="18489f" o:title=""/>
                  <o:lock v:ext="edit" aspectratio="t"/>
                </v:shape>
                <v:shape id="_x0000_s1026" o:spid="_x0000_s1026" o:spt="75" type="#_x0000_t75" style="position:absolute;left:612775;top:0;height:245745;width:142240;" filled="f" o:preferrelative="t" stroked="f" coordsize="21600,21600" o:gfxdata="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vYuYugAAANwA&#10;AAAPAAAAAAAAAAEAIAAAACIAAABkcnMvZG93bnJldi54bWxQSwECFAAUAAAACACHTuJAMy8FnjsA&#10;AAA5AAAAEAAAAAAAAAABACAAAAAJAQAAZHJzL3NoYXBleG1sLnhtbFBLBQYAAAAABgAGAFsBAACz&#10;AwAAAAA=&#10;">
                  <v:fill on="f" focussize="0,0"/>
                  <v:stroke on="f"/>
                  <v:imagedata r:id="rId156" cropleft="28288f" croptop="7296f" cropright="35523f" cropbottom="18489f" o:title=""/>
                  <o:lock v:ext="edit" aspectratio="t"/>
                </v:shape>
              </v:group>
            </w:pict>
          </mc:Fallback>
        </mc:AlternateContent>
      </w:r>
      <w:r>
        <w:rPr>
          <w:rFonts w:ascii="宋体" w:hAnsi="宋体"/>
          <w:bCs/>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空腹夹层板的基本构件包括下肋、剪力键、上肋和上表层薄板，如</w:t>
      </w: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2</w:t>
      </w:r>
      <w:r>
        <w:rPr>
          <w:rFonts w:ascii="宋体" w:hAnsi="宋体"/>
          <w:bCs/>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1-1（a）、（b）、(c)所示。其中U型钢板-混凝土组合空腹夹层板下肋是混凝土外包U型钢板组合，如图（b）所示。</w:t>
      </w:r>
    </w:p>
    <w:p>
      <w:pPr>
        <w:ind w:firstLine="562"/>
        <w:jc w:val="center"/>
        <w:rPr>
          <w:rFonts w:ascii="Calibri" w:hAnsi="Calibri" w:cs="Calibri"/>
          <w:b/>
          <w:bCs/>
          <w:color w:val="000000" w:themeColor="text1"/>
          <w:sz w:val="28"/>
          <w:szCs w:val="28"/>
          <w:u w:val="wavyHeavy"/>
          <w14:textFill>
            <w14:solidFill>
              <w14:schemeClr w14:val="tx1"/>
            </w14:solidFill>
          </w14:textFill>
        </w:rPr>
      </w:pPr>
      <w:r>
        <w:rPr>
          <w:rFonts w:ascii="Calibri" w:hAnsi="Calibri" w:cs="Calibri"/>
          <w:b/>
          <w:bCs/>
          <w:color w:val="000000" w:themeColor="text1"/>
          <w:sz w:val="28"/>
          <w:szCs w:val="28"/>
          <w14:textFill>
            <w14:solidFill>
              <w14:schemeClr w14:val="tx1"/>
            </w14:solidFill>
          </w14:textFill>
        </w:rPr>
        <w:drawing>
          <wp:inline distT="0" distB="0" distL="0" distR="0">
            <wp:extent cx="2508885" cy="1657350"/>
            <wp:effectExtent l="0" t="0" r="5715"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a:xfrm>
                      <a:off x="0" y="0"/>
                      <a:ext cx="2514870" cy="1661237"/>
                    </a:xfrm>
                    <a:prstGeom prst="rect">
                      <a:avLst/>
                    </a:prstGeom>
                    <a:noFill/>
                    <a:ln>
                      <a:noFill/>
                    </a:ln>
                  </pic:spPr>
                </pic:pic>
              </a:graphicData>
            </a:graphic>
          </wp:inline>
        </w:drawing>
      </w:r>
    </w:p>
    <w:p>
      <w:pPr>
        <w:pStyle w:val="53"/>
        <w:numPr>
          <w:ilvl w:val="0"/>
          <w:numId w:val="8"/>
        </w:numPr>
        <w:spacing w:line="360" w:lineRule="auto"/>
        <w:ind w:firstLineChars="0"/>
        <w:jc w:val="center"/>
        <w:rPr>
          <w:bCs/>
          <w:color w:val="000000" w:themeColor="text1"/>
          <w:kern w:val="0"/>
          <w:sz w:val="18"/>
          <w:szCs w:val="18"/>
          <w14:textFill>
            <w14:solidFill>
              <w14:schemeClr w14:val="tx1"/>
            </w14:solidFill>
          </w14:textFill>
        </w:rPr>
      </w:pPr>
      <w:r>
        <w:rPr>
          <w:rFonts w:hAnsi="宋体"/>
          <w:bCs/>
          <w:color w:val="000000" w:themeColor="text1"/>
          <w:kern w:val="0"/>
          <w:sz w:val="18"/>
          <w:szCs w:val="18"/>
          <w14:textFill>
            <w14:solidFill>
              <w14:schemeClr w14:val="tx1"/>
            </w14:solidFill>
          </w14:textFill>
        </w:rPr>
        <w:t>钢筋混凝土空腹夹层板</w:t>
      </w:r>
    </w:p>
    <w:p>
      <w:pPr>
        <w:spacing w:line="360" w:lineRule="auto"/>
        <w:ind w:firstLine="1890" w:firstLineChars="1050"/>
        <w:jc w:val="left"/>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mc:AlternateContent>
          <mc:Choice Requires="wpg">
            <w:drawing>
              <wp:anchor distT="0" distB="0" distL="114300" distR="114300" simplePos="0" relativeHeight="251656192" behindDoc="0" locked="0" layoutInCell="1" allowOverlap="1">
                <wp:simplePos x="0" y="0"/>
                <wp:positionH relativeFrom="column">
                  <wp:posOffset>2049780</wp:posOffset>
                </wp:positionH>
                <wp:positionV relativeFrom="paragraph">
                  <wp:posOffset>98425</wp:posOffset>
                </wp:positionV>
                <wp:extent cx="1530350" cy="1454785"/>
                <wp:effectExtent l="0" t="0" r="0" b="0"/>
                <wp:wrapNone/>
                <wp:docPr id="8" name="组合 8"/>
                <wp:cNvGraphicFramePr/>
                <a:graphic xmlns:a="http://schemas.openxmlformats.org/drawingml/2006/main">
                  <a:graphicData uri="http://schemas.microsoft.com/office/word/2010/wordprocessingGroup">
                    <wpg:wgp>
                      <wpg:cNvGrpSpPr/>
                      <wpg:grpSpPr>
                        <a:xfrm>
                          <a:off x="0" y="0"/>
                          <a:ext cx="1530350" cy="1454785"/>
                          <a:chOff x="0" y="0"/>
                          <a:chExt cx="1530350" cy="1454785"/>
                        </a:xfrm>
                      </wpg:grpSpPr>
                      <pic:pic xmlns:pic="http://schemas.openxmlformats.org/drawingml/2006/picture">
                        <pic:nvPicPr>
                          <pic:cNvPr id="104" name="图片 104"/>
                          <pic:cNvPicPr>
                            <a:picLocks noChangeAspect="1"/>
                          </pic:cNvPicPr>
                        </pic:nvPicPr>
                        <pic:blipFill>
                          <a:blip r:embed="rId156" cstate="print">
                            <a:extLst>
                              <a:ext uri="{28A0092B-C50C-407E-A947-70E740481C1C}">
                                <a14:useLocalDpi xmlns:a14="http://schemas.microsoft.com/office/drawing/2010/main" val="0"/>
                              </a:ext>
                            </a:extLst>
                          </a:blip>
                          <a:srcRect l="46101" t="11133" r="51477" b="28212"/>
                          <a:stretch>
                            <a:fillRect/>
                          </a:stretch>
                        </pic:blipFill>
                        <pic:spPr>
                          <a:xfrm>
                            <a:off x="127000" y="1209040"/>
                            <a:ext cx="130810" cy="245745"/>
                          </a:xfrm>
                          <a:prstGeom prst="rect">
                            <a:avLst/>
                          </a:prstGeom>
                          <a:noFill/>
                          <a:ln>
                            <a:noFill/>
                          </a:ln>
                        </pic:spPr>
                      </pic:pic>
                      <pic:pic xmlns:pic="http://schemas.openxmlformats.org/drawingml/2006/picture">
                        <pic:nvPicPr>
                          <pic:cNvPr id="105" name="图片 105"/>
                          <pic:cNvPicPr>
                            <a:picLocks noChangeAspect="1"/>
                          </pic:cNvPicPr>
                        </pic:nvPicPr>
                        <pic:blipFill>
                          <a:blip r:embed="rId158" cstate="print">
                            <a:extLst>
                              <a:ext uri="{28A0092B-C50C-407E-A947-70E740481C1C}">
                                <a14:useLocalDpi xmlns:a14="http://schemas.microsoft.com/office/drawing/2010/main" val="0"/>
                              </a:ext>
                            </a:extLst>
                          </a:blip>
                          <a:srcRect l="13530" t="-4320" r="83760" b="-3673"/>
                          <a:stretch>
                            <a:fillRect/>
                          </a:stretch>
                        </pic:blipFill>
                        <pic:spPr>
                          <a:xfrm>
                            <a:off x="0" y="66040"/>
                            <a:ext cx="244475" cy="206375"/>
                          </a:xfrm>
                          <a:prstGeom prst="rect">
                            <a:avLst/>
                          </a:prstGeom>
                          <a:noFill/>
                          <a:ln>
                            <a:noFill/>
                          </a:ln>
                        </pic:spPr>
                      </pic:pic>
                      <pic:pic xmlns:pic="http://schemas.openxmlformats.org/drawingml/2006/picture">
                        <pic:nvPicPr>
                          <pic:cNvPr id="106" name="图片 106"/>
                          <pic:cNvPicPr>
                            <a:picLocks noChangeAspect="1"/>
                          </pic:cNvPicPr>
                        </pic:nvPicPr>
                        <pic:blipFill>
                          <a:blip r:embed="rId156" cstate="print">
                            <a:extLst>
                              <a:ext uri="{28A0092B-C50C-407E-A947-70E740481C1C}">
                                <a14:useLocalDpi xmlns:a14="http://schemas.microsoft.com/office/drawing/2010/main" val="0"/>
                              </a:ext>
                            </a:extLst>
                          </a:blip>
                          <a:srcRect l="43164" t="11133" r="54204" b="28212"/>
                          <a:stretch>
                            <a:fillRect/>
                          </a:stretch>
                        </pic:blipFill>
                        <pic:spPr>
                          <a:xfrm>
                            <a:off x="685800" y="10160"/>
                            <a:ext cx="142240" cy="245745"/>
                          </a:xfrm>
                          <a:prstGeom prst="rect">
                            <a:avLst/>
                          </a:prstGeom>
                          <a:noFill/>
                          <a:ln>
                            <a:noFill/>
                          </a:ln>
                        </pic:spPr>
                      </pic:pic>
                      <pic:pic xmlns:pic="http://schemas.openxmlformats.org/drawingml/2006/picture">
                        <pic:nvPicPr>
                          <pic:cNvPr id="102" name="图片 102"/>
                          <pic:cNvPicPr>
                            <a:picLocks noChangeAspect="1"/>
                          </pic:cNvPicPr>
                        </pic:nvPicPr>
                        <pic:blipFill>
                          <a:blip r:embed="rId156" cstate="print">
                            <a:extLst>
                              <a:ext uri="{28A0092B-C50C-407E-A947-70E740481C1C}">
                                <a14:useLocalDpi xmlns:a14="http://schemas.microsoft.com/office/drawing/2010/main" val="0"/>
                              </a:ext>
                            </a:extLst>
                          </a:blip>
                          <a:srcRect l="41049" t="11133" r="55779" b="28212"/>
                          <a:stretch>
                            <a:fillRect/>
                          </a:stretch>
                        </pic:blipFill>
                        <pic:spPr>
                          <a:xfrm>
                            <a:off x="1358900" y="0"/>
                            <a:ext cx="171450" cy="245745"/>
                          </a:xfrm>
                          <a:prstGeom prst="rect">
                            <a:avLst/>
                          </a:prstGeom>
                          <a:noFill/>
                          <a:ln>
                            <a:noFill/>
                          </a:ln>
                        </pic:spPr>
                      </pic:pic>
                      <pic:pic xmlns:pic="http://schemas.openxmlformats.org/drawingml/2006/picture">
                        <pic:nvPicPr>
                          <pic:cNvPr id="103" name="图片 103"/>
                          <pic:cNvPicPr>
                            <a:picLocks noChangeAspect="1"/>
                          </pic:cNvPicPr>
                        </pic:nvPicPr>
                        <pic:blipFill>
                          <a:blip r:embed="rId156" cstate="print">
                            <a:extLst>
                              <a:ext uri="{28A0092B-C50C-407E-A947-70E740481C1C}">
                                <a14:useLocalDpi xmlns:a14="http://schemas.microsoft.com/office/drawing/2010/main" val="0"/>
                              </a:ext>
                            </a:extLst>
                          </a:blip>
                          <a:srcRect l="38229" t="11133" r="59303" b="28212"/>
                          <a:stretch>
                            <a:fillRect/>
                          </a:stretch>
                        </pic:blipFill>
                        <pic:spPr>
                          <a:xfrm>
                            <a:off x="1323340" y="1183640"/>
                            <a:ext cx="133350" cy="245745"/>
                          </a:xfrm>
                          <a:prstGeom prst="rect">
                            <a:avLst/>
                          </a:prstGeom>
                          <a:noFill/>
                          <a:ln>
                            <a:noFill/>
                          </a:ln>
                        </pic:spPr>
                      </pic:pic>
                    </wpg:wgp>
                  </a:graphicData>
                </a:graphic>
              </wp:anchor>
            </w:drawing>
          </mc:Choice>
          <mc:Fallback>
            <w:pict>
              <v:group id="_x0000_s1026" o:spid="_x0000_s1026" o:spt="203" style="position:absolute;left:0pt;margin-left:161.4pt;margin-top:7.75pt;height:114.55pt;width:120.5pt;z-index:251656192;mso-width-relative:page;mso-height-relative:page;" coordsize="1530350,1454785" o:gfxdata="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">
                <o:lock v:ext="edit" aspectratio="f"/>
                <v:shape id="_x0000_s1026" o:spid="_x0000_s1026" o:spt="75" type="#_x0000_t75" style="position:absolute;left:127000;top:1209040;height:245745;width:130810;" filled="f" o:preferrelative="t" stroked="f" coordsize="21600,21600" o:gfxdata="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RaDX7gAAADcAAAA&#10;DwAAAAAAAAABACAAAAAiAAAAZHJzL2Rvd25yZXYueG1sUEsBAhQAFAAAAAgAh07iQDMvBZ47AAAA&#10;OQAAABAAAAAAAAAAAQAgAAAABwEAAGRycy9zaGFwZXhtbC54bWxQSwUGAAAAAAYABgBbAQAAsQMA&#10;AAAA&#10;">
                  <v:fill on="f" focussize="0,0"/>
                  <v:stroke on="f"/>
                  <v:imagedata r:id="rId156" cropleft="30213f" croptop="7296f" cropright="33736f" cropbottom="18489f" o:title=""/>
                  <o:lock v:ext="edit" aspectratio="t"/>
                </v:shape>
                <v:shape id="_x0000_s1026" o:spid="_x0000_s1026" o:spt="75" type="#_x0000_t75" style="position:absolute;left:0;top:66040;height:206375;width:244475;" filled="f" o:preferrelative="t" stroked="f" coordsize="21600,21600" o:gfxdata="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oqgbsAAADc&#10;AAAADwAAAAAAAAABACAAAAAiAAAAZHJzL2Rvd25yZXYueG1sUEsBAhQAFAAAAAgAh07iQDMvBZ47&#10;AAAAOQAAABAAAAAAAAAAAQAgAAAACgEAAGRycy9zaGFwZXhtbC54bWxQSwUGAAAAAAYABgBbAQAA&#10;tAMAAAAA&#10;">
                  <v:fill on="f" focussize="0,0"/>
                  <v:stroke on="f"/>
                  <v:imagedata r:id="rId158" cropleft="8867f" croptop="-2831f" cropright="54893f" cropbottom="-2407f" o:title=""/>
                  <o:lock v:ext="edit" aspectratio="t"/>
                </v:shape>
                <v:shape id="_x0000_s1026" o:spid="_x0000_s1026" o:spt="75" type="#_x0000_t75" style="position:absolute;left:685800;top:10160;height:245745;width:142240;" filled="f" o:preferrelative="t" stroked="f" coordsize="21600,21600" o:gfxdata="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vxLgO5AAAA3AAA&#10;AA8AAAAAAAAAAQAgAAAAIgAAAGRycy9kb3ducmV2LnhtbFBLAQIUABQAAAAIAIdO4kAzLwWeOwAA&#10;ADkAAAAQAAAAAAAAAAEAIAAAAAgBAABkcnMvc2hhcGV4bWwueG1sUEsFBgAAAAAGAAYAWwEAALID&#10;AAAAAA==&#10;">
                  <v:fill on="f" focussize="0,0"/>
                  <v:stroke on="f"/>
                  <v:imagedata r:id="rId156" cropleft="28288f" croptop="7296f" cropright="35523f" cropbottom="18489f" o:title=""/>
                  <o:lock v:ext="edit" aspectratio="t"/>
                </v:shape>
                <v:shape id="_x0000_s1026" o:spid="_x0000_s1026" o:spt="75" type="#_x0000_t75" style="position:absolute;left:1358900;top:0;height:245745;width:171450;" filled="f" o:preferrelative="t" stroked="f" coordsize="21600,21600" o:gfxdata="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vw/S8AAAA&#10;3AAAAA8AAAAAAAAAAQAgAAAAIgAAAGRycy9kb3ducmV2LnhtbFBLAQIUABQAAAAIAIdO4kAzLwWe&#10;OwAAADkAAAAQAAAAAAAAAAEAIAAAAAsBAABkcnMvc2hhcGV4bWwueG1sUEsFBgAAAAAGAAYAWwEA&#10;ALUDAAAAAA==&#10;">
                  <v:fill on="f" focussize="0,0"/>
                  <v:stroke on="f"/>
                  <v:imagedata r:id="rId156" cropleft="26902f" croptop="7296f" cropright="36555f" cropbottom="18489f" o:title=""/>
                  <o:lock v:ext="edit" aspectratio="t"/>
                </v:shape>
                <v:shape id="_x0000_s1026" o:spid="_x0000_s1026" o:spt="75" type="#_x0000_t75" style="position:absolute;left:1323340;top:1183640;height:245745;width:133350;" filled="f" o:preferrelative="t" stroked="f" coordsize="21600,21600" o:gfxdata="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9o3Ny8AAAA&#10;3AAAAA8AAAAAAAAAAQAgAAAAIgAAAGRycy9kb3ducmV2LnhtbFBLAQIUABQAAAAIAIdO4kAzLwWe&#10;OwAAADkAAAAQAAAAAAAAAAEAIAAAAAsBAABkcnMvc2hhcGV4bWwueG1sUEsFBgAAAAAGAAYAWwEA&#10;ALUDAAAAAA==&#10;">
                  <v:fill on="f" focussize="0,0"/>
                  <v:stroke on="f"/>
                  <v:imagedata r:id="rId156" cropleft="25054f" croptop="7296f" cropright="38865f" cropbottom="18489f" o:title=""/>
                  <o:lock v:ext="edit" aspectratio="t"/>
                </v:shape>
              </v:group>
            </w:pict>
          </mc:Fallback>
        </mc:AlternateContent>
      </w:r>
    </w:p>
    <w:p>
      <w:pPr>
        <w:ind w:firstLine="0" w:firstLineChars="0"/>
        <w:jc w:val="center"/>
        <w:rPr>
          <w:rFonts w:ascii="Calibri" w:hAnsi="Calibri" w:cs="Calibri"/>
          <w:b/>
          <w:bCs/>
          <w:color w:val="000000" w:themeColor="text1"/>
          <w:sz w:val="28"/>
          <w:szCs w:val="28"/>
          <w:u w:val="wavyHeavy"/>
          <w14:textFill>
            <w14:solidFill>
              <w14:schemeClr w14:val="tx1"/>
            </w14:solidFill>
          </w14:textFill>
        </w:rPr>
      </w:pPr>
      <w:r>
        <w:rPr>
          <w:rFonts w:ascii="Calibri" w:hAnsi="Calibri" w:cs="Calibri"/>
          <w:b/>
          <w:bCs/>
          <w:color w:val="000000" w:themeColor="text1"/>
          <w:sz w:val="28"/>
          <w:szCs w:val="28"/>
          <w14:textFill>
            <w14:solidFill>
              <w14:schemeClr w14:val="tx1"/>
            </w14:solidFill>
          </w14:textFill>
        </w:rPr>
        <w:drawing>
          <wp:inline distT="0" distB="0" distL="0" distR="0">
            <wp:extent cx="2388235" cy="1460500"/>
            <wp:effectExtent l="0" t="0" r="0" b="635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a:xfrm>
                      <a:off x="0" y="0"/>
                      <a:ext cx="2399637" cy="1467136"/>
                    </a:xfrm>
                    <a:prstGeom prst="rect">
                      <a:avLst/>
                    </a:prstGeom>
                    <a:noFill/>
                    <a:ln>
                      <a:noFill/>
                    </a:ln>
                  </pic:spPr>
                </pic:pic>
              </a:graphicData>
            </a:graphic>
          </wp:inline>
        </w:drawing>
      </w:r>
    </w:p>
    <w:p>
      <w:pPr>
        <w:spacing w:line="360" w:lineRule="auto"/>
        <w:ind w:firstLine="2250" w:firstLineChars="1250"/>
        <w:jc w:val="left"/>
        <w:rPr>
          <w:bCs/>
          <w:color w:val="000000" w:themeColor="text1"/>
          <w:kern w:val="0"/>
          <w:sz w:val="18"/>
          <w:szCs w:val="18"/>
          <w14:textFill>
            <w14:solidFill>
              <w14:schemeClr w14:val="tx1"/>
            </w14:solidFill>
          </w14:textFill>
        </w:rPr>
      </w:pPr>
    </w:p>
    <w:p>
      <w:pPr>
        <w:pStyle w:val="53"/>
        <w:numPr>
          <w:ilvl w:val="0"/>
          <w:numId w:val="8"/>
        </w:numPr>
        <w:spacing w:line="360" w:lineRule="auto"/>
        <w:ind w:firstLineChars="0"/>
        <w:jc w:val="center"/>
        <w:rPr>
          <w:rFonts w:hAnsi="宋体"/>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U</w:t>
      </w:r>
      <w:r>
        <w:rPr>
          <w:rFonts w:hAnsi="宋体"/>
          <w:bCs/>
          <w:color w:val="000000" w:themeColor="text1"/>
          <w:kern w:val="0"/>
          <w:sz w:val="18"/>
          <w:szCs w:val="18"/>
          <w14:textFill>
            <w14:solidFill>
              <w14:schemeClr w14:val="tx1"/>
            </w14:solidFill>
          </w14:textFill>
        </w:rPr>
        <w:t>型钢板</w:t>
      </w:r>
      <w:r>
        <w:rPr>
          <w:bCs/>
          <w:color w:val="000000" w:themeColor="text1"/>
          <w:kern w:val="0"/>
          <w:sz w:val="18"/>
          <w:szCs w:val="18"/>
          <w14:textFill>
            <w14:solidFill>
              <w14:schemeClr w14:val="tx1"/>
            </w14:solidFill>
          </w14:textFill>
        </w:rPr>
        <w:t>-</w:t>
      </w:r>
      <w:r>
        <w:rPr>
          <w:rFonts w:hAnsi="宋体"/>
          <w:bCs/>
          <w:color w:val="000000" w:themeColor="text1"/>
          <w:kern w:val="0"/>
          <w:sz w:val="18"/>
          <w:szCs w:val="18"/>
          <w14:textFill>
            <w14:solidFill>
              <w14:schemeClr w14:val="tx1"/>
            </w14:solidFill>
          </w14:textFill>
        </w:rPr>
        <w:t>混凝土空腹夹层板；</w:t>
      </w:r>
    </w:p>
    <w:p>
      <w:pPr>
        <w:widowControl/>
        <w:spacing w:line="360" w:lineRule="auto"/>
        <w:ind w:firstLine="480"/>
        <w:jc w:val="center"/>
        <w:rPr>
          <w:rFonts w:ascii="宋体" w:hAnsi="宋体" w:cs="宋体"/>
          <w:bCs/>
          <w:color w:val="000000" w:themeColor="text1"/>
          <w:kern w:val="0"/>
          <w:sz w:val="24"/>
          <w:szCs w:val="24"/>
          <w14:textFill>
            <w14:solidFill>
              <w14:schemeClr w14:val="tx1"/>
            </w14:solidFill>
          </w14:textFill>
        </w:rPr>
      </w:pPr>
      <w:r>
        <w:rPr>
          <w:rFonts w:ascii="宋体" w:hAnsi="宋体" w:cs="宋体"/>
          <w:bCs/>
          <w:color w:val="000000" w:themeColor="text1"/>
          <w:kern w:val="0"/>
          <w:sz w:val="24"/>
          <w:szCs w:val="24"/>
          <w14:textFill>
            <w14:solidFill>
              <w14:schemeClr w14:val="tx1"/>
            </w14:solidFill>
          </w14:textFill>
        </w:rPr>
        <mc:AlternateContent>
          <mc:Choice Requires="wpg">
            <w:drawing>
              <wp:anchor distT="0" distB="0" distL="114300" distR="114300" simplePos="0" relativeHeight="251660288" behindDoc="0" locked="0" layoutInCell="1" allowOverlap="1">
                <wp:simplePos x="0" y="0"/>
                <wp:positionH relativeFrom="column">
                  <wp:posOffset>2402840</wp:posOffset>
                </wp:positionH>
                <wp:positionV relativeFrom="paragraph">
                  <wp:posOffset>-165735</wp:posOffset>
                </wp:positionV>
                <wp:extent cx="1536065" cy="1728470"/>
                <wp:effectExtent l="0" t="0" r="0" b="0"/>
                <wp:wrapNone/>
                <wp:docPr id="11" name="组合 11"/>
                <wp:cNvGraphicFramePr/>
                <a:graphic xmlns:a="http://schemas.openxmlformats.org/drawingml/2006/main">
                  <a:graphicData uri="http://schemas.microsoft.com/office/word/2010/wordprocessingGroup">
                    <wpg:wgp>
                      <wpg:cNvGrpSpPr/>
                      <wpg:grpSpPr>
                        <a:xfrm>
                          <a:off x="0" y="0"/>
                          <a:ext cx="1536123" cy="1728182"/>
                          <a:chOff x="0" y="0"/>
                          <a:chExt cx="1536123" cy="1728182"/>
                        </a:xfrm>
                      </wpg:grpSpPr>
                      <pic:pic xmlns:pic="http://schemas.openxmlformats.org/drawingml/2006/picture">
                        <pic:nvPicPr>
                          <pic:cNvPr id="95" name="图片 95"/>
                          <pic:cNvPicPr>
                            <a:picLocks noChangeAspect="1"/>
                          </pic:cNvPicPr>
                        </pic:nvPicPr>
                        <pic:blipFill>
                          <a:blip r:embed="rId158" cstate="print">
                            <a:extLst>
                              <a:ext uri="{28A0092B-C50C-407E-A947-70E740481C1C}">
                                <a14:useLocalDpi xmlns:a14="http://schemas.microsoft.com/office/drawing/2010/main" val="0"/>
                              </a:ext>
                            </a:extLst>
                          </a:blip>
                          <a:srcRect l="13530" t="-4320" r="83760" b="-3673"/>
                          <a:stretch>
                            <a:fillRect/>
                          </a:stretch>
                        </pic:blipFill>
                        <pic:spPr>
                          <a:xfrm>
                            <a:off x="0" y="148937"/>
                            <a:ext cx="244475" cy="206375"/>
                          </a:xfrm>
                          <a:prstGeom prst="rect">
                            <a:avLst/>
                          </a:prstGeom>
                          <a:noFill/>
                          <a:ln>
                            <a:noFill/>
                          </a:ln>
                        </pic:spPr>
                      </pic:pic>
                      <pic:pic xmlns:pic="http://schemas.openxmlformats.org/drawingml/2006/picture">
                        <pic:nvPicPr>
                          <pic:cNvPr id="94" name="图片 94"/>
                          <pic:cNvPicPr>
                            <a:picLocks noChangeAspect="1"/>
                          </pic:cNvPicPr>
                        </pic:nvPicPr>
                        <pic:blipFill>
                          <a:blip r:embed="rId156" cstate="print">
                            <a:extLst>
                              <a:ext uri="{28A0092B-C50C-407E-A947-70E740481C1C}">
                                <a14:useLocalDpi xmlns:a14="http://schemas.microsoft.com/office/drawing/2010/main" val="0"/>
                              </a:ext>
                            </a:extLst>
                          </a:blip>
                          <a:srcRect l="43164" t="11133" r="54204" b="28212"/>
                          <a:stretch>
                            <a:fillRect/>
                          </a:stretch>
                        </pic:blipFill>
                        <pic:spPr>
                          <a:xfrm>
                            <a:off x="1222664" y="838200"/>
                            <a:ext cx="142240" cy="245745"/>
                          </a:xfrm>
                          <a:prstGeom prst="rect">
                            <a:avLst/>
                          </a:prstGeom>
                          <a:noFill/>
                          <a:ln>
                            <a:noFill/>
                          </a:ln>
                        </pic:spPr>
                      </pic:pic>
                      <pic:pic xmlns:pic="http://schemas.openxmlformats.org/drawingml/2006/picture">
                        <pic:nvPicPr>
                          <pic:cNvPr id="96" name="图片 96"/>
                          <pic:cNvPicPr>
                            <a:picLocks noChangeAspect="1"/>
                          </pic:cNvPicPr>
                        </pic:nvPicPr>
                        <pic:blipFill>
                          <a:blip r:embed="rId156" cstate="print">
                            <a:extLst>
                              <a:ext uri="{28A0092B-C50C-407E-A947-70E740481C1C}">
                                <a14:useLocalDpi xmlns:a14="http://schemas.microsoft.com/office/drawing/2010/main" val="0"/>
                              </a:ext>
                            </a:extLst>
                          </a:blip>
                          <a:srcRect l="41049" t="11133" r="55779" b="28212"/>
                          <a:stretch>
                            <a:fillRect/>
                          </a:stretch>
                        </pic:blipFill>
                        <pic:spPr>
                          <a:xfrm>
                            <a:off x="1364673" y="0"/>
                            <a:ext cx="171450" cy="209550"/>
                          </a:xfrm>
                          <a:prstGeom prst="rect">
                            <a:avLst/>
                          </a:prstGeom>
                          <a:noFill/>
                          <a:ln>
                            <a:noFill/>
                          </a:ln>
                        </pic:spPr>
                      </pic:pic>
                      <pic:pic xmlns:pic="http://schemas.openxmlformats.org/drawingml/2006/picture">
                        <pic:nvPicPr>
                          <pic:cNvPr id="93" name="图片 93"/>
                          <pic:cNvPicPr>
                            <a:picLocks noChangeAspect="1"/>
                          </pic:cNvPicPr>
                        </pic:nvPicPr>
                        <pic:blipFill>
                          <a:blip r:embed="rId156" cstate="print">
                            <a:extLst>
                              <a:ext uri="{28A0092B-C50C-407E-A947-70E740481C1C}">
                                <a14:useLocalDpi xmlns:a14="http://schemas.microsoft.com/office/drawing/2010/main" val="0"/>
                              </a:ext>
                            </a:extLst>
                          </a:blip>
                          <a:srcRect l="38229" t="11133" r="59303" b="28212"/>
                          <a:stretch>
                            <a:fillRect/>
                          </a:stretch>
                        </pic:blipFill>
                        <pic:spPr>
                          <a:xfrm>
                            <a:off x="1184564" y="1482437"/>
                            <a:ext cx="133350" cy="245745"/>
                          </a:xfrm>
                          <a:prstGeom prst="rect">
                            <a:avLst/>
                          </a:prstGeom>
                          <a:noFill/>
                          <a:ln>
                            <a:noFill/>
                          </a:ln>
                        </pic:spPr>
                      </pic:pic>
                    </wpg:wgp>
                  </a:graphicData>
                </a:graphic>
              </wp:anchor>
            </w:drawing>
          </mc:Choice>
          <mc:Fallback>
            <w:pict>
              <v:group id="_x0000_s1026" o:spid="_x0000_s1026" o:spt="203" style="position:absolute;left:0pt;margin-left:189.2pt;margin-top:-13.05pt;height:136.1pt;width:120.95pt;z-index:251660288;mso-width-relative:page;mso-height-relative:page;" coordsize="1536123,1728182" o:gfxdata="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">
                <o:lock v:ext="edit" aspectratio="f"/>
                <v:shape id="_x0000_s1026" o:spid="_x0000_s1026" o:spt="75" type="#_x0000_t75" style="position:absolute;left:0;top:148937;height:206375;width:244475;" filled="f" o:preferrelative="t" stroked="f" coordsize="21600,21600" o:gfxdata="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TcUvQAA&#10;ANsAAAAPAAAAAAAAAAEAIAAAACIAAABkcnMvZG93bnJldi54bWxQSwECFAAUAAAACACHTuJAMy8F&#10;njsAAAA5AAAAEAAAAAAAAAABACAAAAAMAQAAZHJzL3NoYXBleG1sLnhtbFBLBQYAAAAABgAGAFsB&#10;AAC2AwAAAAA=&#10;">
                  <v:fill on="f" focussize="0,0"/>
                  <v:stroke on="f"/>
                  <v:imagedata r:id="rId158" cropleft="8867f" croptop="-2831f" cropright="54893f" cropbottom="-2407f" o:title=""/>
                  <o:lock v:ext="edit" aspectratio="t"/>
                </v:shape>
                <v:shape id="_x0000_s1026" o:spid="_x0000_s1026" o:spt="75" type="#_x0000_t75" style="position:absolute;left:1222664;top:838200;height:245745;width:142240;" filled="f" o:preferrelative="t" stroked="f" coordsize="21600,21600" o:gfxdata="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UXzxq5AAAA2wAA&#10;AA8AAAAAAAAAAQAgAAAAIgAAAGRycy9kb3ducmV2LnhtbFBLAQIUABQAAAAIAIdO4kAzLwWeOwAA&#10;ADkAAAAQAAAAAAAAAAEAIAAAAAgBAABkcnMvc2hhcGV4bWwueG1sUEsFBgAAAAAGAAYAWwEAALID&#10;AAAAAA==&#10;">
                  <v:fill on="f" focussize="0,0"/>
                  <v:stroke on="f"/>
                  <v:imagedata r:id="rId156" cropleft="28288f" croptop="7296f" cropright="35523f" cropbottom="18489f" o:title=""/>
                  <o:lock v:ext="edit" aspectratio="t"/>
                </v:shape>
                <v:shape id="_x0000_s1026" o:spid="_x0000_s1026" o:spt="75" type="#_x0000_t75" style="position:absolute;left:1364673;top:0;height:209550;width:171450;" filled="f" o:preferrelative="t" stroked="f" coordsize="21600,21600" o:gfxdata="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L+TJvQAA&#10;ANsAAAAPAAAAAAAAAAEAIAAAACIAAABkcnMvZG93bnJldi54bWxQSwECFAAUAAAACACHTuJAMy8F&#10;njsAAAA5AAAAEAAAAAAAAAABACAAAAAMAQAAZHJzL3NoYXBleG1sLnhtbFBLBQYAAAAABgAGAFsB&#10;AAC2AwAAAAA=&#10;">
                  <v:fill on="f" focussize="0,0"/>
                  <v:stroke on="f"/>
                  <v:imagedata r:id="rId156" cropleft="26902f" croptop="7296f" cropright="36555f" cropbottom="18489f" o:title=""/>
                  <o:lock v:ext="edit" aspectratio="t"/>
                </v:shape>
                <v:shape id="_x0000_s1026" o:spid="_x0000_s1026" o:spt="75" type="#_x0000_t75" style="position:absolute;left:1184564;top:1482437;height:245745;width:133350;" filled="f" o:preferrelative="t" stroked="f" coordsize="21600,21600" o:gfxdata="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5XaNvQAA&#10;ANsAAAAPAAAAAAAAAAEAIAAAACIAAABkcnMvZG93bnJldi54bWxQSwECFAAUAAAACACHTuJAMy8F&#10;njsAAAA5AAAAEAAAAAAAAAABACAAAAAMAQAAZHJzL3NoYXBleG1sLnhtbFBLBQYAAAAABgAGAFsB&#10;AAC2AwAAAAA=&#10;">
                  <v:fill on="f" focussize="0,0"/>
                  <v:stroke on="f"/>
                  <v:imagedata r:id="rId156" cropleft="25054f" croptop="7296f" cropright="38865f" cropbottom="18489f" o:title=""/>
                  <o:lock v:ext="edit" aspectratio="t"/>
                </v:shape>
              </v:group>
            </w:pict>
          </mc:Fallback>
        </mc:AlternateContent>
      </w:r>
      <w:r>
        <w:rPr>
          <w:rFonts w:ascii="宋体" w:hAnsi="宋体" w:cs="宋体"/>
          <w:bCs/>
          <w:color w:val="000000" w:themeColor="text1"/>
          <w:kern w:val="0"/>
          <w:sz w:val="24"/>
          <w:szCs w:val="24"/>
          <w14:textFill>
            <w14:solidFill>
              <w14:schemeClr w14:val="tx1"/>
            </w14:solidFill>
          </w14:textFill>
        </w:rPr>
        <w:fldChar w:fldCharType="begin"/>
      </w:r>
      <w:r>
        <w:rPr>
          <w:rFonts w:ascii="宋体" w:hAnsi="宋体" w:cs="宋体"/>
          <w:bCs/>
          <w:color w:val="000000" w:themeColor="text1"/>
          <w:kern w:val="0"/>
          <w:sz w:val="24"/>
          <w:szCs w:val="24"/>
          <w14:textFill>
            <w14:solidFill>
              <w14:schemeClr w14:val="tx1"/>
            </w14:solidFill>
          </w14:textFill>
        </w:rPr>
        <w:instrText xml:space="preserve"> INCLUDEPICTURE  "E:\\..\\..\\Administrator\\AppData\\Roaming\\Tencent\\Users\\54261622\\QQ\\WinTemp\\RichOle\\OIDDD0V[{RPZ{OM(QE}J}TK.png" \* MERGEFORMATINET </w:instrText>
      </w:r>
      <w:r>
        <w:rPr>
          <w:rFonts w:ascii="宋体" w:hAnsi="宋体" w:cs="宋体"/>
          <w:bCs/>
          <w:color w:val="000000" w:themeColor="text1"/>
          <w:kern w:val="0"/>
          <w:sz w:val="24"/>
          <w:szCs w:val="24"/>
          <w14:textFill>
            <w14:solidFill>
              <w14:schemeClr w14:val="tx1"/>
            </w14:solidFill>
          </w14:textFill>
        </w:rPr>
        <w:fldChar w:fldCharType="separate"/>
      </w:r>
      <w:r>
        <w:rPr>
          <w:rFonts w:ascii="宋体" w:hAnsi="宋体" w:cs="宋体"/>
          <w:bCs/>
          <w:color w:val="000000" w:themeColor="text1"/>
          <w:kern w:val="0"/>
          <w:sz w:val="24"/>
          <w:szCs w:val="24"/>
          <w14:textFill>
            <w14:solidFill>
              <w14:schemeClr w14:val="tx1"/>
            </w14:solidFill>
          </w14:textFill>
        </w:rPr>
        <w:drawing>
          <wp:inline distT="0" distB="0" distL="114300" distR="114300">
            <wp:extent cx="2740025" cy="1564005"/>
            <wp:effectExtent l="0" t="0" r="3175" b="10795"/>
            <wp:docPr id="246"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309"/>
                    <pic:cNvPicPr>
                      <a:picLocks noChangeAspect="1"/>
                    </pic:cNvPicPr>
                  </pic:nvPicPr>
                  <pic:blipFill>
                    <a:blip r:embed="rId160" r:link="rId161"/>
                    <a:stretch>
                      <a:fillRect/>
                    </a:stretch>
                  </pic:blipFill>
                  <pic:spPr>
                    <a:xfrm>
                      <a:off x="0" y="0"/>
                      <a:ext cx="2740025" cy="1564005"/>
                    </a:xfrm>
                    <a:prstGeom prst="rect">
                      <a:avLst/>
                    </a:prstGeom>
                    <a:noFill/>
                    <a:ln>
                      <a:noFill/>
                    </a:ln>
                  </pic:spPr>
                </pic:pic>
              </a:graphicData>
            </a:graphic>
          </wp:inline>
        </w:drawing>
      </w:r>
      <w:r>
        <w:rPr>
          <w:rFonts w:ascii="宋体" w:hAnsi="宋体" w:cs="宋体"/>
          <w:bCs/>
          <w:color w:val="000000" w:themeColor="text1"/>
          <w:kern w:val="0"/>
          <w:sz w:val="24"/>
          <w:szCs w:val="24"/>
          <w14:textFill>
            <w14:solidFill>
              <w14:schemeClr w14:val="tx1"/>
            </w14:solidFill>
          </w14:textFill>
        </w:rPr>
        <w:fldChar w:fldCharType="end"/>
      </w:r>
    </w:p>
    <w:p>
      <w:pPr>
        <w:pStyle w:val="53"/>
        <w:numPr>
          <w:ilvl w:val="0"/>
          <w:numId w:val="8"/>
        </w:numPr>
        <w:spacing w:line="360" w:lineRule="auto"/>
        <w:ind w:firstLineChars="0"/>
        <w:jc w:val="center"/>
        <w:rPr>
          <w:rFonts w:hAnsi="宋体"/>
          <w:bCs/>
          <w:color w:val="000000" w:themeColor="text1"/>
          <w:kern w:val="0"/>
          <w:sz w:val="18"/>
          <w:szCs w:val="18"/>
          <w14:textFill>
            <w14:solidFill>
              <w14:schemeClr w14:val="tx1"/>
            </w14:solidFill>
          </w14:textFill>
        </w:rPr>
      </w:pPr>
      <w:r>
        <w:rPr>
          <w:rFonts w:hAnsi="宋体"/>
          <w:bCs/>
          <w:color w:val="000000" w:themeColor="text1"/>
          <w:kern w:val="0"/>
          <w:sz w:val="18"/>
          <w:szCs w:val="18"/>
          <w14:textFill>
            <w14:solidFill>
              <w14:schemeClr w14:val="tx1"/>
            </w14:solidFill>
          </w14:textFill>
        </w:rPr>
        <w:t>钢空腹夹层板</w:t>
      </w:r>
    </w:p>
    <w:p>
      <w:pPr>
        <w:spacing w:line="360" w:lineRule="auto"/>
        <w:ind w:firstLine="36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w:t>
      </w:r>
      <w:r>
        <w:rPr>
          <w:rFonts w:hAnsi="宋体"/>
          <w:bCs/>
          <w:color w:val="000000" w:themeColor="text1"/>
          <w:kern w:val="0"/>
          <w:sz w:val="18"/>
          <w:szCs w:val="18"/>
          <w14:textFill>
            <w14:solidFill>
              <w14:schemeClr w14:val="tx1"/>
            </w14:solidFill>
          </w14:textFill>
        </w:rPr>
        <w:t>上肋；</w:t>
      </w:r>
      <w:r>
        <w:rPr>
          <w:bCs/>
          <w:color w:val="000000" w:themeColor="text1"/>
          <w:kern w:val="0"/>
          <w:sz w:val="18"/>
          <w:szCs w:val="18"/>
          <w14:textFill>
            <w14:solidFill>
              <w14:schemeClr w14:val="tx1"/>
            </w14:solidFill>
          </w14:textFill>
        </w:rPr>
        <w:t>2-</w:t>
      </w:r>
      <w:r>
        <w:rPr>
          <w:rFonts w:hAnsi="宋体"/>
          <w:bCs/>
          <w:color w:val="000000" w:themeColor="text1"/>
          <w:kern w:val="0"/>
          <w:sz w:val="18"/>
          <w:szCs w:val="18"/>
          <w14:textFill>
            <w14:solidFill>
              <w14:schemeClr w14:val="tx1"/>
            </w14:solidFill>
          </w14:textFill>
        </w:rPr>
        <w:t>下肋；</w:t>
      </w:r>
      <w:r>
        <w:rPr>
          <w:bCs/>
          <w:color w:val="000000" w:themeColor="text1"/>
          <w:kern w:val="0"/>
          <w:sz w:val="18"/>
          <w:szCs w:val="18"/>
          <w14:textFill>
            <w14:solidFill>
              <w14:schemeClr w14:val="tx1"/>
            </w14:solidFill>
          </w14:textFill>
        </w:rPr>
        <w:t>3-</w:t>
      </w:r>
      <w:r>
        <w:rPr>
          <w:rFonts w:hAnsi="宋体"/>
          <w:bCs/>
          <w:color w:val="000000" w:themeColor="text1"/>
          <w:kern w:val="0"/>
          <w:sz w:val="18"/>
          <w:szCs w:val="18"/>
          <w14:textFill>
            <w14:solidFill>
              <w14:schemeClr w14:val="tx1"/>
            </w14:solidFill>
          </w14:textFill>
        </w:rPr>
        <w:t>上表层薄板；</w:t>
      </w:r>
      <w:r>
        <w:rPr>
          <w:bCs/>
          <w:color w:val="000000" w:themeColor="text1"/>
          <w:kern w:val="0"/>
          <w:sz w:val="18"/>
          <w:szCs w:val="18"/>
          <w14:textFill>
            <w14:solidFill>
              <w14:schemeClr w14:val="tx1"/>
            </w14:solidFill>
          </w14:textFill>
        </w:rPr>
        <w:t>4-</w:t>
      </w:r>
      <w:r>
        <w:rPr>
          <w:rFonts w:hAnsi="宋体"/>
          <w:bCs/>
          <w:color w:val="000000" w:themeColor="text1"/>
          <w:kern w:val="0"/>
          <w:sz w:val="18"/>
          <w:szCs w:val="18"/>
          <w14:textFill>
            <w14:solidFill>
              <w14:schemeClr w14:val="tx1"/>
            </w14:solidFill>
          </w14:textFill>
        </w:rPr>
        <w:t>剪力键；</w:t>
      </w:r>
      <w:r>
        <w:rPr>
          <w:bCs/>
          <w:color w:val="000000" w:themeColor="text1"/>
          <w:kern w:val="0"/>
          <w:sz w:val="18"/>
          <w:szCs w:val="18"/>
          <w14:textFill>
            <w14:solidFill>
              <w14:schemeClr w14:val="tx1"/>
            </w14:solidFill>
          </w14:textFill>
        </w:rPr>
        <w:t>5-U</w:t>
      </w:r>
      <w:r>
        <w:rPr>
          <w:rFonts w:hAnsi="宋体"/>
          <w:bCs/>
          <w:color w:val="000000" w:themeColor="text1"/>
          <w:kern w:val="0"/>
          <w:sz w:val="18"/>
          <w:szCs w:val="18"/>
          <w14:textFill>
            <w14:solidFill>
              <w14:schemeClr w14:val="tx1"/>
            </w14:solidFill>
          </w14:textFill>
        </w:rPr>
        <w:t>型钢板</w:t>
      </w:r>
    </w:p>
    <w:p>
      <w:pPr>
        <w:spacing w:line="360" w:lineRule="auto"/>
        <w:ind w:firstLine="840" w:firstLineChars="400"/>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图</w:t>
      </w: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.2.1-1 空腹夹层板剖面图</w:t>
      </w:r>
    </w:p>
    <w:p>
      <w:pPr>
        <w:spacing w:line="360" w:lineRule="auto"/>
        <w:ind w:left="1050" w:leftChars="400" w:hanging="210" w:hangingChars="10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空腹夹层板的网格划分应结合建筑楼盖平面形状及柱网布置进行确定。结构的长宽比不大于2时，可采用正交正放的空腹夹层板，结构的长宽比大于2时，宜采用正交斜放的空腹夹层板，网格尺寸1.5m～2.5m为宜。</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 xml:space="preserve"> 盒式结构的框架柱应与空腹夹层板的网格梁对应并刚接连接。</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 xml:space="preserve">4 </w:t>
      </w:r>
      <w:r>
        <w:rPr>
          <w:rFonts w:hint="eastAsia" w:ascii="宋体" w:hAnsi="宋体"/>
          <w:bCs/>
          <w:color w:val="000000" w:themeColor="text1"/>
          <w:szCs w:val="21"/>
          <w14:textFill>
            <w14:solidFill>
              <w14:schemeClr w14:val="tx1"/>
            </w14:solidFill>
          </w14:textFill>
        </w:rPr>
        <w:t>空腹夹层板楼盖结构宜采用一次全现浇混凝土施工工艺，也可采用装配整体式施工方法。</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5</w:t>
      </w:r>
      <w:r>
        <w:rPr>
          <w:rFonts w:ascii="宋体" w:hAnsi="宋体"/>
          <w:bCs/>
          <w:color w:val="000000" w:themeColor="text1"/>
          <w:szCs w:val="21"/>
          <w14:textFill>
            <w14:solidFill>
              <w14:schemeClr w14:val="tx1"/>
            </w14:solidFill>
          </w14:textFill>
        </w:rPr>
        <w:t xml:space="preserve"> </w:t>
      </w:r>
      <w:r>
        <w:rPr>
          <w:rFonts w:hint="eastAsia" w:ascii="宋体" w:hAnsi="宋体"/>
          <w:bCs/>
          <w:color w:val="000000" w:themeColor="text1"/>
          <w:szCs w:val="21"/>
          <w14:textFill>
            <w14:solidFill>
              <w14:schemeClr w14:val="tx1"/>
            </w14:solidFill>
          </w14:textFill>
        </w:rPr>
        <w:t>网格式框架的层间框架梁宜大于等于2道，框架梁竖向间距应小于框架柱水平距离。当条件可利用时，可采用柱间支撑来提高结构的整体抗侧力能力。</w:t>
      </w:r>
    </w:p>
    <w:p>
      <w:pPr>
        <w:spacing w:line="360" w:lineRule="auto"/>
        <w:ind w:firstLine="420"/>
        <w:jc w:val="left"/>
        <w:rPr>
          <w:rFonts w:ascii="宋体" w:hAnsi="宋体"/>
          <w:bCs/>
          <w:color w:val="000000" w:themeColor="text1"/>
          <w:szCs w:val="21"/>
          <w14:textFill>
            <w14:solidFill>
              <w14:schemeClr w14:val="tx1"/>
            </w14:solidFill>
          </w14:textFill>
        </w:rPr>
      </w:pPr>
    </w:p>
    <w:p>
      <w:pPr>
        <w:spacing w:line="360" w:lineRule="auto"/>
        <w:ind w:firstLine="0" w:firstLineChars="0"/>
        <w:jc w:val="center"/>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.3 抗震验算盒式结构厂房地震作用计算</w:t>
      </w:r>
    </w:p>
    <w:p>
      <w:pPr>
        <w:spacing w:line="360" w:lineRule="auto"/>
        <w:ind w:firstLine="0" w:firstLineChars="0"/>
        <w:jc w:val="center"/>
        <w:rPr>
          <w:rFonts w:ascii="宋体" w:hAnsi="宋体"/>
          <w:bCs/>
          <w:color w:val="000000" w:themeColor="text1"/>
          <w:szCs w:val="21"/>
          <w14:textFill>
            <w14:solidFill>
              <w14:schemeClr w14:val="tx1"/>
            </w14:solidFill>
          </w14:textFill>
        </w:rPr>
      </w:pP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.3.1 符合下列条件之一的盒式结构厂房，且满足本章所规定的结构布置和抗震构造要求时，可不进行抗震验算：</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 6度区，高度不超过12米，层数不超过两层。</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.3.</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 xml:space="preserve"> 盒式结构体系多层厂房的抗震验算，应符合下列要求: </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 xml:space="preserve"> 盒式结构体系多层厂房结构在地震下的计算模型，应符合下列要求:</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1</w:t>
      </w:r>
      <w:r>
        <w:rPr>
          <w:rFonts w:ascii="宋体" w:hAnsi="宋体"/>
          <w:bCs/>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盒式结构的性能指标计算时，可以按照空腹夹层板等代刚度后的普通的井字梁输入。</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.3.3 混凝土网格盒式结构体系中的网格式框架，考虑多遇地震作用效应组合时，应符合下列要求：</w:t>
      </w:r>
    </w:p>
    <w:p>
      <w:pPr>
        <w:spacing w:line="360" w:lineRule="auto"/>
        <w:ind w:firstLine="42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 xml:space="preserve">1 </w:t>
      </w:r>
      <w:r>
        <w:rPr>
          <w:rFonts w:hint="eastAsia" w:ascii="宋体" w:hAnsi="宋体"/>
          <w:bCs/>
          <w:color w:val="000000" w:themeColor="text1"/>
          <w:szCs w:val="21"/>
          <w14:textFill>
            <w14:solidFill>
              <w14:schemeClr w14:val="tx1"/>
            </w14:solidFill>
          </w14:textFill>
        </w:rPr>
        <w:t>对周边网格式框架结构中的转换梁，其考虑地震作用效应组合后的值，应乘以增大系数1.2。</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.3.4 矩形截面混凝土网格式框架柱和梁，其正截面和斜截面抗震验算应符合本规范7.5节的要求。</w:t>
      </w: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.3.5 钢结构厂房构件及节点的抗震承载力(强度和稳定性) ，除本章有专门说明或规定者外，均应按《钢结构设计标准》GB50017有关公式和要求验算；此时结构构件的内力(弯矩、轴力和剪力)应采用考虑地震作用效应组合后的设计值，钢材强度设计值则应按该标准和本标准第8.4节的规定，框架柱的板件宽厚比限值和长细比限值均应符合第8.4节相关要求。</w:t>
      </w:r>
    </w:p>
    <w:p>
      <w:pPr>
        <w:spacing w:line="360" w:lineRule="auto"/>
        <w:ind w:firstLine="0" w:firstLineChars="0"/>
        <w:jc w:val="left"/>
        <w:rPr>
          <w:rFonts w:ascii="宋体" w:hAnsi="宋体"/>
          <w:bCs/>
          <w:color w:val="000000" w:themeColor="text1"/>
          <w:szCs w:val="21"/>
          <w14:textFill>
            <w14:solidFill>
              <w14:schemeClr w14:val="tx1"/>
            </w14:solidFill>
          </w14:textFill>
        </w:rPr>
      </w:pPr>
    </w:p>
    <w:p>
      <w:pPr>
        <w:spacing w:line="360" w:lineRule="auto"/>
        <w:ind w:firstLine="0" w:firstLineChars="0"/>
        <w:jc w:val="center"/>
        <w:rPr>
          <w:rFonts w:ascii="黑体" w:hAnsi="黑体" w:eastAsia="黑体"/>
          <w:bCs/>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C</w:t>
      </w:r>
      <w:r>
        <w:rPr>
          <w:rFonts w:hint="eastAsia" w:ascii="黑体" w:hAnsi="黑体" w:eastAsia="黑体"/>
          <w:bCs/>
          <w:color w:val="000000" w:themeColor="text1"/>
          <w:szCs w:val="21"/>
          <w14:textFill>
            <w14:solidFill>
              <w14:schemeClr w14:val="tx1"/>
            </w14:solidFill>
          </w14:textFill>
        </w:rPr>
        <w:t>.4 空腹夹层板简化设计</w:t>
      </w:r>
    </w:p>
    <w:p>
      <w:pPr>
        <w:spacing w:line="360" w:lineRule="auto"/>
        <w:ind w:firstLine="0" w:firstLineChars="0"/>
        <w:jc w:val="center"/>
        <w:rPr>
          <w:rFonts w:ascii="黑体" w:hAnsi="黑体" w:eastAsia="黑体"/>
          <w:bCs/>
          <w:color w:val="000000" w:themeColor="text1"/>
          <w:szCs w:val="21"/>
          <w14:textFill>
            <w14:solidFill>
              <w14:schemeClr w14:val="tx1"/>
            </w14:solidFill>
          </w14:textFill>
        </w:rPr>
      </w:pPr>
    </w:p>
    <w:p>
      <w:pPr>
        <w:spacing w:line="360" w:lineRule="auto"/>
        <w:ind w:firstLine="0" w:firstLineChars="0"/>
        <w:jc w:val="left"/>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.4.1 设计计算原则</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 空腹夹层板的力学模型属由上肋及上肋表面薄板、下肋分别组成上、下表层，由剪力键构成夹心层的“夹层板”模型，它与实心平板的力学特征相近，变形以弯曲变形为主，剪切变形的影响较小。</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 空腹夹层板的设计计算应在结构整体分析的基础上进行，整体结构的平面和竖向布置、地震作用和风荷载作用下的内力和位移计算等，应遵守现行国家标准《建筑结构荷载规范》GB50009、《建筑抗震设计规范》GB50011、《混凝土结构设计规范》GB50010及现行行业标准《高层建筑混凝土结构技术规程》JGJ3等的规定。在整体分析时，可假定空腹夹层板在其自身平面内为无限刚性，进行整体建筑结构空间三维分析。</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 钢筋混凝土空腹夹层板可按弹性分析方法进行内力和位移计算，计算方法的选择可根据工程情况按下述方法选定：</w:t>
      </w:r>
    </w:p>
    <w:p>
      <w:pPr>
        <w:spacing w:line="360" w:lineRule="auto"/>
        <w:ind w:left="1260" w:leftChars="400" w:hanging="420" w:hangingChars="2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 空腹夹层板可采用基于板-空间梁-块体单元模型或基于全部块体单元模型的有限元分析方法进行计算。采用其他有限元模型时，所选择的计算模型应能较准确的反应空腹夹层板各构件的实际受力情况。无论采用哪种有限元模型，其分析程序应经考核和验证，技术条件应符合现行有关国家标准的要求，对计算结果应经判断和校核，在确认其合理有效后方可用于工程设计。</w:t>
      </w:r>
    </w:p>
    <w:p>
      <w:pPr>
        <w:spacing w:line="360" w:lineRule="auto"/>
        <w:ind w:left="1050" w:leftChars="400" w:hanging="210" w:hangingChars="1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 xml:space="preserve">2）空腹夹层板上肋及上肋表面薄板、下肋均等效为实体平板后，则将上、下肋层连续化为拟夹层板的上、下表层；再将剪力键连续化为夹芯层后，空腹夹层板可采用拟夹层板法分析。 </w:t>
      </w:r>
    </w:p>
    <w:p>
      <w:pPr>
        <w:spacing w:line="360" w:lineRule="auto"/>
        <w:ind w:left="1050" w:leftChars="400" w:hanging="210" w:hangingChars="1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3）空腹夹层板可采用按抗弯刚度等效的设计计算方法分析。将空腹梁等效为密肋实腹梁后，采用现行建筑结构分析设计软件进行内力和挠度计算。</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 空腹夹层板构件的设计，应进行承载能力极限状态计算和正常使用极限状态验算。</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5 空腹夹层板结构的承载能力极限状态计算,应采用下列设计表达式：</w:t>
      </w:r>
    </w:p>
    <w:p>
      <w:pPr>
        <w:spacing w:line="360" w:lineRule="auto"/>
        <w:ind w:firstLine="420"/>
        <w:jc w:val="left"/>
        <w:rPr>
          <w:rFonts w:ascii="宋体" w:hAnsi="宋体"/>
          <w:bCs/>
          <w:color w:val="000000" w:themeColor="text1"/>
          <w:szCs w:val="21"/>
          <w14:textFill>
            <w14:solidFill>
              <w14:schemeClr w14:val="tx1"/>
            </w14:solidFill>
          </w14:textFill>
        </w:rPr>
      </w:pPr>
      <m:oMathPara>
        <m:oMath>
          <m:sSub>
            <m:sSubPr>
              <m:ctrlPr>
                <w:rPr>
                  <w:rFonts w:ascii="Cambria Math" w:hAnsi="Cambria Math" w:eastAsiaTheme="minorEastAsia"/>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r</m:t>
              </m:r>
              <m:ctrlPr>
                <w:rPr>
                  <w:rFonts w:ascii="Cambria Math" w:hAnsi="Cambria Math" w:eastAsiaTheme="minorEastAsia"/>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0</m:t>
              </m:r>
              <m:ctrlPr>
                <w:rPr>
                  <w:rFonts w:ascii="Cambria Math" w:hAnsi="Cambria Math" w:eastAsiaTheme="minorEastAsia"/>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S≤R</m:t>
          </m:r>
        </m:oMath>
      </m:oMathPara>
    </w:p>
    <w:p>
      <w:pPr>
        <w:spacing w:line="360" w:lineRule="auto"/>
        <w:ind w:left="1680" w:leftChars="200" w:hanging="1260" w:hangingChars="6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式中：</w:t>
      </w:r>
      <m:oMath>
        <m:sSub>
          <m:sSubPr>
            <m:ctrlPr>
              <w:rPr>
                <w:rFonts w:ascii="Cambria Math" w:hAnsi="Cambria Math" w:eastAsiaTheme="minorEastAsia"/>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r</m:t>
            </m:r>
            <m:ctrlPr>
              <w:rPr>
                <w:rFonts w:ascii="Cambria Math" w:hAnsi="Cambria Math" w:eastAsiaTheme="minorEastAsia"/>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0</m:t>
            </m:r>
            <m:ctrlPr>
              <w:rPr>
                <w:rFonts w:ascii="Cambria Math" w:hAnsi="Cambria Math" w:eastAsiaTheme="minorEastAsia"/>
                <w:bCs/>
                <w:i/>
                <w:color w:val="000000" w:themeColor="text1"/>
                <w:szCs w:val="21"/>
                <w14:textFill>
                  <w14:solidFill>
                    <w14:schemeClr w14:val="tx1"/>
                  </w14:solidFill>
                </w14:textFill>
              </w:rPr>
            </m:ctrlPr>
          </m:sub>
        </m:sSub>
      </m:oMath>
      <w:r>
        <w:rPr>
          <w:rFonts w:hint="eastAsia" w:ascii="宋体" w:hAnsi="宋体"/>
          <w:bCs/>
          <w:color w:val="000000" w:themeColor="text1"/>
          <w:szCs w:val="21"/>
          <w14:textFill>
            <w14:solidFill>
              <w14:schemeClr w14:val="tx1"/>
            </w14:solidFill>
          </w14:textFill>
        </w:rPr>
        <w:t>——重要性系数，按《建筑结构可靠性设计统一标准》GB50068规定取值，抗震计算取1.0；</w:t>
      </w:r>
    </w:p>
    <w:p>
      <w:pPr>
        <w:spacing w:line="360" w:lineRule="auto"/>
        <w:ind w:left="1680" w:leftChars="200" w:hanging="1260" w:hangingChars="6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t>S</w:t>
      </w:r>
      <w:r>
        <w:rPr>
          <w:rFonts w:hint="eastAsia" w:ascii="宋体" w:hAnsi="宋体"/>
          <w:bCs/>
          <w:color w:val="000000" w:themeColor="text1"/>
          <w:szCs w:val="21"/>
          <w14:textFill>
            <w14:solidFill>
              <w14:schemeClr w14:val="tx1"/>
            </w14:solidFill>
          </w14:textFill>
        </w:rPr>
        <w:t>——承载能力极限状态的荷载效应组合设计值，按《建筑结构荷载规范》GB50009和《建筑抗震设计规范》GB50011规定取值；</w:t>
      </w:r>
    </w:p>
    <w:p>
      <w:pPr>
        <w:spacing w:line="360" w:lineRule="auto"/>
        <w:ind w:left="1680" w:leftChars="200" w:hanging="1260" w:hangingChars="60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 xml:space="preserve">      </w:t>
      </w:r>
      <w:r>
        <w:rPr>
          <w:rFonts w:ascii="宋体" w:hAnsi="宋体"/>
          <w:bCs/>
          <w:color w:val="000000" w:themeColor="text1"/>
          <w:szCs w:val="21"/>
          <w14:textFill>
            <w14:solidFill>
              <w14:schemeClr w14:val="tx1"/>
            </w14:solidFill>
          </w14:textFill>
        </w:rPr>
        <w:t xml:space="preserve"> </w:t>
      </w:r>
      <w:r>
        <w:rPr>
          <w:bCs/>
          <w:color w:val="000000" w:themeColor="text1"/>
          <w:szCs w:val="21"/>
          <w14:textFill>
            <w14:solidFill>
              <w14:schemeClr w14:val="tx1"/>
            </w14:solidFill>
          </w14:textFill>
        </w:rPr>
        <w:t>R</w:t>
      </w:r>
      <w:r>
        <w:rPr>
          <w:rFonts w:hint="eastAsia" w:ascii="宋体" w:hAnsi="宋体"/>
          <w:bCs/>
          <w:color w:val="000000" w:themeColor="text1"/>
          <w:szCs w:val="21"/>
          <w14:textFill>
            <w14:solidFill>
              <w14:schemeClr w14:val="tx1"/>
            </w14:solidFill>
          </w14:textFill>
        </w:rPr>
        <w:t>——结构构件的承载力设计值，在抗震设计时，应除以承载力抗震调整系数</w:t>
      </w:r>
      <m:oMath>
        <m:sSub>
          <m:sSubPr>
            <m:ctrlPr>
              <w:rPr>
                <w:rFonts w:ascii="Cambria Math" w:hAnsi="Cambria Math"/>
                <w:bCs/>
                <w:i/>
                <w:iCs/>
                <w:snapToGrid w:val="0"/>
                <w:color w:val="000000" w:themeColor="text1"/>
                <w14:textFill>
                  <w14:solidFill>
                    <w14:schemeClr w14:val="tx1"/>
                  </w14:solidFill>
                </w14:textFill>
              </w:rPr>
            </m:ctrlPr>
          </m:sSubPr>
          <m:e>
            <m:r>
              <w:rPr>
                <w:rFonts w:ascii="Cambria Math" w:hAnsi="Cambria Math"/>
                <w:snapToGrid w:val="0"/>
                <w:color w:val="000000" w:themeColor="text1"/>
                <w14:textFill>
                  <w14:solidFill>
                    <w14:schemeClr w14:val="tx1"/>
                  </w14:solidFill>
                </w14:textFill>
              </w:rPr>
              <m:t>γ</m:t>
            </m:r>
            <m:ctrlPr>
              <w:rPr>
                <w:rFonts w:ascii="Cambria Math" w:hAnsi="Cambria Math"/>
                <w:bCs/>
                <w:i/>
                <w:iCs/>
                <w:snapToGrid w:val="0"/>
                <w:color w:val="000000" w:themeColor="text1"/>
                <w14:textFill>
                  <w14:solidFill>
                    <w14:schemeClr w14:val="tx1"/>
                  </w14:solidFill>
                </w14:textFill>
              </w:rPr>
            </m:ctrlPr>
          </m:e>
          <m:sub>
            <m:r>
              <w:rPr>
                <w:rFonts w:ascii="Cambria Math" w:hAnsi="Cambria Math"/>
                <w:snapToGrid w:val="0"/>
                <w:color w:val="000000" w:themeColor="text1"/>
                <w14:textFill>
                  <w14:solidFill>
                    <w14:schemeClr w14:val="tx1"/>
                  </w14:solidFill>
                </w14:textFill>
              </w:rPr>
              <m:t>RE</m:t>
            </m:r>
            <m:ctrlPr>
              <w:rPr>
                <w:rFonts w:ascii="Cambria Math" w:hAnsi="Cambria Math"/>
                <w:bCs/>
                <w:i/>
                <w:iCs/>
                <w:snapToGrid w:val="0"/>
                <w:color w:val="000000" w:themeColor="text1"/>
                <w14:textFill>
                  <w14:solidFill>
                    <w14:schemeClr w14:val="tx1"/>
                  </w14:solidFill>
                </w14:textFill>
              </w:rPr>
            </m:ctrlPr>
          </m:sub>
        </m:sSub>
      </m:oMath>
      <w:r>
        <w:rPr>
          <w:rFonts w:hint="eastAsia" w:ascii="Cambria Math" w:hAnsi="Cambria Math"/>
          <w:bCs/>
          <w:iCs/>
          <w:snapToGrid w:val="0"/>
          <w:color w:val="000000" w:themeColor="text1"/>
          <w14:textFill>
            <w14:solidFill>
              <w14:schemeClr w14:val="tx1"/>
            </w14:solidFill>
          </w14:textFill>
        </w:rPr>
        <w:t>。</w:t>
      </w:r>
      <m:oMath>
        <m:sSub>
          <m:sSubPr>
            <m:ctrlPr>
              <w:rPr>
                <w:rFonts w:ascii="Cambria Math" w:hAnsi="Cambria Math"/>
                <w:bCs/>
                <w:i/>
                <w:iCs/>
                <w:snapToGrid w:val="0"/>
                <w:color w:val="000000" w:themeColor="text1"/>
                <w14:textFill>
                  <w14:solidFill>
                    <w14:schemeClr w14:val="tx1"/>
                  </w14:solidFill>
                </w14:textFill>
              </w:rPr>
            </m:ctrlPr>
          </m:sSubPr>
          <m:e>
            <m:r>
              <w:rPr>
                <w:rFonts w:ascii="Cambria Math" w:hAnsi="Cambria Math"/>
                <w:snapToGrid w:val="0"/>
                <w:color w:val="000000" w:themeColor="text1"/>
                <w14:textFill>
                  <w14:solidFill>
                    <w14:schemeClr w14:val="tx1"/>
                  </w14:solidFill>
                </w14:textFill>
              </w:rPr>
              <m:t>γ</m:t>
            </m:r>
            <m:ctrlPr>
              <w:rPr>
                <w:rFonts w:ascii="Cambria Math" w:hAnsi="Cambria Math"/>
                <w:bCs/>
                <w:i/>
                <w:iCs/>
                <w:snapToGrid w:val="0"/>
                <w:color w:val="000000" w:themeColor="text1"/>
                <w14:textFill>
                  <w14:solidFill>
                    <w14:schemeClr w14:val="tx1"/>
                  </w14:solidFill>
                </w14:textFill>
              </w:rPr>
            </m:ctrlPr>
          </m:e>
          <m:sub>
            <m:r>
              <w:rPr>
                <w:rFonts w:ascii="Cambria Math" w:hAnsi="Cambria Math"/>
                <w:snapToGrid w:val="0"/>
                <w:color w:val="000000" w:themeColor="text1"/>
                <w14:textFill>
                  <w14:solidFill>
                    <w14:schemeClr w14:val="tx1"/>
                  </w14:solidFill>
                </w14:textFill>
              </w:rPr>
              <m:t>RE</m:t>
            </m:r>
            <m:ctrlPr>
              <w:rPr>
                <w:rFonts w:ascii="Cambria Math" w:hAnsi="Cambria Math"/>
                <w:bCs/>
                <w:i/>
                <w:iCs/>
                <w:snapToGrid w:val="0"/>
                <w:color w:val="000000" w:themeColor="text1"/>
                <w14:textFill>
                  <w14:solidFill>
                    <w14:schemeClr w14:val="tx1"/>
                  </w14:solidFill>
                </w14:textFill>
              </w:rPr>
            </m:ctrlPr>
          </m:sub>
        </m:sSub>
      </m:oMath>
      <w:r>
        <w:rPr>
          <w:rFonts w:hint="eastAsia" w:ascii="宋体" w:hAnsi="宋体"/>
          <w:bCs/>
          <w:color w:val="000000" w:themeColor="text1"/>
          <w:szCs w:val="21"/>
          <w14:textFill>
            <w14:solidFill>
              <w14:schemeClr w14:val="tx1"/>
            </w14:solidFill>
          </w14:textFill>
        </w:rPr>
        <w:t>应按</w:t>
      </w:r>
      <w:bookmarkStart w:id="231" w:name="_Hlk45743704"/>
      <w:r>
        <w:rPr>
          <w:rFonts w:hint="eastAsia" w:ascii="宋体" w:hAnsi="宋体"/>
          <w:bCs/>
          <w:color w:val="000000" w:themeColor="text1"/>
          <w:szCs w:val="21"/>
          <w14:textFill>
            <w14:solidFill>
              <w14:schemeClr w14:val="tx1"/>
            </w14:solidFill>
          </w14:textFill>
        </w:rPr>
        <w:t>《建筑抗震设计规范》</w:t>
      </w:r>
      <w:bookmarkEnd w:id="231"/>
      <w:r>
        <w:rPr>
          <w:rFonts w:hint="eastAsia" w:ascii="宋体" w:hAnsi="宋体"/>
          <w:bCs/>
          <w:color w:val="000000" w:themeColor="text1"/>
          <w:szCs w:val="21"/>
          <w14:textFill>
            <w14:solidFill>
              <w14:schemeClr w14:val="tx1"/>
            </w14:solidFill>
          </w14:textFill>
        </w:rPr>
        <w:t>GB50011规定取值，上、下肋按偏压或偏拉构件取值，剪力键按受剪构件取值。</w:t>
      </w:r>
    </w:p>
    <w:p>
      <w:pPr>
        <w:spacing w:line="360" w:lineRule="auto"/>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 空腹夹层板按弹性分析方法计算的挠度值，应符合现行国家标准《混凝土结构设计规范》GB50010的限值规定，如有特殊要求，应在空腹夹层板的设计文中加以特殊说明。</w:t>
      </w:r>
    </w:p>
    <w:p>
      <w:pPr>
        <w:spacing w:line="360" w:lineRule="auto"/>
        <w:ind w:firstLine="42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7</w:t>
      </w:r>
      <w:r>
        <w:rPr>
          <w:rFonts w:hAnsi="宋体"/>
          <w:bCs/>
          <w:color w:val="000000" w:themeColor="text1"/>
          <w:kern w:val="0"/>
          <w:szCs w:val="21"/>
          <w14:textFill>
            <w14:solidFill>
              <w14:schemeClr w14:val="tx1"/>
            </w14:solidFill>
          </w14:textFill>
        </w:rPr>
        <w:t xml:space="preserve"> 空腹夹层板构件的最大裂缝宽度，应符合现行国家标准《混凝土结构设计规范》GB50010的规定。</w:t>
      </w:r>
    </w:p>
    <w:p>
      <w:pPr>
        <w:spacing w:line="360" w:lineRule="auto"/>
        <w:ind w:firstLine="0" w:firstLineChars="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2</w:t>
      </w:r>
      <w:r>
        <w:rPr>
          <w:rFonts w:hint="eastAsia" w:hAnsi="宋体"/>
          <w:bCs/>
          <w:color w:val="000000" w:themeColor="text1"/>
          <w:kern w:val="0"/>
          <w:szCs w:val="21"/>
          <w14:textFill>
            <w14:solidFill>
              <w14:schemeClr w14:val="tx1"/>
            </w14:solidFill>
          </w14:textFill>
        </w:rPr>
        <w:t xml:space="preserve"> 简化计算原则</w:t>
      </w:r>
    </w:p>
    <w:p>
      <w:pPr>
        <w:spacing w:line="360" w:lineRule="auto"/>
        <w:ind w:firstLine="42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1</w:t>
      </w:r>
      <w:r>
        <w:rPr>
          <w:rFonts w:hAnsi="宋体"/>
          <w:bCs/>
          <w:color w:val="000000" w:themeColor="text1"/>
          <w:kern w:val="0"/>
          <w:szCs w:val="21"/>
          <w14:textFill>
            <w14:solidFill>
              <w14:schemeClr w14:val="tx1"/>
            </w14:solidFill>
          </w14:textFill>
        </w:rPr>
        <w:t xml:space="preserve"> 采用设计计算方法分析空腹夹层板内力和挠度时，应按下列基本假定进行计算：</w:t>
      </w:r>
    </w:p>
    <w:p>
      <w:pPr>
        <w:spacing w:line="360" w:lineRule="auto"/>
        <w:ind w:firstLine="630" w:firstLineChars="30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1）</w:t>
      </w:r>
      <w:r>
        <w:rPr>
          <w:rFonts w:hAnsi="宋体"/>
          <w:bCs/>
          <w:color w:val="000000" w:themeColor="text1"/>
          <w:kern w:val="0"/>
          <w:szCs w:val="21"/>
          <w14:textFill>
            <w14:solidFill>
              <w14:schemeClr w14:val="tx1"/>
            </w14:solidFill>
          </w14:textFill>
        </w:rPr>
        <w:t>空腹梁截面的应变保持平面；</w:t>
      </w:r>
    </w:p>
    <w:p>
      <w:pPr>
        <w:spacing w:line="360" w:lineRule="auto"/>
        <w:ind w:left="945" w:leftChars="300" w:hanging="315" w:hangingChars="15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2）</w:t>
      </w:r>
      <w:r>
        <w:rPr>
          <w:rFonts w:hAnsi="宋体"/>
          <w:bCs/>
          <w:color w:val="000000" w:themeColor="text1"/>
          <w:kern w:val="0"/>
          <w:szCs w:val="21"/>
          <w14:textFill>
            <w14:solidFill>
              <w14:schemeClr w14:val="tx1"/>
            </w14:solidFill>
          </w14:textFill>
        </w:rPr>
        <w:t>按抗弯刚度相等原则将空腹网格梁折算为实腹网格梁。对于U型钢板-混凝土组合空腹夹层板，下肋截面应首先按轴向刚度相等原则将组合截面折算为混凝土截面。</w:t>
      </w:r>
    </w:p>
    <w:p>
      <w:pPr>
        <w:spacing w:line="360" w:lineRule="auto"/>
        <w:ind w:left="840" w:leftChars="300" w:hanging="210" w:hangingChars="10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3）</w:t>
      </w:r>
      <w:r>
        <w:rPr>
          <w:rFonts w:hAnsi="宋体"/>
          <w:bCs/>
          <w:color w:val="000000" w:themeColor="text1"/>
          <w:kern w:val="0"/>
          <w:szCs w:val="21"/>
          <w14:textFill>
            <w14:solidFill>
              <w14:schemeClr w14:val="tx1"/>
            </w14:solidFill>
          </w14:textFill>
        </w:rPr>
        <w:t>当上肋表面薄板采用预制带肋板，刚度折算可不考虑上肋表面薄板的刚度贡献</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对于上肋层设置叠合层的空腹夹层板或一次全现浇成型的空腹夹层板应考虑上肋表面薄板对刚度贡献。翼缘的计算宽度应符合现行国家标准《混凝土结构设计规范》GB50010确定。</w:t>
      </w:r>
    </w:p>
    <w:p>
      <w:pPr>
        <w:spacing w:line="360" w:lineRule="auto"/>
        <w:ind w:left="840" w:leftChars="300" w:hanging="210" w:hangingChars="10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挠度验算时应考虑剪切变形、混凝土收缩和徐变等因素的影响，计算所得最大弹性挠度应除以0.65作为空腹夹层板的最大计算挠度。</w:t>
      </w:r>
    </w:p>
    <w:p>
      <w:pPr>
        <w:spacing w:line="360" w:lineRule="auto"/>
        <w:ind w:firstLine="42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2</w:t>
      </w:r>
      <w:r>
        <w:rPr>
          <w:rFonts w:hAnsi="宋体"/>
          <w:bCs/>
          <w:color w:val="000000" w:themeColor="text1"/>
          <w:kern w:val="0"/>
          <w:szCs w:val="21"/>
          <w14:textFill>
            <w14:solidFill>
              <w14:schemeClr w14:val="tx1"/>
            </w14:solidFill>
          </w14:textFill>
        </w:rPr>
        <w:t xml:space="preserve"> 根据</w:t>
      </w:r>
      <w:r>
        <w:rPr>
          <w:rFonts w:hint="eastAsia" w:hAnsi="宋体"/>
          <w:bCs/>
          <w:color w:val="000000" w:themeColor="text1"/>
          <w:kern w:val="0"/>
          <w:szCs w:val="21"/>
          <w14:textFill>
            <w14:solidFill>
              <w14:schemeClr w14:val="tx1"/>
            </w14:solidFill>
          </w14:textFill>
        </w:rPr>
        <w:t>第1款</w:t>
      </w:r>
      <w:r>
        <w:rPr>
          <w:rFonts w:hAnsi="宋体"/>
          <w:bCs/>
          <w:color w:val="000000" w:themeColor="text1"/>
          <w:kern w:val="0"/>
          <w:szCs w:val="21"/>
          <w14:textFill>
            <w14:solidFill>
              <w14:schemeClr w14:val="tx1"/>
            </w14:solidFill>
          </w14:textFill>
        </w:rPr>
        <w:t>的基本假定，空腹夹层板可按折算密肋实腹梁，采用现行建筑结构设计软件进行结构内力和挠度计算分析。根据结构施工方法与构造不同分三种情况求出其折算惯性矩</w:t>
      </w:r>
      <m:oMath>
        <m:sSub>
          <m:sSubPr>
            <m:ctrlPr>
              <w:rPr>
                <w:rFonts w:ascii="Cambria Math" w:hAnsi="Cambria Math" w:eastAsiaTheme="minorEastAsia"/>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I</m:t>
            </m:r>
            <m:ctrlPr>
              <w:rPr>
                <w:rFonts w:ascii="Cambria Math" w:hAnsi="Cambria Math" w:eastAsiaTheme="minorEastAsia"/>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x</m:t>
            </m:r>
            <m:ctrlPr>
              <w:rPr>
                <w:rFonts w:ascii="Cambria Math" w:hAnsi="Cambria Math" w:eastAsiaTheme="minorEastAsia"/>
                <w:bCs/>
                <w:i/>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（见图C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.2</w:t>
      </w:r>
      <w:r>
        <w:rPr>
          <w:rFonts w:hint="eastAsia" w:hAnsi="宋体"/>
          <w:bCs/>
          <w:color w:val="000000" w:themeColor="text1"/>
          <w:kern w:val="0"/>
          <w:szCs w:val="21"/>
          <w14:textFill>
            <w14:solidFill>
              <w14:schemeClr w14:val="tx1"/>
            </w14:solidFill>
          </w14:textFill>
        </w:rPr>
        <w:t>-1</w:t>
      </w:r>
      <w:r>
        <w:rPr>
          <w:rFonts w:hAnsi="宋体"/>
          <w:bCs/>
          <w:color w:val="000000" w:themeColor="text1"/>
          <w:kern w:val="0"/>
          <w:szCs w:val="21"/>
          <w14:textFill>
            <w14:solidFill>
              <w14:schemeClr w14:val="tx1"/>
            </w14:solidFill>
          </w14:textFill>
        </w:rPr>
        <w:t>），设实腹密肋梁高h与空腹夹层板厚度h相同，可按式（C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2-1）求出实腹密肋梁折算宽度</w:t>
      </w:r>
      <m:oMath>
        <m:sSub>
          <m:sSubPr>
            <m:ctrlPr>
              <w:rPr>
                <w:rFonts w:ascii="Cambria Math" w:hAnsi="Cambria Math" w:eastAsiaTheme="minorEastAsia"/>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b</m:t>
            </m:r>
            <m:ctrlPr>
              <w:rPr>
                <w:rFonts w:ascii="Cambria Math" w:hAnsi="Cambria Math" w:eastAsiaTheme="minorEastAsia"/>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L</m:t>
            </m:r>
            <m:ctrlPr>
              <w:rPr>
                <w:rFonts w:ascii="Cambria Math" w:hAnsi="Cambria Math" w:eastAsiaTheme="minorEastAsia"/>
                <w:bCs/>
                <w:i/>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w:t>
      </w:r>
    </w:p>
    <w:p>
      <w:pPr>
        <w:wordWrap w:val="0"/>
        <w:spacing w:line="360" w:lineRule="auto"/>
        <w:ind w:firstLine="420"/>
        <w:jc w:val="center"/>
        <w:textAlignment w:val="center"/>
        <w:rPr>
          <w:rFonts w:hAnsi="宋体"/>
          <w:bCs/>
          <w:color w:val="000000" w:themeColor="text1"/>
          <w:kern w:val="0"/>
          <w:szCs w:val="21"/>
          <w14:textFill>
            <w14:solidFill>
              <w14:schemeClr w14:val="tx1"/>
            </w14:solidFill>
          </w14:textFill>
        </w:rPr>
      </w:pPr>
      <w:bookmarkStart w:id="232" w:name="_Hlk45744121"/>
      <m:oMath>
        <m:sSub>
          <m:sSubPr>
            <m:ctrlPr>
              <w:rPr>
                <w:rFonts w:ascii="Cambria Math" w:hAnsi="Cambria Math" w:eastAsiaTheme="minorEastAsia"/>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b</m:t>
            </m:r>
            <m:ctrlPr>
              <w:rPr>
                <w:rFonts w:ascii="Cambria Math" w:hAnsi="Cambria Math" w:eastAsiaTheme="minorEastAsia"/>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L</m:t>
            </m:r>
            <w:bookmarkEnd w:id="232"/>
            <m:ctrlPr>
              <w:rPr>
                <w:rFonts w:ascii="Cambria Math" w:hAnsi="Cambria Math" w:eastAsiaTheme="minorEastAsia"/>
                <w:bCs/>
                <w:i/>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m:t>
        </m:r>
        <m:f>
          <m:fPr>
            <m:ctrlPr>
              <w:rPr>
                <w:rFonts w:ascii="Cambria Math" w:hAnsi="Cambria Math" w:eastAsiaTheme="minorEastAsia"/>
                <w:bCs/>
                <w:i/>
                <w:color w:val="000000" w:themeColor="text1"/>
                <w:kern w:val="0"/>
                <w:szCs w:val="21"/>
                <w14:textFill>
                  <w14:solidFill>
                    <w14:schemeClr w14:val="tx1"/>
                  </w14:solidFill>
                </w14:textFill>
              </w:rPr>
            </m:ctrlPr>
          </m:fPr>
          <m:num>
            <m:r>
              <w:rPr>
                <w:rFonts w:ascii="Cambria Math" w:hAnsi="Cambria Math"/>
                <w:color w:val="000000" w:themeColor="text1"/>
                <w:kern w:val="0"/>
                <w:szCs w:val="21"/>
                <w14:textFill>
                  <w14:solidFill>
                    <w14:schemeClr w14:val="tx1"/>
                  </w14:solidFill>
                </w14:textFill>
              </w:rPr>
              <m:t>12</m:t>
            </m:r>
            <m:sSub>
              <m:sSubPr>
                <m:ctrlPr>
                  <w:rPr>
                    <w:rFonts w:ascii="Cambria Math" w:hAnsi="Cambria Math" w:eastAsiaTheme="minorEastAsia"/>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I</m:t>
                </m:r>
                <m:ctrlPr>
                  <w:rPr>
                    <w:rFonts w:ascii="Cambria Math" w:hAnsi="Cambria Math" w:eastAsiaTheme="minorEastAsia"/>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x</m:t>
                </m:r>
                <m:ctrlPr>
                  <w:rPr>
                    <w:rFonts w:ascii="Cambria Math" w:hAnsi="Cambria Math" w:eastAsiaTheme="minorEastAsia"/>
                    <w:bCs/>
                    <w:i/>
                    <w:color w:val="000000" w:themeColor="text1"/>
                    <w:kern w:val="0"/>
                    <w:szCs w:val="21"/>
                    <w14:textFill>
                      <w14:solidFill>
                        <w14:schemeClr w14:val="tx1"/>
                      </w14:solidFill>
                    </w14:textFill>
                  </w:rPr>
                </m:ctrlPr>
              </m:sub>
            </m:sSub>
            <m:ctrlPr>
              <w:rPr>
                <w:rFonts w:ascii="Cambria Math" w:hAnsi="Cambria Math" w:eastAsiaTheme="minorEastAsia"/>
                <w:bCs/>
                <w:i/>
                <w:color w:val="000000" w:themeColor="text1"/>
                <w:kern w:val="0"/>
                <w:szCs w:val="21"/>
                <w14:textFill>
                  <w14:solidFill>
                    <w14:schemeClr w14:val="tx1"/>
                  </w14:solidFill>
                </w14:textFill>
              </w:rPr>
            </m:ctrlPr>
          </m:num>
          <m:den>
            <m:sSup>
              <m:sSupPr>
                <m:ctrlPr>
                  <w:rPr>
                    <w:rFonts w:ascii="Cambria Math" w:hAnsi="Cambria Math" w:eastAsiaTheme="minorEastAsia"/>
                    <w:bCs/>
                    <w:i/>
                    <w:color w:val="000000" w:themeColor="text1"/>
                    <w:kern w:val="0"/>
                    <w:szCs w:val="21"/>
                    <w14:textFill>
                      <w14:solidFill>
                        <w14:schemeClr w14:val="tx1"/>
                      </w14:solidFill>
                    </w14:textFill>
                  </w:rPr>
                </m:ctrlPr>
              </m:sSupPr>
              <m:e>
                <m:r>
                  <w:rPr>
                    <w:rFonts w:ascii="Cambria Math" w:hAnsi="Cambria Math"/>
                    <w:color w:val="000000" w:themeColor="text1"/>
                    <w:kern w:val="0"/>
                    <w:szCs w:val="21"/>
                    <w14:textFill>
                      <w14:solidFill>
                        <w14:schemeClr w14:val="tx1"/>
                      </w14:solidFill>
                    </w14:textFill>
                  </w:rPr>
                  <m:t>h</m:t>
                </m:r>
                <m:ctrlPr>
                  <w:rPr>
                    <w:rFonts w:ascii="Cambria Math" w:hAnsi="Cambria Math" w:eastAsiaTheme="minorEastAsia"/>
                    <w:bCs/>
                    <w:i/>
                    <w:color w:val="000000" w:themeColor="text1"/>
                    <w:kern w:val="0"/>
                    <w:szCs w:val="21"/>
                    <w14:textFill>
                      <w14:solidFill>
                        <w14:schemeClr w14:val="tx1"/>
                      </w14:solidFill>
                    </w14:textFill>
                  </w:rPr>
                </m:ctrlPr>
              </m:e>
              <m:sup>
                <m:r>
                  <w:rPr>
                    <w:rFonts w:ascii="Cambria Math" w:hAnsi="Cambria Math"/>
                    <w:color w:val="000000" w:themeColor="text1"/>
                    <w:kern w:val="0"/>
                    <w:szCs w:val="21"/>
                    <w14:textFill>
                      <w14:solidFill>
                        <w14:schemeClr w14:val="tx1"/>
                      </w14:solidFill>
                    </w14:textFill>
                  </w:rPr>
                  <m:t>3</m:t>
                </m:r>
                <m:ctrlPr>
                  <w:rPr>
                    <w:rFonts w:ascii="Cambria Math" w:hAnsi="Cambria Math" w:eastAsiaTheme="minorEastAsia"/>
                    <w:bCs/>
                    <w:i/>
                    <w:color w:val="000000" w:themeColor="text1"/>
                    <w:kern w:val="0"/>
                    <w:szCs w:val="21"/>
                    <w14:textFill>
                      <w14:solidFill>
                        <w14:schemeClr w14:val="tx1"/>
                      </w14:solidFill>
                    </w14:textFill>
                  </w:rPr>
                </m:ctrlPr>
              </m:sup>
            </m:sSup>
            <m:ctrlPr>
              <w:rPr>
                <w:rFonts w:ascii="Cambria Math" w:hAnsi="Cambria Math" w:eastAsiaTheme="minorEastAsia"/>
                <w:bCs/>
                <w:i/>
                <w:color w:val="000000" w:themeColor="text1"/>
                <w:kern w:val="0"/>
                <w:szCs w:val="21"/>
                <w14:textFill>
                  <w14:solidFill>
                    <w14:schemeClr w14:val="tx1"/>
                  </w14:solidFill>
                </w14:textFill>
              </w:rPr>
            </m:ctrlPr>
          </m:den>
        </m:f>
      </m:oMath>
      <w:r>
        <w:rPr>
          <w:rFonts w:hAnsi="宋体"/>
          <w:bCs/>
          <w:color w:val="000000" w:themeColor="text1"/>
          <w:kern w:val="0"/>
          <w:szCs w:val="21"/>
          <w14:textFill>
            <w14:solidFill>
              <w14:schemeClr w14:val="tx1"/>
            </w14:solidFill>
          </w14:textFill>
        </w:rPr>
        <w:t xml:space="preserve">                      (C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2-1)</w:t>
      </w:r>
    </w:p>
    <w:p>
      <w:pPr>
        <w:spacing w:line="360" w:lineRule="auto"/>
        <w:ind w:firstLine="0" w:firstLineChars="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式中</w:t>
      </w:r>
      <w:r>
        <w:rPr>
          <w:rFonts w:hint="eastAsia" w:hAnsi="宋体"/>
          <w:bCs/>
          <w:color w:val="000000" w:themeColor="text1"/>
          <w:kern w:val="0"/>
          <w:szCs w:val="21"/>
          <w14:textFill>
            <w14:solidFill>
              <w14:schemeClr w14:val="tx1"/>
            </w14:solidFill>
          </w14:textFill>
        </w:rPr>
        <w:t>：</w:t>
      </w:r>
      <m:oMath>
        <m:r>
          <w:rPr>
            <w:rFonts w:ascii="Cambria Math" w:hAnsi="Cambria Math" w:eastAsiaTheme="minorEastAsia"/>
            <w:color w:val="000000" w:themeColor="text1"/>
            <w:kern w:val="0"/>
            <w:szCs w:val="21"/>
            <w14:textFill>
              <w14:solidFill>
                <w14:schemeClr w14:val="tx1"/>
              </w14:solidFill>
            </w14:textFill>
          </w:rPr>
          <m:t xml:space="preserve"> </m:t>
        </m:r>
        <m:sSub>
          <m:sSubPr>
            <m:ctrlPr>
              <w:rPr>
                <w:rFonts w:ascii="Cambria Math" w:hAnsi="Cambria Math" w:eastAsiaTheme="minorEastAsia"/>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b</m:t>
            </m:r>
            <m:ctrlPr>
              <w:rPr>
                <w:rFonts w:ascii="Cambria Math" w:hAnsi="Cambria Math" w:eastAsiaTheme="minorEastAsia"/>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L</m:t>
            </m:r>
            <m:ctrlPr>
              <w:rPr>
                <w:rFonts w:ascii="Cambria Math" w:hAnsi="Cambria Math" w:eastAsiaTheme="minorEastAsia"/>
                <w:bCs/>
                <w:i/>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——实腹密肋梁折算宽度；</w:t>
      </w:r>
    </w:p>
    <w:p>
      <w:pPr>
        <w:spacing w:line="360" w:lineRule="auto"/>
        <w:ind w:firstLine="699" w:firstLineChars="333"/>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Ix——三种空腹梁的折算惯性矩；</w:t>
      </w:r>
    </w:p>
    <w:p>
      <w:pPr>
        <w:spacing w:line="360" w:lineRule="auto"/>
        <w:ind w:firstLine="714" w:firstLineChars="34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h——空腹夹层板总厚度、折算实腹密肋梁截面高度。</w:t>
      </w:r>
    </w:p>
    <w:p>
      <w:pPr>
        <w:spacing w:line="360" w:lineRule="auto"/>
        <w:ind w:firstLine="42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对于U型钢板-混凝土组合下肋，将其折算为混凝土截面下肋时，轴向刚度可按式（C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 xml:space="preserve">2-2）计算：  </w:t>
      </w:r>
    </w:p>
    <w:p>
      <w:pPr>
        <w:wordWrap w:val="0"/>
        <w:spacing w:line="360" w:lineRule="auto"/>
        <w:ind w:firstLine="420"/>
        <w:jc w:val="center"/>
        <w:rPr>
          <w:rFonts w:hAnsi="宋体"/>
          <w:bCs/>
          <w:color w:val="000000" w:themeColor="text1"/>
          <w:kern w:val="0"/>
          <w:szCs w:val="21"/>
          <w14:textFill>
            <w14:solidFill>
              <w14:schemeClr w14:val="tx1"/>
            </w14:solidFill>
          </w14:textFill>
        </w:rPr>
      </w:pPr>
      <m:oMath>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E</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c</m:t>
            </m:r>
            <m:ctrlPr>
              <w:rPr>
                <w:rFonts w:ascii="Cambria Math" w:hAnsi="Cambria Math"/>
                <w:bCs/>
                <w:iCs/>
                <w:color w:val="000000" w:themeColor="text1"/>
                <w:kern w:val="0"/>
                <w:szCs w:val="21"/>
                <w14:textFill>
                  <w14:solidFill>
                    <w14:schemeClr w14:val="tx1"/>
                  </w14:solidFill>
                </w14:textFill>
              </w:rPr>
            </m:ctrlPr>
          </m:sub>
        </m:sSub>
        <m:r>
          <m:rPr>
            <m:sty m:val="p"/>
          </m:rPr>
          <w:rPr>
            <w:rFonts w:ascii="Cambria Math" w:hAnsi="Cambria Math"/>
            <w:color w:val="000000" w:themeColor="text1"/>
            <w:kern w:val="0"/>
            <w:szCs w:val="21"/>
            <w14:textFill>
              <w14:solidFill>
                <w14:schemeClr w14:val="tx1"/>
              </w14:solidFill>
            </w14:textFill>
          </w:rPr>
          <m:t>A=</m:t>
        </m:r>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E</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c</m:t>
            </m:r>
            <m:ctrlPr>
              <w:rPr>
                <w:rFonts w:ascii="Cambria Math" w:hAnsi="Cambria Math"/>
                <w:bCs/>
                <w:iCs/>
                <w:color w:val="000000" w:themeColor="text1"/>
                <w:kern w:val="0"/>
                <w:szCs w:val="21"/>
                <w14:textFill>
                  <w14:solidFill>
                    <w14:schemeClr w14:val="tx1"/>
                  </w14:solidFill>
                </w14:textFill>
              </w:rPr>
            </m:ctrlPr>
          </m:sub>
        </m:sSub>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A</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c</m:t>
            </m:r>
            <m:ctrlPr>
              <w:rPr>
                <w:rFonts w:ascii="Cambria Math" w:hAnsi="Cambria Math"/>
                <w:bCs/>
                <w:iCs/>
                <w:color w:val="000000" w:themeColor="text1"/>
                <w:kern w:val="0"/>
                <w:szCs w:val="21"/>
                <w14:textFill>
                  <w14:solidFill>
                    <w14:schemeClr w14:val="tx1"/>
                  </w14:solidFill>
                </w14:textFill>
              </w:rPr>
            </m:ctrlPr>
          </m:sub>
        </m:sSub>
        <m:r>
          <m:rPr>
            <m:sty m:val="p"/>
          </m:rPr>
          <w:rPr>
            <w:rFonts w:ascii="Cambria Math" w:hAnsi="Cambria Math"/>
            <w:color w:val="000000" w:themeColor="text1"/>
            <w:kern w:val="0"/>
            <w:szCs w:val="21"/>
            <w14:textFill>
              <w14:solidFill>
                <w14:schemeClr w14:val="tx1"/>
              </w14:solidFill>
            </w14:textFill>
          </w:rPr>
          <m:t>+</m:t>
        </m:r>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E</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a</m:t>
            </m:r>
            <m:ctrlPr>
              <w:rPr>
                <w:rFonts w:ascii="Cambria Math" w:hAnsi="Cambria Math"/>
                <w:bCs/>
                <w:iCs/>
                <w:color w:val="000000" w:themeColor="text1"/>
                <w:kern w:val="0"/>
                <w:szCs w:val="21"/>
                <w14:textFill>
                  <w14:solidFill>
                    <w14:schemeClr w14:val="tx1"/>
                  </w14:solidFill>
                </w14:textFill>
              </w:rPr>
            </m:ctrlPr>
          </m:sub>
        </m:sSub>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A</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a</m:t>
            </m:r>
            <m:ctrlPr>
              <w:rPr>
                <w:rFonts w:ascii="Cambria Math" w:hAnsi="Cambria Math"/>
                <w:bCs/>
                <w:i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 xml:space="preserve">        （C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2-2）</w:t>
      </w:r>
    </w:p>
    <w:p>
      <w:pPr>
        <w:spacing w:line="360" w:lineRule="auto"/>
        <w:ind w:firstLine="0" w:firstLineChars="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式中</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A——组合下肋折算混凝土截面积；</w:t>
      </w:r>
    </w:p>
    <w:p>
      <w:pPr>
        <w:spacing w:line="360" w:lineRule="auto"/>
        <w:ind w:firstLine="630" w:firstLineChars="300"/>
        <w:jc w:val="left"/>
        <w:rPr>
          <w:rFonts w:hAnsi="宋体"/>
          <w:bCs/>
          <w:color w:val="000000" w:themeColor="text1"/>
          <w:kern w:val="0"/>
          <w:szCs w:val="21"/>
          <w14:textFill>
            <w14:solidFill>
              <w14:schemeClr w14:val="tx1"/>
            </w14:solidFill>
          </w14:textFill>
        </w:rPr>
      </w:pPr>
      <m:oMath>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A</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c</m:t>
            </m:r>
            <m:ctrlPr>
              <w:rPr>
                <w:rFonts w:ascii="Cambria Math" w:hAnsi="Cambria Math"/>
                <w:bCs/>
                <w:i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——组合下肋的混凝土截面积；</w:t>
      </w:r>
    </w:p>
    <w:p>
      <w:pPr>
        <w:spacing w:line="360" w:lineRule="auto"/>
        <w:ind w:firstLine="630" w:firstLineChars="300"/>
        <w:jc w:val="left"/>
        <w:rPr>
          <w:rFonts w:hAnsi="宋体"/>
          <w:bCs/>
          <w:color w:val="000000" w:themeColor="text1"/>
          <w:kern w:val="0"/>
          <w:szCs w:val="21"/>
          <w14:textFill>
            <w14:solidFill>
              <w14:schemeClr w14:val="tx1"/>
            </w14:solidFill>
          </w14:textFill>
        </w:rPr>
      </w:pPr>
      <m:oMath>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A</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a</m:t>
            </m:r>
            <m:ctrlPr>
              <w:rPr>
                <w:rFonts w:ascii="Cambria Math" w:hAnsi="Cambria Math"/>
                <w:bCs/>
                <w:i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——组合下肋的U型钢板截面积；</w:t>
      </w:r>
    </w:p>
    <w:p>
      <w:pPr>
        <w:spacing w:line="360" w:lineRule="auto"/>
        <w:ind w:firstLine="630" w:firstLineChars="300"/>
        <w:jc w:val="left"/>
        <w:rPr>
          <w:rFonts w:hAnsi="宋体"/>
          <w:bCs/>
          <w:color w:val="000000" w:themeColor="text1"/>
          <w:kern w:val="0"/>
          <w:szCs w:val="21"/>
          <w14:textFill>
            <w14:solidFill>
              <w14:schemeClr w14:val="tx1"/>
            </w14:solidFill>
          </w14:textFill>
        </w:rPr>
      </w:pPr>
      <m:oMath>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E</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c</m:t>
            </m:r>
            <m:ctrlPr>
              <w:rPr>
                <w:rFonts w:ascii="Cambria Math" w:hAnsi="Cambria Math"/>
                <w:bCs/>
                <w:i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——组合下肋的混凝土弹性模量；</w:t>
      </w:r>
    </w:p>
    <w:p>
      <w:pPr>
        <w:spacing w:after="156" w:afterLines="50" w:line="360" w:lineRule="auto"/>
        <w:ind w:firstLine="630" w:firstLineChars="300"/>
        <w:jc w:val="left"/>
        <w:rPr>
          <w:rFonts w:hAnsi="宋体"/>
          <w:bCs/>
          <w:color w:val="000000" w:themeColor="text1"/>
          <w:kern w:val="0"/>
          <w:szCs w:val="21"/>
          <w14:textFill>
            <w14:solidFill>
              <w14:schemeClr w14:val="tx1"/>
            </w14:solidFill>
          </w14:textFill>
        </w:rPr>
      </w:pPr>
      <m:oMath>
        <m:sSub>
          <m:sSubPr>
            <m:ctrlPr>
              <w:rPr>
                <w:rFonts w:ascii="Cambria Math" w:hAnsi="Cambria Math"/>
                <w:bCs/>
                <w:iCs/>
                <w:color w:val="000000" w:themeColor="text1"/>
                <w:kern w:val="0"/>
                <w:szCs w:val="21"/>
                <w14:textFill>
                  <w14:solidFill>
                    <w14:schemeClr w14:val="tx1"/>
                  </w14:solidFill>
                </w14:textFill>
              </w:rPr>
            </m:ctrlPr>
          </m:sSubPr>
          <m:e>
            <m:r>
              <m:rPr>
                <m:sty m:val="p"/>
              </m:rPr>
              <w:rPr>
                <w:rFonts w:ascii="Cambria Math" w:hAnsi="Cambria Math"/>
                <w:color w:val="000000" w:themeColor="text1"/>
                <w:kern w:val="0"/>
                <w:szCs w:val="21"/>
                <w14:textFill>
                  <w14:solidFill>
                    <w14:schemeClr w14:val="tx1"/>
                  </w14:solidFill>
                </w14:textFill>
              </w:rPr>
              <m:t>E</m:t>
            </m:r>
            <m:ctrlPr>
              <w:rPr>
                <w:rFonts w:ascii="Cambria Math" w:hAnsi="Cambria Math"/>
                <w:bCs/>
                <w:i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a</m:t>
            </m:r>
            <m:ctrlPr>
              <w:rPr>
                <w:rFonts w:ascii="Cambria Math" w:hAnsi="Cambria Math"/>
                <w:bCs/>
                <w:i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——组合下肋的U型钢板弹性模量。</w:t>
      </w:r>
    </w:p>
    <w:p>
      <w:pPr>
        <w:spacing w:line="360" w:lineRule="auto"/>
        <w:ind w:firstLine="422"/>
        <w:jc w:val="center"/>
        <w:rPr>
          <w:rFonts w:hAnsi="宋体"/>
          <w:b/>
          <w:bCs/>
          <w:color w:val="000000" w:themeColor="text1"/>
          <w:kern w:val="0"/>
          <w:szCs w:val="21"/>
          <w14:textFill>
            <w14:solidFill>
              <w14:schemeClr w14:val="tx1"/>
            </w14:solidFill>
          </w14:textFill>
        </w:rPr>
      </w:pPr>
      <w:r>
        <w:rPr>
          <w:rFonts w:hAnsi="宋体"/>
          <w:b/>
          <w:bCs/>
          <w:color w:val="000000" w:themeColor="text1"/>
          <w:kern w:val="0"/>
          <w:szCs w:val="21"/>
          <w14:textFill>
            <w14:solidFill>
              <w14:schemeClr w14:val="tx1"/>
            </w14:solidFill>
          </w14:textFill>
        </w:rPr>
        <w:object>
          <v:shape id="_x0000_i1069" o:spt="75" type="#_x0000_t75" style="height:87.5pt;width:134pt;" o:ole="t" filled="f" o:preferrelative="t" stroked="f" coordsize="21600,21600">
            <v:path/>
            <v:fill on="f" focussize="0,0"/>
            <v:stroke on="f" joinstyle="miter"/>
            <v:imagedata r:id="rId163" cropleft="14688f" cropright="13663f" cropbottom="14121f" o:title=""/>
            <o:lock v:ext="edit" aspectratio="t"/>
            <w10:wrap type="none"/>
            <w10:anchorlock/>
          </v:shape>
          <o:OLEObject Type="Embed" ProgID="AutoCAD.Drawing.18" ShapeID="_x0000_i1069" DrawAspect="Content" ObjectID="_1468075769" r:id="rId162">
            <o:LockedField>false</o:LockedField>
          </o:OLEObject>
        </w:object>
      </w:r>
      <w:r>
        <w:rPr>
          <w:rFonts w:hint="eastAsia" w:hAnsi="宋体"/>
          <w:b/>
          <w:bCs/>
          <w:color w:val="000000" w:themeColor="text1"/>
          <w:kern w:val="0"/>
          <w:szCs w:val="21"/>
          <w14:textFill>
            <w14:solidFill>
              <w14:schemeClr w14:val="tx1"/>
            </w14:solidFill>
          </w14:textFill>
        </w:rPr>
        <w:t xml:space="preserve"> </w:t>
      </w:r>
      <w:r>
        <w:rPr>
          <w:rFonts w:hAnsi="宋体"/>
          <w:b/>
          <w:bCs/>
          <w:color w:val="000000" w:themeColor="text1"/>
          <w:kern w:val="0"/>
          <w:szCs w:val="21"/>
          <w14:textFill>
            <w14:solidFill>
              <w14:schemeClr w14:val="tx1"/>
            </w14:solidFill>
          </w14:textFill>
        </w:rPr>
        <w:object>
          <v:shape id="_x0000_i1070" o:spt="75" type="#_x0000_t75" style="height:87.5pt;width:170pt;" o:ole="t" filled="f" o:preferrelative="t" stroked="f" coordsize="21600,21600">
            <v:path/>
            <v:fill on="f" focussize="0,0"/>
            <v:stroke on="f" joinstyle="miter"/>
            <v:imagedata r:id="rId165" cropleft="11277f" cropright="1433f" cropbottom="10850f" o:title=""/>
            <o:lock v:ext="edit" aspectratio="t"/>
            <w10:wrap type="none"/>
            <w10:anchorlock/>
          </v:shape>
          <o:OLEObject Type="Embed" ProgID="AutoCAD.Drawing.18" ShapeID="_x0000_i1070" DrawAspect="Content" ObjectID="_1468075770" r:id="rId164">
            <o:LockedField>false</o:LockedField>
          </o:OLEObject>
        </w:object>
      </w:r>
    </w:p>
    <w:p>
      <w:pPr>
        <w:spacing w:line="360" w:lineRule="auto"/>
        <w:ind w:firstLine="422"/>
        <w:jc w:val="center"/>
        <w:rPr>
          <w:rFonts w:hAnsi="宋体"/>
          <w:b/>
          <w:bCs/>
          <w:color w:val="000000" w:themeColor="text1"/>
          <w:kern w:val="0"/>
          <w:szCs w:val="21"/>
          <w14:textFill>
            <w14:solidFill>
              <w14:schemeClr w14:val="tx1"/>
            </w14:solidFill>
          </w14:textFill>
        </w:rPr>
      </w:pPr>
      <w:r>
        <w:rPr>
          <w:rFonts w:hAnsi="宋体"/>
          <w:b/>
          <w:bCs/>
          <w:color w:val="000000" w:themeColor="text1"/>
          <w:kern w:val="0"/>
          <w:szCs w:val="21"/>
          <w14:textFill>
            <w14:solidFill>
              <w14:schemeClr w14:val="tx1"/>
            </w14:solidFill>
          </w14:textFill>
        </w:rPr>
        <w:t xml:space="preserve">（a）预制带肋板空腹夹层板   </w:t>
      </w:r>
      <w:r>
        <w:rPr>
          <w:rFonts w:hint="eastAsia" w:hAnsi="宋体"/>
          <w:b/>
          <w:bCs/>
          <w:color w:val="000000" w:themeColor="text1"/>
          <w:kern w:val="0"/>
          <w:szCs w:val="21"/>
          <w14:textFill>
            <w14:solidFill>
              <w14:schemeClr w14:val="tx1"/>
            </w14:solidFill>
          </w14:textFill>
        </w:rPr>
        <w:t xml:space="preserve">      </w:t>
      </w:r>
      <w:r>
        <w:rPr>
          <w:rFonts w:hAnsi="宋体"/>
          <w:b/>
          <w:bCs/>
          <w:color w:val="000000" w:themeColor="text1"/>
          <w:kern w:val="0"/>
          <w:szCs w:val="21"/>
          <w14:textFill>
            <w14:solidFill>
              <w14:schemeClr w14:val="tx1"/>
            </w14:solidFill>
          </w14:textFill>
        </w:rPr>
        <w:t>（b）一次现浇空腹夹层板</w:t>
      </w:r>
      <w:r>
        <w:rPr>
          <w:rFonts w:hAnsi="宋体"/>
          <w:b/>
          <w:bCs/>
          <w:color w:val="000000" w:themeColor="text1"/>
          <w:kern w:val="0"/>
          <w:szCs w:val="21"/>
          <w14:textFill>
            <w14:solidFill>
              <w14:schemeClr w14:val="tx1"/>
            </w14:solidFill>
          </w14:textFill>
        </w:rPr>
        <w:object>
          <v:shape id="_x0000_i1071" o:spt="75" type="#_x0000_t75" style="height:108pt;width:319.65pt;" o:ole="t" filled="f" o:preferrelative="t" stroked="f" coordsize="21600,21600">
            <v:path/>
            <v:fill on="f" focussize="0,0"/>
            <v:stroke on="f" joinstyle="miter"/>
            <v:imagedata r:id="rId167" croptop="10150f" cropright="-2050f" cropbottom="17201f" o:title=""/>
            <o:lock v:ext="edit" aspectratio="t"/>
            <w10:wrap type="none"/>
            <w10:anchorlock/>
          </v:shape>
          <o:OLEObject Type="Embed" ProgID="AutoCAD.Drawing.18" ShapeID="_x0000_i1071" DrawAspect="Content" ObjectID="_1468075771" r:id="rId166">
            <o:LockedField>false</o:LockedField>
          </o:OLEObject>
        </w:object>
      </w:r>
    </w:p>
    <w:p>
      <w:pPr>
        <w:spacing w:line="360" w:lineRule="auto"/>
        <w:ind w:firstLine="420"/>
        <w:jc w:val="center"/>
        <w:rPr>
          <w:rFonts w:hAnsi="宋体"/>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（c）U型钢板-混凝土组合空腹夹层板</w:t>
      </w:r>
    </w:p>
    <w:p>
      <w:pPr>
        <w:spacing w:before="156" w:beforeLines="50" w:after="156" w:afterLines="50" w:line="360" w:lineRule="auto"/>
        <w:ind w:firstLine="1575" w:firstLineChars="750"/>
        <w:jc w:val="left"/>
        <w:rPr>
          <w:rFonts w:hAnsi="宋体"/>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图C</w:t>
      </w:r>
      <w:r>
        <w:rPr>
          <w:rFonts w:hint="eastAsia" w:hAnsi="宋体"/>
          <w:color w:val="000000" w:themeColor="text1"/>
          <w:kern w:val="0"/>
          <w:szCs w:val="21"/>
          <w14:textFill>
            <w14:solidFill>
              <w14:schemeClr w14:val="tx1"/>
            </w14:solidFill>
          </w14:textFill>
        </w:rPr>
        <w:t>.4.</w:t>
      </w:r>
      <w:r>
        <w:rPr>
          <w:rFonts w:hAnsi="宋体"/>
          <w:color w:val="000000" w:themeColor="text1"/>
          <w:kern w:val="0"/>
          <w:szCs w:val="21"/>
          <w14:textFill>
            <w14:solidFill>
              <w14:schemeClr w14:val="tx1"/>
            </w14:solidFill>
          </w14:textFill>
        </w:rPr>
        <w:t>2-</w:t>
      </w:r>
      <w:r>
        <w:rPr>
          <w:rFonts w:hint="eastAsia" w:hAnsi="宋体"/>
          <w:color w:val="000000" w:themeColor="text1"/>
          <w:kern w:val="0"/>
          <w:szCs w:val="21"/>
          <w14:textFill>
            <w14:solidFill>
              <w14:schemeClr w14:val="tx1"/>
            </w14:solidFill>
          </w14:textFill>
        </w:rPr>
        <w:t>1</w:t>
      </w:r>
      <w:r>
        <w:rPr>
          <w:rFonts w:hAnsi="宋体"/>
          <w:color w:val="000000" w:themeColor="text1"/>
          <w:kern w:val="0"/>
          <w:szCs w:val="21"/>
          <w14:textFill>
            <w14:solidFill>
              <w14:schemeClr w14:val="tx1"/>
            </w14:solidFill>
          </w14:textFill>
        </w:rPr>
        <w:t xml:space="preserve">  空腹夹层板刚度折算</w:t>
      </w:r>
    </w:p>
    <w:p>
      <w:pPr>
        <w:spacing w:line="360" w:lineRule="auto"/>
        <w:ind w:firstLine="420"/>
        <w:jc w:val="left"/>
        <w:rPr>
          <w:rFonts w:hAnsi="宋体"/>
          <w:color w:val="000000" w:themeColor="text1"/>
          <w:kern w:val="0"/>
          <w:szCs w:val="21"/>
          <w14:textFill>
            <w14:solidFill>
              <w14:schemeClr w14:val="tx1"/>
            </w14:solidFill>
          </w14:textFill>
        </w:rPr>
      </w:pPr>
      <w:r>
        <w:rPr>
          <w:rFonts w:hint="eastAsia" w:hAnsi="宋体"/>
          <w:color w:val="000000" w:themeColor="text1"/>
          <w:kern w:val="0"/>
          <w:szCs w:val="21"/>
          <w14:textFill>
            <w14:solidFill>
              <w14:schemeClr w14:val="tx1"/>
            </w14:solidFill>
          </w14:textFill>
        </w:rPr>
        <w:t>3</w:t>
      </w:r>
      <w:r>
        <w:rPr>
          <w:rFonts w:hAnsi="宋体"/>
          <w:color w:val="000000" w:themeColor="text1"/>
          <w:kern w:val="0"/>
          <w:szCs w:val="21"/>
          <w14:textFill>
            <w14:solidFill>
              <w14:schemeClr w14:val="tx1"/>
            </w14:solidFill>
          </w14:textFill>
        </w:rPr>
        <w:t xml:space="preserve"> 空腹夹层板上、下肋的轴力设计值和剪力设计值可按下式计算：</w:t>
      </w:r>
    </w:p>
    <w:p>
      <w:pPr>
        <w:wordWrap w:val="0"/>
        <w:spacing w:line="360" w:lineRule="auto"/>
        <w:ind w:firstLine="420"/>
        <w:jc w:val="center"/>
        <w:textAlignment w:val="center"/>
        <w:rPr>
          <w:rFonts w:hAnsi="宋体"/>
          <w:color w:val="000000" w:themeColor="text1"/>
          <w:kern w:val="0"/>
          <w:szCs w:val="21"/>
          <w14:textFill>
            <w14:solidFill>
              <w14:schemeClr w14:val="tx1"/>
            </w14:solidFill>
          </w14:textFill>
        </w:rPr>
      </w:pPr>
      <m:oMath>
        <m:r>
          <w:rPr>
            <w:rFonts w:ascii="Cambria Math" w:hAnsi="Cambria Math"/>
            <w:color w:val="000000" w:themeColor="text1"/>
            <w:kern w:val="0"/>
            <w:szCs w:val="21"/>
            <w14:textFill>
              <w14:solidFill>
                <w14:schemeClr w14:val="tx1"/>
              </w14:solidFill>
            </w14:textFill>
          </w:rPr>
          <m:t>N=</m:t>
        </m:r>
        <m:f>
          <m:fPr>
            <m:ctrlPr>
              <w:rPr>
                <w:rFonts w:ascii="Cambria Math" w:hAnsi="Cambria Math"/>
                <w:i/>
                <w:color w:val="000000" w:themeColor="text1"/>
                <w:kern w:val="0"/>
                <w:szCs w:val="21"/>
                <w14:textFill>
                  <w14:solidFill>
                    <w14:schemeClr w14:val="tx1"/>
                  </w14:solidFill>
                </w14:textFill>
              </w:rPr>
            </m:ctrlPr>
          </m:fPr>
          <m:num>
            <m:sSub>
              <m:sSubPr>
                <m:ctrlPr>
                  <w:rPr>
                    <w:rFonts w:ascii="Cambria Math" w:hAnsi="Cambria Math"/>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M</m:t>
                </m:r>
                <m:ctrlPr>
                  <w:rPr>
                    <w:rFonts w:ascii="Cambria Math" w:hAnsi="Cambria Math"/>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L</m:t>
                </m:r>
                <m:ctrlPr>
                  <w:rPr>
                    <w:rFonts w:ascii="Cambria Math" w:hAnsi="Cambria Math"/>
                    <w:i/>
                    <w:color w:val="000000" w:themeColor="text1"/>
                    <w:kern w:val="0"/>
                    <w:szCs w:val="21"/>
                    <w14:textFill>
                      <w14:solidFill>
                        <w14:schemeClr w14:val="tx1"/>
                      </w14:solidFill>
                    </w14:textFill>
                  </w:rPr>
                </m:ctrlPr>
              </m:sub>
            </m:sSub>
            <m:ctrlPr>
              <w:rPr>
                <w:rFonts w:ascii="Cambria Math" w:hAnsi="Cambria Math"/>
                <w:i/>
                <w:color w:val="000000" w:themeColor="text1"/>
                <w:kern w:val="0"/>
                <w:szCs w:val="21"/>
                <w14:textFill>
                  <w14:solidFill>
                    <w14:schemeClr w14:val="tx1"/>
                  </w14:solidFill>
                </w14:textFill>
              </w:rPr>
            </m:ctrlPr>
          </m:num>
          <m:den>
            <m:sSub>
              <m:sSubPr>
                <m:ctrlPr>
                  <w:rPr>
                    <w:rFonts w:ascii="Cambria Math" w:hAnsi="Cambria Math"/>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3</m:t>
                </m:r>
                <m:ctrlPr>
                  <w:rPr>
                    <w:rFonts w:ascii="Cambria Math" w:hAnsi="Cambria Math"/>
                    <w:i/>
                    <w:color w:val="000000" w:themeColor="text1"/>
                    <w:kern w:val="0"/>
                    <w:szCs w:val="21"/>
                    <w14:textFill>
                      <w14:solidFill>
                        <w14:schemeClr w14:val="tx1"/>
                      </w14:solidFill>
                    </w14:textFill>
                  </w:rPr>
                </m:ctrlPr>
              </m:sub>
            </m:sSub>
            <m:ctrlPr>
              <w:rPr>
                <w:rFonts w:ascii="Cambria Math" w:hAnsi="Cambria Math"/>
                <w:i/>
                <w:color w:val="000000" w:themeColor="text1"/>
                <w:kern w:val="0"/>
                <w:szCs w:val="21"/>
                <w14:textFill>
                  <w14:solidFill>
                    <w14:schemeClr w14:val="tx1"/>
                  </w14:solidFill>
                </w14:textFill>
              </w:rPr>
            </m:ctrlPr>
          </m:den>
        </m:f>
      </m:oMath>
      <w:r>
        <w:rPr>
          <w:rFonts w:hAnsi="宋体"/>
          <w:color w:val="000000" w:themeColor="text1"/>
          <w:kern w:val="0"/>
          <w:szCs w:val="21"/>
          <w14:textFill>
            <w14:solidFill>
              <w14:schemeClr w14:val="tx1"/>
            </w14:solidFill>
          </w14:textFill>
        </w:rPr>
        <w:t xml:space="preserve">                    （C</w:t>
      </w:r>
      <w:r>
        <w:rPr>
          <w:rFonts w:hint="eastAsia" w:hAnsi="宋体"/>
          <w:color w:val="000000" w:themeColor="text1"/>
          <w:kern w:val="0"/>
          <w:szCs w:val="21"/>
          <w14:textFill>
            <w14:solidFill>
              <w14:schemeClr w14:val="tx1"/>
            </w14:solidFill>
          </w14:textFill>
        </w:rPr>
        <w:t>.4.</w:t>
      </w:r>
      <w:r>
        <w:rPr>
          <w:rFonts w:hAnsi="宋体"/>
          <w:color w:val="000000" w:themeColor="text1"/>
          <w:kern w:val="0"/>
          <w:szCs w:val="21"/>
          <w14:textFill>
            <w14:solidFill>
              <w14:schemeClr w14:val="tx1"/>
            </w14:solidFill>
          </w14:textFill>
        </w:rPr>
        <w:t>2-3）</w:t>
      </w:r>
    </w:p>
    <w:p>
      <w:pPr>
        <w:wordWrap w:val="0"/>
        <w:spacing w:line="360" w:lineRule="auto"/>
        <w:ind w:firstLine="420"/>
        <w:jc w:val="center"/>
        <w:textAlignment w:val="center"/>
        <w:rPr>
          <w:rFonts w:hAnsi="宋体"/>
          <w:color w:val="000000" w:themeColor="text1"/>
          <w:kern w:val="0"/>
          <w:szCs w:val="21"/>
          <w14:textFill>
            <w14:solidFill>
              <w14:schemeClr w14:val="tx1"/>
            </w14:solidFill>
          </w14:textFill>
        </w:rPr>
      </w:pPr>
      <m:oMath>
        <m:r>
          <w:rPr>
            <w:rFonts w:ascii="Cambria Math" w:hAnsi="Cambria Math"/>
            <w:color w:val="000000" w:themeColor="text1"/>
            <w:kern w:val="0"/>
            <w:szCs w:val="21"/>
            <w14:textFill>
              <w14:solidFill>
                <w14:schemeClr w14:val="tx1"/>
              </w14:solidFill>
            </w14:textFill>
          </w:rPr>
          <m:t>V=</m:t>
        </m:r>
        <m:f>
          <m:fPr>
            <m:ctrlPr>
              <w:rPr>
                <w:rFonts w:ascii="Cambria Math" w:hAnsi="Cambria Math"/>
                <w:i/>
                <w:color w:val="000000" w:themeColor="text1"/>
                <w:kern w:val="0"/>
                <w:szCs w:val="21"/>
                <w14:textFill>
                  <w14:solidFill>
                    <w14:schemeClr w14:val="tx1"/>
                  </w14:solidFill>
                </w14:textFill>
              </w:rPr>
            </m:ctrlPr>
          </m:fPr>
          <m:num>
            <m:sSub>
              <m:sSubPr>
                <m:ctrlPr>
                  <w:rPr>
                    <w:rFonts w:ascii="Cambria Math" w:hAnsi="Cambria Math"/>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V</m:t>
                </m:r>
                <m:ctrlPr>
                  <w:rPr>
                    <w:rFonts w:ascii="Cambria Math" w:hAnsi="Cambria Math"/>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L</m:t>
                </m:r>
                <m:ctrlPr>
                  <w:rPr>
                    <w:rFonts w:ascii="Cambria Math" w:hAnsi="Cambria Math"/>
                    <w:i/>
                    <w:color w:val="000000" w:themeColor="text1"/>
                    <w:kern w:val="0"/>
                    <w:szCs w:val="21"/>
                    <w14:textFill>
                      <w14:solidFill>
                        <w14:schemeClr w14:val="tx1"/>
                      </w14:solidFill>
                    </w14:textFill>
                  </w:rPr>
                </m:ctrlPr>
              </m:sub>
            </m:sSub>
            <m:ctrlPr>
              <w:rPr>
                <w:rFonts w:ascii="Cambria Math" w:hAnsi="Cambria Math"/>
                <w:i/>
                <w:color w:val="000000" w:themeColor="text1"/>
                <w:kern w:val="0"/>
                <w:szCs w:val="21"/>
                <w14:textFill>
                  <w14:solidFill>
                    <w14:schemeClr w14:val="tx1"/>
                  </w14:solidFill>
                </w14:textFill>
              </w:rPr>
            </m:ctrlPr>
          </m:num>
          <m:den>
            <m:r>
              <w:rPr>
                <w:rFonts w:ascii="Cambria Math" w:hAnsi="Cambria Math"/>
                <w:color w:val="000000" w:themeColor="text1"/>
                <w:kern w:val="0"/>
                <w:szCs w:val="21"/>
                <w14:textFill>
                  <w14:solidFill>
                    <w14:schemeClr w14:val="tx1"/>
                  </w14:solidFill>
                </w14:textFill>
              </w:rPr>
              <m:t>2</m:t>
            </m:r>
            <m:ctrlPr>
              <w:rPr>
                <w:rFonts w:ascii="Cambria Math" w:hAnsi="Cambria Math"/>
                <w:i/>
                <w:color w:val="000000" w:themeColor="text1"/>
                <w:kern w:val="0"/>
                <w:szCs w:val="21"/>
                <w14:textFill>
                  <w14:solidFill>
                    <w14:schemeClr w14:val="tx1"/>
                  </w14:solidFill>
                </w14:textFill>
              </w:rPr>
            </m:ctrlPr>
          </m:den>
        </m:f>
      </m:oMath>
      <w:r>
        <w:rPr>
          <w:rFonts w:hAnsi="宋体"/>
          <w:color w:val="000000" w:themeColor="text1"/>
          <w:kern w:val="0"/>
          <w:szCs w:val="21"/>
          <w14:textFill>
            <w14:solidFill>
              <w14:schemeClr w14:val="tx1"/>
            </w14:solidFill>
          </w14:textFill>
        </w:rPr>
        <w:t xml:space="preserve">                     （C</w:t>
      </w:r>
      <w:r>
        <w:rPr>
          <w:rFonts w:hint="eastAsia" w:hAnsi="宋体"/>
          <w:color w:val="000000" w:themeColor="text1"/>
          <w:kern w:val="0"/>
          <w:szCs w:val="21"/>
          <w14:textFill>
            <w14:solidFill>
              <w14:schemeClr w14:val="tx1"/>
            </w14:solidFill>
          </w14:textFill>
        </w:rPr>
        <w:t>.4.</w:t>
      </w:r>
      <w:r>
        <w:rPr>
          <w:rFonts w:hAnsi="宋体"/>
          <w:color w:val="000000" w:themeColor="text1"/>
          <w:kern w:val="0"/>
          <w:szCs w:val="21"/>
          <w14:textFill>
            <w14:solidFill>
              <w14:schemeClr w14:val="tx1"/>
            </w14:solidFill>
          </w14:textFill>
        </w:rPr>
        <w:t>2-4）</w:t>
      </w:r>
    </w:p>
    <w:p>
      <w:pPr>
        <w:spacing w:line="360" w:lineRule="auto"/>
        <w:ind w:firstLine="105" w:firstLineChars="50"/>
        <w:jc w:val="left"/>
        <w:rPr>
          <w:rFonts w:hAnsi="宋体"/>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式中</w:t>
      </w:r>
      <w:r>
        <w:rPr>
          <w:rFonts w:hint="eastAsia" w:hAnsi="宋体"/>
          <w:color w:val="000000" w:themeColor="text1"/>
          <w:kern w:val="0"/>
          <w:szCs w:val="21"/>
          <w14:textFill>
            <w14:solidFill>
              <w14:schemeClr w14:val="tx1"/>
            </w14:solidFill>
          </w14:textFill>
        </w:rPr>
        <w:t>：</w:t>
      </w:r>
      <w:r>
        <w:rPr>
          <w:rFonts w:hAnsi="宋体"/>
          <w:color w:val="000000" w:themeColor="text1"/>
          <w:kern w:val="0"/>
          <w:szCs w:val="21"/>
          <w14:textFill>
            <w14:solidFill>
              <w14:schemeClr w14:val="tx1"/>
            </w14:solidFill>
          </w14:textFill>
        </w:rPr>
        <w:t>N——上、下肋轴力设计值；</w:t>
      </w:r>
    </w:p>
    <w:p>
      <w:pPr>
        <w:spacing w:line="360" w:lineRule="auto"/>
        <w:ind w:firstLine="760" w:firstLineChars="362"/>
        <w:jc w:val="left"/>
        <w:rPr>
          <w:rFonts w:hAnsi="宋体"/>
          <w:color w:val="000000" w:themeColor="text1"/>
          <w:kern w:val="0"/>
          <w:szCs w:val="21"/>
          <w14:textFill>
            <w14:solidFill>
              <w14:schemeClr w14:val="tx1"/>
            </w14:solidFill>
          </w14:textFill>
        </w:rPr>
      </w:pPr>
      <w:r>
        <w:rPr>
          <w:rFonts w:hAnsi="宋体"/>
          <w:color w:val="000000" w:themeColor="text1"/>
          <w:kern w:val="0"/>
          <w:szCs w:val="21"/>
          <w14:textFill>
            <w14:solidFill>
              <w14:schemeClr w14:val="tx1"/>
            </w14:solidFill>
          </w14:textFill>
        </w:rPr>
        <w:t>V——上、下肋剪力设计值；</w:t>
      </w:r>
    </w:p>
    <w:p>
      <w:pPr>
        <w:spacing w:line="360" w:lineRule="auto"/>
        <w:ind w:left="1283" w:leftChars="375" w:hanging="495" w:hangingChars="236"/>
        <w:jc w:val="left"/>
        <w:rPr>
          <w:rFonts w:hAnsi="宋体"/>
          <w:color w:val="000000" w:themeColor="text1"/>
          <w:kern w:val="0"/>
          <w:szCs w:val="21"/>
          <w14:textFill>
            <w14:solidFill>
              <w14:schemeClr w14:val="tx1"/>
            </w14:solidFill>
          </w14:textFill>
        </w:rPr>
      </w:pPr>
      <m:oMath>
        <m:sSub>
          <m:sSubPr>
            <m:ctrlPr>
              <w:rPr>
                <w:rFonts w:ascii="Cambria Math" w:hAnsi="Cambria Math"/>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M</m:t>
            </m:r>
            <m:ctrlPr>
              <w:rPr>
                <w:rFonts w:ascii="Cambria Math" w:hAnsi="Cambria Math"/>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L</m:t>
            </m:r>
            <m:ctrlPr>
              <w:rPr>
                <w:rFonts w:ascii="Cambria Math" w:hAnsi="Cambria Math"/>
                <w:i/>
                <w:color w:val="000000" w:themeColor="text1"/>
                <w:kern w:val="0"/>
                <w:szCs w:val="21"/>
                <w14:textFill>
                  <w14:solidFill>
                    <w14:schemeClr w14:val="tx1"/>
                  </w14:solidFill>
                </w14:textFill>
              </w:rPr>
            </m:ctrlPr>
          </m:sub>
        </m:sSub>
      </m:oMath>
      <w:r>
        <w:rPr>
          <w:rFonts w:hAnsi="宋体"/>
          <w:color w:val="000000" w:themeColor="text1"/>
          <w:kern w:val="0"/>
          <w:szCs w:val="21"/>
          <w14:textFill>
            <w14:solidFill>
              <w14:schemeClr w14:val="tx1"/>
            </w14:solidFill>
          </w14:textFill>
        </w:rPr>
        <w:t>——折算实腹密肋梁计算弯矩设计值，取网格梁段上的最大弯矩；</w:t>
      </w:r>
    </w:p>
    <w:p>
      <w:pPr>
        <w:spacing w:line="360" w:lineRule="auto"/>
        <w:ind w:firstLine="829" w:firstLineChars="395"/>
        <w:jc w:val="left"/>
        <w:rPr>
          <w:rFonts w:hAnsi="宋体"/>
          <w:color w:val="000000" w:themeColor="text1"/>
          <w:kern w:val="0"/>
          <w:szCs w:val="21"/>
          <w14:textFill>
            <w14:solidFill>
              <w14:schemeClr w14:val="tx1"/>
            </w14:solidFill>
          </w14:textFill>
        </w:rPr>
      </w:pPr>
      <m:oMath>
        <m:sSub>
          <m:sSubPr>
            <m:ctrlPr>
              <w:rPr>
                <w:rFonts w:ascii="Cambria Math" w:hAnsi="Cambria Math"/>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V</m:t>
            </m:r>
            <m:ctrlPr>
              <w:rPr>
                <w:rFonts w:ascii="Cambria Math" w:hAnsi="Cambria Math"/>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L</m:t>
            </m:r>
            <m:ctrlPr>
              <w:rPr>
                <w:rFonts w:ascii="Cambria Math" w:hAnsi="Cambria Math"/>
                <w:i/>
                <w:color w:val="000000" w:themeColor="text1"/>
                <w:kern w:val="0"/>
                <w:szCs w:val="21"/>
                <w14:textFill>
                  <w14:solidFill>
                    <w14:schemeClr w14:val="tx1"/>
                  </w14:solidFill>
                </w14:textFill>
              </w:rPr>
            </m:ctrlPr>
          </m:sub>
        </m:sSub>
      </m:oMath>
      <w:r>
        <w:rPr>
          <w:rFonts w:hAnsi="宋体"/>
          <w:color w:val="000000" w:themeColor="text1"/>
          <w:kern w:val="0"/>
          <w:szCs w:val="21"/>
          <w14:textFill>
            <w14:solidFill>
              <w14:schemeClr w14:val="tx1"/>
            </w14:solidFill>
          </w14:textFill>
        </w:rPr>
        <w:t>——折算实腹密肋梁计算剪力设计值</w:t>
      </w:r>
      <w:r>
        <w:rPr>
          <w:rFonts w:hint="eastAsia" w:hAnsi="宋体"/>
          <w:color w:val="000000" w:themeColor="text1"/>
          <w:kern w:val="0"/>
          <w:szCs w:val="21"/>
          <w14:textFill>
            <w14:solidFill>
              <w14:schemeClr w14:val="tx1"/>
            </w14:solidFill>
          </w14:textFill>
        </w:rPr>
        <w:t>；</w:t>
      </w:r>
    </w:p>
    <w:p>
      <w:pPr>
        <w:tabs>
          <w:tab w:val="left" w:pos="1260"/>
        </w:tabs>
        <w:spacing w:line="360" w:lineRule="auto"/>
        <w:ind w:firstLine="840" w:firstLineChars="400"/>
        <w:jc w:val="left"/>
        <w:rPr>
          <w:color w:val="000000" w:themeColor="text1"/>
          <w:kern w:val="0"/>
          <w:szCs w:val="21"/>
          <w14:textFill>
            <w14:solidFill>
              <w14:schemeClr w14:val="tx1"/>
            </w14:solidFill>
          </w14:textFill>
        </w:rPr>
      </w:pPr>
      <m:oMath>
        <m:sSub>
          <m:sSubPr>
            <m:ctrlPr>
              <w:rPr>
                <w:rFonts w:ascii="Cambria Math" w:hAnsi="Cambria Math"/>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3</m:t>
            </m:r>
            <m:ctrlPr>
              <w:rPr>
                <w:rFonts w:ascii="Cambria Math" w:hAnsi="Cambria Math"/>
                <w:i/>
                <w:color w:val="000000" w:themeColor="text1"/>
                <w:kern w:val="0"/>
                <w:szCs w:val="21"/>
                <w14:textFill>
                  <w14:solidFill>
                    <w14:schemeClr w14:val="tx1"/>
                  </w14:solidFill>
                </w14:textFill>
              </w:rPr>
            </m:ctrlPr>
          </m:sub>
        </m:sSub>
      </m:oMath>
      <w:r>
        <w:rPr>
          <w:rFonts w:hAnsi="宋体"/>
          <w:color w:val="000000" w:themeColor="text1"/>
          <w:kern w:val="0"/>
          <w:szCs w:val="21"/>
          <w14:textFill>
            <w14:solidFill>
              <w14:schemeClr w14:val="tx1"/>
            </w14:solidFill>
          </w14:textFill>
        </w:rPr>
        <w:t>——空腹夹层板计算高度，为上、下肋的形心间距</w:t>
      </w:r>
      <w:r>
        <w:rPr>
          <w:rFonts w:hint="eastAsia" w:hAnsi="宋体"/>
          <w:color w:val="000000" w:themeColor="text1"/>
          <w:kern w:val="0"/>
          <w:szCs w:val="21"/>
          <w14:textFill>
            <w14:solidFill>
              <w14:schemeClr w14:val="tx1"/>
            </w14:solidFill>
          </w14:textFill>
        </w:rPr>
        <w:t>。</w:t>
      </w:r>
    </w:p>
    <w:p>
      <w:pPr>
        <w:spacing w:line="360" w:lineRule="auto"/>
        <w:ind w:firstLine="420"/>
        <w:jc w:val="left"/>
        <w:rPr>
          <w:bCs/>
          <w:color w:val="000000" w:themeColor="text1"/>
          <w:sz w:val="24"/>
          <w:szCs w:val="24"/>
          <w:lang w:val="en-GB"/>
          <w14:textFill>
            <w14:solidFill>
              <w14:schemeClr w14:val="tx1"/>
            </w14:solidFill>
          </w14:textFill>
        </w:rPr>
      </w:pPr>
      <w:r>
        <w:rPr>
          <w:rFonts w:hint="eastAsia"/>
          <w:color w:val="000000" w:themeColor="text1"/>
          <w:kern w:val="0"/>
          <w:szCs w:val="24"/>
          <w:lang w:val="fr-FR"/>
          <w14:textFill>
            <w14:solidFill>
              <w14:schemeClr w14:val="tx1"/>
            </w14:solidFill>
          </w14:textFill>
        </w:rPr>
        <w:t>4</w:t>
      </w:r>
      <w:r>
        <w:rPr>
          <w:color w:val="000000" w:themeColor="text1"/>
          <w:kern w:val="0"/>
          <w:sz w:val="28"/>
          <w:szCs w:val="21"/>
          <w14:textFill>
            <w14:solidFill>
              <w14:schemeClr w14:val="tx1"/>
            </w14:solidFill>
          </w14:textFill>
        </w:rPr>
        <w:t xml:space="preserve"> </w:t>
      </w:r>
      <w:r>
        <w:rPr>
          <w:rFonts w:hAnsi="宋体"/>
          <w:color w:val="000000" w:themeColor="text1"/>
          <w:kern w:val="0"/>
          <w:szCs w:val="21"/>
          <w14:textFill>
            <w14:solidFill>
              <w14:schemeClr w14:val="tx1"/>
            </w14:solidFill>
          </w14:textFill>
        </w:rPr>
        <w:t>空腹夹层板剪力键的高宽比宜小于或等于1，剪力键主要承受其两侧上（下）肋的轴力（拉、压）设计值的差值</w:t>
      </w:r>
      <w:bookmarkStart w:id="233" w:name="_Hlk24031948"/>
      <w:r>
        <w:rPr>
          <w:rFonts w:hint="eastAsia" w:hAnsi="宋体"/>
          <w:color w:val="000000" w:themeColor="text1"/>
          <w:kern w:val="0"/>
          <w:szCs w:val="21"/>
          <w14:textFill>
            <w14:solidFill>
              <w14:schemeClr w14:val="tx1"/>
            </w14:solidFill>
          </w14:textFill>
        </w:rPr>
        <w:t>△N</w:t>
      </w:r>
      <w:bookmarkEnd w:id="233"/>
      <w:r>
        <w:rPr>
          <w:rFonts w:hAnsi="宋体"/>
          <w:color w:val="000000" w:themeColor="text1"/>
          <w:kern w:val="0"/>
          <w:szCs w:val="21"/>
          <w14:textFill>
            <w14:solidFill>
              <w14:schemeClr w14:val="tx1"/>
            </w14:solidFill>
          </w14:textFill>
        </w:rPr>
        <w:t>，剪力键设计时，</w:t>
      </w:r>
      <w:r>
        <w:rPr>
          <w:rFonts w:hint="eastAsia" w:hAnsi="宋体"/>
          <w:color w:val="000000" w:themeColor="text1"/>
          <w:kern w:val="0"/>
          <w:szCs w:val="21"/>
          <w14:textFill>
            <w14:solidFill>
              <w14:schemeClr w14:val="tx1"/>
            </w14:solidFill>
          </w14:textFill>
        </w:rPr>
        <w:t>△N</w:t>
      </w:r>
      <w:r>
        <w:rPr>
          <w:rFonts w:hAnsi="宋体"/>
          <w:color w:val="000000" w:themeColor="text1"/>
          <w:kern w:val="0"/>
          <w:szCs w:val="21"/>
          <w14:textFill>
            <w14:solidFill>
              <w14:schemeClr w14:val="tx1"/>
            </w14:solidFill>
          </w14:textFill>
        </w:rPr>
        <w:t>应按上（下）肋轴力差值中的较大值采用。</w:t>
      </w:r>
    </w:p>
    <w:p>
      <w:pPr>
        <w:spacing w:line="360" w:lineRule="auto"/>
        <w:ind w:firstLine="420"/>
        <w:jc w:val="left"/>
        <w:rPr>
          <w:rFonts w:hAnsi="宋体"/>
          <w:color w:val="000000" w:themeColor="text1"/>
          <w:kern w:val="0"/>
          <w:szCs w:val="21"/>
          <w14:textFill>
            <w14:solidFill>
              <w14:schemeClr w14:val="tx1"/>
            </w14:solidFill>
          </w14:textFill>
        </w:rPr>
      </w:pPr>
      <w:r>
        <w:rPr>
          <w:rFonts w:hint="eastAsia" w:hAnsi="宋体"/>
          <w:color w:val="000000" w:themeColor="text1"/>
          <w:kern w:val="0"/>
          <w:szCs w:val="21"/>
          <w14:textFill>
            <w14:solidFill>
              <w14:schemeClr w14:val="tx1"/>
            </w14:solidFill>
          </w14:textFill>
        </w:rPr>
        <w:t>5</w:t>
      </w:r>
      <w:r>
        <w:rPr>
          <w:rFonts w:hAnsi="宋体"/>
          <w:color w:val="000000" w:themeColor="text1"/>
          <w:kern w:val="0"/>
          <w:szCs w:val="21"/>
          <w14:textFill>
            <w14:solidFill>
              <w14:schemeClr w14:val="tx1"/>
            </w14:solidFill>
          </w14:textFill>
        </w:rPr>
        <w:t xml:space="preserve"> 空腹夹层板的剪力键可按下述要求设计（见图</w:t>
      </w: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-2</w:t>
      </w:r>
      <w:r>
        <w:rPr>
          <w:rFonts w:hAnsi="宋体"/>
          <w:color w:val="000000" w:themeColor="text1"/>
          <w:kern w:val="0"/>
          <w:szCs w:val="21"/>
          <w14:textFill>
            <w14:solidFill>
              <w14:schemeClr w14:val="tx1"/>
            </w14:solidFill>
          </w14:textFill>
        </w:rPr>
        <w:t>)</w:t>
      </w:r>
      <w:r>
        <w:rPr>
          <w:rFonts w:hint="eastAsia" w:hAnsi="宋体"/>
          <w:color w:val="000000" w:themeColor="text1"/>
          <w:kern w:val="0"/>
          <w:szCs w:val="21"/>
          <w14:textFill>
            <w14:solidFill>
              <w14:schemeClr w14:val="tx1"/>
            </w14:solidFill>
          </w14:textFill>
        </w:rPr>
        <w:t>。</w:t>
      </w:r>
    </w:p>
    <w:p>
      <w:pPr>
        <w:spacing w:line="360" w:lineRule="auto"/>
        <w:ind w:firstLine="422"/>
        <w:jc w:val="center"/>
        <w:rPr>
          <w:rFonts w:hAnsi="宋体"/>
          <w:b/>
          <w:bCs/>
          <w:color w:val="000000" w:themeColor="text1"/>
          <w:spacing w:val="22"/>
          <w:kern w:val="0"/>
          <w:szCs w:val="21"/>
          <w14:textFill>
            <w14:solidFill>
              <w14:schemeClr w14:val="tx1"/>
            </w14:solidFill>
          </w14:textFill>
        </w:rPr>
      </w:pPr>
      <w:r>
        <w:rPr>
          <w:rFonts w:hAnsi="宋体"/>
          <w:b/>
          <w:bCs/>
          <w:color w:val="000000" w:themeColor="text1"/>
          <w:spacing w:val="22"/>
          <w:kern w:val="0"/>
          <w:szCs w:val="21"/>
          <w14:textFill>
            <w14:solidFill>
              <w14:schemeClr w14:val="tx1"/>
            </w14:solidFill>
          </w14:textFill>
        </w:rPr>
        <w:drawing>
          <wp:inline distT="0" distB="0" distL="0" distR="0">
            <wp:extent cx="2171700" cy="2355850"/>
            <wp:effectExtent l="0" t="0" r="0" b="635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a:xfrm>
                      <a:off x="0" y="0"/>
                      <a:ext cx="2171700" cy="2355850"/>
                    </a:xfrm>
                    <a:prstGeom prst="rect">
                      <a:avLst/>
                    </a:prstGeom>
                    <a:noFill/>
                    <a:ln>
                      <a:noFill/>
                    </a:ln>
                  </pic:spPr>
                </pic:pic>
              </a:graphicData>
            </a:graphic>
          </wp:inline>
        </w:drawing>
      </w:r>
    </w:p>
    <w:p>
      <w:pPr>
        <w:spacing w:line="360" w:lineRule="auto"/>
        <w:ind w:firstLine="360"/>
        <w:jc w:val="center"/>
        <w:rPr>
          <w:bCs/>
          <w:color w:val="000000" w:themeColor="text1"/>
          <w:kern w:val="0"/>
          <w:sz w:val="18"/>
          <w:szCs w:val="18"/>
          <w14:textFill>
            <w14:solidFill>
              <w14:schemeClr w14:val="tx1"/>
            </w14:solidFill>
          </w14:textFill>
        </w:rPr>
      </w:pPr>
      <w:r>
        <w:rPr>
          <w:bCs/>
          <w:color w:val="000000" w:themeColor="text1"/>
          <w:kern w:val="0"/>
          <w:sz w:val="18"/>
          <w:szCs w:val="18"/>
          <w14:textFill>
            <w14:solidFill>
              <w14:schemeClr w14:val="tx1"/>
            </w14:solidFill>
          </w14:textFill>
        </w:rPr>
        <w:t>1-</w:t>
      </w:r>
      <w:r>
        <w:rPr>
          <w:rFonts w:hAnsi="宋体"/>
          <w:bCs/>
          <w:color w:val="000000" w:themeColor="text1"/>
          <w:kern w:val="0"/>
          <w:sz w:val="18"/>
          <w:szCs w:val="18"/>
          <w14:textFill>
            <w14:solidFill>
              <w14:schemeClr w14:val="tx1"/>
            </w14:solidFill>
          </w14:textFill>
        </w:rPr>
        <w:t>上肋；</w:t>
      </w:r>
      <w:r>
        <w:rPr>
          <w:bCs/>
          <w:color w:val="000000" w:themeColor="text1"/>
          <w:kern w:val="0"/>
          <w:sz w:val="18"/>
          <w:szCs w:val="18"/>
          <w14:textFill>
            <w14:solidFill>
              <w14:schemeClr w14:val="tx1"/>
            </w14:solidFill>
          </w14:textFill>
        </w:rPr>
        <w:t>2-</w:t>
      </w:r>
      <w:r>
        <w:rPr>
          <w:rFonts w:hAnsi="宋体"/>
          <w:bCs/>
          <w:color w:val="000000" w:themeColor="text1"/>
          <w:kern w:val="0"/>
          <w:sz w:val="18"/>
          <w:szCs w:val="18"/>
          <w14:textFill>
            <w14:solidFill>
              <w14:schemeClr w14:val="tx1"/>
            </w14:solidFill>
          </w14:textFill>
        </w:rPr>
        <w:t>下肋；</w:t>
      </w:r>
      <w:r>
        <w:rPr>
          <w:bCs/>
          <w:color w:val="000000" w:themeColor="text1"/>
          <w:kern w:val="0"/>
          <w:sz w:val="18"/>
          <w:szCs w:val="18"/>
          <w14:textFill>
            <w14:solidFill>
              <w14:schemeClr w14:val="tx1"/>
            </w14:solidFill>
          </w14:textFill>
        </w:rPr>
        <w:t>3-</w:t>
      </w:r>
      <w:r>
        <w:rPr>
          <w:rFonts w:hAnsi="宋体"/>
          <w:bCs/>
          <w:color w:val="000000" w:themeColor="text1"/>
          <w:kern w:val="0"/>
          <w:sz w:val="18"/>
          <w:szCs w:val="18"/>
          <w14:textFill>
            <w14:solidFill>
              <w14:schemeClr w14:val="tx1"/>
            </w14:solidFill>
          </w14:textFill>
        </w:rPr>
        <w:t>纵筋；</w:t>
      </w:r>
      <w:r>
        <w:rPr>
          <w:bCs/>
          <w:color w:val="000000" w:themeColor="text1"/>
          <w:kern w:val="0"/>
          <w:sz w:val="18"/>
          <w:szCs w:val="18"/>
          <w14:textFill>
            <w14:solidFill>
              <w14:schemeClr w14:val="tx1"/>
            </w14:solidFill>
          </w14:textFill>
        </w:rPr>
        <w:t>4-</w:t>
      </w:r>
      <w:r>
        <w:rPr>
          <w:rFonts w:hAnsi="宋体"/>
          <w:bCs/>
          <w:color w:val="000000" w:themeColor="text1"/>
          <w:kern w:val="0"/>
          <w:sz w:val="18"/>
          <w:szCs w:val="18"/>
          <w14:textFill>
            <w14:solidFill>
              <w14:schemeClr w14:val="tx1"/>
            </w14:solidFill>
          </w14:textFill>
        </w:rPr>
        <w:t>箍筋</w:t>
      </w:r>
    </w:p>
    <w:p>
      <w:pPr>
        <w:spacing w:before="156" w:beforeLines="50" w:after="156" w:afterLines="50" w:line="360" w:lineRule="auto"/>
        <w:ind w:firstLine="540" w:firstLineChars="300"/>
        <w:jc w:val="center"/>
        <w:rPr>
          <w:rFonts w:eastAsia="黑体"/>
          <w:bCs/>
          <w:color w:val="000000" w:themeColor="text1"/>
          <w:kern w:val="0"/>
          <w:sz w:val="18"/>
          <w:szCs w:val="18"/>
          <w14:textFill>
            <w14:solidFill>
              <w14:schemeClr w14:val="tx1"/>
            </w14:solidFill>
          </w14:textFill>
        </w:rPr>
      </w:pPr>
      <w:r>
        <w:rPr>
          <w:rFonts w:eastAsia="黑体"/>
          <w:bCs/>
          <w:color w:val="000000" w:themeColor="text1"/>
          <w:kern w:val="0"/>
          <w:sz w:val="18"/>
          <w:szCs w:val="18"/>
          <w14:textFill>
            <w14:solidFill>
              <w14:schemeClr w14:val="tx1"/>
            </w14:solidFill>
          </w14:textFill>
        </w:rPr>
        <w:t>图</w:t>
      </w:r>
      <w:r>
        <w:rPr>
          <w:rFonts w:ascii="宋体" w:hAnsi="宋体"/>
          <w:bCs/>
          <w:color w:val="000000" w:themeColor="text1"/>
          <w:szCs w:val="21"/>
          <w14:textFill>
            <w14:solidFill>
              <w14:schemeClr w14:val="tx1"/>
            </w14:solidFill>
          </w14:textFill>
        </w:rPr>
        <w:t>C</w:t>
      </w:r>
      <w:r>
        <w:rPr>
          <w:rFonts w:hint="eastAsia" w:ascii="宋体" w:hAnsi="宋体"/>
          <w:bCs/>
          <w:color w:val="000000" w:themeColor="text1"/>
          <w:szCs w:val="21"/>
          <w14:textFill>
            <w14:solidFill>
              <w14:schemeClr w14:val="tx1"/>
            </w14:solidFill>
          </w14:textFill>
        </w:rPr>
        <w:t>.4.</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-2</w:t>
      </w:r>
      <w:r>
        <w:rPr>
          <w:rFonts w:hint="eastAsia" w:eastAsia="黑体"/>
          <w:bCs/>
          <w:color w:val="000000" w:themeColor="text1"/>
          <w:kern w:val="0"/>
          <w:sz w:val="18"/>
          <w:szCs w:val="18"/>
          <w14:textFill>
            <w14:solidFill>
              <w14:schemeClr w14:val="tx1"/>
            </w14:solidFill>
          </w14:textFill>
        </w:rPr>
        <w:t xml:space="preserve"> </w:t>
      </w:r>
      <w:r>
        <w:rPr>
          <w:rFonts w:eastAsia="黑体"/>
          <w:bCs/>
          <w:color w:val="000000" w:themeColor="text1"/>
          <w:kern w:val="0"/>
          <w:sz w:val="18"/>
          <w:szCs w:val="18"/>
          <w14:textFill>
            <w14:solidFill>
              <w14:schemeClr w14:val="tx1"/>
            </w14:solidFill>
          </w14:textFill>
        </w:rPr>
        <w:t>剪力键钢筋计算简图</w:t>
      </w:r>
    </w:p>
    <w:p>
      <w:pPr>
        <w:spacing w:line="360" w:lineRule="auto"/>
        <w:ind w:firstLine="840" w:firstLineChars="40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1）</w:t>
      </w:r>
      <w:r>
        <w:rPr>
          <w:rFonts w:hAnsi="宋体"/>
          <w:bCs/>
          <w:color w:val="000000" w:themeColor="text1"/>
          <w:kern w:val="0"/>
          <w:szCs w:val="21"/>
          <w14:textFill>
            <w14:solidFill>
              <w14:schemeClr w14:val="tx1"/>
            </w14:solidFill>
          </w14:textFill>
        </w:rPr>
        <w:t>剪力键的横截面尺寸应符合下式要求：</w:t>
      </w:r>
    </w:p>
    <w:p>
      <w:pPr>
        <w:spacing w:line="360" w:lineRule="auto"/>
        <w:ind w:firstLine="714" w:firstLineChars="340"/>
        <w:jc w:val="center"/>
        <w:rPr>
          <w:rFonts w:hAnsi="宋体"/>
          <w:bCs/>
          <w:color w:val="000000" w:themeColor="text1"/>
          <w:kern w:val="0"/>
          <w:szCs w:val="21"/>
          <w14:textFill>
            <w14:solidFill>
              <w14:schemeClr w14:val="tx1"/>
            </w14:solidFill>
          </w14:textFill>
        </w:rPr>
      </w:pPr>
      <m:oMath>
        <w:bookmarkStart w:id="234" w:name="_Hlk45744437"/>
        <m:r>
          <m:rPr>
            <m:sty m:val="p"/>
          </m:rPr>
          <w:rPr>
            <w:rFonts w:hint="eastAsia" w:ascii="Cambria Math" w:hAnsi="Cambria Math"/>
            <w:color w:val="000000" w:themeColor="text1"/>
            <w:kern w:val="0"/>
            <w:szCs w:val="21"/>
            <w14:textFill>
              <w14:solidFill>
                <w14:schemeClr w14:val="tx1"/>
              </w14:solidFill>
            </w14:textFill>
          </w:rPr>
          <m:t>△</m:t>
        </m:r>
        <m:sSub>
          <m:sSubPr>
            <m:ctrlPr>
              <w:rPr>
                <w:rFonts w:ascii="Cambria Math" w:hAnsi="Cambria Math"/>
                <w:bCs/>
                <w:color w:val="000000" w:themeColor="text1"/>
                <w:kern w:val="0"/>
                <w:szCs w:val="21"/>
                <w14:textFill>
                  <w14:solidFill>
                    <w14:schemeClr w14:val="tx1"/>
                  </w14:solidFill>
                </w14:textFill>
              </w:rPr>
            </m:ctrlPr>
          </m:sSubPr>
          <m:e>
            <m:r>
              <m:rPr>
                <m:sty m:val="p"/>
              </m:rPr>
              <w:rPr>
                <w:rFonts w:hint="eastAsia" w:ascii="Cambria Math" w:hAnsi="Cambria Math"/>
                <w:color w:val="000000" w:themeColor="text1"/>
                <w:kern w:val="0"/>
                <w:szCs w:val="21"/>
                <w14:textFill>
                  <w14:solidFill>
                    <w14:schemeClr w14:val="tx1"/>
                  </w14:solidFill>
                </w14:textFill>
              </w:rPr>
              <m:t>N</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k</m:t>
            </m:r>
            <w:bookmarkEnd w:id="234"/>
            <m:ctrlPr>
              <w:rPr>
                <w:rFonts w:ascii="Cambria Math" w:hAnsi="Cambria Math"/>
                <w:bCs/>
                <w:color w:val="000000" w:themeColor="text1"/>
                <w:kern w:val="0"/>
                <w:szCs w:val="21"/>
                <w14:textFill>
                  <w14:solidFill>
                    <w14:schemeClr w14:val="tx1"/>
                  </w14:solidFill>
                </w14:textFill>
              </w:rPr>
            </m:ctrlPr>
          </m:sub>
        </m:sSub>
        <m:r>
          <m:rPr>
            <m:sty m:val="p"/>
          </m:rPr>
          <w:rPr>
            <w:rFonts w:ascii="Cambria Math" w:hAnsi="Cambria Math"/>
            <w:color w:val="000000" w:themeColor="text1"/>
            <w:kern w:val="0"/>
            <w:szCs w:val="21"/>
            <w14:textFill>
              <w14:solidFill>
                <w14:schemeClr w14:val="tx1"/>
              </w14:solidFill>
            </w14:textFill>
          </w:rPr>
          <m:t>≤0.8</m:t>
        </m:r>
        <m:f>
          <m:fPr>
            <m:ctrlPr>
              <w:rPr>
                <w:rFonts w:ascii="Cambria Math" w:hAnsi="Cambria Math"/>
                <w:bCs/>
                <w:color w:val="000000" w:themeColor="text1"/>
                <w:kern w:val="0"/>
                <w:szCs w:val="21"/>
                <w14:textFill>
                  <w14:solidFill>
                    <w14:schemeClr w14:val="tx1"/>
                  </w14:solidFill>
                </w14:textFill>
              </w:rPr>
            </m:ctrlPr>
          </m:fPr>
          <m:num>
            <m:sSub>
              <m:sSubPr>
                <m:ctrlPr>
                  <w:rPr>
                    <w:rFonts w:ascii="Cambria Math" w:hAnsi="Cambria Math"/>
                    <w:bCs/>
                    <w:color w:val="000000" w:themeColor="text1"/>
                    <w:kern w:val="0"/>
                    <w:szCs w:val="21"/>
                    <w14:textFill>
                      <w14:solidFill>
                        <w14:schemeClr w14:val="tx1"/>
                      </w14:solidFill>
                    </w14:textFill>
                  </w:rPr>
                </m:ctrlPr>
              </m:sSubPr>
              <m:e>
                <m:r>
                  <m:rPr>
                    <m:sty m:val="p"/>
                  </m:rPr>
                  <w:rPr>
                    <w:rFonts w:hint="eastAsia" w:ascii="Cambria Math" w:hAnsi="Cambria Math"/>
                    <w:color w:val="000000" w:themeColor="text1"/>
                    <w:kern w:val="0"/>
                    <w:szCs w:val="21"/>
                    <w14:textFill>
                      <w14:solidFill>
                        <w14:schemeClr w14:val="tx1"/>
                      </w14:solidFill>
                    </w14:textFill>
                  </w:rPr>
                  <m:t>ƒ</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tk</m:t>
                </m:r>
                <m:ctrlPr>
                  <w:rPr>
                    <w:rFonts w:ascii="Cambria Math" w:hAnsi="Cambria Math"/>
                    <w:bCs/>
                    <w:color w:val="000000" w:themeColor="text1"/>
                    <w:kern w:val="0"/>
                    <w:szCs w:val="21"/>
                    <w14:textFill>
                      <w14:solidFill>
                        <w14:schemeClr w14:val="tx1"/>
                      </w14:solidFill>
                    </w14:textFill>
                  </w:rPr>
                </m:ctrlPr>
              </m:sub>
            </m:sSub>
            <m:r>
              <w:rPr>
                <w:rFonts w:ascii="Cambria Math" w:hAnsi="Cambria Math"/>
                <w:color w:val="000000" w:themeColor="text1"/>
                <w:kern w:val="0"/>
                <w:szCs w:val="21"/>
                <w14:textFill>
                  <w14:solidFill>
                    <w14:schemeClr w14:val="tx1"/>
                  </w14:solidFill>
                </w14:textFill>
              </w:rPr>
              <m:t>b</m:t>
            </m:r>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b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0</m:t>
                </m:r>
                <m:ctrlPr>
                  <w:rPr>
                    <w:rFonts w:ascii="Cambria Math" w:hAnsi="Cambria Math"/>
                    <w:bCs/>
                    <w:color w:val="000000" w:themeColor="text1"/>
                    <w:kern w:val="0"/>
                    <w:szCs w:val="21"/>
                    <w14:textFill>
                      <w14:solidFill>
                        <w14:schemeClr w14:val="tx1"/>
                      </w14:solidFill>
                    </w14:textFill>
                  </w:rPr>
                </m:ctrlPr>
              </m:sub>
            </m:sSub>
            <m:ctrlPr>
              <w:rPr>
                <w:rFonts w:ascii="Cambria Math" w:hAnsi="Cambria Math"/>
                <w:bCs/>
                <w:color w:val="000000" w:themeColor="text1"/>
                <w:kern w:val="0"/>
                <w:szCs w:val="21"/>
                <w14:textFill>
                  <w14:solidFill>
                    <w14:schemeClr w14:val="tx1"/>
                  </w14:solidFill>
                </w14:textFill>
              </w:rPr>
            </m:ctrlPr>
          </m:num>
          <m:den>
            <m:r>
              <m:rPr>
                <m:sty m:val="p"/>
              </m:rPr>
              <w:rPr>
                <w:rFonts w:ascii="Cambria Math" w:hAnsi="Cambria Math"/>
                <w:color w:val="000000" w:themeColor="text1"/>
                <w:kern w:val="0"/>
                <w:szCs w:val="21"/>
                <w14:textFill>
                  <w14:solidFill>
                    <w14:schemeClr w14:val="tx1"/>
                  </w14:solidFill>
                </w14:textFill>
              </w:rPr>
              <m:t>0.5+</m:t>
            </m:r>
            <m:f>
              <m:fPr>
                <m:ctrlPr>
                  <w:rPr>
                    <w:rFonts w:ascii="Cambria Math" w:hAnsi="Cambria Math"/>
                    <w:bCs/>
                    <w:color w:val="000000" w:themeColor="text1"/>
                    <w:kern w:val="0"/>
                    <w:szCs w:val="21"/>
                    <w14:textFill>
                      <w14:solidFill>
                        <w14:schemeClr w14:val="tx1"/>
                      </w14:solidFill>
                    </w14:textFill>
                  </w:rPr>
                </m:ctrlPr>
              </m:fPr>
              <m:num>
                <m:r>
                  <w:rPr>
                    <w:rFonts w:ascii="Cambria Math" w:hAnsi="Cambria Math"/>
                    <w:color w:val="000000" w:themeColor="text1"/>
                    <w:kern w:val="0"/>
                    <w:szCs w:val="21"/>
                    <w14:textFill>
                      <w14:solidFill>
                        <w14:schemeClr w14:val="tx1"/>
                      </w14:solidFill>
                    </w14:textFill>
                  </w:rPr>
                  <m:t>a</m:t>
                </m:r>
                <m:ctrlPr>
                  <w:rPr>
                    <w:rFonts w:ascii="Cambria Math" w:hAnsi="Cambria Math"/>
                    <w:bCs/>
                    <w:color w:val="000000" w:themeColor="text1"/>
                    <w:kern w:val="0"/>
                    <w:szCs w:val="21"/>
                    <w14:textFill>
                      <w14:solidFill>
                        <w14:schemeClr w14:val="tx1"/>
                      </w14:solidFill>
                    </w14:textFill>
                  </w:rPr>
                </m:ctrlPr>
              </m:num>
              <m:den>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b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0</m:t>
                    </m:r>
                    <m:ctrlPr>
                      <w:rPr>
                        <w:rFonts w:ascii="Cambria Math" w:hAnsi="Cambria Math"/>
                        <w:bCs/>
                        <w:color w:val="000000" w:themeColor="text1"/>
                        <w:kern w:val="0"/>
                        <w:szCs w:val="21"/>
                        <w14:textFill>
                          <w14:solidFill>
                            <w14:schemeClr w14:val="tx1"/>
                          </w14:solidFill>
                        </w14:textFill>
                      </w:rPr>
                    </m:ctrlPr>
                  </m:sub>
                </m:sSub>
                <m:ctrlPr>
                  <w:rPr>
                    <w:rFonts w:ascii="Cambria Math" w:hAnsi="Cambria Math"/>
                    <w:bCs/>
                    <w:color w:val="000000" w:themeColor="text1"/>
                    <w:kern w:val="0"/>
                    <w:szCs w:val="21"/>
                    <w14:textFill>
                      <w14:solidFill>
                        <w14:schemeClr w14:val="tx1"/>
                      </w14:solidFill>
                    </w14:textFill>
                  </w:rPr>
                </m:ctrlPr>
              </m:den>
            </m:f>
            <m:ctrlPr>
              <w:rPr>
                <w:rFonts w:ascii="Cambria Math" w:hAnsi="Cambria Math"/>
                <w:bCs/>
                <w:color w:val="000000" w:themeColor="text1"/>
                <w:kern w:val="0"/>
                <w:szCs w:val="21"/>
                <w14:textFill>
                  <w14:solidFill>
                    <w14:schemeClr w14:val="tx1"/>
                  </w14:solidFill>
                </w14:textFill>
              </w:rPr>
            </m:ctrlPr>
          </m:den>
        </m:f>
      </m:oMath>
      <w:r>
        <w:rPr>
          <w:rFonts w:hAnsi="宋体"/>
          <w:bCs/>
          <w:color w:val="000000" w:themeColor="text1"/>
          <w:kern w:val="0"/>
          <w:szCs w:val="21"/>
          <w14:textFill>
            <w14:solidFill>
              <w14:schemeClr w14:val="tx1"/>
            </w14:solidFill>
          </w14:textFill>
        </w:rPr>
        <w:t xml:space="preserve">                    （C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w:t>
      </w:r>
      <w:r>
        <w:rPr>
          <w:rFonts w:hint="eastAsia" w:hAnsi="宋体"/>
          <w:bCs/>
          <w:color w:val="000000" w:themeColor="text1"/>
          <w:kern w:val="0"/>
          <w:szCs w:val="21"/>
          <w14:textFill>
            <w14:solidFill>
              <w14:schemeClr w14:val="tx1"/>
            </w14:solidFill>
          </w14:textFill>
        </w:rPr>
        <w:t>2</w:t>
      </w:r>
      <w:r>
        <w:rPr>
          <w:rFonts w:hAnsi="宋体"/>
          <w:bCs/>
          <w:color w:val="000000" w:themeColor="text1"/>
          <w:kern w:val="0"/>
          <w:szCs w:val="21"/>
          <w14:textFill>
            <w14:solidFill>
              <w14:schemeClr w14:val="tx1"/>
            </w14:solidFill>
          </w14:textFill>
        </w:rPr>
        <w:t>-5)</w:t>
      </w:r>
    </w:p>
    <w:p>
      <w:pPr>
        <w:spacing w:line="360" w:lineRule="auto"/>
        <w:ind w:left="1470" w:hanging="1470" w:hangingChars="70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式中</w:t>
      </w:r>
      <w:r>
        <w:rPr>
          <w:rFonts w:hint="eastAsia" w:hAnsi="宋体"/>
          <w:bCs/>
          <w:color w:val="000000" w:themeColor="text1"/>
          <w:kern w:val="0"/>
          <w:szCs w:val="21"/>
          <w14:textFill>
            <w14:solidFill>
              <w14:schemeClr w14:val="tx1"/>
            </w14:solidFill>
          </w14:textFill>
        </w:rPr>
        <w:t>：</w:t>
      </w:r>
      <m:oMath>
        <m:r>
          <m:rPr>
            <m:sty m:val="p"/>
          </m:rPr>
          <w:rPr>
            <w:rFonts w:hint="eastAsia" w:ascii="Cambria Math" w:hAnsi="Cambria Math"/>
            <w:color w:val="000000" w:themeColor="text1"/>
            <w:kern w:val="0"/>
            <w:szCs w:val="21"/>
            <w14:textFill>
              <w14:solidFill>
                <w14:schemeClr w14:val="tx1"/>
              </w14:solidFill>
            </w14:textFill>
          </w:rPr>
          <m:t>△</m:t>
        </m:r>
        <m:sSub>
          <m:sSubPr>
            <m:ctrlPr>
              <w:rPr>
                <w:rFonts w:ascii="Cambria Math" w:hAnsi="Cambria Math"/>
                <w:bCs/>
                <w:color w:val="000000" w:themeColor="text1"/>
                <w:kern w:val="0"/>
                <w:szCs w:val="21"/>
                <w14:textFill>
                  <w14:solidFill>
                    <w14:schemeClr w14:val="tx1"/>
                  </w14:solidFill>
                </w14:textFill>
              </w:rPr>
            </m:ctrlPr>
          </m:sSubPr>
          <m:e>
            <m:r>
              <m:rPr>
                <m:sty m:val="p"/>
              </m:rPr>
              <w:rPr>
                <w:rFonts w:hint="eastAsia" w:ascii="Cambria Math" w:hAnsi="Cambria Math"/>
                <w:color w:val="000000" w:themeColor="text1"/>
                <w:kern w:val="0"/>
                <w:szCs w:val="21"/>
                <w14:textFill>
                  <w14:solidFill>
                    <w14:schemeClr w14:val="tx1"/>
                  </w14:solidFill>
                </w14:textFill>
              </w:rPr>
              <m:t>N</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k</m:t>
            </m:r>
            <m:ctrlPr>
              <w:rPr>
                <w:rFonts w:ascii="Cambria Math" w:hAnsi="Cambria Math"/>
                <w:b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——按荷载效应标准组合计算的剪力键两侧上（下）肋轴力差值中的较大值；</w:t>
      </w:r>
    </w:p>
    <w:p>
      <w:pPr>
        <w:spacing w:line="360" w:lineRule="auto"/>
        <w:ind w:firstLine="714" w:firstLineChars="34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b——剪力键横截面宽度；</w:t>
      </w:r>
    </w:p>
    <w:p>
      <w:pPr>
        <w:spacing w:line="360" w:lineRule="auto"/>
        <w:ind w:firstLine="714" w:firstLineChars="340"/>
        <w:jc w:val="left"/>
        <w:rPr>
          <w:rFonts w:hAnsi="宋体"/>
          <w:bCs/>
          <w:color w:val="000000" w:themeColor="text1"/>
          <w:kern w:val="0"/>
          <w:szCs w:val="21"/>
          <w14:textFill>
            <w14:solidFill>
              <w14:schemeClr w14:val="tx1"/>
            </w14:solidFill>
          </w14:textFill>
        </w:rPr>
      </w:pPr>
      <m:oMath>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b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0</m:t>
            </m:r>
            <m:ctrlPr>
              <w:rPr>
                <w:rFonts w:ascii="Cambria Math" w:hAnsi="Cambria Math"/>
                <w:b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——剪力键横截面有效高度；</w:t>
      </w:r>
    </w:p>
    <w:p>
      <w:pPr>
        <w:spacing w:line="360" w:lineRule="auto"/>
        <w:ind w:firstLine="714" w:firstLineChars="34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a——上肋形心轴至下肋顶面距离或下肋形心轴至上肋底面的距离。</w:t>
      </w:r>
    </w:p>
    <w:p>
      <w:pPr>
        <w:spacing w:line="360" w:lineRule="auto"/>
        <w:ind w:firstLine="840" w:firstLineChars="40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2</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剪力键单侧纵向配筋的面积应按下式确定：</w:t>
      </w:r>
    </w:p>
    <w:p>
      <w:pPr>
        <w:spacing w:line="360" w:lineRule="auto"/>
        <w:ind w:firstLine="714" w:firstLineChars="340"/>
        <w:jc w:val="center"/>
        <w:rPr>
          <w:rFonts w:hAnsi="宋体"/>
          <w:bCs/>
          <w:color w:val="000000" w:themeColor="text1"/>
          <w:kern w:val="0"/>
          <w:szCs w:val="21"/>
          <w14:textFill>
            <w14:solidFill>
              <w14:schemeClr w14:val="tx1"/>
            </w14:solidFill>
          </w14:textFill>
        </w:rPr>
      </w:pPr>
      <m:oMath>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A</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s</m:t>
            </m:r>
            <m:ctrlPr>
              <w:rPr>
                <w:rFonts w:ascii="Cambria Math" w:hAnsi="Cambria Math"/>
                <w:bCs/>
                <w:color w:val="000000" w:themeColor="text1"/>
                <w:kern w:val="0"/>
                <w:szCs w:val="21"/>
                <w14:textFill>
                  <w14:solidFill>
                    <w14:schemeClr w14:val="tx1"/>
                  </w14:solidFill>
                </w14:textFill>
              </w:rPr>
            </m:ctrlPr>
          </m:sub>
        </m:sSub>
        <m:r>
          <m:rPr>
            <m:sty m:val="p"/>
          </m:rPr>
          <w:rPr>
            <w:rFonts w:ascii="Cambria Math" w:hAnsi="Cambria Math"/>
            <w:color w:val="000000" w:themeColor="text1"/>
            <w:kern w:val="0"/>
            <w:szCs w:val="21"/>
            <w14:textFill>
              <w14:solidFill>
                <w14:schemeClr w14:val="tx1"/>
              </w14:solidFill>
            </w14:textFill>
          </w:rPr>
          <m:t>≥</m:t>
        </m:r>
        <m:f>
          <m:fPr>
            <m:ctrlPr>
              <w:rPr>
                <w:rFonts w:ascii="Cambria Math" w:hAnsi="Cambria Math"/>
                <w:bCs/>
                <w:color w:val="000000" w:themeColor="text1"/>
                <w:kern w:val="0"/>
                <w:szCs w:val="21"/>
                <w14:textFill>
                  <w14:solidFill>
                    <w14:schemeClr w14:val="tx1"/>
                  </w14:solidFill>
                </w14:textFill>
              </w:rPr>
            </m:ctrlPr>
          </m:fPr>
          <m:num>
            <m:r>
              <m:rPr>
                <m:sty m:val="p"/>
              </m:rPr>
              <w:rPr>
                <w:rFonts w:hint="eastAsia" w:ascii="Cambria Math" w:hAnsi="Cambria Math"/>
                <w:color w:val="000000" w:themeColor="text1"/>
                <w:kern w:val="0"/>
                <w:szCs w:val="21"/>
                <w14:textFill>
                  <w14:solidFill>
                    <w14:schemeClr w14:val="tx1"/>
                  </w14:solidFill>
                </w14:textFill>
              </w:rPr>
              <m:t>△</m:t>
            </m:r>
            <w:bookmarkStart w:id="235" w:name="_Hlk24032041"/>
            <m:r>
              <m:rPr>
                <m:sty m:val="p"/>
              </m:rPr>
              <w:rPr>
                <w:rFonts w:hint="eastAsia" w:ascii="Cambria Math" w:hAnsi="Cambria Math"/>
                <w:color w:val="000000" w:themeColor="text1"/>
                <w:kern w:val="0"/>
                <w:szCs w:val="21"/>
                <w14:textFill>
                  <w14:solidFill>
                    <w14:schemeClr w14:val="tx1"/>
                  </w14:solidFill>
                </w14:textFill>
              </w:rPr>
              <m:t>△N</m:t>
            </m:r>
            <w:bookmarkEnd w:id="235"/>
            <m:r>
              <m:rPr>
                <m:sty m:val="p"/>
              </m:rPr>
              <w:rPr>
                <w:rFonts w:ascii="Cambria Math" w:hAnsi="宋体"/>
                <w:color w:val="000000" w:themeColor="text1"/>
                <w:kern w:val="0"/>
                <w:szCs w:val="21"/>
                <w14:textFill>
                  <w14:solidFill>
                    <w14:schemeClr w14:val="tx1"/>
                  </w14:solidFill>
                </w14:textFill>
              </w:rPr>
              <m:t>a</m:t>
            </m:r>
            <m:ctrlPr>
              <w:rPr>
                <w:rFonts w:ascii="Cambria Math" w:hAnsi="Cambria Math"/>
                <w:bCs/>
                <w:color w:val="000000" w:themeColor="text1"/>
                <w:kern w:val="0"/>
                <w:szCs w:val="21"/>
                <w14:textFill>
                  <w14:solidFill>
                    <w14:schemeClr w14:val="tx1"/>
                  </w14:solidFill>
                </w14:textFill>
              </w:rPr>
            </m:ctrlPr>
          </m:num>
          <m:den>
            <m:r>
              <m:rPr>
                <m:sty m:val="p"/>
              </m:rPr>
              <w:rPr>
                <w:rFonts w:ascii="Cambria Math" w:hAnsi="Cambria Math"/>
                <w:color w:val="000000" w:themeColor="text1"/>
                <w:kern w:val="0"/>
                <w:szCs w:val="21"/>
                <w14:textFill>
                  <w14:solidFill>
                    <w14:schemeClr w14:val="tx1"/>
                  </w14:solidFill>
                </w14:textFill>
              </w:rPr>
              <m:t>0.85</m:t>
            </m:r>
            <m:sSub>
              <w:bookmarkStart w:id="236" w:name="_Hlk24031995"/>
              <m:sSubPr>
                <m:ctrlPr>
                  <w:rPr>
                    <w:rFonts w:ascii="Cambria Math" w:hAnsi="Cambria Math"/>
                    <w:bCs/>
                    <w:color w:val="000000" w:themeColor="text1"/>
                    <w:kern w:val="0"/>
                    <w:szCs w:val="21"/>
                    <w14:textFill>
                      <w14:solidFill>
                        <w14:schemeClr w14:val="tx1"/>
                      </w14:solidFill>
                    </w14:textFill>
                  </w:rPr>
                </m:ctrlPr>
              </m:sSubPr>
              <m:e>
                <m:r>
                  <m:rPr>
                    <m:sty m:val="p"/>
                  </m:rPr>
                  <w:rPr>
                    <w:rFonts w:hint="eastAsia" w:ascii="Cambria Math" w:hAnsi="Cambria Math"/>
                    <w:color w:val="000000" w:themeColor="text1"/>
                    <w:kern w:val="0"/>
                    <w:szCs w:val="21"/>
                    <w14:textFill>
                      <w14:solidFill>
                        <w14:schemeClr w14:val="tx1"/>
                      </w14:solidFill>
                    </w14:textFill>
                  </w:rPr>
                  <m:t>ƒ</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y</m:t>
                </m:r>
                <w:bookmarkEnd w:id="236"/>
                <m:ctrlPr>
                  <w:rPr>
                    <w:rFonts w:ascii="Cambria Math" w:hAnsi="Cambria Math"/>
                    <w:bCs/>
                    <w:color w:val="000000" w:themeColor="text1"/>
                    <w:kern w:val="0"/>
                    <w:szCs w:val="21"/>
                    <w14:textFill>
                      <w14:solidFill>
                        <w14:schemeClr w14:val="tx1"/>
                      </w14:solidFill>
                    </w14:textFill>
                  </w:rPr>
                </m:ctrlPr>
              </m:sub>
            </m:sSub>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b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0</m:t>
                </m:r>
                <m:ctrlPr>
                  <w:rPr>
                    <w:rFonts w:ascii="Cambria Math" w:hAnsi="Cambria Math"/>
                    <w:bCs/>
                    <w:color w:val="000000" w:themeColor="text1"/>
                    <w:kern w:val="0"/>
                    <w:szCs w:val="21"/>
                    <w14:textFill>
                      <w14:solidFill>
                        <w14:schemeClr w14:val="tx1"/>
                      </w14:solidFill>
                    </w14:textFill>
                  </w:rPr>
                </m:ctrlPr>
              </m:sub>
            </m:sSub>
            <m:ctrlPr>
              <w:rPr>
                <w:rFonts w:ascii="Cambria Math" w:hAnsi="Cambria Math"/>
                <w:bCs/>
                <w:color w:val="000000" w:themeColor="text1"/>
                <w:kern w:val="0"/>
                <w:szCs w:val="21"/>
                <w14:textFill>
                  <w14:solidFill>
                    <w14:schemeClr w14:val="tx1"/>
                  </w14:solidFill>
                </w14:textFill>
              </w:rPr>
            </m:ctrlPr>
          </m:den>
        </m:f>
      </m:oMath>
      <w:r>
        <w:rPr>
          <w:rFonts w:hint="eastAsia" w:hAnsi="宋体"/>
          <w:bCs/>
          <w:color w:val="000000" w:themeColor="text1"/>
          <w:kern w:val="0"/>
          <w:szCs w:val="21"/>
          <w14:textFill>
            <w14:solidFill>
              <w14:schemeClr w14:val="tx1"/>
            </w14:solidFill>
          </w14:textFill>
        </w:rPr>
        <w:t xml:space="preserve">                    </w:t>
      </w:r>
      <w:r>
        <w:rPr>
          <w:rFonts w:hAnsi="宋体"/>
          <w:bCs/>
          <w:color w:val="000000" w:themeColor="text1"/>
          <w:kern w:val="0"/>
          <w:szCs w:val="21"/>
          <w14:textFill>
            <w14:solidFill>
              <w14:schemeClr w14:val="tx1"/>
            </w14:solidFill>
          </w14:textFill>
        </w:rPr>
        <w:t>（C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w:t>
      </w:r>
      <w:r>
        <w:rPr>
          <w:rFonts w:hint="eastAsia" w:hAnsi="宋体"/>
          <w:bCs/>
          <w:color w:val="000000" w:themeColor="text1"/>
          <w:kern w:val="0"/>
          <w:szCs w:val="21"/>
          <w14:textFill>
            <w14:solidFill>
              <w14:schemeClr w14:val="tx1"/>
            </w14:solidFill>
          </w14:textFill>
        </w:rPr>
        <w:t>2</w:t>
      </w:r>
      <w:r>
        <w:rPr>
          <w:rFonts w:hAnsi="宋体"/>
          <w:bCs/>
          <w:color w:val="000000" w:themeColor="text1"/>
          <w:kern w:val="0"/>
          <w:szCs w:val="21"/>
          <w14:textFill>
            <w14:solidFill>
              <w14:schemeClr w14:val="tx1"/>
            </w14:solidFill>
          </w14:textFill>
        </w:rPr>
        <w:t>-6)</w:t>
      </w:r>
    </w:p>
    <w:p>
      <w:pPr>
        <w:spacing w:line="360" w:lineRule="auto"/>
        <w:ind w:firstLine="714" w:firstLineChars="34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式中</w:t>
      </w:r>
      <w:r>
        <w:rPr>
          <w:rFonts w:hint="eastAsia" w:hAnsi="宋体"/>
          <w:bCs/>
          <w:color w:val="000000" w:themeColor="text1"/>
          <w:kern w:val="0"/>
          <w:szCs w:val="21"/>
          <w14:textFill>
            <w14:solidFill>
              <w14:schemeClr w14:val="tx1"/>
            </w14:solidFill>
          </w14:textFill>
        </w:rPr>
        <w:t>△N</w:t>
      </w:r>
      <w:r>
        <w:rPr>
          <w:rFonts w:hAnsi="宋体"/>
          <w:bCs/>
          <w:color w:val="000000" w:themeColor="text1"/>
          <w:kern w:val="0"/>
          <w:szCs w:val="21"/>
          <w14:textFill>
            <w14:solidFill>
              <w14:schemeClr w14:val="tx1"/>
            </w14:solidFill>
          </w14:textFill>
        </w:rPr>
        <w:t>——剪力键两侧上（下）肋的轴力设计值差值中的较大值</w:t>
      </w:r>
      <w:r>
        <w:rPr>
          <w:rFonts w:hint="eastAsia" w:hAnsi="宋体"/>
          <w:bCs/>
          <w:color w:val="000000" w:themeColor="text1"/>
          <w:kern w:val="0"/>
          <w:szCs w:val="21"/>
          <w14:textFill>
            <w14:solidFill>
              <w14:schemeClr w14:val="tx1"/>
            </w14:solidFill>
          </w14:textFill>
        </w:rPr>
        <w:t>。</w:t>
      </w:r>
    </w:p>
    <w:p>
      <w:pPr>
        <w:spacing w:line="360" w:lineRule="auto"/>
        <w:ind w:firstLine="819" w:firstLineChars="39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3</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剪力键箍筋应符合下列要求：</w:t>
      </w:r>
    </w:p>
    <w:p>
      <w:pPr>
        <w:spacing w:line="360" w:lineRule="auto"/>
        <w:ind w:firstLine="714" w:firstLineChars="340"/>
        <w:jc w:val="center"/>
        <w:rPr>
          <w:rFonts w:hAnsi="宋体"/>
          <w:bCs/>
          <w:color w:val="000000" w:themeColor="text1"/>
          <w:kern w:val="0"/>
          <w:szCs w:val="21"/>
          <w14:textFill>
            <w14:solidFill>
              <w14:schemeClr w14:val="tx1"/>
            </w14:solidFill>
          </w14:textFill>
        </w:rPr>
      </w:pPr>
      <m:oMath>
        <m:r>
          <m:rPr>
            <m:sty m:val="p"/>
          </m:rPr>
          <w:rPr>
            <w:rFonts w:hint="eastAsia" w:ascii="Cambria Math" w:hAnsi="Cambria Math"/>
            <w:color w:val="000000" w:themeColor="text1"/>
            <w:kern w:val="0"/>
            <w:szCs w:val="21"/>
            <w14:textFill>
              <w14:solidFill>
                <w14:schemeClr w14:val="tx1"/>
              </w14:solidFill>
            </w14:textFill>
          </w:rPr>
          <m:t>△△N</m:t>
        </m:r>
        <m:r>
          <m:rPr>
            <m:sty m:val="p"/>
          </m:rPr>
          <w:rPr>
            <w:rFonts w:ascii="Cambria Math" w:hAnsi="Cambria Math"/>
            <w:color w:val="000000" w:themeColor="text1"/>
            <w:kern w:val="0"/>
            <w:szCs w:val="21"/>
            <w14:textFill>
              <w14:solidFill>
                <w14:schemeClr w14:val="tx1"/>
              </w14:solidFill>
            </w14:textFill>
          </w:rPr>
          <m:t>≤</m:t>
        </m:r>
        <m:sSub>
          <m:sSubPr>
            <m:ctrlPr>
              <w:rPr>
                <w:rFonts w:ascii="Cambria Math" w:hAnsi="Cambria Math"/>
                <w:bCs/>
                <w:color w:val="000000" w:themeColor="text1"/>
                <w:kern w:val="0"/>
                <w:szCs w:val="21"/>
                <w14:textFill>
                  <w14:solidFill>
                    <w14:schemeClr w14:val="tx1"/>
                  </w14:solidFill>
                </w14:textFill>
              </w:rPr>
            </m:ctrlPr>
          </m:sSubPr>
          <m:e>
            <m:r>
              <m:rPr>
                <m:sty m:val="p"/>
              </m:rPr>
              <w:rPr>
                <w:rFonts w:hint="eastAsia" w:ascii="Cambria Math" w:hAnsi="Cambria Math"/>
                <w:color w:val="000000" w:themeColor="text1"/>
                <w:kern w:val="0"/>
                <w:szCs w:val="21"/>
                <w14:textFill>
                  <w14:solidFill>
                    <w14:schemeClr w14:val="tx1"/>
                  </w14:solidFill>
                </w14:textFill>
              </w:rPr>
              <m:t>ƒ</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yv</m:t>
            </m:r>
            <m:ctrlPr>
              <w:rPr>
                <w:rFonts w:ascii="Cambria Math" w:hAnsi="Cambria Math"/>
                <w:bCs/>
                <w:color w:val="000000" w:themeColor="text1"/>
                <w:kern w:val="0"/>
                <w:szCs w:val="21"/>
                <w14:textFill>
                  <w14:solidFill>
                    <w14:schemeClr w14:val="tx1"/>
                  </w14:solidFill>
                </w14:textFill>
              </w:rPr>
            </m:ctrlPr>
          </m:sub>
        </m:sSub>
        <m:f>
          <m:fPr>
            <m:ctrlPr>
              <w:rPr>
                <w:rFonts w:ascii="Cambria Math" w:hAnsi="Cambria Math"/>
                <w:bCs/>
                <w:color w:val="000000" w:themeColor="text1"/>
                <w:kern w:val="0"/>
                <w:szCs w:val="21"/>
                <w14:textFill>
                  <w14:solidFill>
                    <w14:schemeClr w14:val="tx1"/>
                  </w14:solidFill>
                </w14:textFill>
              </w:rPr>
            </m:ctrlPr>
          </m:fPr>
          <m:num>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A</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sv</m:t>
                </m:r>
                <m:ctrlPr>
                  <w:rPr>
                    <w:rFonts w:ascii="Cambria Math" w:hAnsi="Cambria Math"/>
                    <w:bCs/>
                    <w:color w:val="000000" w:themeColor="text1"/>
                    <w:kern w:val="0"/>
                    <w:szCs w:val="21"/>
                    <w14:textFill>
                      <w14:solidFill>
                        <w14:schemeClr w14:val="tx1"/>
                      </w14:solidFill>
                    </w14:textFill>
                  </w:rPr>
                </m:ctrlPr>
              </m:sub>
            </m:sSub>
            <m:ctrlPr>
              <w:rPr>
                <w:rFonts w:ascii="Cambria Math" w:hAnsi="Cambria Math"/>
                <w:bCs/>
                <w:color w:val="000000" w:themeColor="text1"/>
                <w:kern w:val="0"/>
                <w:szCs w:val="21"/>
                <w14:textFill>
                  <w14:solidFill>
                    <w14:schemeClr w14:val="tx1"/>
                  </w14:solidFill>
                </w14:textFill>
              </w:rPr>
            </m:ctrlPr>
          </m:num>
          <m:den>
            <m:r>
              <w:rPr>
                <w:rFonts w:ascii="Cambria Math" w:hAnsi="Cambria Math"/>
                <w:color w:val="000000" w:themeColor="text1"/>
                <w:kern w:val="0"/>
                <w:szCs w:val="21"/>
                <w14:textFill>
                  <w14:solidFill>
                    <w14:schemeClr w14:val="tx1"/>
                  </w14:solidFill>
                </w14:textFill>
              </w:rPr>
              <m:t>S</m:t>
            </m:r>
            <m:ctrlPr>
              <w:rPr>
                <w:rFonts w:ascii="Cambria Math" w:hAnsi="Cambria Math"/>
                <w:bCs/>
                <w:color w:val="000000" w:themeColor="text1"/>
                <w:kern w:val="0"/>
                <w:szCs w:val="21"/>
                <w14:textFill>
                  <w14:solidFill>
                    <w14:schemeClr w14:val="tx1"/>
                  </w14:solidFill>
                </w14:textFill>
              </w:rPr>
            </m:ctrlPr>
          </m:den>
        </m:f>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bCs/>
                <w:color w:val="000000" w:themeColor="text1"/>
                <w:kern w:val="0"/>
                <w:szCs w:val="21"/>
                <w14:textFill>
                  <w14:solidFill>
                    <w14:schemeClr w14:val="tx1"/>
                  </w14:solidFill>
                </w14:textFill>
              </w:rPr>
            </m:ctrlPr>
          </m:e>
          <m:sub>
            <m:r>
              <m:rPr>
                <m:sty m:val="p"/>
              </m:rPr>
              <w:rPr>
                <w:rFonts w:ascii="Cambria Math" w:hAnsi="Cambria Math"/>
                <w:color w:val="000000" w:themeColor="text1"/>
                <w:kern w:val="0"/>
                <w:szCs w:val="21"/>
                <w14:textFill>
                  <w14:solidFill>
                    <w14:schemeClr w14:val="tx1"/>
                  </w14:solidFill>
                </w14:textFill>
              </w:rPr>
              <m:t>0</m:t>
            </m:r>
            <m:ctrlPr>
              <w:rPr>
                <w:rFonts w:ascii="Cambria Math" w:hAnsi="Cambria Math"/>
                <w:bCs/>
                <w:color w:val="000000" w:themeColor="text1"/>
                <w:kern w:val="0"/>
                <w:szCs w:val="21"/>
                <w14:textFill>
                  <w14:solidFill>
                    <w14:schemeClr w14:val="tx1"/>
                  </w14:solidFill>
                </w14:textFill>
              </w:rPr>
            </m:ctrlPr>
          </m:sub>
        </m:sSub>
      </m:oMath>
      <w:r>
        <w:rPr>
          <w:rFonts w:hint="eastAsia" w:hAnsi="宋体"/>
          <w:bCs/>
          <w:color w:val="000000" w:themeColor="text1"/>
          <w:kern w:val="0"/>
          <w:szCs w:val="21"/>
          <w14:textFill>
            <w14:solidFill>
              <w14:schemeClr w14:val="tx1"/>
            </w14:solidFill>
          </w14:textFill>
        </w:rPr>
        <w:t xml:space="preserve">                </w:t>
      </w:r>
      <w:r>
        <w:rPr>
          <w:rFonts w:hAnsi="宋体"/>
          <w:bCs/>
          <w:color w:val="000000" w:themeColor="text1"/>
          <w:kern w:val="0"/>
          <w:szCs w:val="21"/>
          <w14:textFill>
            <w14:solidFill>
              <w14:schemeClr w14:val="tx1"/>
            </w14:solidFill>
          </w14:textFill>
        </w:rPr>
        <w:t>（C</w:t>
      </w:r>
      <w:r>
        <w:rPr>
          <w:rFonts w:hint="eastAsia" w:hAnsi="宋体"/>
          <w:bCs/>
          <w:color w:val="000000" w:themeColor="text1"/>
          <w:kern w:val="0"/>
          <w:szCs w:val="21"/>
          <w14:textFill>
            <w14:solidFill>
              <w14:schemeClr w14:val="tx1"/>
            </w14:solidFill>
          </w14:textFill>
        </w:rPr>
        <w:t>.4</w:t>
      </w:r>
      <w:r>
        <w:rPr>
          <w:rFonts w:hAnsi="宋体"/>
          <w:bCs/>
          <w:color w:val="000000" w:themeColor="text1"/>
          <w:kern w:val="0"/>
          <w:szCs w:val="21"/>
          <w14:textFill>
            <w14:solidFill>
              <w14:schemeClr w14:val="tx1"/>
            </w14:solidFill>
          </w14:textFill>
        </w:rPr>
        <w:t>.</w:t>
      </w:r>
      <w:r>
        <w:rPr>
          <w:rFonts w:hint="eastAsia" w:hAnsi="宋体"/>
          <w:bCs/>
          <w:color w:val="000000" w:themeColor="text1"/>
          <w:kern w:val="0"/>
          <w:szCs w:val="21"/>
          <w14:textFill>
            <w14:solidFill>
              <w14:schemeClr w14:val="tx1"/>
            </w14:solidFill>
          </w14:textFill>
        </w:rPr>
        <w:t>2</w:t>
      </w:r>
      <w:r>
        <w:rPr>
          <w:rFonts w:hAnsi="宋体"/>
          <w:bCs/>
          <w:color w:val="000000" w:themeColor="text1"/>
          <w:kern w:val="0"/>
          <w:szCs w:val="21"/>
          <w14:textFill>
            <w14:solidFill>
              <w14:schemeClr w14:val="tx1"/>
            </w14:solidFill>
          </w14:textFill>
        </w:rPr>
        <w:t>-7)</w:t>
      </w:r>
    </w:p>
    <w:p>
      <w:pPr>
        <w:spacing w:line="360" w:lineRule="auto"/>
        <w:ind w:firstLine="0" w:firstLineChars="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式中</w:t>
      </w:r>
      <w:r>
        <w:rPr>
          <w:rFonts w:hint="eastAsia" w:hAnsi="宋体"/>
          <w:bCs/>
          <w:color w:val="000000" w:themeColor="text1"/>
          <w:kern w:val="0"/>
          <w:szCs w:val="21"/>
          <w14:textFill>
            <w14:solidFill>
              <w14:schemeClr w14:val="tx1"/>
            </w14:solidFill>
          </w14:textFill>
        </w:rPr>
        <w:t>：△N</w:t>
      </w:r>
      <w:r>
        <w:rPr>
          <w:rFonts w:hAnsi="宋体"/>
          <w:bCs/>
          <w:color w:val="000000" w:themeColor="text1"/>
          <w:kern w:val="0"/>
          <w:szCs w:val="21"/>
          <w14:textFill>
            <w14:solidFill>
              <w14:schemeClr w14:val="tx1"/>
            </w14:solidFill>
          </w14:textFill>
        </w:rPr>
        <w:t>——剪力键两侧上（下</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肋轴力设计值差值中的较大值</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 xml:space="preserve"> </w:t>
      </w:r>
    </w:p>
    <w:p>
      <w:pPr>
        <w:spacing w:line="360" w:lineRule="auto"/>
        <w:ind w:firstLine="714" w:firstLineChars="340"/>
        <w:jc w:val="left"/>
        <w:rPr>
          <w:rFonts w:hAnsi="宋体"/>
          <w:bCs/>
          <w:color w:val="000000" w:themeColor="text1"/>
          <w:kern w:val="0"/>
          <w:szCs w:val="21"/>
          <w14:textFill>
            <w14:solidFill>
              <w14:schemeClr w14:val="tx1"/>
            </w14:solidFill>
          </w14:textFill>
        </w:rPr>
      </w:pPr>
      <m:oMath>
        <m:sSub>
          <m:sSubPr>
            <m:ctrlPr>
              <w:rPr>
                <w:rFonts w:ascii="Cambria Math" w:hAnsi="Cambria Math"/>
                <w:bCs/>
                <w:color w:val="000000" w:themeColor="text1"/>
                <w:kern w:val="0"/>
                <w:szCs w:val="21"/>
                <w14:textFill>
                  <w14:solidFill>
                    <w14:schemeClr w14:val="tx1"/>
                  </w14:solidFill>
                </w14:textFill>
              </w:rPr>
            </m:ctrlPr>
          </m:sSubPr>
          <m:e>
            <m:r>
              <m:rPr>
                <m:sty m:val="p"/>
              </m:rPr>
              <w:rPr>
                <w:rFonts w:hint="eastAsia" w:ascii="Cambria Math" w:hAnsi="Cambria Math"/>
                <w:color w:val="000000" w:themeColor="text1"/>
                <w:kern w:val="0"/>
                <w:szCs w:val="21"/>
                <w14:textFill>
                  <w14:solidFill>
                    <w14:schemeClr w14:val="tx1"/>
                  </w14:solidFill>
                </w14:textFill>
              </w:rPr>
              <m:t>ƒ</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yv</m:t>
            </m:r>
            <m:ctrlPr>
              <w:rPr>
                <w:rFonts w:ascii="Cambria Math" w:hAnsi="Cambria Math"/>
                <w:b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 xml:space="preserve">——箍筋的抗拉强度设计值； </w:t>
      </w:r>
    </w:p>
    <w:p>
      <w:pPr>
        <w:spacing w:line="360" w:lineRule="auto"/>
        <w:ind w:firstLine="714" w:firstLineChars="340"/>
        <w:jc w:val="left"/>
        <w:rPr>
          <w:rFonts w:hAnsi="宋体"/>
          <w:bCs/>
          <w:color w:val="000000" w:themeColor="text1"/>
          <w:kern w:val="0"/>
          <w:szCs w:val="21"/>
          <w14:textFill>
            <w14:solidFill>
              <w14:schemeClr w14:val="tx1"/>
            </w14:solidFill>
          </w14:textFill>
        </w:rPr>
      </w:pPr>
      <m:oMath>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A</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sv</m:t>
            </m:r>
            <m:ctrlPr>
              <w:rPr>
                <w:rFonts w:ascii="Cambria Math" w:hAnsi="Cambria Math"/>
                <w:bCs/>
                <w:color w:val="000000" w:themeColor="text1"/>
                <w:kern w:val="0"/>
                <w:szCs w:val="21"/>
                <w14:textFill>
                  <w14:solidFill>
                    <w14:schemeClr w14:val="tx1"/>
                  </w14:solidFill>
                </w14:textFill>
              </w:rPr>
            </m:ctrlPr>
          </m:sub>
        </m:sSub>
      </m:oMath>
      <w:r>
        <w:rPr>
          <w:rFonts w:hAnsi="宋体"/>
          <w:bCs/>
          <w:color w:val="000000" w:themeColor="text1"/>
          <w:kern w:val="0"/>
          <w:szCs w:val="21"/>
          <w14:textFill>
            <w14:solidFill>
              <w14:schemeClr w14:val="tx1"/>
            </w14:solidFill>
          </w14:textFill>
        </w:rPr>
        <w:t xml:space="preserve">——剪力键同一横截面内箍筋的全部截面面积； </w:t>
      </w:r>
    </w:p>
    <w:p>
      <w:pPr>
        <w:spacing w:line="360" w:lineRule="auto"/>
        <w:ind w:firstLine="714" w:firstLineChars="34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S——沿剪力键高度方向箍筋的间距。</w:t>
      </w:r>
    </w:p>
    <w:p>
      <w:pPr>
        <w:spacing w:line="360" w:lineRule="auto"/>
        <w:ind w:firstLine="42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抗震设计时，上式应按受剪构件考虑承载力抗震调整系数</w:t>
      </w:r>
      <m:oMath>
        <m:sSub>
          <m:sSubPr>
            <m:ctrlPr>
              <w:rPr>
                <w:rFonts w:ascii="Cambria Math" w:hAnsi="Cambria Math"/>
                <w:bCs/>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γ</m:t>
            </m:r>
            <m:ctrlPr>
              <w:rPr>
                <w:rFonts w:ascii="Cambria Math" w:hAnsi="Cambria Math"/>
                <w:bCs/>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re</m:t>
            </m:r>
            <m:ctrlPr>
              <w:rPr>
                <w:rFonts w:ascii="Cambria Math" w:hAnsi="Cambria Math"/>
                <w:bCs/>
                <w:color w:val="000000" w:themeColor="text1"/>
                <w:kern w:val="0"/>
                <w:szCs w:val="21"/>
                <w14:textFill>
                  <w14:solidFill>
                    <w14:schemeClr w14:val="tx1"/>
                  </w14:solidFill>
                </w14:textFill>
              </w:rPr>
            </m:ctrlPr>
          </m:sub>
        </m:sSub>
      </m:oMath>
      <w:r>
        <w:rPr>
          <w:rFonts w:hint="eastAsia" w:hAnsi="宋体"/>
          <w:bCs/>
          <w:color w:val="000000" w:themeColor="text1"/>
          <w:kern w:val="0"/>
          <w:szCs w:val="21"/>
          <w14:textFill>
            <w14:solidFill>
              <w14:schemeClr w14:val="tx1"/>
            </w14:solidFill>
          </w14:textFill>
        </w:rPr>
        <w:t>。</w:t>
      </w:r>
    </w:p>
    <w:p>
      <w:pPr>
        <w:spacing w:line="360" w:lineRule="auto"/>
        <w:ind w:firstLine="420"/>
        <w:jc w:val="left"/>
        <w:rPr>
          <w:rFonts w:hAnsi="宋体"/>
          <w:bCs/>
          <w:color w:val="000000" w:themeColor="text1"/>
          <w:kern w:val="0"/>
          <w:szCs w:val="21"/>
          <w14:textFill>
            <w14:solidFill>
              <w14:schemeClr w14:val="tx1"/>
            </w14:solidFill>
          </w14:textFill>
        </w:rPr>
      </w:pPr>
    </w:p>
    <w:p>
      <w:pPr>
        <w:spacing w:line="360" w:lineRule="auto"/>
        <w:ind w:firstLine="0" w:firstLineChars="0"/>
        <w:jc w:val="center"/>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C</w:t>
      </w:r>
      <w:r>
        <w:rPr>
          <w:rFonts w:hint="eastAsia" w:hAnsi="宋体"/>
          <w:bCs/>
          <w:color w:val="000000" w:themeColor="text1"/>
          <w:kern w:val="0"/>
          <w:szCs w:val="21"/>
          <w14:textFill>
            <w14:solidFill>
              <w14:schemeClr w14:val="tx1"/>
            </w14:solidFill>
          </w14:textFill>
        </w:rPr>
        <w:t>.5盒式结构的构造要求</w:t>
      </w:r>
    </w:p>
    <w:p>
      <w:pPr>
        <w:spacing w:line="360" w:lineRule="auto"/>
        <w:ind w:firstLine="0" w:firstLineChars="0"/>
        <w:jc w:val="center"/>
        <w:rPr>
          <w:rFonts w:hAnsi="宋体"/>
          <w:bCs/>
          <w:color w:val="000000" w:themeColor="text1"/>
          <w:kern w:val="0"/>
          <w:szCs w:val="21"/>
          <w14:textFill>
            <w14:solidFill>
              <w14:schemeClr w14:val="tx1"/>
            </w14:solidFill>
          </w14:textFill>
        </w:rPr>
      </w:pPr>
    </w:p>
    <w:p>
      <w:pPr>
        <w:spacing w:line="360" w:lineRule="auto"/>
        <w:ind w:firstLine="0" w:firstLineChars="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C</w:t>
      </w:r>
      <w:r>
        <w:rPr>
          <w:rFonts w:hint="eastAsia" w:hAnsi="宋体"/>
          <w:bCs/>
          <w:color w:val="000000" w:themeColor="text1"/>
          <w:kern w:val="0"/>
          <w:szCs w:val="21"/>
          <w14:textFill>
            <w14:solidFill>
              <w14:schemeClr w14:val="tx1"/>
            </w14:solidFill>
          </w14:textFill>
        </w:rPr>
        <w:t>.5.1</w:t>
      </w:r>
      <w:r>
        <w:rPr>
          <w:rFonts w:hAnsi="宋体"/>
          <w:bCs/>
          <w:color w:val="000000" w:themeColor="text1"/>
          <w:kern w:val="0"/>
          <w:szCs w:val="21"/>
          <w14:textFill>
            <w14:solidFill>
              <w14:schemeClr w14:val="tx1"/>
            </w14:solidFill>
          </w14:textFill>
        </w:rPr>
        <w:t xml:space="preserve"> </w:t>
      </w:r>
      <w:r>
        <w:rPr>
          <w:rFonts w:hint="eastAsia" w:hAnsi="宋体"/>
          <w:bCs/>
          <w:color w:val="000000" w:themeColor="text1"/>
          <w:kern w:val="0"/>
          <w:szCs w:val="21"/>
          <w14:textFill>
            <w14:solidFill>
              <w14:schemeClr w14:val="tx1"/>
            </w14:solidFill>
          </w14:textFill>
        </w:rPr>
        <w:t>空腹夹层板的总厚度h可按短跨跨度的1/20—1/25取用，悬挑空腹夹层板的总厚度可按悬挑长度的1/6—1/8取用。空腹夹层板构件的几何尺寸可按下述规定取用：</w:t>
      </w:r>
    </w:p>
    <w:p>
      <w:pPr>
        <w:spacing w:line="360" w:lineRule="auto"/>
        <w:ind w:firstLine="42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1 上、下肋</w:t>
      </w:r>
    </w:p>
    <w:p>
      <w:pPr>
        <w:spacing w:line="360" w:lineRule="auto"/>
        <w:ind w:firstLine="42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上、下肋高度h1可按网格边长的1/10—1/15取用，肋宽b可取（1.5—3.5）</w:t>
      </w:r>
      <m:oMath>
        <m:sSub>
          <m:sSubPr>
            <m:ctrlPr>
              <w:rPr>
                <w:rFonts w:ascii="Cambria Math" w:hAnsi="Cambria Math"/>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1</m:t>
            </m:r>
            <m:ctrlPr>
              <w:rPr>
                <w:rFonts w:ascii="Cambria Math" w:hAnsi="Cambria Math"/>
                <w:bCs/>
                <w:i/>
                <w:color w:val="000000" w:themeColor="text1"/>
                <w:kern w:val="0"/>
                <w:szCs w:val="21"/>
                <w14:textFill>
                  <w14:solidFill>
                    <w14:schemeClr w14:val="tx1"/>
                  </w14:solidFill>
                </w14:textFill>
              </w:rPr>
            </m:ctrlPr>
          </m:sub>
        </m:sSub>
      </m:oMath>
      <w:r>
        <w:rPr>
          <w:rFonts w:hint="eastAsia" w:hAnsi="宋体"/>
          <w:bCs/>
          <w:color w:val="000000" w:themeColor="text1"/>
          <w:kern w:val="0"/>
          <w:szCs w:val="21"/>
          <w14:textFill>
            <w14:solidFill>
              <w14:schemeClr w14:val="tx1"/>
            </w14:solidFill>
          </w14:textFill>
        </w:rPr>
        <w:t>，且不小于250mm。</w:t>
      </w:r>
    </w:p>
    <w:p>
      <w:pPr>
        <w:spacing w:line="360" w:lineRule="auto"/>
        <w:ind w:firstLine="42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2</w:t>
      </w:r>
      <w:r>
        <w:rPr>
          <w:rFonts w:hint="eastAsia" w:hAnsi="宋体"/>
          <w:bCs/>
          <w:color w:val="000000" w:themeColor="text1"/>
          <w:kern w:val="0"/>
          <w:szCs w:val="21"/>
          <w14:textFill>
            <w14:solidFill>
              <w14:schemeClr w14:val="tx1"/>
            </w14:solidFill>
          </w14:textFill>
        </w:rPr>
        <w:t xml:space="preserve"> 剪力键</w:t>
      </w:r>
    </w:p>
    <w:p>
      <w:pPr>
        <w:spacing w:line="360" w:lineRule="auto"/>
        <w:ind w:firstLine="420"/>
        <w:jc w:val="left"/>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剪力键的横截面宽度可同下肋截面宽度，横截面高应满足承载力计算要求外，剪力键高度</w:t>
      </w:r>
      <m:oMath>
        <m:sSub>
          <m:sSubPr>
            <m:ctrlPr>
              <w:rPr>
                <w:rFonts w:ascii="Cambria Math" w:hAnsi="Cambria Math"/>
                <w:bCs/>
                <w:i/>
                <w:color w:val="000000" w:themeColor="text1"/>
                <w:kern w:val="0"/>
                <w:szCs w:val="21"/>
                <w14:textFill>
                  <w14:solidFill>
                    <w14:schemeClr w14:val="tx1"/>
                  </w14:solidFill>
                </w14:textFill>
              </w:rPr>
            </m:ctrlPr>
          </m:sSubPr>
          <m:e>
            <m:r>
              <w:rPr>
                <w:rFonts w:ascii="Cambria Math" w:hAnsi="Cambria Math"/>
                <w:color w:val="000000" w:themeColor="text1"/>
                <w:kern w:val="0"/>
                <w:szCs w:val="21"/>
                <w14:textFill>
                  <w14:solidFill>
                    <w14:schemeClr w14:val="tx1"/>
                  </w14:solidFill>
                </w14:textFill>
              </w:rPr>
              <m:t>h</m:t>
            </m:r>
            <m:ctrlPr>
              <w:rPr>
                <w:rFonts w:ascii="Cambria Math" w:hAnsi="Cambria Math"/>
                <w:bCs/>
                <w:i/>
                <w:color w:val="000000" w:themeColor="text1"/>
                <w:kern w:val="0"/>
                <w:szCs w:val="21"/>
                <w14:textFill>
                  <w14:solidFill>
                    <w14:schemeClr w14:val="tx1"/>
                  </w14:solidFill>
                </w14:textFill>
              </w:rPr>
            </m:ctrlPr>
          </m:e>
          <m:sub>
            <m:r>
              <w:rPr>
                <w:rFonts w:ascii="Cambria Math" w:hAnsi="Cambria Math"/>
                <w:color w:val="000000" w:themeColor="text1"/>
                <w:kern w:val="0"/>
                <w:szCs w:val="21"/>
                <w14:textFill>
                  <w14:solidFill>
                    <w14:schemeClr w14:val="tx1"/>
                  </w14:solidFill>
                </w14:textFill>
              </w:rPr>
              <m:t>2</m:t>
            </m:r>
            <m:ctrlPr>
              <w:rPr>
                <w:rFonts w:ascii="Cambria Math" w:hAnsi="Cambria Math"/>
                <w:bCs/>
                <w:i/>
                <w:color w:val="000000" w:themeColor="text1"/>
                <w:kern w:val="0"/>
                <w:szCs w:val="21"/>
                <w14:textFill>
                  <w14:solidFill>
                    <w14:schemeClr w14:val="tx1"/>
                  </w14:solidFill>
                </w14:textFill>
              </w:rPr>
            </m:ctrlPr>
          </m:sub>
        </m:sSub>
      </m:oMath>
      <w:r>
        <w:rPr>
          <w:rFonts w:hint="eastAsia" w:hAnsi="宋体"/>
          <w:bCs/>
          <w:color w:val="000000" w:themeColor="text1"/>
          <w:kern w:val="0"/>
          <w:szCs w:val="21"/>
          <w14:textFill>
            <w14:solidFill>
              <w14:schemeClr w14:val="tx1"/>
            </w14:solidFill>
          </w14:textFill>
        </w:rPr>
        <w:t>与其横截面短边之比不宜大于1。</w:t>
      </w:r>
    </w:p>
    <w:p>
      <w:pPr>
        <w:spacing w:line="360" w:lineRule="auto"/>
        <w:ind w:firstLine="0" w:firstLineChars="0"/>
        <w:jc w:val="left"/>
        <w:rPr>
          <w:rFonts w:hAnsi="宋体"/>
          <w:bCs/>
          <w:color w:val="000000" w:themeColor="text1"/>
          <w:kern w:val="0"/>
          <w:szCs w:val="21"/>
          <w14:textFill>
            <w14:solidFill>
              <w14:schemeClr w14:val="tx1"/>
            </w14:solidFill>
          </w14:textFill>
        </w:rPr>
      </w:pPr>
    </w:p>
    <w:p>
      <w:pPr>
        <w:spacing w:line="360" w:lineRule="auto"/>
        <w:ind w:firstLine="420"/>
        <w:rPr>
          <w:rFonts w:ascii="宋体" w:hAnsi="宋体"/>
          <w:bCs/>
          <w:color w:val="000000" w:themeColor="text1"/>
          <w:szCs w:val="21"/>
          <w14:textFill>
            <w14:solidFill>
              <w14:schemeClr w14:val="tx1"/>
            </w14:solidFill>
          </w14:textFill>
        </w:rPr>
      </w:pPr>
    </w:p>
    <w:p>
      <w:pPr>
        <w:spacing w:line="360" w:lineRule="auto"/>
        <w:ind w:firstLine="420"/>
        <w:rPr>
          <w:rFonts w:ascii="宋体" w:hAnsi="宋体"/>
          <w:bCs/>
          <w:color w:val="000000" w:themeColor="text1"/>
          <w:szCs w:val="21"/>
          <w14:textFill>
            <w14:solidFill>
              <w14:schemeClr w14:val="tx1"/>
            </w14:solidFill>
          </w14:textFill>
        </w:rPr>
      </w:pPr>
    </w:p>
    <w:p>
      <w:pPr>
        <w:spacing w:line="360" w:lineRule="auto"/>
        <w:ind w:firstLine="420"/>
        <w:rPr>
          <w:rFonts w:ascii="宋体" w:hAnsi="宋体"/>
          <w:bCs/>
          <w:color w:val="000000" w:themeColor="text1"/>
          <w:szCs w:val="21"/>
          <w14:textFill>
            <w14:solidFill>
              <w14:schemeClr w14:val="tx1"/>
            </w14:solidFill>
          </w14:textFill>
        </w:rPr>
      </w:pPr>
    </w:p>
    <w:p>
      <w:pPr>
        <w:spacing w:line="360" w:lineRule="auto"/>
        <w:ind w:firstLine="420"/>
        <w:rPr>
          <w:rFonts w:ascii="宋体" w:hAnsi="宋体"/>
          <w:bCs/>
          <w:color w:val="000000" w:themeColor="text1"/>
          <w:szCs w:val="21"/>
          <w14:textFill>
            <w14:solidFill>
              <w14:schemeClr w14:val="tx1"/>
            </w14:solidFill>
          </w14:textFill>
        </w:rPr>
      </w:pPr>
    </w:p>
    <w:p>
      <w:pPr>
        <w:spacing w:line="360" w:lineRule="auto"/>
        <w:ind w:firstLine="420"/>
        <w:rPr>
          <w:rFonts w:ascii="宋体" w:hAnsi="宋体"/>
          <w:bCs/>
          <w:color w:val="000000" w:themeColor="text1"/>
          <w:szCs w:val="21"/>
          <w14:textFill>
            <w14:solidFill>
              <w14:schemeClr w14:val="tx1"/>
            </w14:solidFill>
          </w14:textFill>
        </w:rPr>
      </w:pPr>
    </w:p>
    <w:p>
      <w:pPr>
        <w:spacing w:line="360" w:lineRule="auto"/>
        <w:ind w:firstLine="420"/>
        <w:rPr>
          <w:rFonts w:ascii="宋体" w:hAnsi="宋体"/>
          <w:bCs/>
          <w:color w:val="000000" w:themeColor="text1"/>
          <w:szCs w:val="21"/>
          <w14:textFill>
            <w14:solidFill>
              <w14:schemeClr w14:val="tx1"/>
            </w14:solidFill>
          </w14:textFill>
        </w:rPr>
      </w:pPr>
    </w:p>
    <w:p>
      <w:pPr>
        <w:spacing w:line="360" w:lineRule="auto"/>
        <w:ind w:firstLine="420"/>
        <w:rPr>
          <w:rFonts w:ascii="宋体" w:hAnsi="宋体"/>
          <w:bCs/>
          <w:color w:val="000000" w:themeColor="text1"/>
          <w:szCs w:val="21"/>
          <w14:textFill>
            <w14:solidFill>
              <w14:schemeClr w14:val="tx1"/>
            </w14:solidFill>
          </w14:textFill>
        </w:rPr>
      </w:pPr>
    </w:p>
    <w:p>
      <w:pPr>
        <w:widowControl/>
        <w:adjustRightInd/>
        <w:snapToGrid/>
        <w:ind w:firstLine="0" w:firstLineChars="0"/>
        <w:jc w:val="left"/>
        <w:rPr>
          <w:b/>
          <w:color w:val="000000" w:themeColor="text1"/>
          <w:sz w:val="30"/>
          <w14:textFill>
            <w14:solidFill>
              <w14:schemeClr w14:val="tx1"/>
            </w14:solidFill>
          </w14:textFill>
        </w:rPr>
      </w:pPr>
      <w:r>
        <w:rPr>
          <w:color w:val="000000" w:themeColor="text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37" w:name="_Toc48841068"/>
      <w:r>
        <w:rPr>
          <w:rFonts w:hint="eastAsia"/>
          <w:color w:val="000000" w:themeColor="text1"/>
          <w14:textFill>
            <w14:solidFill>
              <w14:schemeClr w14:val="tx1"/>
            </w14:solidFill>
          </w14:textFill>
        </w:rPr>
        <w:t>附录</w:t>
      </w:r>
      <w:r>
        <w:rPr>
          <w:color w:val="000000" w:themeColor="text1"/>
          <w14:textFill>
            <w14:solidFill>
              <w14:schemeClr w14:val="tx1"/>
            </w14:solidFill>
          </w14:textFill>
        </w:rPr>
        <w:t xml:space="preserve">D </w:t>
      </w:r>
      <w:r>
        <w:rPr>
          <w:rFonts w:hint="eastAsia"/>
          <w:color w:val="000000" w:themeColor="text1"/>
          <w14:textFill>
            <w14:solidFill>
              <w14:schemeClr w14:val="tx1"/>
            </w14:solidFill>
          </w14:textFill>
        </w:rPr>
        <w:t>不锈钢结构</w:t>
      </w:r>
      <w:bookmarkEnd w:id="237"/>
    </w:p>
    <w:p>
      <w:pPr>
        <w:spacing w:line="360" w:lineRule="auto"/>
        <w:ind w:firstLine="714" w:firstLineChars="340"/>
        <w:jc w:val="left"/>
        <w:rPr>
          <w:rFonts w:hAnsi="宋体"/>
          <w:bCs/>
          <w:color w:val="000000" w:themeColor="text1"/>
          <w:kern w:val="0"/>
          <w:szCs w:val="21"/>
          <w14:textFill>
            <w14:solidFill>
              <w14:schemeClr w14:val="tx1"/>
            </w14:solidFill>
          </w14:textFill>
        </w:rPr>
      </w:pPr>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.0.1</w:t>
      </w:r>
      <w:r>
        <w:rPr>
          <w:rFonts w:hAnsi="宋体"/>
          <w:bCs/>
          <w:color w:val="000000" w:themeColor="text1"/>
          <w:kern w:val="0"/>
          <w:szCs w:val="21"/>
          <w14:textFill>
            <w14:solidFill>
              <w14:schemeClr w14:val="tx1"/>
            </w14:solidFill>
          </w14:textFill>
        </w:rPr>
        <w:t xml:space="preserve"> 本章适用的</w:t>
      </w:r>
      <w:r>
        <w:rPr>
          <w:rFonts w:hint="eastAsia" w:hAnsi="宋体"/>
          <w:bCs/>
          <w:color w:val="000000" w:themeColor="text1"/>
          <w:kern w:val="0"/>
          <w:szCs w:val="21"/>
          <w14:textFill>
            <w14:solidFill>
              <w14:schemeClr w14:val="tx1"/>
            </w14:solidFill>
          </w14:textFill>
        </w:rPr>
        <w:t>不锈钢</w:t>
      </w:r>
      <w:r>
        <w:rPr>
          <w:rFonts w:hAnsi="宋体"/>
          <w:bCs/>
          <w:color w:val="000000" w:themeColor="text1"/>
          <w:kern w:val="0"/>
          <w:szCs w:val="21"/>
          <w14:textFill>
            <w14:solidFill>
              <w14:schemeClr w14:val="tx1"/>
            </w14:solidFill>
          </w14:textFill>
        </w:rPr>
        <w:t>结构类型包括：单层工业厂房、低层框架结构和大跨空间网格结构。</w:t>
      </w:r>
    </w:p>
    <w:p>
      <w:pPr>
        <w:spacing w:line="360" w:lineRule="auto"/>
        <w:ind w:firstLine="0" w:firstLineChars="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w:t>
      </w:r>
      <w:r>
        <w:rPr>
          <w:rFonts w:hAnsi="宋体"/>
          <w:bCs/>
          <w:color w:val="000000" w:themeColor="text1"/>
          <w:kern w:val="0"/>
          <w:szCs w:val="21"/>
          <w14:textFill>
            <w14:solidFill>
              <w14:schemeClr w14:val="tx1"/>
            </w14:solidFill>
          </w14:textFill>
        </w:rPr>
        <w:t>2 除本章特殊规定外</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不锈钢结构的地震作用计算应按照本标准第</w:t>
      </w:r>
      <w:r>
        <w:rPr>
          <w:rFonts w:hint="eastAsia" w:hAnsi="宋体"/>
          <w:bCs/>
          <w:color w:val="000000" w:themeColor="text1"/>
          <w:kern w:val="0"/>
          <w:szCs w:val="21"/>
          <w14:textFill>
            <w14:solidFill>
              <w14:schemeClr w14:val="tx1"/>
            </w14:solidFill>
          </w14:textFill>
        </w:rPr>
        <w:t>4章执行，</w:t>
      </w:r>
      <w:r>
        <w:rPr>
          <w:rFonts w:hAnsi="宋体"/>
          <w:bCs/>
          <w:color w:val="000000" w:themeColor="text1"/>
          <w:kern w:val="0"/>
          <w:szCs w:val="21"/>
          <w14:textFill>
            <w14:solidFill>
              <w14:schemeClr w14:val="tx1"/>
            </w14:solidFill>
          </w14:textFill>
        </w:rPr>
        <w:t>抗震设计及构造应按照本标准第</w:t>
      </w:r>
      <w:r>
        <w:rPr>
          <w:rFonts w:hint="eastAsia" w:hAnsi="宋体"/>
          <w:bCs/>
          <w:color w:val="000000" w:themeColor="text1"/>
          <w:kern w:val="0"/>
          <w:szCs w:val="21"/>
          <w14:textFill>
            <w14:solidFill>
              <w14:schemeClr w14:val="tx1"/>
            </w14:solidFill>
          </w14:textFill>
        </w:rPr>
        <w:t>9-11</w:t>
      </w:r>
      <w:r>
        <w:rPr>
          <w:rFonts w:hAnsi="宋体"/>
          <w:bCs/>
          <w:color w:val="000000" w:themeColor="text1"/>
          <w:kern w:val="0"/>
          <w:szCs w:val="21"/>
          <w14:textFill>
            <w14:solidFill>
              <w14:schemeClr w14:val="tx1"/>
            </w14:solidFill>
          </w14:textFill>
        </w:rPr>
        <w:t>章执行</w:t>
      </w:r>
      <w:r>
        <w:rPr>
          <w:rFonts w:hint="eastAsia" w:hAnsi="宋体"/>
          <w:bCs/>
          <w:color w:val="000000" w:themeColor="text1"/>
          <w:kern w:val="0"/>
          <w:szCs w:val="21"/>
          <w14:textFill>
            <w14:solidFill>
              <w14:schemeClr w14:val="tx1"/>
            </w14:solidFill>
          </w14:textFill>
        </w:rPr>
        <w:t>。</w:t>
      </w:r>
    </w:p>
    <w:p>
      <w:pPr>
        <w:spacing w:line="360" w:lineRule="auto"/>
        <w:ind w:firstLine="0" w:firstLineChars="0"/>
        <w:jc w:val="left"/>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w:t>
      </w:r>
      <w:r>
        <w:rPr>
          <w:rFonts w:hAnsi="宋体"/>
          <w:bCs/>
          <w:color w:val="000000" w:themeColor="text1"/>
          <w:kern w:val="0"/>
          <w:szCs w:val="21"/>
          <w14:textFill>
            <w14:solidFill>
              <w14:schemeClr w14:val="tx1"/>
            </w14:solidFill>
          </w14:textFill>
        </w:rPr>
        <w:t>3 不锈钢结</w:t>
      </w:r>
      <w:r>
        <w:rPr>
          <w:rFonts w:hint="eastAsia" w:hAnsi="宋体"/>
          <w:bCs/>
          <w:color w:val="000000" w:themeColor="text1"/>
          <w:kern w:val="0"/>
          <w:szCs w:val="21"/>
          <w14:textFill>
            <w14:solidFill>
              <w14:schemeClr w14:val="tx1"/>
            </w14:solidFill>
          </w14:textFill>
        </w:rPr>
        <w:t>构用不锈钢材料，其质量应分别符合现行国家标准《不锈钢和耐热钢牌号及化学成分》</w:t>
      </w:r>
      <w:r>
        <w:rPr>
          <w:rFonts w:hAnsi="宋体"/>
          <w:bCs/>
          <w:color w:val="000000" w:themeColor="text1"/>
          <w:kern w:val="0"/>
          <w:szCs w:val="21"/>
          <w14:textFill>
            <w14:solidFill>
              <w14:schemeClr w14:val="tx1"/>
            </w14:solidFill>
          </w14:textFill>
        </w:rPr>
        <w:t>GB/T 20878</w:t>
      </w:r>
      <w:r>
        <w:rPr>
          <w:rFonts w:hint="eastAsia" w:hAnsi="宋体"/>
          <w:bCs/>
          <w:color w:val="000000" w:themeColor="text1"/>
          <w:kern w:val="0"/>
          <w:szCs w:val="21"/>
          <w14:textFill>
            <w14:solidFill>
              <w14:schemeClr w14:val="tx1"/>
            </w14:solidFill>
          </w14:textFill>
        </w:rPr>
        <w:t>、《不锈钢热轧钢板和钢带》</w:t>
      </w:r>
      <w:r>
        <w:rPr>
          <w:rFonts w:hAnsi="宋体"/>
          <w:bCs/>
          <w:color w:val="000000" w:themeColor="text1"/>
          <w:kern w:val="0"/>
          <w:szCs w:val="21"/>
          <w14:textFill>
            <w14:solidFill>
              <w14:schemeClr w14:val="tx1"/>
            </w14:solidFill>
          </w14:textFill>
        </w:rPr>
        <w:t>GB/T 4237</w:t>
      </w:r>
      <w:r>
        <w:rPr>
          <w:rFonts w:hint="eastAsia" w:hAnsi="宋体"/>
          <w:bCs/>
          <w:color w:val="000000" w:themeColor="text1"/>
          <w:kern w:val="0"/>
          <w:szCs w:val="21"/>
          <w14:textFill>
            <w14:solidFill>
              <w14:schemeClr w14:val="tx1"/>
            </w14:solidFill>
          </w14:textFill>
        </w:rPr>
        <w:t>和《不锈钢冷轧钢板和钢带》</w:t>
      </w:r>
      <w:r>
        <w:rPr>
          <w:rFonts w:hAnsi="宋体"/>
          <w:bCs/>
          <w:color w:val="000000" w:themeColor="text1"/>
          <w:kern w:val="0"/>
          <w:szCs w:val="21"/>
          <w14:textFill>
            <w14:solidFill>
              <w14:schemeClr w14:val="tx1"/>
            </w14:solidFill>
          </w14:textFill>
        </w:rPr>
        <w:t>GB/T 3280</w:t>
      </w:r>
      <w:r>
        <w:rPr>
          <w:rFonts w:hint="eastAsia" w:hAnsi="宋体"/>
          <w:bCs/>
          <w:color w:val="000000" w:themeColor="text1"/>
          <w:kern w:val="0"/>
          <w:szCs w:val="21"/>
          <w14:textFill>
            <w14:solidFill>
              <w14:schemeClr w14:val="tx1"/>
            </w14:solidFill>
          </w14:textFill>
        </w:rPr>
        <w:t>的规定。可采用牌号为06Cr19Ni10(</w:t>
      </w:r>
      <w:r>
        <w:rPr>
          <w:rFonts w:hAnsi="宋体"/>
          <w:bCs/>
          <w:color w:val="000000" w:themeColor="text1"/>
          <w:kern w:val="0"/>
          <w:szCs w:val="21"/>
          <w14:textFill>
            <w14:solidFill>
              <w14:schemeClr w14:val="tx1"/>
            </w14:solidFill>
          </w14:textFill>
        </w:rPr>
        <w:t>S30408)</w:t>
      </w:r>
      <w:r>
        <w:rPr>
          <w:rFonts w:hint="eastAsia" w:hAnsi="宋体"/>
          <w:bCs/>
          <w:color w:val="000000" w:themeColor="text1"/>
          <w:kern w:val="0"/>
          <w:szCs w:val="21"/>
          <w14:textFill>
            <w14:solidFill>
              <w14:schemeClr w14:val="tx1"/>
            </w14:solidFill>
          </w14:textFill>
        </w:rPr>
        <w:t>、022Cr</w:t>
      </w:r>
      <w:r>
        <w:rPr>
          <w:rFonts w:hAnsi="宋体"/>
          <w:bCs/>
          <w:color w:val="000000" w:themeColor="text1"/>
          <w:kern w:val="0"/>
          <w:szCs w:val="21"/>
          <w14:textFill>
            <w14:solidFill>
              <w14:schemeClr w14:val="tx1"/>
            </w14:solidFill>
          </w14:textFill>
        </w:rPr>
        <w:t>19Ni10(S30403)</w:t>
      </w:r>
      <w:r>
        <w:rPr>
          <w:rFonts w:hint="eastAsia" w:hAnsi="宋体"/>
          <w:bCs/>
          <w:color w:val="000000" w:themeColor="text1"/>
          <w:kern w:val="0"/>
          <w:szCs w:val="21"/>
          <w14:textFill>
            <w14:solidFill>
              <w14:schemeClr w14:val="tx1"/>
            </w14:solidFill>
          </w14:textFill>
        </w:rPr>
        <w:t>、06Cr17Ni12Mo2(</w:t>
      </w:r>
      <w:r>
        <w:rPr>
          <w:rFonts w:hAnsi="宋体"/>
          <w:bCs/>
          <w:color w:val="000000" w:themeColor="text1"/>
          <w:kern w:val="0"/>
          <w:szCs w:val="21"/>
          <w14:textFill>
            <w14:solidFill>
              <w14:schemeClr w14:val="tx1"/>
            </w14:solidFill>
          </w14:textFill>
        </w:rPr>
        <w:t>S31608</w:t>
      </w:r>
      <w:r>
        <w:rPr>
          <w:rFonts w:hint="eastAsia" w:hAnsi="宋体"/>
          <w:bCs/>
          <w:color w:val="000000" w:themeColor="text1"/>
          <w:kern w:val="0"/>
          <w:szCs w:val="21"/>
          <w14:textFill>
            <w14:solidFill>
              <w14:schemeClr w14:val="tx1"/>
            </w14:solidFill>
          </w14:textFill>
        </w:rPr>
        <w:t>)、022Cr</w:t>
      </w:r>
      <w:r>
        <w:rPr>
          <w:rFonts w:hAnsi="宋体"/>
          <w:bCs/>
          <w:color w:val="000000" w:themeColor="text1"/>
          <w:kern w:val="0"/>
          <w:szCs w:val="21"/>
          <w14:textFill>
            <w14:solidFill>
              <w14:schemeClr w14:val="tx1"/>
            </w14:solidFill>
          </w14:textFill>
        </w:rPr>
        <w:t>17Ni12Mo2(S31603)奥氏体不锈钢</w:t>
      </w:r>
      <w:r>
        <w:rPr>
          <w:rFonts w:hint="eastAsia" w:hAnsi="宋体"/>
          <w:bCs/>
          <w:color w:val="000000" w:themeColor="text1"/>
          <w:kern w:val="0"/>
          <w:szCs w:val="21"/>
          <w14:textFill>
            <w14:solidFill>
              <w14:schemeClr w14:val="tx1"/>
            </w14:solidFill>
          </w14:textFill>
        </w:rPr>
        <w:t>和022Cr23Ni5Mo3N(</w:t>
      </w:r>
      <w:r>
        <w:rPr>
          <w:rFonts w:hAnsi="宋体"/>
          <w:bCs/>
          <w:color w:val="000000" w:themeColor="text1"/>
          <w:kern w:val="0"/>
          <w:szCs w:val="21"/>
          <w14:textFill>
            <w14:solidFill>
              <w14:schemeClr w14:val="tx1"/>
            </w14:solidFill>
          </w14:textFill>
        </w:rPr>
        <w:t>S22053)</w:t>
      </w:r>
      <w:r>
        <w:rPr>
          <w:rFonts w:hint="eastAsia" w:hAnsi="宋体"/>
          <w:bCs/>
          <w:color w:val="000000" w:themeColor="text1"/>
          <w:kern w:val="0"/>
          <w:szCs w:val="21"/>
          <w14:textFill>
            <w14:solidFill>
              <w14:schemeClr w14:val="tx1"/>
            </w14:solidFill>
          </w14:textFill>
        </w:rPr>
        <w:t>、022Cr2</w:t>
      </w:r>
      <w:r>
        <w:rPr>
          <w:rFonts w:hAnsi="宋体"/>
          <w:bCs/>
          <w:color w:val="000000" w:themeColor="text1"/>
          <w:kern w:val="0"/>
          <w:szCs w:val="21"/>
          <w14:textFill>
            <w14:solidFill>
              <w14:schemeClr w14:val="tx1"/>
            </w14:solidFill>
          </w14:textFill>
        </w:rPr>
        <w:t>2</w:t>
      </w:r>
      <w:r>
        <w:rPr>
          <w:rFonts w:hint="eastAsia" w:hAnsi="宋体"/>
          <w:bCs/>
          <w:color w:val="000000" w:themeColor="text1"/>
          <w:kern w:val="0"/>
          <w:szCs w:val="21"/>
          <w14:textFill>
            <w14:solidFill>
              <w14:schemeClr w14:val="tx1"/>
            </w14:solidFill>
          </w14:textFill>
        </w:rPr>
        <w:t>Ni5Mo3N(</w:t>
      </w:r>
      <w:r>
        <w:rPr>
          <w:rFonts w:hAnsi="宋体"/>
          <w:bCs/>
          <w:color w:val="000000" w:themeColor="text1"/>
          <w:kern w:val="0"/>
          <w:szCs w:val="21"/>
          <w14:textFill>
            <w14:solidFill>
              <w14:schemeClr w14:val="tx1"/>
            </w14:solidFill>
          </w14:textFill>
        </w:rPr>
        <w:t>S22253)</w:t>
      </w:r>
      <w:r>
        <w:rPr>
          <w:rFonts w:hint="eastAsia" w:hAnsi="宋体"/>
          <w:bCs/>
          <w:color w:val="000000" w:themeColor="text1"/>
          <w:kern w:val="0"/>
          <w:szCs w:val="21"/>
          <w14:textFill>
            <w14:solidFill>
              <w14:schemeClr w14:val="tx1"/>
            </w14:solidFill>
          </w14:textFill>
        </w:rPr>
        <w:t>双相型不锈钢；当有可靠依据时，可采用其他牌号的不锈钢。</w:t>
      </w:r>
    </w:p>
    <w:p>
      <w:pPr>
        <w:spacing w:line="30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w:t>
      </w:r>
      <w:r>
        <w:rPr>
          <w:rFonts w:hAnsi="宋体"/>
          <w:bCs/>
          <w:color w:val="000000" w:themeColor="text1"/>
          <w:kern w:val="0"/>
          <w:szCs w:val="21"/>
          <w14:textFill>
            <w14:solidFill>
              <w14:schemeClr w14:val="tx1"/>
            </w14:solidFill>
          </w14:textFill>
        </w:rPr>
        <w:t xml:space="preserve">4 </w:t>
      </w:r>
      <w:r>
        <w:rPr>
          <w:rFonts w:hint="eastAsia" w:hAnsi="宋体"/>
          <w:bCs/>
          <w:color w:val="000000" w:themeColor="text1"/>
          <w:kern w:val="0"/>
          <w:szCs w:val="21"/>
          <w14:textFill>
            <w14:solidFill>
              <w14:schemeClr w14:val="tx1"/>
            </w14:solidFill>
          </w14:textFill>
        </w:rPr>
        <w:t>不锈钢结构地震作用计算时，不锈钢材料的设计参数可按照《不锈钢结构技术规程》CECS</w:t>
      </w:r>
      <w:r>
        <w:rPr>
          <w:rFonts w:hAnsi="宋体"/>
          <w:bCs/>
          <w:color w:val="000000" w:themeColor="text1"/>
          <w:kern w:val="0"/>
          <w:szCs w:val="21"/>
          <w14:textFill>
            <w14:solidFill>
              <w14:schemeClr w14:val="tx1"/>
            </w14:solidFill>
          </w14:textFill>
        </w:rPr>
        <w:t>410选用</w:t>
      </w:r>
      <w:r>
        <w:rPr>
          <w:rFonts w:hint="eastAsia" w:hAnsi="宋体"/>
          <w:bCs/>
          <w:color w:val="000000" w:themeColor="text1"/>
          <w:kern w:val="0"/>
          <w:szCs w:val="21"/>
          <w14:textFill>
            <w14:solidFill>
              <w14:schemeClr w14:val="tx1"/>
            </w14:solidFill>
          </w14:textFill>
        </w:rPr>
        <w:t>。</w:t>
      </w:r>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w:t>
      </w:r>
      <w:r>
        <w:rPr>
          <w:rFonts w:hAnsi="宋体"/>
          <w:bCs/>
          <w:color w:val="000000" w:themeColor="text1"/>
          <w:kern w:val="0"/>
          <w:szCs w:val="21"/>
          <w14:textFill>
            <w14:solidFill>
              <w14:schemeClr w14:val="tx1"/>
            </w14:solidFill>
          </w14:textFill>
        </w:rPr>
        <w:t xml:space="preserve">5 </w:t>
      </w:r>
      <w:bookmarkStart w:id="238" w:name="_Hlk45746894"/>
      <w:r>
        <w:rPr>
          <w:rFonts w:hAnsi="宋体"/>
          <w:bCs/>
          <w:color w:val="000000" w:themeColor="text1"/>
          <w:kern w:val="0"/>
          <w:szCs w:val="21"/>
          <w14:textFill>
            <w14:solidFill>
              <w14:schemeClr w14:val="tx1"/>
            </w14:solidFill>
          </w14:textFill>
        </w:rPr>
        <w:t>不锈钢结构地震作用</w:t>
      </w:r>
      <w:r>
        <w:rPr>
          <w:rFonts w:hint="eastAsia" w:hAnsi="宋体"/>
          <w:bCs/>
          <w:color w:val="000000" w:themeColor="text1"/>
          <w:kern w:val="0"/>
          <w:szCs w:val="21"/>
          <w14:textFill>
            <w14:solidFill>
              <w14:schemeClr w14:val="tx1"/>
            </w14:solidFill>
          </w14:textFill>
        </w:rPr>
        <w:t>分析</w:t>
      </w:r>
      <w:r>
        <w:rPr>
          <w:rFonts w:hAnsi="宋体"/>
          <w:bCs/>
          <w:color w:val="000000" w:themeColor="text1"/>
          <w:kern w:val="0"/>
          <w:szCs w:val="21"/>
          <w14:textFill>
            <w14:solidFill>
              <w14:schemeClr w14:val="tx1"/>
            </w14:solidFill>
          </w14:textFill>
        </w:rPr>
        <w:t>采用的阻尼比宜符合下列规定</w:t>
      </w:r>
      <w:r>
        <w:rPr>
          <w:rFonts w:hint="eastAsia" w:hAnsi="宋体"/>
          <w:bCs/>
          <w:color w:val="000000" w:themeColor="text1"/>
          <w:kern w:val="0"/>
          <w:szCs w:val="21"/>
          <w14:textFill>
            <w14:solidFill>
              <w14:schemeClr w14:val="tx1"/>
            </w14:solidFill>
          </w14:textFill>
        </w:rPr>
        <w:t>：</w:t>
      </w:r>
    </w:p>
    <w:bookmarkEnd w:id="238"/>
    <w:p>
      <w:pPr>
        <w:spacing w:line="360" w:lineRule="auto"/>
        <w:ind w:firstLine="420"/>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1 多遇地震下的弹性分析，阻尼比可取0.035；</w:t>
      </w:r>
    </w:p>
    <w:p>
      <w:pPr>
        <w:spacing w:line="360" w:lineRule="auto"/>
        <w:ind w:firstLine="420"/>
        <w:rPr>
          <w:rFonts w:hAnsi="宋体"/>
          <w:bCs/>
          <w:color w:val="000000" w:themeColor="text1"/>
          <w:kern w:val="0"/>
          <w:szCs w:val="21"/>
          <w14:textFill>
            <w14:solidFill>
              <w14:schemeClr w14:val="tx1"/>
            </w14:solidFill>
          </w14:textFill>
        </w:rPr>
      </w:pPr>
      <w:r>
        <w:rPr>
          <w:rFonts w:hint="eastAsia" w:hAnsi="宋体"/>
          <w:bCs/>
          <w:color w:val="000000" w:themeColor="text1"/>
          <w:kern w:val="0"/>
          <w:szCs w:val="21"/>
          <w14:textFill>
            <w14:solidFill>
              <w14:schemeClr w14:val="tx1"/>
            </w14:solidFill>
          </w14:textFill>
        </w:rPr>
        <w:t>2 罕遇地震下的弹塑性分析，阻尼比可取0.05。</w:t>
      </w:r>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.0.6</w:t>
      </w:r>
      <w:r>
        <w:rPr>
          <w:rFonts w:hAnsi="宋体"/>
          <w:bCs/>
          <w:color w:val="000000" w:themeColor="text1"/>
          <w:kern w:val="0"/>
          <w:szCs w:val="21"/>
          <w14:textFill>
            <w14:solidFill>
              <w14:schemeClr w14:val="tx1"/>
            </w14:solidFill>
          </w14:textFill>
        </w:rPr>
        <w:t xml:space="preserve"> </w:t>
      </w:r>
      <w:bookmarkStart w:id="239" w:name="_Hlk45747005"/>
      <w:r>
        <w:rPr>
          <w:rFonts w:hint="eastAsia" w:hAnsi="宋体"/>
          <w:bCs/>
          <w:color w:val="000000" w:themeColor="text1"/>
          <w:kern w:val="0"/>
          <w:szCs w:val="21"/>
          <w14:textFill>
            <w14:solidFill>
              <w14:schemeClr w14:val="tx1"/>
            </w14:solidFill>
          </w14:textFill>
        </w:rPr>
        <w:t>不锈钢结构可按照高强度-低延性（低耗能结构）的概念进行抗震设计，此时性能系数可取2.0。</w:t>
      </w:r>
      <w:bookmarkEnd w:id="239"/>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.0.7</w:t>
      </w:r>
      <w:r>
        <w:rPr>
          <w:rFonts w:hAnsi="宋体"/>
          <w:bCs/>
          <w:color w:val="000000" w:themeColor="text1"/>
          <w:kern w:val="0"/>
          <w:szCs w:val="21"/>
          <w14:textFill>
            <w14:solidFill>
              <w14:schemeClr w14:val="tx1"/>
            </w14:solidFill>
          </w14:textFill>
        </w:rPr>
        <w:t xml:space="preserve"> </w:t>
      </w:r>
      <w:r>
        <w:rPr>
          <w:rFonts w:hint="eastAsia" w:hAnsi="宋体"/>
          <w:bCs/>
          <w:color w:val="000000" w:themeColor="text1"/>
          <w:kern w:val="0"/>
          <w:szCs w:val="21"/>
          <w14:textFill>
            <w14:solidFill>
              <w14:schemeClr w14:val="tx1"/>
            </w14:solidFill>
          </w14:textFill>
        </w:rPr>
        <w:t>当不锈钢结构按照</w:t>
      </w:r>
      <w:bookmarkStart w:id="240" w:name="_Hlk45746335"/>
      <w:r>
        <w:rPr>
          <w:rFonts w:hint="eastAsia" w:hAnsi="宋体"/>
          <w:bCs/>
          <w:color w:val="000000" w:themeColor="text1"/>
          <w:kern w:val="0"/>
          <w:szCs w:val="21"/>
          <w14:textFill>
            <w14:solidFill>
              <w14:schemeClr w14:val="tx1"/>
            </w14:solidFill>
          </w14:textFill>
        </w:rPr>
        <w:t>低耗能结构</w:t>
      </w:r>
      <w:bookmarkEnd w:id="240"/>
      <w:r>
        <w:rPr>
          <w:rFonts w:hint="eastAsia" w:hAnsi="宋体"/>
          <w:bCs/>
          <w:color w:val="000000" w:themeColor="text1"/>
          <w:kern w:val="0"/>
          <w:szCs w:val="21"/>
          <w14:textFill>
            <w14:solidFill>
              <w14:schemeClr w14:val="tx1"/>
            </w14:solidFill>
          </w14:textFill>
        </w:rPr>
        <w:t xml:space="preserve">概念进行设计时，其构造按第9-11章的相关要求采用。 </w:t>
      </w:r>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.0.8</w:t>
      </w:r>
      <w:r>
        <w:rPr>
          <w:rFonts w:hAnsi="宋体"/>
          <w:bCs/>
          <w:color w:val="000000" w:themeColor="text1"/>
          <w:kern w:val="0"/>
          <w:szCs w:val="21"/>
          <w14:textFill>
            <w14:solidFill>
              <w14:schemeClr w14:val="tx1"/>
            </w14:solidFill>
          </w14:textFill>
        </w:rPr>
        <w:t xml:space="preserve"> </w:t>
      </w:r>
      <w:r>
        <w:rPr>
          <w:rFonts w:hint="eastAsia" w:hAnsi="宋体"/>
          <w:bCs/>
          <w:color w:val="000000" w:themeColor="text1"/>
          <w:kern w:val="0"/>
          <w:szCs w:val="21"/>
          <w14:textFill>
            <w14:solidFill>
              <w14:schemeClr w14:val="tx1"/>
            </w14:solidFill>
          </w14:textFill>
        </w:rPr>
        <w:t>不锈钢结构中构件的承载力应按照《不锈钢结构技术规程》CECS</w:t>
      </w:r>
      <w:r>
        <w:rPr>
          <w:rFonts w:hAnsi="宋体"/>
          <w:bCs/>
          <w:color w:val="000000" w:themeColor="text1"/>
          <w:kern w:val="0"/>
          <w:szCs w:val="21"/>
          <w14:textFill>
            <w14:solidFill>
              <w14:schemeClr w14:val="tx1"/>
            </w14:solidFill>
          </w14:textFill>
        </w:rPr>
        <w:t>410相关条文计算</w:t>
      </w:r>
      <w:r>
        <w:rPr>
          <w:rFonts w:hint="eastAsia" w:hAnsi="宋体"/>
          <w:bCs/>
          <w:color w:val="000000" w:themeColor="text1"/>
          <w:kern w:val="0"/>
          <w:szCs w:val="21"/>
          <w14:textFill>
            <w14:solidFill>
              <w14:schemeClr w14:val="tx1"/>
            </w14:solidFill>
          </w14:textFill>
        </w:rPr>
        <w:t>，承载力抗震调整系数按照本标准第4章中钢结构相关规定执行。</w:t>
      </w:r>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w:t>
      </w:r>
      <w:r>
        <w:rPr>
          <w:rFonts w:hAnsi="宋体"/>
          <w:bCs/>
          <w:color w:val="000000" w:themeColor="text1"/>
          <w:kern w:val="0"/>
          <w:szCs w:val="21"/>
          <w14:textFill>
            <w14:solidFill>
              <w14:schemeClr w14:val="tx1"/>
            </w14:solidFill>
          </w14:textFill>
        </w:rPr>
        <w:t xml:space="preserve">9 </w:t>
      </w:r>
      <w:r>
        <w:rPr>
          <w:rFonts w:hint="eastAsia" w:hAnsi="宋体"/>
          <w:bCs/>
          <w:color w:val="000000" w:themeColor="text1"/>
          <w:kern w:val="0"/>
          <w:szCs w:val="21"/>
          <w14:textFill>
            <w14:solidFill>
              <w14:schemeClr w14:val="tx1"/>
            </w14:solidFill>
          </w14:textFill>
        </w:rPr>
        <w:t>不锈钢结构的节点宜采用对接焊缝连接或高强度螺栓连接，连接的承载力应按照《不锈钢结构技术规程》CECS</w:t>
      </w:r>
      <w:r>
        <w:rPr>
          <w:rFonts w:hAnsi="宋体"/>
          <w:bCs/>
          <w:color w:val="000000" w:themeColor="text1"/>
          <w:kern w:val="0"/>
          <w:szCs w:val="21"/>
          <w14:textFill>
            <w14:solidFill>
              <w14:schemeClr w14:val="tx1"/>
            </w14:solidFill>
          </w14:textFill>
        </w:rPr>
        <w:t>410相关条文计算</w:t>
      </w:r>
      <w:r>
        <w:rPr>
          <w:rFonts w:hint="eastAsia" w:hAnsi="宋体"/>
          <w:bCs/>
          <w:color w:val="000000" w:themeColor="text1"/>
          <w:kern w:val="0"/>
          <w:szCs w:val="21"/>
          <w14:textFill>
            <w14:solidFill>
              <w14:schemeClr w14:val="tx1"/>
            </w14:solidFill>
          </w14:textFill>
        </w:rPr>
        <w:t>。</w:t>
      </w:r>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w:t>
      </w:r>
      <w:r>
        <w:rPr>
          <w:rFonts w:hAnsi="宋体"/>
          <w:bCs/>
          <w:color w:val="000000" w:themeColor="text1"/>
          <w:kern w:val="0"/>
          <w:szCs w:val="21"/>
          <w14:textFill>
            <w14:solidFill>
              <w14:schemeClr w14:val="tx1"/>
            </w14:solidFill>
          </w14:textFill>
        </w:rPr>
        <w:t>1</w:t>
      </w:r>
      <w:r>
        <w:rPr>
          <w:rFonts w:hint="eastAsia" w:hAnsi="宋体"/>
          <w:bCs/>
          <w:color w:val="000000" w:themeColor="text1"/>
          <w:kern w:val="0"/>
          <w:szCs w:val="21"/>
          <w14:textFill>
            <w14:solidFill>
              <w14:schemeClr w14:val="tx1"/>
            </w14:solidFill>
          </w14:textFill>
        </w:rPr>
        <w:t>0</w:t>
      </w:r>
      <w:r>
        <w:rPr>
          <w:rFonts w:hAnsi="宋体"/>
          <w:bCs/>
          <w:color w:val="000000" w:themeColor="text1"/>
          <w:kern w:val="0"/>
          <w:szCs w:val="21"/>
          <w14:textFill>
            <w14:solidFill>
              <w14:schemeClr w14:val="tx1"/>
            </w14:solidFill>
          </w14:textFill>
        </w:rPr>
        <w:t xml:space="preserve"> 进行与耗能区直接相连的构件</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节点</w:t>
      </w:r>
      <w:r>
        <w:rPr>
          <w:rFonts w:hint="eastAsia" w:hAnsi="宋体"/>
          <w:bCs/>
          <w:color w:val="000000" w:themeColor="text1"/>
          <w:kern w:val="0"/>
          <w:szCs w:val="21"/>
          <w14:textFill>
            <w14:solidFill>
              <w14:schemeClr w14:val="tx1"/>
            </w14:solidFill>
          </w14:textFill>
        </w:rPr>
        <w:t>抗震</w:t>
      </w:r>
      <w:r>
        <w:rPr>
          <w:rFonts w:hAnsi="宋体"/>
          <w:bCs/>
          <w:color w:val="000000" w:themeColor="text1"/>
          <w:kern w:val="0"/>
          <w:szCs w:val="21"/>
          <w14:textFill>
            <w14:solidFill>
              <w14:schemeClr w14:val="tx1"/>
            </w14:solidFill>
          </w14:textFill>
        </w:rPr>
        <w:t>设计时</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应按照本标准第</w:t>
      </w:r>
      <w:r>
        <w:rPr>
          <w:rFonts w:hint="eastAsia" w:hAnsi="宋体"/>
          <w:bCs/>
          <w:color w:val="000000" w:themeColor="text1"/>
          <w:kern w:val="0"/>
          <w:szCs w:val="21"/>
          <w14:textFill>
            <w14:solidFill>
              <w14:schemeClr w14:val="tx1"/>
            </w14:solidFill>
          </w14:textFill>
        </w:rPr>
        <w:t>9-11章相关内容执行。</w:t>
      </w:r>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D.</w:t>
      </w:r>
      <w:r>
        <w:rPr>
          <w:rFonts w:hint="eastAsia" w:hAnsi="宋体"/>
          <w:bCs/>
          <w:color w:val="000000" w:themeColor="text1"/>
          <w:kern w:val="0"/>
          <w:szCs w:val="21"/>
          <w14:textFill>
            <w14:solidFill>
              <w14:schemeClr w14:val="tx1"/>
            </w14:solidFill>
          </w14:textFill>
        </w:rPr>
        <w:t>0.</w:t>
      </w:r>
      <w:r>
        <w:rPr>
          <w:rFonts w:hAnsi="宋体"/>
          <w:bCs/>
          <w:color w:val="000000" w:themeColor="text1"/>
          <w:kern w:val="0"/>
          <w:szCs w:val="21"/>
          <w14:textFill>
            <w14:solidFill>
              <w14:schemeClr w14:val="tx1"/>
            </w14:solidFill>
          </w14:textFill>
        </w:rPr>
        <w:t>1</w:t>
      </w:r>
      <w:r>
        <w:rPr>
          <w:rFonts w:hint="eastAsia" w:hAnsi="宋体"/>
          <w:bCs/>
          <w:color w:val="000000" w:themeColor="text1"/>
          <w:kern w:val="0"/>
          <w:szCs w:val="21"/>
          <w14:textFill>
            <w14:solidFill>
              <w14:schemeClr w14:val="tx1"/>
            </w14:solidFill>
          </w14:textFill>
        </w:rPr>
        <w:t>1</w:t>
      </w:r>
      <w:r>
        <w:rPr>
          <w:rFonts w:hAnsi="宋体"/>
          <w:bCs/>
          <w:color w:val="000000" w:themeColor="text1"/>
          <w:kern w:val="0"/>
          <w:szCs w:val="21"/>
          <w14:textFill>
            <w14:solidFill>
              <w14:schemeClr w14:val="tx1"/>
            </w14:solidFill>
          </w14:textFill>
        </w:rPr>
        <w:t>进行地震作用下结构的变形验算时</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按照低耗能结构概念设计的结构</w:t>
      </w:r>
      <w:r>
        <w:rPr>
          <w:rFonts w:hint="eastAsia" w:hAnsi="宋体"/>
          <w:bCs/>
          <w:color w:val="000000" w:themeColor="text1"/>
          <w:kern w:val="0"/>
          <w:szCs w:val="21"/>
          <w14:textFill>
            <w14:solidFill>
              <w14:schemeClr w14:val="tx1"/>
            </w14:solidFill>
          </w14:textFill>
        </w:rPr>
        <w:t>，</w:t>
      </w:r>
      <w:r>
        <w:rPr>
          <w:rFonts w:hAnsi="宋体"/>
          <w:bCs/>
          <w:color w:val="000000" w:themeColor="text1"/>
          <w:kern w:val="0"/>
          <w:szCs w:val="21"/>
          <w14:textFill>
            <w14:solidFill>
              <w14:schemeClr w14:val="tx1"/>
            </w14:solidFill>
          </w14:textFill>
        </w:rPr>
        <w:t>地震作用下的变形</w:t>
      </w:r>
      <w:r>
        <w:rPr>
          <w:rFonts w:hint="eastAsia" w:hAnsi="宋体"/>
          <w:bCs/>
          <w:color w:val="000000" w:themeColor="text1"/>
          <w:kern w:val="0"/>
          <w:szCs w:val="21"/>
          <w14:textFill>
            <w14:solidFill>
              <w14:schemeClr w14:val="tx1"/>
            </w14:solidFill>
          </w14:textFill>
        </w:rPr>
        <w:t>可直接采用线弹性分析结果。</w:t>
      </w:r>
    </w:p>
    <w:p>
      <w:pPr>
        <w:spacing w:line="360" w:lineRule="auto"/>
        <w:ind w:firstLine="0" w:firstLineChars="0"/>
        <w:rPr>
          <w:rFonts w:hAnsi="宋体"/>
          <w:bCs/>
          <w:color w:val="000000" w:themeColor="text1"/>
          <w:kern w:val="0"/>
          <w:szCs w:val="21"/>
          <w14:textFill>
            <w14:solidFill>
              <w14:schemeClr w14:val="tx1"/>
            </w14:solidFill>
          </w14:textFill>
        </w:rPr>
      </w:pPr>
    </w:p>
    <w:p>
      <w:pPr>
        <w:spacing w:line="300" w:lineRule="auto"/>
        <w:ind w:firstLine="0" w:firstLineChars="0"/>
        <w:rPr>
          <w:rFonts w:hAnsi="宋体"/>
          <w:bCs/>
          <w:color w:val="000000" w:themeColor="text1"/>
          <w:kern w:val="0"/>
          <w:szCs w:val="21"/>
          <w14:textFill>
            <w14:solidFill>
              <w14:schemeClr w14:val="tx1"/>
            </w14:solidFill>
          </w14:textFill>
        </w:rPr>
      </w:pPr>
    </w:p>
    <w:p>
      <w:pPr>
        <w:spacing w:line="300" w:lineRule="auto"/>
        <w:ind w:firstLine="0" w:firstLineChars="0"/>
        <w:rPr>
          <w:rFonts w:hAnsi="宋体"/>
          <w:bCs/>
          <w:color w:val="000000" w:themeColor="text1"/>
          <w:kern w:val="0"/>
          <w:szCs w:val="21"/>
          <w14:textFill>
            <w14:solidFill>
              <w14:schemeClr w14:val="tx1"/>
            </w14:solidFill>
          </w14:textFill>
        </w:rPr>
      </w:pPr>
    </w:p>
    <w:p>
      <w:pPr>
        <w:spacing w:line="300" w:lineRule="auto"/>
        <w:ind w:firstLine="0" w:firstLineChars="0"/>
        <w:rPr>
          <w:rFonts w:hAnsi="宋体"/>
          <w:bCs/>
          <w:color w:val="000000" w:themeColor="text1"/>
          <w:kern w:val="0"/>
          <w:szCs w:val="21"/>
          <w14:textFill>
            <w14:solidFill>
              <w14:schemeClr w14:val="tx1"/>
            </w14:solidFill>
          </w14:textFill>
        </w:rPr>
      </w:pPr>
    </w:p>
    <w:p>
      <w:pPr>
        <w:spacing w:line="300" w:lineRule="auto"/>
        <w:ind w:firstLine="0" w:firstLineChars="0"/>
        <w:rPr>
          <w:rFonts w:hAnsi="宋体"/>
          <w:bCs/>
          <w:color w:val="000000" w:themeColor="text1"/>
          <w:kern w:val="0"/>
          <w:szCs w:val="21"/>
          <w14:textFill>
            <w14:solidFill>
              <w14:schemeClr w14:val="tx1"/>
            </w14:solidFill>
          </w14:textFill>
        </w:rPr>
      </w:pPr>
    </w:p>
    <w:p>
      <w:pPr>
        <w:widowControl/>
        <w:adjustRightInd/>
        <w:snapToGrid/>
        <w:ind w:firstLine="0" w:firstLineChars="0"/>
        <w:jc w:val="left"/>
        <w:rPr>
          <w:b/>
          <w:color w:val="000000" w:themeColor="text1"/>
          <w:sz w:val="30"/>
          <w14:textFill>
            <w14:solidFill>
              <w14:schemeClr w14:val="tx1"/>
            </w14:solidFill>
          </w14:textFill>
        </w:rPr>
      </w:pPr>
      <w:r>
        <w:rPr>
          <w:color w:val="000000" w:themeColor="text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41" w:name="_Toc48841069"/>
      <w:r>
        <w:rPr>
          <w:rFonts w:hint="eastAsia"/>
          <w:color w:val="000000" w:themeColor="text1"/>
          <w14:textFill>
            <w14:solidFill>
              <w14:schemeClr w14:val="tx1"/>
            </w14:solidFill>
          </w14:textFill>
        </w:rPr>
        <w:t>附录</w:t>
      </w:r>
      <w:r>
        <w:rPr>
          <w:color w:val="000000" w:themeColor="text1"/>
          <w14:textFill>
            <w14:solidFill>
              <w14:schemeClr w14:val="tx1"/>
            </w14:solidFill>
          </w14:textFill>
        </w:rPr>
        <w:t>E 铝合金结构</w:t>
      </w:r>
      <w:bookmarkEnd w:id="241"/>
      <w:r>
        <w:rPr>
          <w:rFonts w:hint="eastAsia"/>
          <w:color w:val="000000" w:themeColor="text1"/>
          <w14:textFill>
            <w14:solidFill>
              <w14:schemeClr w14:val="tx1"/>
            </w14:solidFill>
          </w14:textFill>
        </w:rPr>
        <w:t xml:space="preserve"> </w:t>
      </w:r>
    </w:p>
    <w:p>
      <w:pPr>
        <w:spacing w:line="360" w:lineRule="auto"/>
        <w:ind w:firstLine="0" w:firstLineChars="0"/>
        <w:jc w:val="center"/>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E.1 一般规定</w:t>
      </w:r>
    </w:p>
    <w:p>
      <w:pPr>
        <w:spacing w:line="360" w:lineRule="auto"/>
        <w:ind w:firstLine="0" w:firstLineChars="0"/>
        <w:jc w:val="center"/>
        <w:rPr>
          <w:rFonts w:hAnsi="宋体"/>
          <w:bCs/>
          <w:color w:val="000000" w:themeColor="text1"/>
          <w:kern w:val="0"/>
          <w:szCs w:val="21"/>
          <w14:textFill>
            <w14:solidFill>
              <w14:schemeClr w14:val="tx1"/>
            </w14:solidFill>
          </w14:textFill>
        </w:rPr>
      </w:pPr>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 xml:space="preserve">E.1.1 适用范围 </w:t>
      </w:r>
    </w:p>
    <w:p>
      <w:pPr>
        <w:spacing w:line="360" w:lineRule="auto"/>
        <w:ind w:firstLine="420"/>
        <w:rPr>
          <w:rFonts w:hAnsi="宋体"/>
          <w:bCs/>
          <w:color w:val="000000" w:themeColor="text1"/>
          <w:kern w:val="0"/>
          <w:szCs w:val="21"/>
          <w14:textFill>
            <w14:solidFill>
              <w14:schemeClr w14:val="tx1"/>
            </w14:solidFill>
          </w14:textFill>
        </w:rPr>
      </w:pPr>
      <w:bookmarkStart w:id="242" w:name="_Hlk45746451"/>
      <w:r>
        <w:rPr>
          <w:rFonts w:hAnsi="宋体"/>
          <w:bCs/>
          <w:color w:val="000000" w:themeColor="text1"/>
          <w:kern w:val="0"/>
          <w:szCs w:val="21"/>
          <w14:textFill>
            <w14:solidFill>
              <w14:schemeClr w14:val="tx1"/>
            </w14:solidFill>
          </w14:textFill>
        </w:rPr>
        <w:t>本章适用的铝合金结构类型包括：单层工业厂房、低层框架结构和大跨空间网格结构。</w:t>
      </w:r>
      <w:bookmarkEnd w:id="242"/>
    </w:p>
    <w:p>
      <w:pPr>
        <w:spacing w:line="360" w:lineRule="auto"/>
        <w:ind w:firstLine="0" w:firstLineChars="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E.1.3 材料选择</w:t>
      </w:r>
    </w:p>
    <w:p>
      <w:pPr>
        <w:spacing w:line="360" w:lineRule="auto"/>
        <w:ind w:firstLine="42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1 用于承重结构的铝合金应采用轧制板、冷轧带、拉制管、挤压管、挤压型材、棒材等锻造铝合金。</w:t>
      </w:r>
      <w:bookmarkStart w:id="243" w:name="OLE_LINK9"/>
      <w:bookmarkStart w:id="244" w:name="OLE_LINK10"/>
    </w:p>
    <w:bookmarkEnd w:id="243"/>
    <w:bookmarkEnd w:id="244"/>
    <w:p>
      <w:pPr>
        <w:spacing w:line="360" w:lineRule="auto"/>
        <w:ind w:firstLine="42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2 应根据结构重要性、荷载特征、结构形式、应力状态、连接方式、材料厚度等因素，选用合适的铝合金牌号、规格及其相应状态，并应符合现行国家标准的规定和要求。</w:t>
      </w:r>
    </w:p>
    <w:p>
      <w:pPr>
        <w:spacing w:line="360" w:lineRule="auto"/>
        <w:ind w:firstLine="42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铝合金结构材料型材宜采用5×××系列和6×××系列铝合金；板材宜采用3×××系列和5×××系列铝合金。板材力学性能应符合现行国家标准《铝及铝合金轧制板材》GB/T 3880和《铝及铝合金冷轧带材》GB/T 8544的规定；型材及棒材应符合现行国家标准《铝及铝合金挤压棒材》GB/T 3191、《铝及铝合金拉（轧）制无缝管》GB/T 6893、《铝及铝合金热挤压管》（GB/T 4437）、《铝合金建筑型材》GB 5237、《工业用铝及铝合金热挤压型材》GB/T 6892的规定。</w:t>
      </w:r>
    </w:p>
    <w:p>
      <w:pPr>
        <w:spacing w:line="360" w:lineRule="auto"/>
        <w:ind w:firstLine="420"/>
        <w:rPr>
          <w:rFonts w:hAnsi="宋体"/>
          <w:bCs/>
          <w:color w:val="000000" w:themeColor="text1"/>
          <w:kern w:val="0"/>
          <w:szCs w:val="21"/>
          <w14:textFill>
            <w14:solidFill>
              <w14:schemeClr w14:val="tx1"/>
            </w14:solidFill>
          </w14:textFill>
        </w:rPr>
      </w:pPr>
      <w:r>
        <w:rPr>
          <w:rFonts w:hAnsi="宋体"/>
          <w:bCs/>
          <w:color w:val="000000" w:themeColor="text1"/>
          <w:kern w:val="0"/>
          <w:szCs w:val="21"/>
          <w14:textFill>
            <w14:solidFill>
              <w14:schemeClr w14:val="tx1"/>
            </w14:solidFill>
          </w14:textFill>
        </w:rPr>
        <w:t>3 对于节点部位，可以采用不锈钢板件作为辅助连接件。</w:t>
      </w:r>
    </w:p>
    <w:p>
      <w:pPr>
        <w:spacing w:line="360" w:lineRule="auto"/>
        <w:ind w:firstLine="420"/>
        <w:rPr>
          <w:rFonts w:hAnsi="宋体"/>
          <w:bCs/>
          <w:color w:val="000000" w:themeColor="text1"/>
          <w:kern w:val="0"/>
          <w:szCs w:val="21"/>
          <w14:textFill>
            <w14:solidFill>
              <w14:schemeClr w14:val="tx1"/>
            </w14:solidFill>
          </w14:textFill>
        </w:rPr>
      </w:pPr>
    </w:p>
    <w:p>
      <w:pPr>
        <w:spacing w:line="360" w:lineRule="auto"/>
        <w:ind w:firstLine="0" w:firstLineChars="0"/>
        <w:jc w:val="center"/>
        <w:rPr>
          <w:rFonts w:cs="Times New Roman"/>
          <w:b/>
          <w:bCs/>
          <w:color w:val="000000" w:themeColor="text1"/>
          <w14:textFill>
            <w14:solidFill>
              <w14:schemeClr w14:val="tx1"/>
            </w14:solidFill>
          </w14:textFill>
        </w:rPr>
      </w:pPr>
      <w:r>
        <w:rPr>
          <w:rFonts w:cs="Times New Roman"/>
          <w:b/>
          <w:bCs/>
          <w:color w:val="000000" w:themeColor="text1"/>
          <w14:textFill>
            <w14:solidFill>
              <w14:schemeClr w14:val="tx1"/>
            </w14:solidFill>
          </w14:textFill>
        </w:rPr>
        <w:t>E.2 设计计算要求</w:t>
      </w:r>
    </w:p>
    <w:p>
      <w:pPr>
        <w:spacing w:line="360" w:lineRule="auto"/>
        <w:ind w:firstLine="0" w:firstLineChars="0"/>
        <w:jc w:val="center"/>
        <w:rPr>
          <w:rFonts w:cs="Times New Roman"/>
          <w:b/>
          <w:bCs/>
          <w:color w:val="000000" w:themeColor="text1"/>
          <w14:textFill>
            <w14:solidFill>
              <w14:schemeClr w14:val="tx1"/>
            </w14:solidFill>
          </w14:textFill>
        </w:rPr>
      </w:pPr>
    </w:p>
    <w:p>
      <w:pPr>
        <w:spacing w:line="360" w:lineRule="auto"/>
        <w:ind w:firstLine="0" w:firstLineChars="0"/>
        <w:rPr>
          <w:rFonts w:cs="Times New Roman"/>
          <w:color w:val="000000" w:themeColor="text1"/>
          <w:szCs w:val="24"/>
          <w14:textFill>
            <w14:solidFill>
              <w14:schemeClr w14:val="tx1"/>
            </w14:solidFill>
          </w14:textFill>
        </w:rPr>
      </w:pPr>
      <w:r>
        <w:rPr>
          <w:color w:val="000000" w:themeColor="text1"/>
          <w:szCs w:val="24"/>
          <w14:textFill>
            <w14:solidFill>
              <w14:schemeClr w14:val="tx1"/>
            </w14:solidFill>
          </w14:textFill>
        </w:rPr>
        <w:t xml:space="preserve">E.2.1 </w:t>
      </w:r>
      <w:r>
        <w:rPr>
          <w:rFonts w:cs="Times New Roman"/>
          <w:color w:val="000000" w:themeColor="text1"/>
          <w:szCs w:val="24"/>
          <w14:textFill>
            <w14:solidFill>
              <w14:schemeClr w14:val="tx1"/>
            </w14:solidFill>
          </w14:textFill>
        </w:rPr>
        <w:t>地震作用分析采用的阻尼比宜符合下列规定：</w:t>
      </w:r>
    </w:p>
    <w:p>
      <w:pPr>
        <w:spacing w:line="360" w:lineRule="auto"/>
        <w:ind w:firstLine="420"/>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 在多遇地震作用下，对于铝合金结构阻尼比值可取0.03；</w:t>
      </w:r>
    </w:p>
    <w:p>
      <w:pPr>
        <w:spacing w:line="360" w:lineRule="auto"/>
        <w:ind w:firstLine="409" w:firstLineChars="195"/>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 在罕遇地震作用下，对于铝合金结构阻尼比值可取0.05。</w:t>
      </w:r>
    </w:p>
    <w:p>
      <w:pPr>
        <w:spacing w:line="360" w:lineRule="auto"/>
        <w:ind w:firstLine="0" w:firstLineChars="0"/>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E.2.2 铝合金结构可按照高强度-低延性（低耗能结构）的概念进行抗震设计，此时性能系数可取2.0。</w:t>
      </w:r>
    </w:p>
    <w:p>
      <w:pPr>
        <w:spacing w:line="360" w:lineRule="auto"/>
        <w:ind w:firstLine="0" w:firstLineChars="0"/>
        <w:rPr>
          <w:color w:val="000000" w:themeColor="text1"/>
          <w:szCs w:val="24"/>
          <w14:textFill>
            <w14:solidFill>
              <w14:schemeClr w14:val="tx1"/>
            </w14:solidFill>
          </w14:textFill>
        </w:rPr>
      </w:pPr>
      <w:r>
        <w:rPr>
          <w:color w:val="000000" w:themeColor="text1"/>
          <w:szCs w:val="24"/>
          <w14:textFill>
            <w14:solidFill>
              <w14:schemeClr w14:val="tx1"/>
            </w14:solidFill>
          </w14:textFill>
        </w:rPr>
        <w:t>E.2.3 构件设计</w:t>
      </w:r>
    </w:p>
    <w:p>
      <w:pPr>
        <w:spacing w:line="360" w:lineRule="auto"/>
        <w:ind w:firstLine="42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铝合金结构中构件的承载力应按照《铝合金结构设计规范》GB 50429相关条文计算。 </w:t>
      </w:r>
    </w:p>
    <w:p>
      <w:pPr>
        <w:spacing w:line="360" w:lineRule="auto"/>
        <w:ind w:firstLine="420"/>
        <w:jc w:val="left"/>
        <w:rPr>
          <w:rFonts w:cs="Times New Roman"/>
          <w:color w:val="000000" w:themeColor="text1"/>
          <w:szCs w:val="21"/>
          <w14:textFill>
            <w14:solidFill>
              <w14:schemeClr w14:val="tx1"/>
            </w14:solidFill>
          </w14:textFill>
        </w:rPr>
      </w:pPr>
    </w:p>
    <w:p>
      <w:pPr>
        <w:spacing w:line="360" w:lineRule="auto"/>
        <w:ind w:firstLine="0" w:firstLineChars="0"/>
        <w:jc w:val="center"/>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E.3 构造要求</w:t>
      </w:r>
    </w:p>
    <w:p>
      <w:pPr>
        <w:spacing w:line="360" w:lineRule="auto"/>
        <w:ind w:firstLine="0" w:firstLineChars="0"/>
        <w:jc w:val="center"/>
        <w:rPr>
          <w:rFonts w:cs="Times New Roman"/>
          <w:b/>
          <w:bCs/>
          <w:color w:val="000000" w:themeColor="text1"/>
          <w:szCs w:val="21"/>
          <w14:textFill>
            <w14:solidFill>
              <w14:schemeClr w14:val="tx1"/>
            </w14:solidFill>
          </w14:textFill>
        </w:rPr>
      </w:pPr>
    </w:p>
    <w:p>
      <w:pPr>
        <w:spacing w:line="360" w:lineRule="auto"/>
        <w:ind w:firstLine="0" w:firstLineChars="0"/>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E.3.1 构件</w:t>
      </w:r>
      <w:bookmarkStart w:id="245" w:name="OLE_LINK21"/>
      <w:bookmarkStart w:id="246" w:name="OLE_LINK19"/>
      <w:bookmarkStart w:id="247" w:name="OLE_LINK20"/>
    </w:p>
    <w:bookmarkEnd w:id="245"/>
    <w:bookmarkEnd w:id="246"/>
    <w:bookmarkEnd w:id="247"/>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w:t>
      </w:r>
      <w:r>
        <w:rPr>
          <w:rFonts w:cs="Times New Roman"/>
          <w:color w:val="000000" w:themeColor="text1"/>
          <w:szCs w:val="21"/>
          <w14:textFill>
            <w14:solidFill>
              <w14:schemeClr w14:val="tx1"/>
            </w14:solidFill>
          </w14:textFill>
        </w:rPr>
        <w:t xml:space="preserve"> 铝合金</w:t>
      </w:r>
      <w:r>
        <w:rPr>
          <w:rFonts w:hint="eastAsia" w:cs="Times New Roman"/>
          <w:color w:val="000000" w:themeColor="text1"/>
          <w:szCs w:val="21"/>
          <w14:textFill>
            <w14:solidFill>
              <w14:schemeClr w14:val="tx1"/>
            </w14:solidFill>
          </w14:textFill>
        </w:rPr>
        <w:t>构件</w:t>
      </w:r>
      <w:r>
        <w:rPr>
          <w:rFonts w:cs="Times New Roman"/>
          <w:color w:val="000000" w:themeColor="text1"/>
          <w:szCs w:val="21"/>
          <w14:textFill>
            <w14:solidFill>
              <w14:schemeClr w14:val="tx1"/>
            </w14:solidFill>
          </w14:textFill>
        </w:rPr>
        <w:t>板件宽厚比应该符合《铝合金结构设计规范》GB 50429中规定的限值。</w:t>
      </w:r>
    </w:p>
    <w:p>
      <w:pPr>
        <w:numPr>
          <w:ilvl w:val="0"/>
          <w:numId w:val="9"/>
        </w:numPr>
        <w:spacing w:line="360" w:lineRule="auto"/>
        <w:ind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铝合金</w:t>
      </w:r>
      <w:r>
        <w:rPr>
          <w:rFonts w:cs="Times New Roman"/>
          <w:color w:val="000000" w:themeColor="text1"/>
          <w:szCs w:val="21"/>
          <w14:textFill>
            <w14:solidFill>
              <w14:schemeClr w14:val="tx1"/>
            </w14:solidFill>
          </w14:textFill>
        </w:rPr>
        <w:t>构件的侧向支撑应符合下列要求：</w:t>
      </w:r>
    </w:p>
    <w:p>
      <w:pPr>
        <w:numPr>
          <w:ilvl w:val="0"/>
          <w:numId w:val="10"/>
        </w:numPr>
        <w:tabs>
          <w:tab w:val="left" w:pos="720"/>
          <w:tab w:val="left" w:pos="1440"/>
        </w:tabs>
        <w:spacing w:line="360" w:lineRule="auto"/>
        <w:ind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铝合金</w:t>
      </w:r>
      <w:r>
        <w:rPr>
          <w:rFonts w:cs="Times New Roman"/>
          <w:color w:val="000000" w:themeColor="text1"/>
          <w:szCs w:val="21"/>
          <w14:textFill>
            <w14:solidFill>
              <w14:schemeClr w14:val="tx1"/>
            </w14:solidFill>
          </w14:textFill>
        </w:rPr>
        <w:t>构件受压翼缘应根据需要设置侧向支承</w:t>
      </w:r>
      <w:r>
        <w:rPr>
          <w:rFonts w:hint="eastAsia" w:cs="Times New Roman"/>
          <w:color w:val="000000" w:themeColor="text1"/>
          <w:szCs w:val="21"/>
          <w14:textFill>
            <w14:solidFill>
              <w14:schemeClr w14:val="tx1"/>
            </w14:solidFill>
          </w14:textFill>
        </w:rPr>
        <w:t>；</w:t>
      </w:r>
    </w:p>
    <w:p>
      <w:pPr>
        <w:tabs>
          <w:tab w:val="left" w:pos="720"/>
          <w:tab w:val="left" w:pos="1440"/>
        </w:tabs>
        <w:spacing w:line="360" w:lineRule="auto"/>
        <w:ind w:left="1050" w:leftChars="400" w:hanging="210" w:hangingChars="10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2）</w:t>
      </w:r>
      <w:r>
        <w:rPr>
          <w:rFonts w:cs="Times New Roman"/>
          <w:color w:val="000000" w:themeColor="text1"/>
          <w:szCs w:val="21"/>
          <w14:textFill>
            <w14:solidFill>
              <w14:schemeClr w14:val="tx1"/>
            </w14:solidFill>
          </w14:textFill>
        </w:rPr>
        <w:t>相邻两侧向支承点间的构件长细比，应符合现行国家标准《铝合金结构设计规范》GB50429 的有关规定。</w:t>
      </w:r>
      <w:bookmarkStart w:id="248" w:name="OLE_LINK31"/>
      <w:bookmarkStart w:id="249" w:name="OLE_LINK30"/>
    </w:p>
    <w:bookmarkEnd w:id="248"/>
    <w:bookmarkEnd w:id="249"/>
    <w:p>
      <w:pPr>
        <w:spacing w:line="360" w:lineRule="auto"/>
        <w:ind w:firstLine="0" w:firstLineChars="0"/>
        <w:rPr>
          <w:rFonts w:cs="Times New Roman"/>
          <w:b/>
          <w:bCs/>
          <w:color w:val="000000" w:themeColor="text1"/>
          <w:szCs w:val="21"/>
          <w14:textFill>
            <w14:solidFill>
              <w14:schemeClr w14:val="tx1"/>
            </w14:solidFill>
          </w14:textFill>
        </w:rPr>
      </w:pPr>
      <w:r>
        <w:rPr>
          <w:rFonts w:cs="Times New Roman"/>
          <w:b/>
          <w:bCs/>
          <w:color w:val="000000" w:themeColor="text1"/>
          <w:szCs w:val="21"/>
          <w14:textFill>
            <w14:solidFill>
              <w14:schemeClr w14:val="tx1"/>
            </w14:solidFill>
          </w14:textFill>
        </w:rPr>
        <w:t>E.3.2 节点</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对于铝合金单层工业厂房，可不进行强柱弱梁的验算。在梁柱采用端板连接，或梁柱节点处是梁柱下翼缘圆弧过渡时，也不进行强节点弱杆件的验算。</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对于铝合金低层框架结构，为避免焊接造成的强度损失，宜采用全螺栓角型（或T型）连接件连接。当连接件刚度不足时，可将连接件材料变为不锈钢。节点刚度应做专门试验或有限元分析计算后确定。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在大跨度网格结构中，常用板式节点体系。板式节点通常用于铝合金杆件以轴向拉压力为主的空间网格结构，</w:t>
      </w:r>
      <w:r>
        <w:rPr>
          <w:rFonts w:cs="Times New Roman"/>
          <w:color w:val="000000" w:themeColor="text1"/>
          <w:szCs w:val="21"/>
          <w14:textFill>
            <w14:solidFill>
              <w14:schemeClr w14:val="tx1"/>
            </w14:solidFill>
          </w14:textFill>
        </w:rPr>
        <w:t>也可运用于铝合金杆件以弯矩及剪力为主导的结构中，针对此类节点需采用节点有限元分析验证连接节点的安全性及有效性。该体系通常采用铝合金主结构与围护系统一体化，宜考虑屋面板的刚度贡献。</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 </w:t>
      </w:r>
    </w:p>
    <w:p>
      <w:pPr>
        <w:ind w:firstLine="422"/>
        <w:rPr>
          <w:rFonts w:cs="Times New Roman"/>
          <w:b/>
          <w:bCs/>
          <w:color w:val="000000" w:themeColor="text1"/>
          <w:szCs w:val="21"/>
          <w14:textFill>
            <w14:solidFill>
              <w14:schemeClr w14:val="tx1"/>
            </w14:solidFill>
          </w14:textFill>
        </w:rPr>
      </w:pPr>
    </w:p>
    <w:p>
      <w:pPr>
        <w:ind w:firstLine="0" w:firstLineChars="0"/>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ind w:firstLine="422"/>
        <w:rPr>
          <w:rFonts w:cs="Times New Roman"/>
          <w:b/>
          <w:bCs/>
          <w:color w:val="000000" w:themeColor="text1"/>
          <w:szCs w:val="21"/>
          <w14:textFill>
            <w14:solidFill>
              <w14:schemeClr w14:val="tx1"/>
            </w14:solidFill>
          </w14:textFill>
        </w:rPr>
      </w:pPr>
    </w:p>
    <w:p>
      <w:pPr>
        <w:widowControl/>
        <w:adjustRightInd/>
        <w:snapToGrid/>
        <w:ind w:firstLine="0" w:firstLineChars="0"/>
        <w:jc w:val="left"/>
        <w:rPr>
          <w:b/>
          <w:color w:val="000000" w:themeColor="text1"/>
          <w:sz w:val="30"/>
          <w14:textFill>
            <w14:solidFill>
              <w14:schemeClr w14:val="tx1"/>
            </w14:solidFill>
          </w14:textFill>
        </w:rPr>
      </w:pPr>
      <w:r>
        <w:rPr>
          <w:color w:val="000000" w:themeColor="text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50" w:name="_Toc48841070"/>
      <w:r>
        <w:rPr>
          <w:rFonts w:hint="eastAsia"/>
          <w:color w:val="000000" w:themeColor="text1"/>
          <w14:textFill>
            <w14:solidFill>
              <w14:schemeClr w14:val="tx1"/>
            </w14:solidFill>
          </w14:textFill>
        </w:rPr>
        <w:t>附录</w:t>
      </w:r>
      <w:r>
        <w:rPr>
          <w:color w:val="000000" w:themeColor="text1"/>
          <w14:textFill>
            <w14:solidFill>
              <w14:schemeClr w14:val="tx1"/>
            </w14:solidFill>
          </w14:textFill>
        </w:rPr>
        <w:t xml:space="preserve">F </w:t>
      </w:r>
      <w:r>
        <w:rPr>
          <w:rFonts w:hint="eastAsia"/>
          <w:color w:val="000000" w:themeColor="text1"/>
          <w14:textFill>
            <w14:solidFill>
              <w14:schemeClr w14:val="tx1"/>
            </w14:solidFill>
          </w14:textFill>
        </w:rPr>
        <w:t>部分包覆钢</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混凝土组合构件</w:t>
      </w:r>
      <w:bookmarkEnd w:id="250"/>
    </w:p>
    <w:p>
      <w:pPr>
        <w:ind w:firstLine="420"/>
        <w:jc w:val="center"/>
        <w:rPr>
          <w:rFonts w:cs="Times New Roman"/>
          <w:color w:val="000000" w:themeColor="text1"/>
          <w:szCs w:val="21"/>
          <w14:textFill>
            <w14:solidFill>
              <w14:schemeClr w14:val="tx1"/>
            </w14:solidFill>
          </w14:textFill>
        </w:rPr>
      </w:pP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F.0.1 </w:t>
      </w:r>
      <w:r>
        <w:rPr>
          <w:rFonts w:hint="eastAsia" w:cs="Times New Roman"/>
          <w:color w:val="000000" w:themeColor="text1"/>
          <w:szCs w:val="21"/>
          <w14:textFill>
            <w14:solidFill>
              <w14:schemeClr w14:val="tx1"/>
            </w14:solidFill>
          </w14:textFill>
        </w:rPr>
        <w:t>构件</w:t>
      </w:r>
    </w:p>
    <w:p>
      <w:pPr>
        <w:spacing w:line="360" w:lineRule="auto"/>
        <w:ind w:firstLine="420"/>
        <w:rPr>
          <w:rFonts w:cs="Times New Roman"/>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72576" behindDoc="0" locked="0" layoutInCell="1" allowOverlap="1">
            <wp:simplePos x="0" y="0"/>
            <wp:positionH relativeFrom="column">
              <wp:posOffset>1568450</wp:posOffset>
            </wp:positionH>
            <wp:positionV relativeFrom="paragraph">
              <wp:posOffset>391160</wp:posOffset>
            </wp:positionV>
            <wp:extent cx="1873250" cy="895350"/>
            <wp:effectExtent l="0" t="0" r="0" b="0"/>
            <wp:wrapNone/>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a:xfrm>
                      <a:off x="0" y="0"/>
                      <a:ext cx="1873250" cy="895350"/>
                    </a:xfrm>
                    <a:prstGeom prst="rect">
                      <a:avLst/>
                    </a:prstGeom>
                    <a:noFill/>
                  </pic:spPr>
                </pic:pic>
              </a:graphicData>
            </a:graphic>
          </wp:anchor>
        </w:drawing>
      </w:r>
      <w:r>
        <w:rPr>
          <w:rFonts w:hint="eastAsia" w:cs="Times New Roman"/>
          <w:color w:val="000000" w:themeColor="text1"/>
          <w:szCs w:val="21"/>
          <w14:textFill>
            <w14:solidFill>
              <w14:schemeClr w14:val="tx1"/>
            </w14:solidFill>
          </w14:textFill>
        </w:rPr>
        <w:t>部分包覆钢</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混凝土组合构件由开口截面主钢件及其外轮廓范围内浇筑的混凝土组成，混凝土内可设纵筋、箍筋、抗剪件、连杆等钢配件（图</w:t>
      </w:r>
      <w:r>
        <w:rPr>
          <w:rFonts w:cs="Times New Roman"/>
          <w:color w:val="000000" w:themeColor="text1"/>
          <w:szCs w:val="21"/>
          <w14:textFill>
            <w14:solidFill>
              <w14:schemeClr w14:val="tx1"/>
            </w14:solidFill>
          </w14:textFill>
        </w:rPr>
        <w:t>F.</w:t>
      </w:r>
      <w:r>
        <w:rPr>
          <w:rFonts w:hint="eastAsia" w:cs="Times New Roman"/>
          <w:color w:val="000000" w:themeColor="text1"/>
          <w:szCs w:val="21"/>
          <w14:textFill>
            <w14:solidFill>
              <w14:schemeClr w14:val="tx1"/>
            </w14:solidFill>
          </w14:textFill>
        </w:rPr>
        <w:t>0.</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-1）。混凝土可以预制或现浇。</w:t>
      </w:r>
    </w:p>
    <w:p>
      <w:pPr>
        <w:spacing w:after="156"/>
        <w:ind w:left="567" w:leftChars="270" w:firstLine="420"/>
        <w:rPr>
          <w:rFonts w:cs="Times New Roman"/>
          <w:color w:val="000000" w:themeColor="text1"/>
          <w:szCs w:val="21"/>
          <w14:textFill>
            <w14:solidFill>
              <w14:schemeClr w14:val="tx1"/>
            </w14:solidFill>
          </w14:textFill>
        </w:rPr>
      </w:pPr>
    </w:p>
    <w:p>
      <w:pPr>
        <w:spacing w:after="156"/>
        <w:ind w:left="567" w:leftChars="270" w:firstLine="420"/>
        <w:rPr>
          <w:rFonts w:cs="Times New Roman"/>
          <w:color w:val="000000" w:themeColor="text1"/>
          <w:szCs w:val="21"/>
          <w14:textFill>
            <w14:solidFill>
              <w14:schemeClr w14:val="tx1"/>
            </w14:solidFill>
          </w14:textFill>
        </w:rPr>
      </w:pPr>
    </w:p>
    <w:p>
      <w:pPr>
        <w:spacing w:after="156"/>
        <w:ind w:left="567" w:leftChars="270" w:firstLine="420"/>
        <w:rPr>
          <w:rFonts w:cs="Times New Roman"/>
          <w:color w:val="000000" w:themeColor="text1"/>
          <w:szCs w:val="21"/>
          <w14:textFill>
            <w14:solidFill>
              <w14:schemeClr w14:val="tx1"/>
            </w14:solidFill>
          </w14:textFill>
        </w:rPr>
      </w:pPr>
    </w:p>
    <w:p>
      <w:pPr>
        <w:spacing w:after="156"/>
        <w:ind w:left="567" w:leftChars="270" w:firstLine="360"/>
        <w:rPr>
          <w:rFonts w:cs="Times New Roman"/>
          <w:color w:val="000000" w:themeColor="text1"/>
          <w:szCs w:val="21"/>
          <w14:textFill>
            <w14:solidFill>
              <w14:schemeClr w14:val="tx1"/>
            </w14:solidFill>
          </w14:textFill>
        </w:rPr>
      </w:pPr>
      <w:r>
        <w:rPr>
          <w:rFonts w:cs="Times New Roman"/>
          <w:color w:val="000000" w:themeColor="text1"/>
          <w:sz w:val="18"/>
          <w:szCs w:val="18"/>
          <w14:textFill>
            <w14:solidFill>
              <w14:schemeClr w14:val="tx1"/>
            </w14:solidFill>
          </w14:textFill>
        </w:rPr>
        <w:t>1-H</w:t>
      </w:r>
      <w:r>
        <w:rPr>
          <w:rFonts w:hint="eastAsia" w:cs="Times New Roman"/>
          <w:color w:val="000000" w:themeColor="text1"/>
          <w:sz w:val="18"/>
          <w:szCs w:val="18"/>
          <w14:textFill>
            <w14:solidFill>
              <w14:schemeClr w14:val="tx1"/>
            </w14:solidFill>
          </w14:textFill>
        </w:rPr>
        <w:t>钢（开口截面主钢件）；</w:t>
      </w:r>
      <w:r>
        <w:rPr>
          <w:rFonts w:cs="Times New Roman"/>
          <w:color w:val="000000" w:themeColor="text1"/>
          <w:sz w:val="18"/>
          <w:szCs w:val="18"/>
          <w14:textFill>
            <w14:solidFill>
              <w14:schemeClr w14:val="tx1"/>
            </w14:solidFill>
          </w14:textFill>
        </w:rPr>
        <w:t>2-</w:t>
      </w:r>
      <w:r>
        <w:rPr>
          <w:rFonts w:hint="eastAsia" w:cs="Times New Roman"/>
          <w:color w:val="000000" w:themeColor="text1"/>
          <w:sz w:val="18"/>
          <w:szCs w:val="18"/>
          <w14:textFill>
            <w14:solidFill>
              <w14:schemeClr w14:val="tx1"/>
            </w14:solidFill>
          </w14:textFill>
        </w:rPr>
        <w:t>填充混凝土；</w:t>
      </w:r>
      <w:r>
        <w:rPr>
          <w:rFonts w:cs="Times New Roman"/>
          <w:color w:val="000000" w:themeColor="text1"/>
          <w:sz w:val="18"/>
          <w:szCs w:val="18"/>
          <w14:textFill>
            <w14:solidFill>
              <w14:schemeClr w14:val="tx1"/>
            </w14:solidFill>
          </w14:textFill>
        </w:rPr>
        <w:t>3-</w:t>
      </w:r>
      <w:r>
        <w:rPr>
          <w:rFonts w:hint="eastAsia" w:cs="Times New Roman"/>
          <w:color w:val="000000" w:themeColor="text1"/>
          <w:sz w:val="18"/>
          <w:szCs w:val="18"/>
          <w14:textFill>
            <w14:solidFill>
              <w14:schemeClr w14:val="tx1"/>
            </w14:solidFill>
          </w14:textFill>
        </w:rPr>
        <w:t>箍筋；</w:t>
      </w:r>
      <w:r>
        <w:rPr>
          <w:rFonts w:cs="Times New Roman"/>
          <w:color w:val="000000" w:themeColor="text1"/>
          <w:sz w:val="18"/>
          <w:szCs w:val="18"/>
          <w14:textFill>
            <w14:solidFill>
              <w14:schemeClr w14:val="tx1"/>
            </w14:solidFill>
          </w14:textFill>
        </w:rPr>
        <w:t>4-</w:t>
      </w:r>
      <w:r>
        <w:rPr>
          <w:rFonts w:hint="eastAsia" w:cs="Times New Roman"/>
          <w:color w:val="000000" w:themeColor="text1"/>
          <w:sz w:val="18"/>
          <w:szCs w:val="18"/>
          <w14:textFill>
            <w14:solidFill>
              <w14:schemeClr w14:val="tx1"/>
            </w14:solidFill>
          </w14:textFill>
        </w:rPr>
        <w:t>纵筋；</w:t>
      </w:r>
      <w:r>
        <w:rPr>
          <w:rFonts w:cs="Times New Roman"/>
          <w:color w:val="000000" w:themeColor="text1"/>
          <w:sz w:val="18"/>
          <w:szCs w:val="18"/>
          <w14:textFill>
            <w14:solidFill>
              <w14:schemeClr w14:val="tx1"/>
            </w14:solidFill>
          </w14:textFill>
        </w:rPr>
        <w:t>5-</w:t>
      </w:r>
      <w:r>
        <w:rPr>
          <w:rFonts w:hint="eastAsia" w:cs="Times New Roman"/>
          <w:color w:val="000000" w:themeColor="text1"/>
          <w:sz w:val="18"/>
          <w:szCs w:val="18"/>
          <w14:textFill>
            <w14:solidFill>
              <w14:schemeClr w14:val="tx1"/>
            </w14:solidFill>
          </w14:textFill>
        </w:rPr>
        <w:t>连杆；</w:t>
      </w:r>
      <w:r>
        <w:rPr>
          <w:rFonts w:cs="Times New Roman"/>
          <w:color w:val="000000" w:themeColor="text1"/>
          <w:sz w:val="18"/>
          <w:szCs w:val="18"/>
          <w14:textFill>
            <w14:solidFill>
              <w14:schemeClr w14:val="tx1"/>
            </w14:solidFill>
          </w14:textFill>
        </w:rPr>
        <w:t>6-</w:t>
      </w:r>
      <w:r>
        <w:rPr>
          <w:rFonts w:hint="eastAsia" w:cs="Times New Roman"/>
          <w:color w:val="000000" w:themeColor="text1"/>
          <w:sz w:val="18"/>
          <w:szCs w:val="18"/>
          <w14:textFill>
            <w14:solidFill>
              <w14:schemeClr w14:val="tx1"/>
            </w14:solidFill>
          </w14:textFill>
        </w:rPr>
        <w:t>抗剪件（栓钉）</w:t>
      </w:r>
    </w:p>
    <w:p>
      <w:pPr>
        <w:spacing w:after="156"/>
        <w:ind w:left="567" w:leftChars="270"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图</w:t>
      </w:r>
      <w:r>
        <w:rPr>
          <w:rFonts w:cs="Times New Roman"/>
          <w:color w:val="000000" w:themeColor="text1"/>
          <w:szCs w:val="21"/>
          <w14:textFill>
            <w14:solidFill>
              <w14:schemeClr w14:val="tx1"/>
            </w14:solidFill>
          </w14:textFill>
        </w:rPr>
        <w:t>F.</w:t>
      </w:r>
      <w:r>
        <w:rPr>
          <w:rFonts w:hint="eastAsia" w:cs="Times New Roman"/>
          <w:color w:val="000000" w:themeColor="text1"/>
          <w:szCs w:val="21"/>
          <w14:textFill>
            <w14:solidFill>
              <w14:schemeClr w14:val="tx1"/>
            </w14:solidFill>
          </w14:textFill>
        </w:rPr>
        <w:t>0.</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-1</w:t>
      </w:r>
      <w:r>
        <w:rPr>
          <w:rFonts w:cs="Times New Roman"/>
          <w:color w:val="000000" w:themeColor="text1"/>
          <w:szCs w:val="21"/>
          <w14:textFill>
            <w14:solidFill>
              <w14:schemeClr w14:val="tx1"/>
            </w14:solidFill>
          </w14:textFill>
        </w:rPr>
        <w:t xml:space="preserve"> </w:t>
      </w:r>
      <w:r>
        <w:rPr>
          <w:rFonts w:hint="eastAsia" w:cs="Times New Roman"/>
          <w:color w:val="000000" w:themeColor="text1"/>
          <w:szCs w:val="21"/>
          <w14:textFill>
            <w14:solidFill>
              <w14:schemeClr w14:val="tx1"/>
            </w14:solidFill>
          </w14:textFill>
        </w:rPr>
        <w:t>部分包覆钢</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混凝土组合构件的截面形式</w:t>
      </w:r>
    </w:p>
    <w:p>
      <w:pPr>
        <w:spacing w:line="360" w:lineRule="auto"/>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F.0.2 </w:t>
      </w:r>
      <w:r>
        <w:rPr>
          <w:rFonts w:hint="eastAsia" w:cs="Times New Roman"/>
          <w:color w:val="000000" w:themeColor="text1"/>
          <w:szCs w:val="21"/>
          <w14:textFill>
            <w14:solidFill>
              <w14:schemeClr w14:val="tx1"/>
            </w14:solidFill>
          </w14:textFill>
        </w:rPr>
        <w:t>构件适用范围</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部分包覆钢</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混凝土组合构件可用于工业建筑结构的框架柱、框架梁和楼面梁，以及受压为主的支撑。</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既有工业建筑的框架柱、梁构件，也可采用补填混凝土的方式形成部分包覆钢</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混凝土构件。</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满足本附录塑性设计要求的柱、梁，适用于层间弹性相对位移限值不超过</w:t>
      </w:r>
      <w:r>
        <w:rPr>
          <w:rFonts w:cs="Times New Roman"/>
          <w:color w:val="000000" w:themeColor="text1"/>
          <w:szCs w:val="21"/>
          <w14:textFill>
            <w14:solidFill>
              <w14:schemeClr w14:val="tx1"/>
            </w14:solidFill>
          </w14:textFill>
        </w:rPr>
        <w:t>1/400</w:t>
      </w:r>
      <w:r>
        <w:rPr>
          <w:rFonts w:hint="eastAsia" w:cs="Times New Roman"/>
          <w:color w:val="000000" w:themeColor="text1"/>
          <w:szCs w:val="21"/>
          <w14:textFill>
            <w14:solidFill>
              <w14:schemeClr w14:val="tx1"/>
            </w14:solidFill>
          </w14:textFill>
        </w:rPr>
        <w:t>、弹塑性相对位移限值不超过</w:t>
      </w:r>
      <w:r>
        <w:rPr>
          <w:rFonts w:cs="Times New Roman"/>
          <w:color w:val="000000" w:themeColor="text1"/>
          <w:szCs w:val="21"/>
          <w14:textFill>
            <w14:solidFill>
              <w14:schemeClr w14:val="tx1"/>
            </w14:solidFill>
          </w14:textFill>
        </w:rPr>
        <w:t>1/50</w:t>
      </w:r>
      <w:r>
        <w:rPr>
          <w:rFonts w:hint="eastAsia" w:cs="Times New Roman"/>
          <w:color w:val="000000" w:themeColor="text1"/>
          <w:szCs w:val="21"/>
          <w14:textFill>
            <w14:solidFill>
              <w14:schemeClr w14:val="tx1"/>
            </w14:solidFill>
          </w14:textFill>
        </w:rPr>
        <w:t>的框架结构。</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4 </w:t>
      </w:r>
      <w:r>
        <w:rPr>
          <w:rFonts w:hint="eastAsia" w:cs="Times New Roman"/>
          <w:color w:val="000000" w:themeColor="text1"/>
          <w:szCs w:val="21"/>
          <w14:textFill>
            <w14:solidFill>
              <w14:schemeClr w14:val="tx1"/>
            </w14:solidFill>
          </w14:textFill>
        </w:rPr>
        <w:t>部分包覆钢</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混凝土组合构件不宜用于受到高周应力循环作用的吊车梁等。</w:t>
      </w:r>
    </w:p>
    <w:p>
      <w:pPr>
        <w:spacing w:line="360" w:lineRule="auto"/>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F.0.3 </w:t>
      </w:r>
      <w:r>
        <w:rPr>
          <w:rFonts w:hint="eastAsia" w:cs="Times New Roman"/>
          <w:color w:val="000000" w:themeColor="text1"/>
          <w:szCs w:val="21"/>
          <w14:textFill>
            <w14:solidFill>
              <w14:schemeClr w14:val="tx1"/>
            </w14:solidFill>
          </w14:textFill>
        </w:rPr>
        <w:t>主钢件为</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形截面时，板件宽厚比限值（图</w:t>
      </w:r>
      <w:r>
        <w:rPr>
          <w:rFonts w:cs="Times New Roman"/>
          <w:color w:val="000000" w:themeColor="text1"/>
          <w:szCs w:val="21"/>
          <w14:textFill>
            <w14:solidFill>
              <w14:schemeClr w14:val="tx1"/>
            </w14:solidFill>
          </w14:textFill>
        </w:rPr>
        <w:t>F.0.</w:t>
      </w:r>
      <w:r>
        <w:rPr>
          <w:rFonts w:hint="eastAsia" w:cs="Times New Roman"/>
          <w:color w:val="000000" w:themeColor="text1"/>
          <w:szCs w:val="21"/>
          <w14:textFill>
            <w14:solidFill>
              <w14:schemeClr w14:val="tx1"/>
            </w14:solidFill>
          </w14:textFill>
        </w:rPr>
        <w:t>3-1）</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梁和框架柱中主钢件受压翼缘外伸部分的宽厚比应符合表</w:t>
      </w:r>
      <w:r>
        <w:rPr>
          <w:rFonts w:cs="Times New Roman"/>
          <w:color w:val="000000" w:themeColor="text1"/>
          <w:szCs w:val="21"/>
          <w14:textFill>
            <w14:solidFill>
              <w14:schemeClr w14:val="tx1"/>
            </w14:solidFill>
          </w14:textFill>
        </w:rPr>
        <w:t>F.0.3</w:t>
      </w:r>
      <w:r>
        <w:rPr>
          <w:rFonts w:hint="eastAsia" w:cs="Times New Roman"/>
          <w:color w:val="000000" w:themeColor="text1"/>
          <w:szCs w:val="21"/>
          <w14:textFill>
            <w14:solidFill>
              <w14:schemeClr w14:val="tx1"/>
            </w14:solidFill>
          </w14:textFill>
        </w:rPr>
        <w:t>-1的规定。</w:t>
      </w:r>
    </w:p>
    <w:p>
      <w:pPr>
        <w:tabs>
          <w:tab w:val="left" w:pos="567"/>
        </w:tabs>
        <w:spacing w:after="156"/>
        <w:ind w:left="567" w:leftChars="270" w:firstLine="360"/>
        <w:jc w:val="center"/>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表</w:t>
      </w:r>
      <w:r>
        <w:rPr>
          <w:rFonts w:cs="Times New Roman"/>
          <w:color w:val="000000" w:themeColor="text1"/>
          <w:sz w:val="18"/>
          <w:szCs w:val="18"/>
          <w14:textFill>
            <w14:solidFill>
              <w14:schemeClr w14:val="tx1"/>
            </w14:solidFill>
          </w14:textFill>
        </w:rPr>
        <w:t>F.0.3</w:t>
      </w:r>
      <w:r>
        <w:rPr>
          <w:rFonts w:hint="eastAsia" w:cs="Times New Roman"/>
          <w:color w:val="000000" w:themeColor="text1"/>
          <w:sz w:val="18"/>
          <w:szCs w:val="18"/>
          <w14:textFill>
            <w14:solidFill>
              <w14:schemeClr w14:val="tx1"/>
            </w14:solidFill>
          </w14:textFill>
        </w:rPr>
        <w:t>-1</w:t>
      </w:r>
      <w:r>
        <w:rPr>
          <w:rFonts w:cs="Times New Roman"/>
          <w:color w:val="000000" w:themeColor="text1"/>
          <w:sz w:val="18"/>
          <w:szCs w:val="18"/>
          <w14:textFill>
            <w14:solidFill>
              <w14:schemeClr w14:val="tx1"/>
            </w14:solidFill>
          </w14:textFill>
        </w:rPr>
        <w:t xml:space="preserve"> </w:t>
      </w:r>
      <w:r>
        <w:rPr>
          <w:rFonts w:hint="eastAsia" w:cs="Times New Roman"/>
          <w:color w:val="000000" w:themeColor="text1"/>
          <w:sz w:val="18"/>
          <w:szCs w:val="18"/>
          <w14:textFill>
            <w14:solidFill>
              <w14:schemeClr w14:val="tx1"/>
            </w14:solidFill>
          </w14:textFill>
        </w:rPr>
        <w:t>梁和框架柱中主钢件受压翼缘外伸部分宽厚比</w:t>
      </w:r>
    </w:p>
    <w:tbl>
      <w:tblPr>
        <w:tblStyle w:val="32"/>
        <w:tblW w:w="7875" w:type="dxa"/>
        <w:tblInd w:w="0" w:type="dxa"/>
        <w:tblLayout w:type="fixed"/>
        <w:tblCellMar>
          <w:top w:w="0" w:type="dxa"/>
          <w:left w:w="108" w:type="dxa"/>
          <w:bottom w:w="0" w:type="dxa"/>
          <w:right w:w="108" w:type="dxa"/>
        </w:tblCellMar>
      </w:tblPr>
      <w:tblGrid>
        <w:gridCol w:w="1077"/>
        <w:gridCol w:w="4131"/>
        <w:gridCol w:w="2667"/>
      </w:tblGrid>
      <w:tr>
        <w:tblPrEx>
          <w:tblCellMar>
            <w:top w:w="0" w:type="dxa"/>
            <w:left w:w="108" w:type="dxa"/>
            <w:bottom w:w="0" w:type="dxa"/>
            <w:right w:w="108" w:type="dxa"/>
          </w:tblCellMar>
        </w:tblPrEx>
        <w:tc>
          <w:tcPr>
            <w:tcW w:w="1077"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截面分类</w:t>
            </w:r>
          </w:p>
        </w:tc>
        <w:tc>
          <w:tcPr>
            <w:tcW w:w="4128"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构件设计要求</w:t>
            </w:r>
          </w:p>
        </w:tc>
        <w:tc>
          <w:tcPr>
            <w:tcW w:w="2665"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宽厚比最大值（</w:t>
            </w:r>
            <w:r>
              <w:rPr>
                <w:color w:val="000000" w:themeColor="text1"/>
                <w:sz w:val="18"/>
                <w:szCs w:val="18"/>
                <w14:textFill>
                  <w14:solidFill>
                    <w14:schemeClr w14:val="tx1"/>
                  </w14:solidFill>
                </w14:textFill>
              </w:rPr>
              <w:t>b</w:t>
            </w:r>
            <w:r>
              <w:rPr>
                <w:color w:val="000000" w:themeColor="text1"/>
                <w:sz w:val="18"/>
                <w:szCs w:val="18"/>
                <w:vertAlign w:val="subscript"/>
                <w14:textFill>
                  <w14:solidFill>
                    <w14:schemeClr w14:val="tx1"/>
                  </w14:solidFill>
                </w14:textFill>
              </w:rPr>
              <w:t>0</w:t>
            </w:r>
            <w:r>
              <w:rPr>
                <w:color w:val="000000" w:themeColor="text1"/>
                <w:sz w:val="18"/>
                <w:szCs w:val="18"/>
                <w14:textFill>
                  <w14:solidFill>
                    <w14:schemeClr w14:val="tx1"/>
                  </w14:solidFill>
                </w14:textFill>
              </w:rPr>
              <w:t>/t</w:t>
            </w:r>
            <w:r>
              <w:rPr>
                <w:color w:val="000000" w:themeColor="text1"/>
                <w:sz w:val="18"/>
                <w:szCs w:val="18"/>
                <w:vertAlign w:val="subscript"/>
                <w14:textFill>
                  <w14:solidFill>
                    <w14:schemeClr w14:val="tx1"/>
                  </w14:solidFill>
                </w14:textFill>
              </w:rPr>
              <w:t>f</w:t>
            </w:r>
            <w:r>
              <w:rPr>
                <w:rFonts w:hint="eastAsia"/>
                <w:color w:val="000000" w:themeColor="text1"/>
                <w:sz w:val="18"/>
                <w:szCs w:val="18"/>
                <w14:textFill>
                  <w14:solidFill>
                    <w14:schemeClr w14:val="tx1"/>
                  </w14:solidFill>
                </w14:textFill>
              </w:rPr>
              <w:t>）</w:t>
            </w:r>
          </w:p>
        </w:tc>
      </w:tr>
      <w:tr>
        <w:tblPrEx>
          <w:tblCellMar>
            <w:top w:w="0" w:type="dxa"/>
            <w:left w:w="108" w:type="dxa"/>
            <w:bottom w:w="0" w:type="dxa"/>
            <w:right w:w="108" w:type="dxa"/>
          </w:tblCellMar>
        </w:tblPrEx>
        <w:tc>
          <w:tcPr>
            <w:tcW w:w="1077" w:type="dxa"/>
            <w:tcBorders>
              <w:top w:val="single" w:color="auto" w:sz="4" w:space="0"/>
              <w:left w:val="single" w:color="auto" w:sz="4" w:space="0"/>
              <w:bottom w:val="single" w:color="auto" w:sz="4" w:space="0"/>
              <w:right w:val="single" w:color="auto" w:sz="4" w:space="0"/>
            </w:tcBorders>
            <w:vAlign w:val="center"/>
          </w:tcPr>
          <w:p>
            <w:pPr>
              <w:tabs>
                <w:tab w:val="left" w:pos="567"/>
              </w:tabs>
              <w:ind w:firstLine="0" w:firstLineChars="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128"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截面达到塑性弯矩、构件发生充分塑性转动</w:t>
            </w:r>
          </w:p>
        </w:tc>
        <w:tc>
          <w:tcPr>
            <w:tcW w:w="2665"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≤9ε</w:t>
            </w:r>
            <w:r>
              <w:rPr>
                <w:color w:val="000000" w:themeColor="text1"/>
                <w:kern w:val="0"/>
                <w:sz w:val="18"/>
                <w:szCs w:val="18"/>
                <w:vertAlign w:val="subscript"/>
                <w14:textFill>
                  <w14:solidFill>
                    <w14:schemeClr w14:val="tx1"/>
                  </w14:solidFill>
                </w14:textFill>
              </w:rPr>
              <w:t>k</w:t>
            </w:r>
          </w:p>
        </w:tc>
      </w:tr>
      <w:tr>
        <w:tblPrEx>
          <w:tblCellMar>
            <w:top w:w="0" w:type="dxa"/>
            <w:left w:w="108" w:type="dxa"/>
            <w:bottom w:w="0" w:type="dxa"/>
            <w:right w:w="108" w:type="dxa"/>
          </w:tblCellMar>
        </w:tblPrEx>
        <w:tc>
          <w:tcPr>
            <w:tcW w:w="1077" w:type="dxa"/>
            <w:tcBorders>
              <w:top w:val="single" w:color="auto" w:sz="4" w:space="0"/>
              <w:left w:val="single" w:color="auto" w:sz="4" w:space="0"/>
              <w:bottom w:val="single" w:color="auto" w:sz="4" w:space="0"/>
              <w:right w:val="single" w:color="auto" w:sz="4" w:space="0"/>
            </w:tcBorders>
            <w:vAlign w:val="center"/>
          </w:tcPr>
          <w:p>
            <w:pPr>
              <w:tabs>
                <w:tab w:val="left" w:pos="567"/>
              </w:tabs>
              <w:ind w:firstLine="0" w:firstLineChars="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128"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截面达到塑性弯矩</w:t>
            </w:r>
          </w:p>
        </w:tc>
        <w:tc>
          <w:tcPr>
            <w:tcW w:w="2665"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≤14ε</w:t>
            </w:r>
            <w:r>
              <w:rPr>
                <w:color w:val="000000" w:themeColor="text1"/>
                <w:kern w:val="0"/>
                <w:sz w:val="18"/>
                <w:szCs w:val="18"/>
                <w:vertAlign w:val="subscript"/>
                <w14:textFill>
                  <w14:solidFill>
                    <w14:schemeClr w14:val="tx1"/>
                  </w14:solidFill>
                </w14:textFill>
              </w:rPr>
              <w:t>k</w:t>
            </w:r>
          </w:p>
        </w:tc>
      </w:tr>
      <w:tr>
        <w:tblPrEx>
          <w:tblCellMar>
            <w:top w:w="0" w:type="dxa"/>
            <w:left w:w="108" w:type="dxa"/>
            <w:bottom w:w="0" w:type="dxa"/>
            <w:right w:w="108" w:type="dxa"/>
          </w:tblCellMar>
        </w:tblPrEx>
        <w:tc>
          <w:tcPr>
            <w:tcW w:w="1077" w:type="dxa"/>
            <w:tcBorders>
              <w:top w:val="single" w:color="auto" w:sz="4" w:space="0"/>
              <w:left w:val="single" w:color="auto" w:sz="4" w:space="0"/>
              <w:bottom w:val="single" w:color="auto" w:sz="4" w:space="0"/>
              <w:right w:val="single" w:color="auto" w:sz="4" w:space="0"/>
            </w:tcBorders>
            <w:vAlign w:val="center"/>
          </w:tcPr>
          <w:p>
            <w:pPr>
              <w:tabs>
                <w:tab w:val="left" w:pos="567"/>
              </w:tabs>
              <w:ind w:firstLine="0" w:firstLineChars="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128"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主钢件仅截面边缘达到钢材屈服强度</w:t>
            </w:r>
          </w:p>
        </w:tc>
        <w:tc>
          <w:tcPr>
            <w:tcW w:w="2665" w:type="dxa"/>
            <w:tcBorders>
              <w:top w:val="single" w:color="auto" w:sz="4" w:space="0"/>
              <w:left w:val="single" w:color="auto" w:sz="4" w:space="0"/>
              <w:bottom w:val="single" w:color="auto" w:sz="4" w:space="0"/>
              <w:right w:val="single" w:color="auto" w:sz="4" w:space="0"/>
            </w:tcBorders>
          </w:tcPr>
          <w:p>
            <w:pPr>
              <w:tabs>
                <w:tab w:val="left" w:pos="567"/>
              </w:tabs>
              <w:ind w:firstLine="0" w:firstLineChars="0"/>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≤20ε</w:t>
            </w:r>
            <w:r>
              <w:rPr>
                <w:color w:val="000000" w:themeColor="text1"/>
                <w:kern w:val="0"/>
                <w:sz w:val="18"/>
                <w:szCs w:val="18"/>
                <w:vertAlign w:val="subscript"/>
                <w14:textFill>
                  <w14:solidFill>
                    <w14:schemeClr w14:val="tx1"/>
                  </w14:solidFill>
                </w14:textFill>
              </w:rPr>
              <w:t>k</w:t>
            </w:r>
          </w:p>
        </w:tc>
      </w:tr>
    </w:tbl>
    <w:p>
      <w:pPr>
        <w:tabs>
          <w:tab w:val="left" w:pos="567"/>
        </w:tabs>
        <w:ind w:left="960" w:leftChars="200" w:hanging="540" w:hangingChars="30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注：1</w:t>
      </w:r>
      <w:r>
        <w:rPr>
          <w:rFonts w:cs="Times New Roman"/>
          <w:color w:val="000000" w:themeColor="text1"/>
          <w:sz w:val="18"/>
          <w:szCs w:val="18"/>
          <w14:textFill>
            <w14:solidFill>
              <w14:schemeClr w14:val="tx1"/>
            </w14:solidFill>
          </w14:textFill>
        </w:rPr>
        <w:t xml:space="preserve">  b</w:t>
      </w:r>
      <w:r>
        <w:rPr>
          <w:rFonts w:cs="Times New Roman"/>
          <w:color w:val="000000" w:themeColor="text1"/>
          <w:sz w:val="18"/>
          <w:szCs w:val="18"/>
          <w:vertAlign w:val="subscript"/>
          <w14:textFill>
            <w14:solidFill>
              <w14:schemeClr w14:val="tx1"/>
            </w14:solidFill>
          </w14:textFill>
        </w:rPr>
        <w:t>0</w:t>
      </w:r>
      <w:r>
        <w:rPr>
          <w:rFonts w:hint="eastAsia" w:cs="Times New Roman"/>
          <w:color w:val="000000" w:themeColor="text1"/>
          <w:sz w:val="18"/>
          <w:szCs w:val="18"/>
          <w14:textFill>
            <w14:solidFill>
              <w14:schemeClr w14:val="tx1"/>
            </w14:solidFill>
          </w14:textFill>
        </w:rPr>
        <w:t>为翼缘外伸部分宽度，热轧工字钢和热轧</w:t>
      </w:r>
      <w:r>
        <w:rPr>
          <w:rFonts w:cs="Times New Roman"/>
          <w:color w:val="000000" w:themeColor="text1"/>
          <w:sz w:val="18"/>
          <w:szCs w:val="18"/>
          <w14:textFill>
            <w14:solidFill>
              <w14:schemeClr w14:val="tx1"/>
            </w14:solidFill>
          </w14:textFill>
        </w:rPr>
        <w:t>H</w:t>
      </w:r>
      <w:r>
        <w:rPr>
          <w:rFonts w:hint="eastAsia" w:cs="Times New Roman"/>
          <w:color w:val="000000" w:themeColor="text1"/>
          <w:sz w:val="18"/>
          <w:szCs w:val="18"/>
          <w14:textFill>
            <w14:solidFill>
              <w14:schemeClr w14:val="tx1"/>
            </w14:solidFill>
          </w14:textFill>
        </w:rPr>
        <w:t>型钢为翼缘自由端至根部圆弧起弧处，焊接</w:t>
      </w:r>
      <w:r>
        <w:rPr>
          <w:rFonts w:cs="Times New Roman"/>
          <w:color w:val="000000" w:themeColor="text1"/>
          <w:sz w:val="18"/>
          <w:szCs w:val="18"/>
          <w14:textFill>
            <w14:solidFill>
              <w14:schemeClr w14:val="tx1"/>
            </w14:solidFill>
          </w14:textFill>
        </w:rPr>
        <w:t>H</w:t>
      </w:r>
      <w:r>
        <w:rPr>
          <w:rFonts w:hint="eastAsia" w:cs="Times New Roman"/>
          <w:color w:val="000000" w:themeColor="text1"/>
          <w:sz w:val="18"/>
          <w:szCs w:val="18"/>
          <w14:textFill>
            <w14:solidFill>
              <w14:schemeClr w14:val="tx1"/>
            </w14:solidFill>
          </w14:textFill>
        </w:rPr>
        <w:t>形截面为翼缘自由端至焊脚边缘（图</w:t>
      </w:r>
      <w:r>
        <w:rPr>
          <w:rFonts w:cs="Times New Roman"/>
          <w:color w:val="000000" w:themeColor="text1"/>
          <w:sz w:val="18"/>
          <w:szCs w:val="18"/>
          <w14:textFill>
            <w14:solidFill>
              <w14:schemeClr w14:val="tx1"/>
            </w14:solidFill>
          </w14:textFill>
        </w:rPr>
        <w:t>F.0.3</w:t>
      </w:r>
      <w:r>
        <w:rPr>
          <w:rFonts w:hint="eastAsia" w:cs="Times New Roman"/>
          <w:color w:val="000000" w:themeColor="text1"/>
          <w:sz w:val="18"/>
          <w:szCs w:val="18"/>
          <w14:textFill>
            <w14:solidFill>
              <w14:schemeClr w14:val="tx1"/>
            </w14:solidFill>
          </w14:textFill>
        </w:rPr>
        <w:t>-1）；</w:t>
      </w:r>
      <w:r>
        <w:rPr>
          <w:rFonts w:cs="Times New Roman"/>
          <w:color w:val="000000" w:themeColor="text1"/>
          <w:sz w:val="18"/>
          <w:szCs w:val="18"/>
          <w14:textFill>
            <w14:solidFill>
              <w14:schemeClr w14:val="tx1"/>
            </w14:solidFill>
          </w14:textFill>
        </w:rPr>
        <w:t>t</w:t>
      </w:r>
      <w:r>
        <w:rPr>
          <w:rFonts w:cs="Times New Roman"/>
          <w:color w:val="000000" w:themeColor="text1"/>
          <w:sz w:val="18"/>
          <w:szCs w:val="18"/>
          <w:vertAlign w:val="subscript"/>
          <w14:textFill>
            <w14:solidFill>
              <w14:schemeClr w14:val="tx1"/>
            </w14:solidFill>
          </w14:textFill>
        </w:rPr>
        <w:t>f</w:t>
      </w:r>
      <w:r>
        <w:rPr>
          <w:rFonts w:hint="eastAsia" w:cs="Times New Roman"/>
          <w:color w:val="000000" w:themeColor="text1"/>
          <w:sz w:val="18"/>
          <w:szCs w:val="18"/>
          <w14:textFill>
            <w14:solidFill>
              <w14:schemeClr w14:val="tx1"/>
            </w14:solidFill>
          </w14:textFill>
        </w:rPr>
        <w:t>为翼缘厚度；</w:t>
      </w:r>
      <w:r>
        <w:rPr>
          <w:rFonts w:cs="Times New Roman"/>
          <w:color w:val="000000" w:themeColor="text1"/>
          <w:sz w:val="18"/>
          <w:szCs w:val="18"/>
          <w14:textFill>
            <w14:solidFill>
              <w14:schemeClr w14:val="tx1"/>
            </w14:solidFill>
          </w14:textFill>
        </w:rPr>
        <w:t>ε</w:t>
      </w:r>
      <w:r>
        <w:rPr>
          <w:rFonts w:cs="Times New Roman"/>
          <w:color w:val="000000" w:themeColor="text1"/>
          <w:kern w:val="0"/>
          <w:sz w:val="18"/>
          <w:szCs w:val="18"/>
          <w:vertAlign w:val="subscript"/>
          <w14:textFill>
            <w14:solidFill>
              <w14:schemeClr w14:val="tx1"/>
            </w14:solidFill>
          </w14:textFill>
        </w:rPr>
        <w:t>k</w:t>
      </w:r>
      <w:r>
        <w:rPr>
          <w:rFonts w:hint="eastAsia" w:cs="Times New Roman"/>
          <w:color w:val="000000" w:themeColor="text1"/>
          <w:sz w:val="18"/>
          <w:szCs w:val="18"/>
          <w14:textFill>
            <w14:solidFill>
              <w14:schemeClr w14:val="tx1"/>
            </w14:solidFill>
          </w14:textFill>
        </w:rPr>
        <w:t>为钢号修正系数，</w:t>
      </w:r>
      <m:oMath>
        <m:sSub>
          <m:sSubPr>
            <m:ctrlPr>
              <w:rPr>
                <w:rFonts w:ascii="Cambria Math" w:hAnsi="Cambria Math" w:cs="Times New Roman"/>
                <w:color w:val="000000" w:themeColor="text1"/>
                <w:sz w:val="18"/>
                <w:szCs w:val="18"/>
                <w14:textFill>
                  <w14:solidFill>
                    <w14:schemeClr w14:val="tx1"/>
                  </w14:solidFill>
                </w14:textFill>
              </w:rPr>
            </m:ctrlPr>
          </m:sSubPr>
          <m:e>
            <m:r>
              <w:rPr>
                <w:rFonts w:ascii="Cambria Math" w:hAnsi="Cambria Math" w:cs="Times New Roman"/>
                <w:color w:val="000000" w:themeColor="text1"/>
                <w:sz w:val="18"/>
                <w:szCs w:val="18"/>
                <w14:textFill>
                  <w14:solidFill>
                    <w14:schemeClr w14:val="tx1"/>
                  </w14:solidFill>
                </w14:textFill>
              </w:rPr>
              <m:t>ε</m:t>
            </m:r>
            <m:ctrlPr>
              <w:rPr>
                <w:rFonts w:ascii="Cambria Math" w:hAnsi="Cambria Math" w:cs="Times New Roman"/>
                <w:color w:val="000000" w:themeColor="text1"/>
                <w:sz w:val="18"/>
                <w:szCs w:val="18"/>
                <w14:textFill>
                  <w14:solidFill>
                    <w14:schemeClr w14:val="tx1"/>
                  </w14:solidFill>
                </w14:textFill>
              </w:rPr>
            </m:ctrlPr>
          </m:e>
          <m:sub>
            <m:r>
              <w:rPr>
                <w:rFonts w:ascii="Cambria Math" w:hAnsi="Cambria Math" w:cs="Times New Roman"/>
                <w:color w:val="000000" w:themeColor="text1"/>
                <w:sz w:val="18"/>
                <w:szCs w:val="18"/>
                <w14:textFill>
                  <w14:solidFill>
                    <w14:schemeClr w14:val="tx1"/>
                  </w14:solidFill>
                </w14:textFill>
              </w:rPr>
              <m:t>k</m:t>
            </m:r>
            <m:ctrlPr>
              <w:rPr>
                <w:rFonts w:ascii="Cambria Math" w:hAnsi="Cambria Math" w:cs="Times New Roman"/>
                <w:color w:val="000000" w:themeColor="text1"/>
                <w:sz w:val="18"/>
                <w:szCs w:val="18"/>
                <w14:textFill>
                  <w14:solidFill>
                    <w14:schemeClr w14:val="tx1"/>
                  </w14:solidFill>
                </w14:textFill>
              </w:rPr>
            </m:ctrlPr>
          </m:sub>
        </m:sSub>
        <m:r>
          <m:rPr>
            <m:sty m:val="p"/>
          </m:rPr>
          <w:rPr>
            <w:rFonts w:ascii="Cambria Math" w:hAnsi="Cambria Math" w:cs="Times New Roman"/>
            <w:color w:val="000000" w:themeColor="text1"/>
            <w:sz w:val="18"/>
            <w:szCs w:val="18"/>
            <w14:textFill>
              <w14:solidFill>
                <w14:schemeClr w14:val="tx1"/>
              </w14:solidFill>
            </w14:textFill>
          </w:rPr>
          <m:t>=</m:t>
        </m:r>
        <m:rad>
          <m:radPr>
            <m:degHide m:val="1"/>
            <m:ctrlPr>
              <w:rPr>
                <w:rFonts w:ascii="Cambria Math" w:hAnsi="Cambria Math" w:cs="Times New Roman"/>
                <w:color w:val="000000" w:themeColor="text1"/>
                <w:sz w:val="18"/>
                <w:szCs w:val="18"/>
                <w14:textFill>
                  <w14:solidFill>
                    <w14:schemeClr w14:val="tx1"/>
                  </w14:solidFill>
                </w14:textFill>
              </w:rPr>
            </m:ctrlPr>
          </m:radPr>
          <m:deg>
            <m:ctrlPr>
              <w:rPr>
                <w:rFonts w:ascii="Cambria Math" w:hAnsi="Cambria Math" w:cs="Times New Roman"/>
                <w:color w:val="000000" w:themeColor="text1"/>
                <w:sz w:val="18"/>
                <w:szCs w:val="18"/>
                <w14:textFill>
                  <w14:solidFill>
                    <w14:schemeClr w14:val="tx1"/>
                  </w14:solidFill>
                </w14:textFill>
              </w:rPr>
            </m:ctrlPr>
          </m:deg>
          <m:e>
            <m:r>
              <m:rPr>
                <m:sty m:val="p"/>
              </m:rPr>
              <w:rPr>
                <w:rFonts w:ascii="Cambria Math" w:hAnsi="Cambria Math" w:cs="Times New Roman"/>
                <w:color w:val="000000" w:themeColor="text1"/>
                <w:sz w:val="18"/>
                <w:szCs w:val="18"/>
                <w14:textFill>
                  <w14:solidFill>
                    <w14:schemeClr w14:val="tx1"/>
                  </w14:solidFill>
                </w14:textFill>
              </w:rPr>
              <m:t>235/</m:t>
            </m:r>
            <m:sSub>
              <m:sSubPr>
                <m:ctrlPr>
                  <w:rPr>
                    <w:rFonts w:ascii="Cambria Math" w:hAnsi="Cambria Math" w:cs="Times New Roman"/>
                    <w:color w:val="000000" w:themeColor="text1"/>
                    <w:sz w:val="18"/>
                    <w:szCs w:val="18"/>
                    <w14:textFill>
                      <w14:solidFill>
                        <w14:schemeClr w14:val="tx1"/>
                      </w14:solidFill>
                    </w14:textFill>
                  </w:rPr>
                </m:ctrlPr>
              </m:sSubPr>
              <m:e>
                <m:r>
                  <w:rPr>
                    <w:rFonts w:ascii="Cambria Math" w:hAnsi="Cambria Math" w:cs="Times New Roman"/>
                    <w:color w:val="000000" w:themeColor="text1"/>
                    <w:sz w:val="18"/>
                    <w:szCs w:val="18"/>
                    <w14:textFill>
                      <w14:solidFill>
                        <w14:schemeClr w14:val="tx1"/>
                      </w14:solidFill>
                    </w14:textFill>
                  </w:rPr>
                  <m:t>f</m:t>
                </m:r>
                <m:ctrlPr>
                  <w:rPr>
                    <w:rFonts w:ascii="Cambria Math" w:hAnsi="Cambria Math" w:cs="Times New Roman"/>
                    <w:color w:val="000000" w:themeColor="text1"/>
                    <w:sz w:val="18"/>
                    <w:szCs w:val="18"/>
                    <w14:textFill>
                      <w14:solidFill>
                        <w14:schemeClr w14:val="tx1"/>
                      </w14:solidFill>
                    </w14:textFill>
                  </w:rPr>
                </m:ctrlPr>
              </m:e>
              <m:sub>
                <m:r>
                  <w:rPr>
                    <w:rFonts w:ascii="Cambria Math" w:hAnsi="Cambria Math" w:cs="Times New Roman"/>
                    <w:color w:val="000000" w:themeColor="text1"/>
                    <w:sz w:val="18"/>
                    <w:szCs w:val="18"/>
                    <w14:textFill>
                      <w14:solidFill>
                        <w14:schemeClr w14:val="tx1"/>
                      </w14:solidFill>
                    </w14:textFill>
                  </w:rPr>
                  <m:t>ay</m:t>
                </m:r>
                <m:ctrlPr>
                  <w:rPr>
                    <w:rFonts w:ascii="Cambria Math" w:hAnsi="Cambria Math" w:cs="Times New Roman"/>
                    <w:color w:val="000000" w:themeColor="text1"/>
                    <w:sz w:val="18"/>
                    <w:szCs w:val="18"/>
                    <w14:textFill>
                      <w14:solidFill>
                        <w14:schemeClr w14:val="tx1"/>
                      </w14:solidFill>
                    </w14:textFill>
                  </w:rPr>
                </m:ctrlPr>
              </m:sub>
            </m:sSub>
            <m:ctrlPr>
              <w:rPr>
                <w:rFonts w:ascii="Cambria Math" w:hAnsi="Cambria Math" w:cs="Times New Roman"/>
                <w:color w:val="000000" w:themeColor="text1"/>
                <w:sz w:val="18"/>
                <w:szCs w:val="18"/>
                <w14:textFill>
                  <w14:solidFill>
                    <w14:schemeClr w14:val="tx1"/>
                  </w14:solidFill>
                </w14:textFill>
              </w:rPr>
            </m:ctrlPr>
          </m:e>
        </m:rad>
      </m:oMath>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f</w:t>
      </w:r>
      <w:r>
        <w:rPr>
          <w:rFonts w:cs="Times New Roman"/>
          <w:color w:val="000000" w:themeColor="text1"/>
          <w:sz w:val="18"/>
          <w:szCs w:val="18"/>
          <w:vertAlign w:val="subscript"/>
          <w14:textFill>
            <w14:solidFill>
              <w14:schemeClr w14:val="tx1"/>
            </w14:solidFill>
          </w14:textFill>
        </w:rPr>
        <w:t>ay</w:t>
      </w:r>
      <w:r>
        <w:rPr>
          <w:rFonts w:hint="eastAsia" w:cs="Times New Roman"/>
          <w:color w:val="000000" w:themeColor="text1"/>
          <w:sz w:val="18"/>
          <w:szCs w:val="18"/>
          <w14:textFill>
            <w14:solidFill>
              <w14:schemeClr w14:val="tx1"/>
            </w14:solidFill>
          </w14:textFill>
        </w:rPr>
        <w:t>为翼缘钢材的屈服强度。</w:t>
      </w:r>
    </w:p>
    <w:p>
      <w:pPr>
        <w:tabs>
          <w:tab w:val="left" w:pos="0"/>
        </w:tabs>
        <w:spacing w:line="360" w:lineRule="auto"/>
        <w:ind w:firstLine="420"/>
        <w:jc w:val="left"/>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当框架结构的抗震等级为一级、二级时，应采用截面分类</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的宽厚比限值，三级时，可采用不大于截面分类</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的宽厚比限值，四级时，可采用不大于截面分类</w:t>
      </w: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的宽厚比限值。</w:t>
      </w:r>
    </w:p>
    <w:p>
      <w:pPr>
        <w:tabs>
          <w:tab w:val="left" w:pos="0"/>
        </w:tabs>
        <w:spacing w:line="360" w:lineRule="auto"/>
        <w:ind w:firstLine="42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轴心受压柱中主钢件翼缘外伸部分的宽厚比不应大于表</w:t>
      </w:r>
      <w:r>
        <w:rPr>
          <w:rFonts w:cs="Times New Roman"/>
          <w:color w:val="000000" w:themeColor="text1"/>
          <w:szCs w:val="21"/>
          <w14:textFill>
            <w14:solidFill>
              <w14:schemeClr w14:val="tx1"/>
            </w14:solidFill>
          </w14:textFill>
        </w:rPr>
        <w:t>F.0.3</w:t>
      </w:r>
      <w:r>
        <w:rPr>
          <w:rFonts w:hint="eastAsia" w:cs="Times New Roman"/>
          <w:color w:val="000000" w:themeColor="text1"/>
          <w:szCs w:val="21"/>
          <w14:textFill>
            <w14:solidFill>
              <w14:schemeClr w14:val="tx1"/>
            </w14:solidFill>
          </w14:textFill>
        </w:rPr>
        <w:t>-1中截面分类</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的规定，当柱子整体稳定承载力小于截面强度承载力的</w:t>
      </w:r>
      <w:r>
        <w:rPr>
          <w:rFonts w:cs="Times New Roman"/>
          <w:color w:val="000000" w:themeColor="text1"/>
          <w:szCs w:val="21"/>
          <w14:textFill>
            <w14:solidFill>
              <w14:schemeClr w14:val="tx1"/>
            </w14:solidFill>
          </w14:textFill>
        </w:rPr>
        <w:t>75%</w:t>
      </w:r>
      <w:r>
        <w:rPr>
          <w:rFonts w:hint="eastAsia" w:cs="Times New Roman"/>
          <w:color w:val="000000" w:themeColor="text1"/>
          <w:szCs w:val="21"/>
          <w14:textFill>
            <w14:solidFill>
              <w14:schemeClr w14:val="tx1"/>
            </w14:solidFill>
          </w14:textFill>
        </w:rPr>
        <w:t>时，不应大于表</w:t>
      </w:r>
      <w:r>
        <w:rPr>
          <w:rFonts w:cs="Times New Roman"/>
          <w:color w:val="000000" w:themeColor="text1"/>
          <w:szCs w:val="21"/>
          <w14:textFill>
            <w14:solidFill>
              <w14:schemeClr w14:val="tx1"/>
            </w14:solidFill>
          </w14:textFill>
        </w:rPr>
        <w:t>F.0.3</w:t>
      </w:r>
      <w:r>
        <w:rPr>
          <w:rFonts w:hint="eastAsia" w:cs="Times New Roman"/>
          <w:color w:val="000000" w:themeColor="text1"/>
          <w:szCs w:val="21"/>
          <w14:textFill>
            <w14:solidFill>
              <w14:schemeClr w14:val="tx1"/>
            </w14:solidFill>
          </w14:textFill>
        </w:rPr>
        <w:t>-1中截面分类</w:t>
      </w: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的规定。</w:t>
      </w:r>
    </w:p>
    <w:p>
      <w:pPr>
        <w:tabs>
          <w:tab w:val="left" w:pos="0"/>
        </w:tabs>
        <w:spacing w:line="360" w:lineRule="auto"/>
        <w:ind w:firstLine="424" w:firstLineChars="202"/>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支撑中主钢件翼缘外伸部分的宽厚比不宜大于表</w:t>
      </w:r>
      <w:r>
        <w:rPr>
          <w:rFonts w:cs="Times New Roman"/>
          <w:color w:val="000000" w:themeColor="text1"/>
          <w:szCs w:val="21"/>
          <w14:textFill>
            <w14:solidFill>
              <w14:schemeClr w14:val="tx1"/>
            </w14:solidFill>
          </w14:textFill>
        </w:rPr>
        <w:t>F.0.3</w:t>
      </w:r>
      <w:r>
        <w:rPr>
          <w:rFonts w:hint="eastAsia" w:cs="Times New Roman"/>
          <w:color w:val="000000" w:themeColor="text1"/>
          <w:szCs w:val="21"/>
          <w14:textFill>
            <w14:solidFill>
              <w14:schemeClr w14:val="tx1"/>
            </w14:solidFill>
          </w14:textFill>
        </w:rPr>
        <w:t>-1中截面分类</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的规定。</w:t>
      </w:r>
    </w:p>
    <w:p>
      <w:pPr>
        <w:tabs>
          <w:tab w:val="left" w:pos="0"/>
        </w:tabs>
        <w:spacing w:line="360" w:lineRule="auto"/>
        <w:ind w:firstLine="424" w:firstLineChars="202"/>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4 </w:t>
      </w:r>
      <w:r>
        <w:rPr>
          <w:rFonts w:hint="eastAsia" w:cs="Times New Roman"/>
          <w:color w:val="000000" w:themeColor="text1"/>
          <w:szCs w:val="21"/>
          <w14:textFill>
            <w14:solidFill>
              <w14:schemeClr w14:val="tx1"/>
            </w14:solidFill>
          </w14:textFill>
        </w:rPr>
        <w:t>主钢件腹板的高厚比不应大于</w:t>
      </w:r>
      <w:r>
        <w:rPr>
          <w:rFonts w:cs="Times New Roman"/>
          <w:color w:val="000000" w:themeColor="text1"/>
          <w14:textFill>
            <w14:solidFill>
              <w14:schemeClr w14:val="tx1"/>
            </w14:solidFill>
          </w14:textFill>
        </w:rPr>
        <w:t>124ε</w:t>
      </w:r>
      <w:r>
        <w:rPr>
          <w:rFonts w:cs="Times New Roman"/>
          <w:color w:val="000000" w:themeColor="text1"/>
          <w:kern w:val="0"/>
          <w:szCs w:val="21"/>
          <w:vertAlign w:val="subscript"/>
          <w14:textFill>
            <w14:solidFill>
              <w14:schemeClr w14:val="tx1"/>
            </w14:solidFill>
          </w14:textFill>
        </w:rPr>
        <w:t>a</w:t>
      </w:r>
      <w:r>
        <w:rPr>
          <w:rFonts w:hint="eastAsia" w:cs="Times New Roman"/>
          <w:color w:val="000000" w:themeColor="text1"/>
          <w:szCs w:val="21"/>
          <w14:textFill>
            <w14:solidFill>
              <w14:schemeClr w14:val="tx1"/>
            </w14:solidFill>
          </w14:textFill>
        </w:rPr>
        <w:t>。</w:t>
      </w:r>
    </w:p>
    <w:p>
      <w:pPr>
        <w:tabs>
          <w:tab w:val="left" w:pos="0"/>
        </w:tabs>
        <w:spacing w:line="360" w:lineRule="auto"/>
        <w:ind w:firstLine="424" w:firstLineChars="202"/>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5 </w:t>
      </w:r>
      <w:r>
        <w:rPr>
          <w:rFonts w:hint="eastAsia" w:cs="Times New Roman"/>
          <w:color w:val="000000" w:themeColor="text1"/>
          <w:szCs w:val="21"/>
          <w14:textFill>
            <w14:solidFill>
              <w14:schemeClr w14:val="tx1"/>
            </w14:solidFill>
          </w14:textFill>
        </w:rPr>
        <w:t>当主钢件受压翼缘通过连杆与另侧翼缘牢固连接，且连杆间距</w:t>
      </w:r>
      <w:r>
        <w:rPr>
          <w:rFonts w:cs="Times New Roman"/>
          <w:color w:val="000000" w:themeColor="text1"/>
          <w:szCs w:val="21"/>
          <w14:textFill>
            <w14:solidFill>
              <w14:schemeClr w14:val="tx1"/>
            </w14:solidFill>
          </w14:textFill>
        </w:rPr>
        <w:t>s</w:t>
      </w:r>
      <w:r>
        <w:rPr>
          <w:rFonts w:cs="Times New Roman"/>
          <w:color w:val="000000" w:themeColor="text1"/>
          <w:szCs w:val="21"/>
          <w:vertAlign w:val="subscript"/>
          <w14:textFill>
            <w14:solidFill>
              <w14:schemeClr w14:val="tx1"/>
            </w14:solidFill>
          </w14:textFill>
        </w:rPr>
        <w:t>a</w:t>
      </w:r>
      <w:r>
        <w:rPr>
          <w:rFonts w:hint="eastAsia" w:cs="Times New Roman"/>
          <w:color w:val="000000" w:themeColor="text1"/>
          <w:szCs w:val="21"/>
          <w14:textFill>
            <w14:solidFill>
              <w14:schemeClr w14:val="tx1"/>
            </w14:solidFill>
          </w14:textFill>
        </w:rPr>
        <w:t>（对钢筋连杆取中心距，对扁钢连杆取净距）与翼缘宽度</w:t>
      </w:r>
      <w:r>
        <w:rPr>
          <w:rFonts w:cs="Times New Roman"/>
          <w:color w:val="000000" w:themeColor="text1"/>
          <w:szCs w:val="21"/>
          <w14:textFill>
            <w14:solidFill>
              <w14:schemeClr w14:val="tx1"/>
            </w14:solidFill>
          </w14:textFill>
        </w:rPr>
        <w:t>b</w:t>
      </w:r>
      <w:r>
        <w:rPr>
          <w:rFonts w:cs="Times New Roman"/>
          <w:color w:val="000000" w:themeColor="text1"/>
          <w:szCs w:val="21"/>
          <w:vertAlign w:val="subscript"/>
          <w14:textFill>
            <w14:solidFill>
              <w14:schemeClr w14:val="tx1"/>
            </w14:solidFill>
          </w14:textFill>
        </w:rPr>
        <w:t>f</w:t>
      </w:r>
      <w:r>
        <w:rPr>
          <w:rFonts w:hint="eastAsia" w:cs="Times New Roman"/>
          <w:color w:val="000000" w:themeColor="text1"/>
          <w:szCs w:val="21"/>
          <w14:textFill>
            <w14:solidFill>
              <w14:schemeClr w14:val="tx1"/>
            </w14:solidFill>
          </w14:textFill>
        </w:rPr>
        <w:t>的比值满足</w:t>
      </w:r>
      <w:r>
        <w:rPr>
          <w:rFonts w:cs="Times New Roman"/>
          <w:color w:val="000000" w:themeColor="text1"/>
          <w:szCs w:val="21"/>
          <w14:textFill>
            <w14:solidFill>
              <w14:schemeClr w14:val="tx1"/>
            </w14:solidFill>
          </w14:textFill>
        </w:rPr>
        <w:t>s</w:t>
      </w:r>
      <w:r>
        <w:rPr>
          <w:rFonts w:cs="Times New Roman"/>
          <w:color w:val="000000" w:themeColor="text1"/>
          <w:szCs w:val="21"/>
          <w:vertAlign w:val="subscript"/>
          <w14:textFill>
            <w14:solidFill>
              <w14:schemeClr w14:val="tx1"/>
            </w14:solidFill>
          </w14:textFill>
        </w:rPr>
        <w:t>a</w:t>
      </w:r>
      <w:r>
        <w:rPr>
          <w:rFonts w:cs="Times New Roman"/>
          <w:color w:val="000000" w:themeColor="text1"/>
          <w:szCs w:val="21"/>
          <w14:textFill>
            <w14:solidFill>
              <w14:schemeClr w14:val="tx1"/>
            </w14:solidFill>
          </w14:textFill>
        </w:rPr>
        <w:t>/b</w:t>
      </w:r>
      <w:r>
        <w:rPr>
          <w:rFonts w:cs="Times New Roman"/>
          <w:color w:val="000000" w:themeColor="text1"/>
          <w:szCs w:val="21"/>
          <w:vertAlign w:val="subscript"/>
          <w14:textFill>
            <w14:solidFill>
              <w14:schemeClr w14:val="tx1"/>
            </w14:solidFill>
          </w14:textFill>
        </w:rPr>
        <w:t>f</w:t>
      </w:r>
      <w:r>
        <w:rPr>
          <w:rFonts w:cs="Times New Roman"/>
          <w:color w:val="000000" w:themeColor="text1"/>
          <w:szCs w:val="21"/>
          <w14:textFill>
            <w14:solidFill>
              <w14:schemeClr w14:val="tx1"/>
            </w14:solidFill>
          </w14:textFill>
        </w:rPr>
        <w:t>≤0.25</w:t>
      </w:r>
      <w:r>
        <w:rPr>
          <w:rFonts w:hint="eastAsia" w:cs="Times New Roman"/>
          <w:color w:val="000000" w:themeColor="text1"/>
          <w:szCs w:val="21"/>
          <w14:textFill>
            <w14:solidFill>
              <w14:schemeClr w14:val="tx1"/>
            </w14:solidFill>
          </w14:textFill>
        </w:rPr>
        <w:t>，则表</w:t>
      </w:r>
      <w:r>
        <w:rPr>
          <w:rFonts w:cs="Times New Roman"/>
          <w:color w:val="000000" w:themeColor="text1"/>
          <w:szCs w:val="21"/>
          <w14:textFill>
            <w14:solidFill>
              <w14:schemeClr w14:val="tx1"/>
            </w14:solidFill>
          </w14:textFill>
        </w:rPr>
        <w:t>4.1.2</w:t>
      </w:r>
      <w:r>
        <w:rPr>
          <w:rFonts w:hint="eastAsia" w:cs="Times New Roman"/>
          <w:color w:val="000000" w:themeColor="text1"/>
          <w:szCs w:val="21"/>
          <w14:textFill>
            <w14:solidFill>
              <w14:schemeClr w14:val="tx1"/>
            </w14:solidFill>
          </w14:textFill>
        </w:rPr>
        <w:t>的宽厚比最大值可放大</w:t>
      </w:r>
      <w:r>
        <w:rPr>
          <w:rFonts w:cs="Times New Roman"/>
          <w:color w:val="000000" w:themeColor="text1"/>
          <w:szCs w:val="21"/>
          <w14:textFill>
            <w14:solidFill>
              <w14:schemeClr w14:val="tx1"/>
            </w14:solidFill>
          </w14:textFill>
        </w:rPr>
        <w:t>1.5</w:t>
      </w:r>
      <w:r>
        <w:rPr>
          <w:rFonts w:hint="eastAsia" w:cs="Times New Roman"/>
          <w:color w:val="000000" w:themeColor="text1"/>
          <w:szCs w:val="21"/>
          <w14:textFill>
            <w14:solidFill>
              <w14:schemeClr w14:val="tx1"/>
            </w14:solidFill>
          </w14:textFill>
        </w:rPr>
        <w:t>倍；当</w:t>
      </w:r>
      <w:r>
        <w:rPr>
          <w:rFonts w:cs="Times New Roman"/>
          <w:color w:val="000000" w:themeColor="text1"/>
          <w:szCs w:val="21"/>
          <w14:textFill>
            <w14:solidFill>
              <w14:schemeClr w14:val="tx1"/>
            </w14:solidFill>
          </w14:textFill>
        </w:rPr>
        <w:t>0.25&lt;s</w:t>
      </w:r>
      <w:r>
        <w:rPr>
          <w:rFonts w:cs="Times New Roman"/>
          <w:color w:val="000000" w:themeColor="text1"/>
          <w:szCs w:val="21"/>
          <w:vertAlign w:val="subscript"/>
          <w14:textFill>
            <w14:solidFill>
              <w14:schemeClr w14:val="tx1"/>
            </w14:solidFill>
          </w14:textFill>
        </w:rPr>
        <w:t>a</w:t>
      </w:r>
      <w:r>
        <w:rPr>
          <w:rFonts w:cs="Times New Roman"/>
          <w:color w:val="000000" w:themeColor="text1"/>
          <w:szCs w:val="21"/>
          <w14:textFill>
            <w14:solidFill>
              <w14:schemeClr w14:val="tx1"/>
            </w14:solidFill>
          </w14:textFill>
        </w:rPr>
        <w:t>/b</w:t>
      </w:r>
      <w:r>
        <w:rPr>
          <w:rFonts w:cs="Times New Roman"/>
          <w:color w:val="000000" w:themeColor="text1"/>
          <w:szCs w:val="21"/>
          <w:vertAlign w:val="subscript"/>
          <w14:textFill>
            <w14:solidFill>
              <w14:schemeClr w14:val="tx1"/>
            </w14:solidFill>
          </w14:textFill>
        </w:rPr>
        <w:t>f</w:t>
      </w:r>
      <w:r>
        <w:rPr>
          <w:rFonts w:cs="Times New Roman"/>
          <w:color w:val="000000" w:themeColor="text1"/>
          <w:szCs w:val="21"/>
          <w14:textFill>
            <w14:solidFill>
              <w14:schemeClr w14:val="tx1"/>
            </w14:solidFill>
          </w14:textFill>
        </w:rPr>
        <w:t>≤0.5</w:t>
      </w:r>
      <w:r>
        <w:rPr>
          <w:rFonts w:hint="eastAsia" w:cs="Times New Roman"/>
          <w:color w:val="000000" w:themeColor="text1"/>
          <w:szCs w:val="21"/>
          <w14:textFill>
            <w14:solidFill>
              <w14:schemeClr w14:val="tx1"/>
            </w14:solidFill>
          </w14:textFill>
        </w:rPr>
        <w:t>，则表</w:t>
      </w:r>
      <w:r>
        <w:rPr>
          <w:rFonts w:cs="Times New Roman"/>
          <w:color w:val="000000" w:themeColor="text1"/>
          <w:szCs w:val="21"/>
          <w14:textFill>
            <w14:solidFill>
              <w14:schemeClr w14:val="tx1"/>
            </w14:solidFill>
          </w14:textFill>
        </w:rPr>
        <w:t>F.0.3</w:t>
      </w:r>
      <w:r>
        <w:rPr>
          <w:rFonts w:hint="eastAsia" w:cs="Times New Roman"/>
          <w:color w:val="000000" w:themeColor="text1"/>
          <w:szCs w:val="21"/>
          <w14:textFill>
            <w14:solidFill>
              <w14:schemeClr w14:val="tx1"/>
            </w14:solidFill>
          </w14:textFill>
        </w:rPr>
        <w:t>的宽厚比最大值可在</w:t>
      </w:r>
      <w:r>
        <w:rPr>
          <w:rFonts w:cs="Times New Roman"/>
          <w:color w:val="000000" w:themeColor="text1"/>
          <w:szCs w:val="21"/>
          <w14:textFill>
            <w14:solidFill>
              <w14:schemeClr w14:val="tx1"/>
            </w14:solidFill>
          </w14:textFill>
        </w:rPr>
        <w:t>1.5~1.0</w:t>
      </w:r>
      <w:r>
        <w:rPr>
          <w:rFonts w:hint="eastAsia" w:cs="Times New Roman"/>
          <w:color w:val="000000" w:themeColor="text1"/>
          <w:szCs w:val="21"/>
          <w14:textFill>
            <w14:solidFill>
              <w14:schemeClr w14:val="tx1"/>
            </w14:solidFill>
          </w14:textFill>
        </w:rPr>
        <w:t>倍间插值。</w:t>
      </w:r>
    </w:p>
    <w:p>
      <w:pPr>
        <w:tabs>
          <w:tab w:val="left" w:pos="0"/>
        </w:tabs>
        <w:spacing w:line="360" w:lineRule="auto"/>
        <w:ind w:firstLine="424" w:firstLineChars="202"/>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6 </w:t>
      </w:r>
      <w:r>
        <w:rPr>
          <w:rFonts w:hint="eastAsia" w:cs="Times New Roman"/>
          <w:color w:val="000000" w:themeColor="text1"/>
          <w:szCs w:val="21"/>
          <w14:textFill>
            <w14:solidFill>
              <w14:schemeClr w14:val="tx1"/>
            </w14:solidFill>
          </w14:textFill>
        </w:rPr>
        <w:t>梁和框架柱构件沿全长弯矩分布不均匀时，满足本条第</w:t>
      </w: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款要求的</w:t>
      </w:r>
      <w:r>
        <w:rPr>
          <w:rFonts w:cs="Times New Roman"/>
          <w:color w:val="000000" w:themeColor="text1"/>
          <w:szCs w:val="21"/>
          <w14:textFill>
            <w14:solidFill>
              <w14:schemeClr w14:val="tx1"/>
            </w14:solidFill>
          </w14:textFill>
        </w:rPr>
        <w:t>s</w:t>
      </w:r>
      <w:r>
        <w:rPr>
          <w:rFonts w:cs="Times New Roman"/>
          <w:color w:val="000000" w:themeColor="text1"/>
          <w:szCs w:val="21"/>
          <w:vertAlign w:val="subscript"/>
          <w14:textFill>
            <w14:solidFill>
              <w14:schemeClr w14:val="tx1"/>
            </w14:solidFill>
          </w14:textFill>
        </w:rPr>
        <w:t>a</w:t>
      </w:r>
      <w:r>
        <w:rPr>
          <w:rFonts w:cs="Times New Roman"/>
          <w:color w:val="000000" w:themeColor="text1"/>
          <w:szCs w:val="21"/>
          <w14:textFill>
            <w14:solidFill>
              <w14:schemeClr w14:val="tx1"/>
            </w14:solidFill>
          </w14:textFill>
        </w:rPr>
        <w:t>/b</w:t>
      </w:r>
      <w:r>
        <w:rPr>
          <w:rFonts w:cs="Times New Roman"/>
          <w:color w:val="000000" w:themeColor="text1"/>
          <w:szCs w:val="21"/>
          <w:vertAlign w:val="subscript"/>
          <w14:textFill>
            <w14:solidFill>
              <w14:schemeClr w14:val="tx1"/>
            </w14:solidFill>
          </w14:textFill>
        </w:rPr>
        <w:t>f</w:t>
      </w:r>
      <w:r>
        <w:rPr>
          <w:rFonts w:hint="eastAsia" w:cs="Times New Roman"/>
          <w:color w:val="000000" w:themeColor="text1"/>
          <w:szCs w:val="21"/>
          <w14:textFill>
            <w14:solidFill>
              <w14:schemeClr w14:val="tx1"/>
            </w14:solidFill>
          </w14:textFill>
        </w:rPr>
        <w:t>的范围应覆盖弯矩最大值相邻区域，且不应小于构件净长的</w:t>
      </w:r>
      <w:r>
        <w:rPr>
          <w:rFonts w:cs="Times New Roman"/>
          <w:color w:val="000000" w:themeColor="text1"/>
          <w:szCs w:val="21"/>
          <w14:textFill>
            <w14:solidFill>
              <w14:schemeClr w14:val="tx1"/>
            </w14:solidFill>
          </w14:textFill>
        </w:rPr>
        <w:t>1/8</w:t>
      </w:r>
      <w:r>
        <w:rPr>
          <w:rFonts w:hint="eastAsia" w:cs="Times New Roman"/>
          <w:color w:val="000000" w:themeColor="text1"/>
          <w:szCs w:val="21"/>
          <w14:textFill>
            <w14:solidFill>
              <w14:schemeClr w14:val="tx1"/>
            </w14:solidFill>
          </w14:textFill>
        </w:rPr>
        <w:t>。</w:t>
      </w:r>
    </w:p>
    <w:p>
      <w:pPr>
        <w:tabs>
          <w:tab w:val="left" w:pos="0"/>
        </w:tabs>
        <w:spacing w:line="360" w:lineRule="auto"/>
        <w:ind w:firstLine="424" w:firstLineChars="202"/>
        <w:rPr>
          <w:rFonts w:cs="Times New Roman"/>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8480" behindDoc="0" locked="0" layoutInCell="1" allowOverlap="1">
            <wp:simplePos x="0" y="0"/>
            <wp:positionH relativeFrom="column">
              <wp:posOffset>3079750</wp:posOffset>
            </wp:positionH>
            <wp:positionV relativeFrom="paragraph">
              <wp:posOffset>431800</wp:posOffset>
            </wp:positionV>
            <wp:extent cx="1148715" cy="1224280"/>
            <wp:effectExtent l="0" t="0" r="0" b="0"/>
            <wp:wrapNone/>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a:xfrm>
                      <a:off x="0" y="0"/>
                      <a:ext cx="1148715" cy="1224280"/>
                    </a:xfrm>
                    <a:prstGeom prst="rect">
                      <a:avLst/>
                    </a:prstGeom>
                    <a:noFill/>
                  </pic:spPr>
                </pic:pic>
              </a:graphicData>
            </a:graphic>
          </wp:anchor>
        </w:drawing>
      </w:r>
      <w:r>
        <w:rPr>
          <w:color w:val="000000" w:themeColor="text1"/>
          <w14:textFill>
            <w14:solidFill>
              <w14:schemeClr w14:val="tx1"/>
            </w14:solidFill>
          </w14:textFill>
        </w:rPr>
        <w:drawing>
          <wp:anchor distT="0" distB="0" distL="114300" distR="114300" simplePos="0" relativeHeight="251667456" behindDoc="0" locked="0" layoutInCell="1" allowOverlap="1">
            <wp:simplePos x="0" y="0"/>
            <wp:positionH relativeFrom="column">
              <wp:posOffset>1289050</wp:posOffset>
            </wp:positionH>
            <wp:positionV relativeFrom="paragraph">
              <wp:posOffset>438150</wp:posOffset>
            </wp:positionV>
            <wp:extent cx="1152525" cy="1224280"/>
            <wp:effectExtent l="0" t="0" r="9525" b="0"/>
            <wp:wrapNone/>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a:xfrm>
                      <a:off x="0" y="0"/>
                      <a:ext cx="1152525" cy="1224280"/>
                    </a:xfrm>
                    <a:prstGeom prst="rect">
                      <a:avLst/>
                    </a:prstGeom>
                    <a:noFill/>
                  </pic:spPr>
                </pic:pic>
              </a:graphicData>
            </a:graphic>
          </wp:anchor>
        </w:drawing>
      </w:r>
      <w:r>
        <w:rPr>
          <w:rFonts w:cs="Times New Roman"/>
          <w:color w:val="000000" w:themeColor="text1"/>
          <w:szCs w:val="21"/>
          <w14:textFill>
            <w14:solidFill>
              <w14:schemeClr w14:val="tx1"/>
            </w14:solidFill>
          </w14:textFill>
        </w:rPr>
        <w:t xml:space="preserve">7 </w:t>
      </w:r>
      <w:r>
        <w:rPr>
          <w:rFonts w:hint="eastAsia" w:cs="Times New Roman"/>
          <w:color w:val="000000" w:themeColor="text1"/>
          <w:szCs w:val="21"/>
          <w14:textFill>
            <w14:solidFill>
              <w14:schemeClr w14:val="tx1"/>
            </w14:solidFill>
          </w14:textFill>
        </w:rPr>
        <w:t>当主钢件受压翼缘的外侧面紧贴钢筋混凝土板等并有抗剪件与该类刚性板有效连接时，可不受本条第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款、第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款和第</w:t>
      </w: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款的规定限制。</w:t>
      </w:r>
    </w:p>
    <w:p>
      <w:pPr>
        <w:tabs>
          <w:tab w:val="left" w:pos="0"/>
        </w:tabs>
        <w:spacing w:line="360" w:lineRule="auto"/>
        <w:ind w:firstLine="420"/>
        <w:rPr>
          <w:rFonts w:cs="Times New Roman"/>
          <w:color w:val="000000" w:themeColor="text1"/>
          <w:szCs w:val="21"/>
          <w14:textFill>
            <w14:solidFill>
              <w14:schemeClr w14:val="tx1"/>
            </w14:solidFill>
          </w14:textFill>
        </w:rPr>
      </w:pPr>
    </w:p>
    <w:p>
      <w:pPr>
        <w:tabs>
          <w:tab w:val="left" w:pos="0"/>
        </w:tabs>
        <w:spacing w:line="360" w:lineRule="auto"/>
        <w:ind w:firstLine="420"/>
        <w:rPr>
          <w:rFonts w:cs="Times New Roman"/>
          <w:color w:val="000000" w:themeColor="text1"/>
          <w:szCs w:val="21"/>
          <w14:textFill>
            <w14:solidFill>
              <w14:schemeClr w14:val="tx1"/>
            </w14:solidFill>
          </w14:textFill>
        </w:rPr>
      </w:pPr>
    </w:p>
    <w:p>
      <w:pPr>
        <w:tabs>
          <w:tab w:val="left" w:pos="0"/>
        </w:tabs>
        <w:spacing w:line="360" w:lineRule="auto"/>
        <w:ind w:firstLine="420"/>
        <w:rPr>
          <w:rFonts w:cs="Times New Roman"/>
          <w:color w:val="000000" w:themeColor="text1"/>
          <w:szCs w:val="21"/>
          <w14:textFill>
            <w14:solidFill>
              <w14:schemeClr w14:val="tx1"/>
            </w14:solidFill>
          </w14:textFill>
        </w:rPr>
      </w:pPr>
    </w:p>
    <w:p>
      <w:pPr>
        <w:tabs>
          <w:tab w:val="left" w:pos="0"/>
        </w:tabs>
        <w:spacing w:line="360" w:lineRule="auto"/>
        <w:ind w:firstLine="420"/>
        <w:rPr>
          <w:rFonts w:cs="Times New Roman"/>
          <w:color w:val="000000" w:themeColor="text1"/>
          <w:szCs w:val="21"/>
          <w14:textFill>
            <w14:solidFill>
              <w14:schemeClr w14:val="tx1"/>
            </w14:solidFill>
          </w14:textFill>
        </w:rPr>
      </w:pPr>
    </w:p>
    <w:p>
      <w:pPr>
        <w:tabs>
          <w:tab w:val="left" w:pos="0"/>
        </w:tabs>
        <w:spacing w:line="360" w:lineRule="auto"/>
        <w:ind w:firstLine="420"/>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ind w:left="486" w:hanging="486" w:hangingChars="270"/>
        <w:jc w:val="center"/>
        <w:rPr>
          <w:rFonts w:cs="Times New Roman"/>
          <w:color w:val="000000" w:themeColor="text1"/>
          <w:kern w:val="0"/>
          <w:sz w:val="18"/>
          <w:szCs w:val="18"/>
          <w14:textFill>
            <w14:solidFill>
              <w14:schemeClr w14:val="tx1"/>
            </w14:solidFill>
          </w14:textFill>
        </w:rPr>
      </w:pPr>
      <w:r>
        <w:rPr>
          <w:rFonts w:hint="eastAsia" w:cs="Times New Roman"/>
          <w:color w:val="000000" w:themeColor="text1"/>
          <w:kern w:val="0"/>
          <w:sz w:val="18"/>
          <w:szCs w:val="18"/>
          <w14:textFill>
            <w14:solidFill>
              <w14:schemeClr w14:val="tx1"/>
            </w14:solidFill>
          </w14:textFill>
        </w:rPr>
        <w:t>图</w:t>
      </w:r>
      <w:r>
        <w:rPr>
          <w:rFonts w:cs="Times New Roman"/>
          <w:color w:val="000000" w:themeColor="text1"/>
          <w:kern w:val="0"/>
          <w:sz w:val="18"/>
          <w:szCs w:val="18"/>
          <w14:textFill>
            <w14:solidFill>
              <w14:schemeClr w14:val="tx1"/>
            </w14:solidFill>
          </w14:textFill>
        </w:rPr>
        <w:t>F.0.3</w:t>
      </w:r>
      <w:r>
        <w:rPr>
          <w:rFonts w:hint="eastAsia" w:cs="Times New Roman"/>
          <w:color w:val="000000" w:themeColor="text1"/>
          <w:kern w:val="0"/>
          <w:sz w:val="18"/>
          <w:szCs w:val="18"/>
          <w14:textFill>
            <w14:solidFill>
              <w14:schemeClr w14:val="tx1"/>
            </w14:solidFill>
          </w14:textFill>
        </w:rPr>
        <w:t>-1</w:t>
      </w:r>
      <w:r>
        <w:rPr>
          <w:rFonts w:cs="Times New Roman"/>
          <w:color w:val="000000" w:themeColor="text1"/>
          <w:kern w:val="0"/>
          <w:sz w:val="18"/>
          <w:szCs w:val="18"/>
          <w14:textFill>
            <w14:solidFill>
              <w14:schemeClr w14:val="tx1"/>
            </w14:solidFill>
          </w14:textFill>
        </w:rPr>
        <w:t xml:space="preserve"> </w:t>
      </w:r>
      <w:r>
        <w:rPr>
          <w:rFonts w:hint="eastAsia" w:cs="Times New Roman"/>
          <w:color w:val="000000" w:themeColor="text1"/>
          <w:kern w:val="0"/>
          <w:sz w:val="18"/>
          <w:szCs w:val="18"/>
          <w14:textFill>
            <w14:solidFill>
              <w14:schemeClr w14:val="tx1"/>
            </w14:solidFill>
          </w14:textFill>
        </w:rPr>
        <w:t>受压翼缘外伸部分宽厚比</w:t>
      </w: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spacing w:line="360" w:lineRule="auto"/>
        <w:ind w:left="567" w:hanging="567" w:hangingChars="27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F.0.4 </w:t>
      </w:r>
      <w:r>
        <w:rPr>
          <w:rFonts w:hint="eastAsia" w:cs="Times New Roman"/>
          <w:color w:val="000000" w:themeColor="text1"/>
          <w:szCs w:val="21"/>
          <w14:textFill>
            <w14:solidFill>
              <w14:schemeClr w14:val="tx1"/>
            </w14:solidFill>
          </w14:textFill>
        </w:rPr>
        <w:t>填筑混凝土和钢配件的构造要求。</w:t>
      </w:r>
    </w:p>
    <w:p>
      <w:pPr>
        <w:tabs>
          <w:tab w:val="left" w:pos="0"/>
        </w:tabs>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箍筋、纵筋、抗剪件、系件（拉接件）等钢配件，应符合构件在不同受力条件下的构造要求。</w:t>
      </w:r>
    </w:p>
    <w:p>
      <w:pPr>
        <w:tabs>
          <w:tab w:val="left" w:pos="567"/>
        </w:tabs>
        <w:spacing w:line="360" w:lineRule="auto"/>
        <w:ind w:firstLine="420"/>
        <w:jc w:val="left"/>
        <w:rPr>
          <w:rFonts w:cs="Times New Roman"/>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9504" behindDoc="0" locked="0" layoutInCell="1" allowOverlap="1">
            <wp:simplePos x="0" y="0"/>
            <wp:positionH relativeFrom="column">
              <wp:posOffset>2263775</wp:posOffset>
            </wp:positionH>
            <wp:positionV relativeFrom="paragraph">
              <wp:posOffset>471170</wp:posOffset>
            </wp:positionV>
            <wp:extent cx="815975" cy="1224280"/>
            <wp:effectExtent l="0" t="0" r="3175" b="0"/>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815975" cy="1224280"/>
                    </a:xfrm>
                    <a:prstGeom prst="rect">
                      <a:avLst/>
                    </a:prstGeom>
                    <a:noFill/>
                  </pic:spPr>
                </pic:pic>
              </a:graphicData>
            </a:graphic>
          </wp:anchor>
        </w:drawing>
      </w:r>
      <w:r>
        <w:rPr>
          <w:rFonts w:hint="eastAsia" w:cs="Times New Roman"/>
          <w:color w:val="000000" w:themeColor="text1"/>
          <w:szCs w:val="21"/>
          <w14:textFill>
            <w14:solidFill>
              <w14:schemeClr w14:val="tx1"/>
            </w14:solidFill>
          </w14:textFill>
        </w:rPr>
        <w:t>混凝土的外轮廓尺寸</w:t>
      </w:r>
      <w:r>
        <w:rPr>
          <w:rFonts w:cs="Times New Roman"/>
          <w:color w:val="000000" w:themeColor="text1"/>
          <w:szCs w:val="21"/>
          <w14:textFill>
            <w14:solidFill>
              <w14:schemeClr w14:val="tx1"/>
            </w14:solidFill>
          </w14:textFill>
        </w:rPr>
        <w:t>b</w:t>
      </w:r>
      <w:r>
        <w:rPr>
          <w:rFonts w:cs="Times New Roman"/>
          <w:color w:val="000000" w:themeColor="text1"/>
          <w:szCs w:val="21"/>
          <w:vertAlign w:val="subscript"/>
          <w14:textFill>
            <w14:solidFill>
              <w14:schemeClr w14:val="tx1"/>
            </w14:solidFill>
          </w14:textFill>
        </w:rPr>
        <w:t>c</w:t>
      </w:r>
      <w:r>
        <w:rPr>
          <w:rFonts w:hint="eastAsia" w:cs="Times New Roman"/>
          <w:color w:val="000000" w:themeColor="text1"/>
          <w:szCs w:val="21"/>
          <w14:textFill>
            <w14:solidFill>
              <w14:schemeClr w14:val="tx1"/>
            </w14:solidFill>
          </w14:textFill>
        </w:rPr>
        <w:t>宜与主钢件的外轮廓尺寸</w:t>
      </w:r>
      <w:r>
        <w:rPr>
          <w:rFonts w:cs="Times New Roman"/>
          <w:color w:val="000000" w:themeColor="text1"/>
          <w:szCs w:val="21"/>
          <w14:textFill>
            <w14:solidFill>
              <w14:schemeClr w14:val="tx1"/>
            </w14:solidFill>
          </w14:textFill>
        </w:rPr>
        <w:t>b</w:t>
      </w:r>
      <w:r>
        <w:rPr>
          <w:rFonts w:cs="Times New Roman"/>
          <w:color w:val="000000" w:themeColor="text1"/>
          <w:szCs w:val="21"/>
          <w:vertAlign w:val="subscript"/>
          <w14:textFill>
            <w14:solidFill>
              <w14:schemeClr w14:val="tx1"/>
            </w14:solidFill>
          </w14:textFill>
        </w:rPr>
        <w:t>f</w:t>
      </w:r>
      <w:r>
        <w:rPr>
          <w:rFonts w:hint="eastAsia" w:cs="Times New Roman"/>
          <w:color w:val="000000" w:themeColor="text1"/>
          <w:szCs w:val="21"/>
          <w14:textFill>
            <w14:solidFill>
              <w14:schemeClr w14:val="tx1"/>
            </w14:solidFill>
          </w14:textFill>
        </w:rPr>
        <w:t>一致；当需缩进时，</w:t>
      </w:r>
      <w:r>
        <w:rPr>
          <w:rFonts w:cs="Times New Roman"/>
          <w:color w:val="000000" w:themeColor="text1"/>
          <w:szCs w:val="21"/>
          <w14:textFill>
            <w14:solidFill>
              <w14:schemeClr w14:val="tx1"/>
            </w14:solidFill>
          </w14:textFill>
        </w:rPr>
        <w:t>b</w:t>
      </w:r>
      <w:r>
        <w:rPr>
          <w:rFonts w:cs="Times New Roman"/>
          <w:color w:val="000000" w:themeColor="text1"/>
          <w:szCs w:val="21"/>
          <w:vertAlign w:val="subscript"/>
          <w14:textFill>
            <w14:solidFill>
              <w14:schemeClr w14:val="tx1"/>
            </w14:solidFill>
          </w14:textFill>
        </w:rPr>
        <w:t>c</w:t>
      </w:r>
      <w:r>
        <w:rPr>
          <w:rFonts w:hint="eastAsia" w:cs="Times New Roman"/>
          <w:color w:val="000000" w:themeColor="text1"/>
          <w:szCs w:val="21"/>
          <w14:textFill>
            <w14:solidFill>
              <w14:schemeClr w14:val="tx1"/>
            </w14:solidFill>
          </w14:textFill>
        </w:rPr>
        <w:t>不应小于</w:t>
      </w:r>
      <w:r>
        <w:rPr>
          <w:rFonts w:cs="Times New Roman"/>
          <w:color w:val="000000" w:themeColor="text1"/>
          <w:szCs w:val="21"/>
          <w14:textFill>
            <w14:solidFill>
              <w14:schemeClr w14:val="tx1"/>
            </w14:solidFill>
          </w14:textFill>
        </w:rPr>
        <w:t>b</w:t>
      </w:r>
      <w:r>
        <w:rPr>
          <w:rFonts w:cs="Times New Roman"/>
          <w:color w:val="000000" w:themeColor="text1"/>
          <w:szCs w:val="21"/>
          <w:vertAlign w:val="subscript"/>
          <w14:textFill>
            <w14:solidFill>
              <w14:schemeClr w14:val="tx1"/>
            </w14:solidFill>
          </w14:textFill>
        </w:rPr>
        <w:t>f</w:t>
      </w:r>
      <w:r>
        <w:rPr>
          <w:rFonts w:hint="eastAsia" w:cs="Times New Roman"/>
          <w:color w:val="000000" w:themeColor="text1"/>
          <w:szCs w:val="21"/>
          <w14:textFill>
            <w14:solidFill>
              <w14:schemeClr w14:val="tx1"/>
            </w14:solidFill>
          </w14:textFill>
        </w:rPr>
        <w:t>的</w:t>
      </w:r>
      <w:r>
        <w:rPr>
          <w:rFonts w:cs="Times New Roman"/>
          <w:color w:val="000000" w:themeColor="text1"/>
          <w:szCs w:val="21"/>
          <w14:textFill>
            <w14:solidFill>
              <w14:schemeClr w14:val="tx1"/>
            </w14:solidFill>
          </w14:textFill>
        </w:rPr>
        <w:t>0.8</w:t>
      </w:r>
      <w:r>
        <w:rPr>
          <w:rFonts w:hint="eastAsia" w:cs="Times New Roman"/>
          <w:color w:val="000000" w:themeColor="text1"/>
          <w:szCs w:val="21"/>
          <w14:textFill>
            <w14:solidFill>
              <w14:schemeClr w14:val="tx1"/>
            </w14:solidFill>
          </w14:textFill>
        </w:rPr>
        <w:t>倍。</w:t>
      </w:r>
    </w:p>
    <w:p>
      <w:pPr>
        <w:tabs>
          <w:tab w:val="left" w:pos="567"/>
        </w:tabs>
        <w:spacing w:line="360" w:lineRule="auto"/>
        <w:ind w:left="567" w:hanging="567" w:hangingChars="270"/>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ind w:left="486" w:hanging="486" w:hangingChars="270"/>
        <w:jc w:val="center"/>
        <w:rPr>
          <w:rFonts w:cs="Times New Roman"/>
          <w:color w:val="000000" w:themeColor="text1"/>
          <w:szCs w:val="21"/>
          <w14:textFill>
            <w14:solidFill>
              <w14:schemeClr w14:val="tx1"/>
            </w14:solidFill>
          </w14:textFill>
        </w:rPr>
      </w:pPr>
      <w:r>
        <w:rPr>
          <w:rFonts w:hint="eastAsia" w:cs="Times New Roman"/>
          <w:color w:val="000000" w:themeColor="text1"/>
          <w:sz w:val="18"/>
          <w:szCs w:val="18"/>
          <w14:textFill>
            <w14:solidFill>
              <w14:schemeClr w14:val="tx1"/>
            </w14:solidFill>
          </w14:textFill>
        </w:rPr>
        <w:t>图</w:t>
      </w:r>
      <w:r>
        <w:rPr>
          <w:rFonts w:cs="Times New Roman"/>
          <w:color w:val="000000" w:themeColor="text1"/>
          <w:sz w:val="18"/>
          <w:szCs w:val="18"/>
          <w14:textFill>
            <w14:solidFill>
              <w14:schemeClr w14:val="tx1"/>
            </w14:solidFill>
          </w14:textFill>
        </w:rPr>
        <w:t>F.0.4</w:t>
      </w:r>
      <w:r>
        <w:rPr>
          <w:rFonts w:hint="eastAsia" w:cs="Times New Roman"/>
          <w:color w:val="000000" w:themeColor="text1"/>
          <w:sz w:val="18"/>
          <w:szCs w:val="18"/>
          <w14:textFill>
            <w14:solidFill>
              <w14:schemeClr w14:val="tx1"/>
            </w14:solidFill>
          </w14:textFill>
        </w:rPr>
        <w:t>-1</w:t>
      </w:r>
      <w:r>
        <w:rPr>
          <w:rFonts w:cs="Times New Roman"/>
          <w:color w:val="000000" w:themeColor="text1"/>
          <w:sz w:val="18"/>
          <w:szCs w:val="18"/>
          <w14:textFill>
            <w14:solidFill>
              <w14:schemeClr w14:val="tx1"/>
            </w14:solidFill>
          </w14:textFill>
        </w:rPr>
        <w:t xml:space="preserve"> </w:t>
      </w:r>
      <w:r>
        <w:rPr>
          <w:rFonts w:hint="eastAsia" w:cs="Times New Roman"/>
          <w:color w:val="000000" w:themeColor="text1"/>
          <w:sz w:val="18"/>
          <w:szCs w:val="18"/>
          <w14:textFill>
            <w14:solidFill>
              <w14:schemeClr w14:val="tx1"/>
            </w14:solidFill>
          </w14:textFill>
        </w:rPr>
        <w:t>混凝土的外轮廓尺寸</w:t>
      </w:r>
    </w:p>
    <w:p>
      <w:pPr>
        <w:tabs>
          <w:tab w:val="left" w:pos="567"/>
        </w:tabs>
        <w:spacing w:line="360" w:lineRule="auto"/>
        <w:ind w:left="567" w:hanging="567" w:hangingChars="27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F.0.5 </w:t>
      </w:r>
      <w:r>
        <w:rPr>
          <w:rFonts w:hint="eastAsia" w:cs="Times New Roman"/>
          <w:color w:val="000000" w:themeColor="text1"/>
          <w:szCs w:val="21"/>
          <w14:textFill>
            <w14:solidFill>
              <w14:schemeClr w14:val="tx1"/>
            </w14:solidFill>
          </w14:textFill>
        </w:rPr>
        <w:t>构件刚度计算</w:t>
      </w:r>
    </w:p>
    <w:p>
      <w:pPr>
        <w:tabs>
          <w:tab w:val="left" w:pos="0"/>
        </w:tabs>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进行结构弹性分析时，按下列规定计算刚度。</w:t>
      </w:r>
    </w:p>
    <w:tbl>
      <w:tblPr>
        <w:tblStyle w:val="32"/>
        <w:tblW w:w="8520" w:type="dxa"/>
        <w:tblInd w:w="0" w:type="dxa"/>
        <w:tblLayout w:type="fixed"/>
        <w:tblCellMar>
          <w:top w:w="0" w:type="dxa"/>
          <w:left w:w="108" w:type="dxa"/>
          <w:bottom w:w="0" w:type="dxa"/>
          <w:right w:w="108" w:type="dxa"/>
        </w:tblCellMar>
      </w:tblPr>
      <w:tblGrid>
        <w:gridCol w:w="7052"/>
        <w:gridCol w:w="1468"/>
      </w:tblGrid>
      <w:tr>
        <w:tblPrEx>
          <w:tblCellMar>
            <w:top w:w="0" w:type="dxa"/>
            <w:left w:w="108" w:type="dxa"/>
            <w:bottom w:w="0" w:type="dxa"/>
            <w:right w:w="108" w:type="dxa"/>
          </w:tblCellMar>
        </w:tblPrEx>
        <w:tc>
          <w:tcPr>
            <w:tcW w:w="7052" w:type="dxa"/>
          </w:tcPr>
          <w:p>
            <w:pPr>
              <w:spacing w:line="300" w:lineRule="auto"/>
              <w:ind w:firstLine="0" w:firstLineChars="0"/>
              <w:jc w:val="center"/>
              <w:rPr>
                <w:rFonts w:cs="Times New Roman"/>
                <w:color w:val="000000" w:themeColor="text1"/>
                <w:szCs w:val="21"/>
                <w14:textFill>
                  <w14:solidFill>
                    <w14:schemeClr w14:val="tx1"/>
                  </w14:solidFill>
                </w14:textFill>
              </w:rPr>
            </w:pPr>
            <w:bookmarkStart w:id="251" w:name="_Hlk24033541"/>
            <w:r>
              <w:rPr>
                <w:rFonts w:ascii="Cambria Math" w:hAnsi="Cambria Math" w:cs="Cambria Math"/>
                <w:color w:val="000000" w:themeColor="text1"/>
                <w:szCs w:val="21"/>
                <w14:textFill>
                  <w14:solidFill>
                    <w14:schemeClr w14:val="tx1"/>
                  </w14:solidFill>
                </w14:textFill>
              </w:rPr>
              <w:t>𝐸𝐴</w:t>
            </w:r>
            <w:r>
              <w:rPr>
                <w:rFonts w:cs="Times New Roman"/>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𝐸𝑐𝐴𝑐</w:t>
            </w:r>
            <w:r>
              <w:rPr>
                <w:rFonts w:cs="Times New Roman"/>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𝐸𝑎𝐴𝑎</w:t>
            </w:r>
            <w:bookmarkEnd w:id="251"/>
          </w:p>
        </w:tc>
        <w:tc>
          <w:tcPr>
            <w:tcW w:w="1468" w:type="dxa"/>
            <w:vAlign w:val="center"/>
          </w:tcPr>
          <w:p>
            <w:pPr>
              <w:spacing w:line="30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F.0.5-1</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c>
          <w:tcPr>
            <w:tcW w:w="7052" w:type="dxa"/>
          </w:tcPr>
          <w:p>
            <w:pPr>
              <w:spacing w:line="300" w:lineRule="auto"/>
              <w:ind w:firstLine="0" w:firstLineChars="0"/>
              <w:jc w:val="center"/>
              <w:rPr>
                <w:rFonts w:cs="Times New Roman"/>
                <w:color w:val="000000" w:themeColor="text1"/>
                <w:szCs w:val="21"/>
                <w14:textFill>
                  <w14:solidFill>
                    <w14:schemeClr w14:val="tx1"/>
                  </w14:solidFill>
                </w14:textFill>
              </w:rPr>
            </w:pPr>
            <w:r>
              <w:rPr>
                <w:rFonts w:ascii="Cambria Math" w:hAnsi="Cambria Math" w:cs="Cambria Math"/>
                <w:color w:val="000000" w:themeColor="text1"/>
                <w:szCs w:val="21"/>
                <w14:textFill>
                  <w14:solidFill>
                    <w14:schemeClr w14:val="tx1"/>
                  </w14:solidFill>
                </w14:textFill>
              </w:rPr>
              <w:t>𝐺𝐴</w:t>
            </w:r>
            <w:r>
              <w:rPr>
                <w:rFonts w:cs="Times New Roman"/>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𝐺𝑐𝐴𝑐</w:t>
            </w:r>
            <w:r>
              <w:rPr>
                <w:rFonts w:cs="Times New Roman"/>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𝐺𝑎𝐴𝑎</w:t>
            </w:r>
          </w:p>
        </w:tc>
        <w:tc>
          <w:tcPr>
            <w:tcW w:w="1468" w:type="dxa"/>
            <w:vAlign w:val="center"/>
          </w:tcPr>
          <w:p>
            <w:pPr>
              <w:spacing w:line="30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F.0.5-2</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c>
          <w:tcPr>
            <w:tcW w:w="7052" w:type="dxa"/>
          </w:tcPr>
          <w:p>
            <w:pPr>
              <w:spacing w:line="300" w:lineRule="auto"/>
              <w:ind w:firstLine="0" w:firstLineChars="0"/>
              <w:jc w:val="center"/>
              <w:rPr>
                <w:rFonts w:cs="Times New Roman"/>
                <w:color w:val="000000" w:themeColor="text1"/>
                <w:szCs w:val="21"/>
                <w14:textFill>
                  <w14:solidFill>
                    <w14:schemeClr w14:val="tx1"/>
                  </w14:solidFill>
                </w14:textFill>
              </w:rPr>
            </w:pPr>
            <w:r>
              <w:rPr>
                <w:rFonts w:ascii="Cambria Math" w:hAnsi="Cambria Math" w:cs="Cambria Math"/>
                <w:color w:val="000000" w:themeColor="text1"/>
                <w:szCs w:val="21"/>
                <w14:textFill>
                  <w14:solidFill>
                    <w14:schemeClr w14:val="tx1"/>
                  </w14:solidFill>
                </w14:textFill>
              </w:rPr>
              <w:t>𝐸𝐼</w:t>
            </w:r>
            <w:r>
              <w:rPr>
                <w:rFonts w:cs="Times New Roman"/>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𝐸𝑐𝐴𝐼𝑐</w:t>
            </w:r>
            <w:r>
              <w:rPr>
                <w:rFonts w:cs="Times New Roman"/>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𝐸𝑎𝐴𝐼𝑎</w:t>
            </w:r>
          </w:p>
        </w:tc>
        <w:tc>
          <w:tcPr>
            <w:tcW w:w="1468" w:type="dxa"/>
            <w:vAlign w:val="center"/>
          </w:tcPr>
          <w:p>
            <w:pPr>
              <w:spacing w:line="30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F.0.5-3</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c>
          <w:tcPr>
            <w:tcW w:w="7052" w:type="dxa"/>
          </w:tcPr>
          <w:p>
            <w:pPr>
              <w:spacing w:line="30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式中：Ea、E</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——钢材弹性模量、混凝土弹性模量；</w:t>
            </w:r>
          </w:p>
          <w:p>
            <w:pPr>
              <w:spacing w:line="300" w:lineRule="auto"/>
              <w:ind w:firstLine="630" w:firstLineChars="300"/>
              <w:rPr>
                <w:rFonts w:cs="Times New Roman"/>
                <w:color w:val="000000" w:themeColor="text1"/>
                <w:szCs w:val="21"/>
                <w14:textFill>
                  <w14:solidFill>
                    <w14:schemeClr w14:val="tx1"/>
                  </w14:solidFill>
                </w14:textFill>
              </w:rPr>
            </w:pPr>
            <w:r>
              <w:rPr>
                <w:rFonts w:ascii="Cambria Math" w:hAnsi="Cambria Math" w:cs="Cambria Math"/>
                <w:color w:val="000000" w:themeColor="text1"/>
                <w14:textFill>
                  <w14:solidFill>
                    <w14:schemeClr w14:val="tx1"/>
                  </w14:solidFill>
                </w14:textFill>
              </w:rPr>
              <w:t>𝐺𝑎</w:t>
            </w:r>
            <w:r>
              <w:rPr>
                <w:rFonts w:hint="eastAsia" w:cs="Times New Roman"/>
                <w:color w:val="000000" w:themeColor="text1"/>
                <w14:textFill>
                  <w14:solidFill>
                    <w14:schemeClr w14:val="tx1"/>
                  </w14:solidFill>
                </w14:textFill>
              </w:rPr>
              <w:t>、</w:t>
            </w:r>
            <w:r>
              <w:rPr>
                <w:rFonts w:ascii="Cambria Math" w:hAnsi="Cambria Math" w:cs="Cambria Math"/>
                <w:color w:val="000000" w:themeColor="text1"/>
                <w14:textFill>
                  <w14:solidFill>
                    <w14:schemeClr w14:val="tx1"/>
                  </w14:solidFill>
                </w14:textFill>
              </w:rPr>
              <w:t>𝐺𝑐</w:t>
            </w:r>
            <w:r>
              <w:rPr>
                <w:rFonts w:hint="eastAsia" w:cs="Times New Roman"/>
                <w:color w:val="000000" w:themeColor="text1"/>
                <w14:textFill>
                  <w14:solidFill>
                    <w14:schemeClr w14:val="tx1"/>
                  </w14:solidFill>
                </w14:textFill>
              </w:rPr>
              <w:t>——</w:t>
            </w:r>
            <w:r>
              <w:rPr>
                <w:rFonts w:hint="eastAsia" w:cs="Times New Roman"/>
                <w:color w:val="000000" w:themeColor="text1"/>
                <w:szCs w:val="21"/>
                <w14:textFill>
                  <w14:solidFill>
                    <w14:schemeClr w14:val="tx1"/>
                  </w14:solidFill>
                </w14:textFill>
              </w:rPr>
              <w:t>钢材剪切模量、混凝土剪切模量；</w:t>
            </w:r>
          </w:p>
          <w:p>
            <w:pPr>
              <w:spacing w:line="300" w:lineRule="auto"/>
              <w:ind w:firstLine="630" w:firstLineChars="300"/>
              <w:rPr>
                <w:rFonts w:cs="Times New Roman"/>
                <w:color w:val="000000" w:themeColor="text1"/>
                <w:szCs w:val="21"/>
                <w14:textFill>
                  <w14:solidFill>
                    <w14:schemeClr w14:val="tx1"/>
                  </w14:solidFill>
                </w14:textFill>
              </w:rPr>
            </w:pPr>
            <w:r>
              <w:rPr>
                <w:rFonts w:ascii="Cambria Math" w:hAnsi="Cambria Math" w:cs="Cambria Math"/>
                <w:color w:val="000000" w:themeColor="text1"/>
                <w14:textFill>
                  <w14:solidFill>
                    <w14:schemeClr w14:val="tx1"/>
                  </w14:solidFill>
                </w14:textFill>
              </w:rPr>
              <w:t>𝐴𝑎</w:t>
            </w:r>
            <w:r>
              <w:rPr>
                <w:rFonts w:hint="eastAsia" w:cs="Times New Roman"/>
                <w:color w:val="000000" w:themeColor="text1"/>
                <w14:textFill>
                  <w14:solidFill>
                    <w14:schemeClr w14:val="tx1"/>
                  </w14:solidFill>
                </w14:textFill>
              </w:rPr>
              <w:t>、</w:t>
            </w:r>
            <w:r>
              <w:rPr>
                <w:rFonts w:ascii="Cambria Math" w:hAnsi="Cambria Math" w:cs="Cambria Math"/>
                <w:color w:val="000000" w:themeColor="text1"/>
                <w14:textFill>
                  <w14:solidFill>
                    <w14:schemeClr w14:val="tx1"/>
                  </w14:solidFill>
                </w14:textFill>
              </w:rPr>
              <w:t>𝐴𝑐</w:t>
            </w:r>
            <w:r>
              <w:rPr>
                <w:rFonts w:hint="eastAsia" w:cs="Times New Roman"/>
                <w:color w:val="000000" w:themeColor="text1"/>
                <w14:textFill>
                  <w14:solidFill>
                    <w14:schemeClr w14:val="tx1"/>
                  </w14:solidFill>
                </w14:textFill>
              </w:rPr>
              <w:t>——</w:t>
            </w:r>
            <w:r>
              <w:rPr>
                <w:rFonts w:hint="eastAsia" w:cs="Times New Roman"/>
                <w:color w:val="000000" w:themeColor="text1"/>
                <w:szCs w:val="21"/>
                <w14:textFill>
                  <w14:solidFill>
                    <w14:schemeClr w14:val="tx1"/>
                  </w14:solidFill>
                </w14:textFill>
              </w:rPr>
              <w:t>主钢件面积、混凝土面积；</w:t>
            </w:r>
          </w:p>
          <w:p>
            <w:pPr>
              <w:spacing w:line="300" w:lineRule="auto"/>
              <w:ind w:firstLine="630" w:firstLineChars="300"/>
              <w:rPr>
                <w:rFonts w:cs="Times New Roman"/>
                <w:color w:val="000000" w:themeColor="text1"/>
                <w:szCs w:val="21"/>
                <w14:textFill>
                  <w14:solidFill>
                    <w14:schemeClr w14:val="tx1"/>
                  </w14:solidFill>
                </w14:textFill>
              </w:rPr>
            </w:pPr>
            <w:r>
              <w:rPr>
                <w:rFonts w:ascii="Cambria Math" w:hAnsi="Cambria Math" w:cs="Cambria Math"/>
                <w:color w:val="000000" w:themeColor="text1"/>
                <w14:textFill>
                  <w14:solidFill>
                    <w14:schemeClr w14:val="tx1"/>
                  </w14:solidFill>
                </w14:textFill>
              </w:rPr>
              <w:t>𝐼𝑎</w:t>
            </w:r>
            <w:r>
              <w:rPr>
                <w:rFonts w:hint="eastAsia" w:cs="Times New Roman"/>
                <w:color w:val="000000" w:themeColor="text1"/>
                <w14:textFill>
                  <w14:solidFill>
                    <w14:schemeClr w14:val="tx1"/>
                  </w14:solidFill>
                </w14:textFill>
              </w:rPr>
              <w:t>、</w:t>
            </w:r>
            <w:r>
              <w:rPr>
                <w:rFonts w:ascii="Cambria Math" w:hAnsi="Cambria Math" w:cs="Cambria Math"/>
                <w:color w:val="000000" w:themeColor="text1"/>
                <w14:textFill>
                  <w14:solidFill>
                    <w14:schemeClr w14:val="tx1"/>
                  </w14:solidFill>
                </w14:textFill>
              </w:rPr>
              <w:t>𝐼𝑐</w:t>
            </w:r>
            <w:r>
              <w:rPr>
                <w:rFonts w:hint="eastAsia" w:cs="Times New Roman"/>
                <w:color w:val="000000" w:themeColor="text1"/>
                <w14:textFill>
                  <w14:solidFill>
                    <w14:schemeClr w14:val="tx1"/>
                  </w14:solidFill>
                </w14:textFill>
              </w:rPr>
              <w:t>——</w:t>
            </w:r>
            <w:r>
              <w:rPr>
                <w:rFonts w:hint="eastAsia" w:cs="Times New Roman"/>
                <w:color w:val="000000" w:themeColor="text1"/>
                <w:szCs w:val="21"/>
                <w14:textFill>
                  <w14:solidFill>
                    <w14:schemeClr w14:val="tx1"/>
                  </w14:solidFill>
                </w14:textFill>
              </w:rPr>
              <w:t>主钢件惯性矩、混凝土惯性矩；</w:t>
            </w:r>
          </w:p>
          <w:p>
            <w:pPr>
              <w:spacing w:line="300" w:lineRule="auto"/>
              <w:ind w:firstLine="630" w:firstLineChars="300"/>
              <w:rPr>
                <w:rFonts w:cs="Times New Roman"/>
                <w:color w:val="000000" w:themeColor="text1"/>
                <w:szCs w:val="21"/>
                <w14:textFill>
                  <w14:solidFill>
                    <w14:schemeClr w14:val="tx1"/>
                  </w14:solidFill>
                </w14:textFill>
              </w:rPr>
            </w:pPr>
            <w:r>
              <w:rPr>
                <w:rFonts w:cs="Times New Roman"/>
                <w:color w:val="000000" w:themeColor="text1"/>
                <w14:textFill>
                  <w14:solidFill>
                    <w14:schemeClr w14:val="tx1"/>
                  </w14:solidFill>
                </w14:textFill>
              </w:rPr>
              <w:t>EA</w:t>
            </w:r>
            <w:r>
              <w:rPr>
                <w:rFonts w:hint="eastAsia" w:cs="Times New Roman"/>
                <w:color w:val="000000" w:themeColor="text1"/>
                <w14:textFill>
                  <w14:solidFill>
                    <w14:schemeClr w14:val="tx1"/>
                  </w14:solidFill>
                </w14:textFill>
              </w:rPr>
              <w:t>、G</w:t>
            </w:r>
            <w:r>
              <w:rPr>
                <w:rFonts w:cs="Times New Roman"/>
                <w:color w:val="000000" w:themeColor="text1"/>
                <w14:textFill>
                  <w14:solidFill>
                    <w14:schemeClr w14:val="tx1"/>
                  </w14:solidFill>
                </w14:textFill>
              </w:rPr>
              <w:t>A</w:t>
            </w:r>
            <w:r>
              <w:rPr>
                <w:rFonts w:hint="eastAsia" w:cs="Times New Roman"/>
                <w:color w:val="000000" w:themeColor="text1"/>
                <w14:textFill>
                  <w14:solidFill>
                    <w14:schemeClr w14:val="tx1"/>
                  </w14:solidFill>
                </w14:textFill>
              </w:rPr>
              <w:t>、E</w:t>
            </w:r>
            <w:r>
              <w:rPr>
                <w:rFonts w:cs="Times New Roman"/>
                <w:color w:val="000000" w:themeColor="text1"/>
                <w14:textFill>
                  <w14:solidFill>
                    <w14:schemeClr w14:val="tx1"/>
                  </w14:solidFill>
                </w14:textFill>
              </w:rPr>
              <w:t>I</w:t>
            </w:r>
            <w:r>
              <w:rPr>
                <w:rFonts w:hint="eastAsia" w:cs="Times New Roman"/>
                <w:color w:val="000000" w:themeColor="text1"/>
                <w14:textFill>
                  <w14:solidFill>
                    <w14:schemeClr w14:val="tx1"/>
                  </w14:solidFill>
                </w14:textFill>
              </w:rPr>
              <w:t>——</w:t>
            </w:r>
            <w:r>
              <w:rPr>
                <w:rFonts w:hint="eastAsia" w:cs="Times New Roman"/>
                <w:color w:val="000000" w:themeColor="text1"/>
                <w:szCs w:val="21"/>
                <w14:textFill>
                  <w14:solidFill>
                    <w14:schemeClr w14:val="tx1"/>
                  </w14:solidFill>
                </w14:textFill>
              </w:rPr>
              <w:t>构件截面轴向刚度、抗剪刚度、抗弯刚度。</w:t>
            </w:r>
          </w:p>
        </w:tc>
        <w:tc>
          <w:tcPr>
            <w:tcW w:w="1468" w:type="dxa"/>
            <w:vAlign w:val="center"/>
          </w:tcPr>
          <w:p>
            <w:pPr>
              <w:spacing w:line="300" w:lineRule="auto"/>
              <w:ind w:firstLine="0" w:firstLineChars="0"/>
              <w:rPr>
                <w:rFonts w:cs="Times New Roman"/>
                <w:color w:val="000000" w:themeColor="text1"/>
                <w:szCs w:val="21"/>
                <w14:textFill>
                  <w14:solidFill>
                    <w14:schemeClr w14:val="tx1"/>
                  </w14:solidFill>
                </w14:textFill>
              </w:rPr>
            </w:pPr>
          </w:p>
        </w:tc>
      </w:tr>
    </w:tbl>
    <w:p>
      <w:pPr>
        <w:tabs>
          <w:tab w:val="left" w:pos="567"/>
        </w:tabs>
        <w:spacing w:line="360" w:lineRule="auto"/>
        <w:ind w:left="567" w:hanging="567" w:hangingChars="27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F.0.6 </w:t>
      </w:r>
      <w:r>
        <w:rPr>
          <w:rFonts w:hint="eastAsia" w:cs="Times New Roman"/>
          <w:color w:val="000000" w:themeColor="text1"/>
          <w:szCs w:val="21"/>
          <w14:textFill>
            <w14:solidFill>
              <w14:schemeClr w14:val="tx1"/>
            </w14:solidFill>
          </w14:textFill>
        </w:rPr>
        <w:t>构件受压承载力计算</w:t>
      </w:r>
    </w:p>
    <w:p>
      <w:pPr>
        <w:spacing w:line="360" w:lineRule="auto"/>
        <w:ind w:firstLine="42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 xml:space="preserve">1 </w:t>
      </w:r>
      <w:r>
        <w:rPr>
          <w:rFonts w:hint="eastAsia" w:cs="Times New Roman"/>
          <w:color w:val="000000" w:themeColor="text1"/>
          <w14:textFill>
            <w14:solidFill>
              <w14:schemeClr w14:val="tx1"/>
            </w14:solidFill>
          </w14:textFill>
        </w:rPr>
        <w:t>当端部连接处组成截面的各板件都由连接件直接传力时，其截面强度计算应符合下列规定。</w:t>
      </w:r>
    </w:p>
    <w:tbl>
      <w:tblPr>
        <w:tblStyle w:val="32"/>
        <w:tblW w:w="8520" w:type="dxa"/>
        <w:tblInd w:w="0" w:type="dxa"/>
        <w:tblLayout w:type="fixed"/>
        <w:tblCellMar>
          <w:top w:w="0" w:type="dxa"/>
          <w:left w:w="108" w:type="dxa"/>
          <w:bottom w:w="0" w:type="dxa"/>
          <w:right w:w="108" w:type="dxa"/>
        </w:tblCellMar>
      </w:tblPr>
      <w:tblGrid>
        <w:gridCol w:w="816"/>
        <w:gridCol w:w="1338"/>
        <w:gridCol w:w="715"/>
        <w:gridCol w:w="3559"/>
        <w:gridCol w:w="2092"/>
      </w:tblGrid>
      <w:tr>
        <w:tblPrEx>
          <w:tblCellMar>
            <w:top w:w="0" w:type="dxa"/>
            <w:left w:w="108" w:type="dxa"/>
            <w:bottom w:w="0" w:type="dxa"/>
            <w:right w:w="108" w:type="dxa"/>
          </w:tblCellMar>
        </w:tblPrEx>
        <w:tc>
          <w:tcPr>
            <w:tcW w:w="6430" w:type="dxa"/>
            <w:gridSpan w:val="4"/>
            <w:vAlign w:val="center"/>
          </w:tcPr>
          <w:p>
            <w:pPr>
              <w:spacing w:line="360" w:lineRule="auto"/>
              <w:ind w:firstLine="0" w:firstLineChars="0"/>
              <w:jc w:val="center"/>
              <w:rPr>
                <w:color w:val="000000" w:themeColor="text1"/>
                <w:position w:val="-30"/>
                <w:szCs w:val="21"/>
                <w14:textFill>
                  <w14:solidFill>
                    <w14:schemeClr w14:val="tx1"/>
                  </w14:solidFill>
                </w14:textFill>
              </w:rPr>
            </w:pPr>
            <w:r>
              <w:rPr>
                <w:rFonts w:ascii="Cambria Math" w:hAnsi="Cambria Math" w:cs="Cambria Math"/>
                <w:color w:val="000000" w:themeColor="text1"/>
                <w:szCs w:val="21"/>
                <w14:textFill>
                  <w14:solidFill>
                    <w14:schemeClr w14:val="tx1"/>
                  </w14:solidFill>
                </w14:textFill>
              </w:rPr>
              <w:t>𝑁</w:t>
            </w:r>
            <w:r>
              <w:rPr>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𝑁𝑢</w:t>
            </w:r>
          </w:p>
        </w:tc>
        <w:tc>
          <w:tcPr>
            <w:tcW w:w="2093" w:type="dxa"/>
            <w:vAlign w:val="center"/>
          </w:tcPr>
          <w:p>
            <w:pPr>
              <w:tabs>
                <w:tab w:val="left" w:pos="6555"/>
              </w:tabs>
              <w:spacing w:line="360" w:lineRule="auto"/>
              <w:ind w:right="420" w:firstLine="0" w:firstLineChars="0"/>
              <w:jc w:val="right"/>
              <w:rPr>
                <w:color w:val="000000" w:themeColor="text1"/>
                <w:szCs w:val="21"/>
                <w14:textFill>
                  <w14:solidFill>
                    <w14:schemeClr w14:val="tx1"/>
                  </w14:solidFill>
                </w14:textFill>
              </w:rPr>
            </w:pPr>
            <w:r>
              <w:rPr>
                <w:color w:val="000000" w:themeColor="text1"/>
                <w:szCs w:val="21"/>
                <w14:textFill>
                  <w14:solidFill>
                    <w14:schemeClr w14:val="tx1"/>
                  </w14:solidFill>
                </w14:textFill>
              </w:rPr>
              <w:t>(F.0.6-1)</w:t>
            </w:r>
          </w:p>
        </w:tc>
      </w:tr>
      <w:tr>
        <w:tblPrEx>
          <w:tblCellMar>
            <w:top w:w="0" w:type="dxa"/>
            <w:left w:w="108" w:type="dxa"/>
            <w:bottom w:w="0" w:type="dxa"/>
            <w:right w:w="108" w:type="dxa"/>
          </w:tblCellMar>
        </w:tblPrEx>
        <w:tc>
          <w:tcPr>
            <w:tcW w:w="6430" w:type="dxa"/>
            <w:gridSpan w:val="4"/>
            <w:vAlign w:val="center"/>
          </w:tcPr>
          <w:p>
            <w:pPr>
              <w:spacing w:line="360" w:lineRule="auto"/>
              <w:ind w:firstLine="0" w:firstLineChars="0"/>
              <w:jc w:val="center"/>
              <w:rPr>
                <w:color w:val="000000" w:themeColor="text1"/>
                <w:position w:val="-30"/>
                <w:szCs w:val="21"/>
                <w14:textFill>
                  <w14:solidFill>
                    <w14:schemeClr w14:val="tx1"/>
                  </w14:solidFill>
                </w14:textFill>
              </w:rPr>
            </w:pPr>
            <w:r>
              <w:rPr>
                <w:rFonts w:ascii="Cambria Math" w:hAnsi="Cambria Math" w:cs="Cambria Math"/>
                <w:color w:val="000000" w:themeColor="text1"/>
                <w:szCs w:val="21"/>
                <w14:textFill>
                  <w14:solidFill>
                    <w14:schemeClr w14:val="tx1"/>
                  </w14:solidFill>
                </w14:textFill>
              </w:rPr>
              <w:t>𝑁𝑢</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ƒ</w:t>
            </w:r>
            <w:r>
              <w:rPr>
                <w:rFonts w:ascii="Cambria Math" w:hAnsi="Cambria Math" w:cs="Cambria Math"/>
                <w:color w:val="000000" w:themeColor="text1"/>
                <w:szCs w:val="21"/>
                <w14:textFill>
                  <w14:solidFill>
                    <w14:schemeClr w14:val="tx1"/>
                  </w14:solidFill>
                </w14:textFill>
              </w:rPr>
              <w:t>𝑎𝐴𝑎</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ƒ</w:t>
            </w:r>
            <w:r>
              <w:rPr>
                <w:rFonts w:ascii="Cambria Math" w:hAnsi="Cambria Math" w:cs="Cambria Math"/>
                <w:color w:val="000000" w:themeColor="text1"/>
                <w:szCs w:val="21"/>
                <w14:textFill>
                  <w14:solidFill>
                    <w14:schemeClr w14:val="tx1"/>
                  </w14:solidFill>
                </w14:textFill>
              </w:rPr>
              <w:t>𝑐𝐴𝑐</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ƒ</w:t>
            </w:r>
            <w:r>
              <w:rPr>
                <w:rFonts w:ascii="Cambria Math" w:hAnsi="Cambria Math" w:cs="Cambria Math"/>
                <w:color w:val="000000" w:themeColor="text1"/>
                <w:szCs w:val="21"/>
                <w14:textFill>
                  <w14:solidFill>
                    <w14:schemeClr w14:val="tx1"/>
                  </w14:solidFill>
                </w14:textFill>
              </w:rPr>
              <w:t>𝑦𝐴𝑠</w:t>
            </w:r>
          </w:p>
        </w:tc>
        <w:tc>
          <w:tcPr>
            <w:tcW w:w="2093" w:type="dxa"/>
            <w:vAlign w:val="center"/>
          </w:tcPr>
          <w:p>
            <w:pPr>
              <w:tabs>
                <w:tab w:val="left" w:pos="6555"/>
              </w:tabs>
              <w:spacing w:line="360" w:lineRule="auto"/>
              <w:ind w:right="420" w:firstLine="0" w:firstLineChars="0"/>
              <w:jc w:val="right"/>
              <w:rPr>
                <w:color w:val="000000" w:themeColor="text1"/>
                <w:szCs w:val="21"/>
                <w14:textFill>
                  <w14:solidFill>
                    <w14:schemeClr w14:val="tx1"/>
                  </w14:solidFill>
                </w14:textFill>
              </w:rPr>
            </w:pPr>
            <w:r>
              <w:rPr>
                <w:color w:val="000000" w:themeColor="text1"/>
                <w:szCs w:val="21"/>
                <w14:textFill>
                  <w14:solidFill>
                    <w14:schemeClr w14:val="tx1"/>
                  </w14:solidFill>
                </w14:textFill>
              </w:rPr>
              <w:t>(F.0.6-2)</w:t>
            </w:r>
          </w:p>
        </w:tc>
      </w:tr>
      <w:tr>
        <w:tblPrEx>
          <w:tblCellMar>
            <w:top w:w="0" w:type="dxa"/>
            <w:left w:w="108" w:type="dxa"/>
            <w:bottom w:w="0" w:type="dxa"/>
            <w:right w:w="108" w:type="dxa"/>
          </w:tblCellMar>
        </w:tblPrEx>
        <w:tc>
          <w:tcPr>
            <w:tcW w:w="817" w:type="dxa"/>
            <w:vAlign w:val="center"/>
          </w:tcPr>
          <w:p>
            <w:pPr>
              <w:spacing w:line="360" w:lineRule="auto"/>
              <w:ind w:firstLine="0"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式中：</w:t>
            </w:r>
          </w:p>
        </w:tc>
        <w:tc>
          <w:tcPr>
            <w:tcW w:w="1338" w:type="dxa"/>
            <w:vAlign w:val="center"/>
          </w:tcPr>
          <w:p>
            <w:pPr>
              <w:spacing w:line="360" w:lineRule="auto"/>
              <w:ind w:firstLine="0" w:firstLineChars="0"/>
              <w:rPr>
                <w:color w:val="000000" w:themeColor="text1"/>
                <w:szCs w:val="21"/>
                <w14:textFill>
                  <w14:solidFill>
                    <w14:schemeClr w14:val="tx1"/>
                  </w14:solidFill>
                </w14:textFill>
              </w:rPr>
            </w:pPr>
            <w:r>
              <w:rPr>
                <w:rFonts w:ascii="Cambria Math" w:hAnsi="Cambria Math" w:cs="Cambria Math"/>
                <w:color w:val="000000" w:themeColor="text1"/>
                <w:szCs w:val="21"/>
                <w14:textFill>
                  <w14:solidFill>
                    <w14:schemeClr w14:val="tx1"/>
                  </w14:solidFill>
                </w14:textFill>
              </w:rPr>
              <w:t>𝑁</w:t>
            </w:r>
            <w:r>
              <w:rPr>
                <w:rFonts w:hint="eastAsia"/>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𝑁𝑢</w:t>
            </w:r>
          </w:p>
        </w:tc>
        <w:tc>
          <w:tcPr>
            <w:tcW w:w="715" w:type="dxa"/>
            <w:vAlign w:val="center"/>
          </w:tcPr>
          <w:p>
            <w:pPr>
              <w:spacing w:line="36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5653" w:type="dxa"/>
            <w:gridSpan w:val="2"/>
            <w:vAlign w:val="center"/>
          </w:tcPr>
          <w:p>
            <w:pPr>
              <w:spacing w:line="360" w:lineRule="auto"/>
              <w:ind w:firstLine="0"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轴向压力设计值、截面抗压强度设计值；</w:t>
            </w:r>
          </w:p>
        </w:tc>
      </w:tr>
      <w:tr>
        <w:tblPrEx>
          <w:tblCellMar>
            <w:top w:w="0" w:type="dxa"/>
            <w:left w:w="108" w:type="dxa"/>
            <w:bottom w:w="0" w:type="dxa"/>
            <w:right w:w="108" w:type="dxa"/>
          </w:tblCellMar>
        </w:tblPrEx>
        <w:trPr>
          <w:trHeight w:val="312" w:hRule="atLeast"/>
        </w:trPr>
        <w:tc>
          <w:tcPr>
            <w:tcW w:w="817" w:type="dxa"/>
            <w:vAlign w:val="center"/>
          </w:tcPr>
          <w:p>
            <w:pPr>
              <w:spacing w:line="360" w:lineRule="auto"/>
              <w:ind w:firstLine="0" w:firstLineChars="0"/>
              <w:jc w:val="center"/>
              <w:rPr>
                <w:color w:val="000000" w:themeColor="text1"/>
                <w:szCs w:val="21"/>
                <w14:textFill>
                  <w14:solidFill>
                    <w14:schemeClr w14:val="tx1"/>
                  </w14:solidFill>
                </w14:textFill>
              </w:rPr>
            </w:pPr>
          </w:p>
        </w:tc>
        <w:tc>
          <w:tcPr>
            <w:tcW w:w="1338" w:type="dxa"/>
            <w:vAlign w:val="center"/>
          </w:tcPr>
          <w:p>
            <w:pPr>
              <w:spacing w:line="360" w:lineRule="auto"/>
              <w:ind w:firstLine="0" w:firstLineChars="0"/>
              <w:jc w:val="center"/>
              <w:rPr>
                <w:color w:val="000000" w:themeColor="text1"/>
                <w:position w:val="-12"/>
                <w:szCs w:val="21"/>
                <w14:textFill>
                  <w14:solidFill>
                    <w14:schemeClr w14:val="tx1"/>
                  </w14:solidFill>
                </w14:textFill>
              </w:rPr>
            </w:pPr>
            <w:r>
              <w:rPr>
                <w:rFonts w:ascii="Cambria Math" w:hAnsi="Cambria Math" w:cs="Cambria Math"/>
                <w:color w:val="000000" w:themeColor="text1"/>
                <w:szCs w:val="21"/>
                <w14:textFill>
                  <w14:solidFill>
                    <w14:schemeClr w14:val="tx1"/>
                  </w14:solidFill>
                </w14:textFill>
              </w:rPr>
              <w:t>𝐴𝑎</w:t>
            </w:r>
            <w:r>
              <w:rPr>
                <w:rFonts w:hint="eastAsia"/>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𝐴𝑐</w:t>
            </w:r>
            <w:r>
              <w:rPr>
                <w:rFonts w:hint="eastAsia"/>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𝐴𝑠</w:t>
            </w:r>
          </w:p>
        </w:tc>
        <w:tc>
          <w:tcPr>
            <w:tcW w:w="715" w:type="dxa"/>
            <w:vAlign w:val="center"/>
          </w:tcPr>
          <w:p>
            <w:pPr>
              <w:spacing w:line="36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5653" w:type="dxa"/>
            <w:gridSpan w:val="2"/>
            <w:vAlign w:val="center"/>
          </w:tcPr>
          <w:p>
            <w:pPr>
              <w:spacing w:line="360" w:lineRule="auto"/>
              <w:ind w:firstLine="0" w:firstLineChars="0"/>
              <w:jc w:val="left"/>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主钢件</w:t>
            </w:r>
            <w:r>
              <w:rPr>
                <w:rFonts w:hint="eastAsia"/>
                <w:color w:val="000000" w:themeColor="text1"/>
                <w:szCs w:val="21"/>
                <w14:textFill>
                  <w14:solidFill>
                    <w14:schemeClr w14:val="tx1"/>
                  </w14:solidFill>
                </w14:textFill>
              </w:rPr>
              <w:t>、混凝土、钢筋截面面积；</w:t>
            </w:r>
          </w:p>
        </w:tc>
      </w:tr>
      <w:tr>
        <w:tblPrEx>
          <w:tblCellMar>
            <w:top w:w="0" w:type="dxa"/>
            <w:left w:w="108" w:type="dxa"/>
            <w:bottom w:w="0" w:type="dxa"/>
            <w:right w:w="108" w:type="dxa"/>
          </w:tblCellMar>
        </w:tblPrEx>
        <w:trPr>
          <w:trHeight w:val="312" w:hRule="atLeast"/>
        </w:trPr>
        <w:tc>
          <w:tcPr>
            <w:tcW w:w="817" w:type="dxa"/>
            <w:vAlign w:val="center"/>
          </w:tcPr>
          <w:p>
            <w:pPr>
              <w:spacing w:line="360" w:lineRule="auto"/>
              <w:ind w:firstLine="0" w:firstLineChars="0"/>
              <w:jc w:val="center"/>
              <w:rPr>
                <w:color w:val="000000" w:themeColor="text1"/>
                <w:szCs w:val="21"/>
                <w14:textFill>
                  <w14:solidFill>
                    <w14:schemeClr w14:val="tx1"/>
                  </w14:solidFill>
                </w14:textFill>
              </w:rPr>
            </w:pPr>
          </w:p>
        </w:tc>
        <w:tc>
          <w:tcPr>
            <w:tcW w:w="1338" w:type="dxa"/>
            <w:vAlign w:val="center"/>
          </w:tcPr>
          <w:p>
            <w:pPr>
              <w:spacing w:line="360" w:lineRule="auto"/>
              <w:ind w:firstLine="0" w:firstLineChars="0"/>
              <w:jc w:val="center"/>
              <w:rPr>
                <w:color w:val="000000" w:themeColor="text1"/>
                <w:position w:val="-12"/>
                <w:szCs w:val="21"/>
                <w14:textFill>
                  <w14:solidFill>
                    <w14:schemeClr w14:val="tx1"/>
                  </w14:solidFill>
                </w14:textFill>
              </w:rPr>
            </w:pPr>
            <w:r>
              <w:rPr>
                <w:rFonts w:hint="eastAsia"/>
                <w:color w:val="000000" w:themeColor="text1"/>
                <w:szCs w:val="21"/>
                <w14:textFill>
                  <w14:solidFill>
                    <w14:schemeClr w14:val="tx1"/>
                  </w14:solidFill>
                </w14:textFill>
              </w:rPr>
              <w:t>ƒ</w:t>
            </w:r>
            <w:r>
              <w:rPr>
                <w:rFonts w:ascii="Cambria Math" w:hAnsi="Cambria Math" w:cs="Cambria Math"/>
                <w:color w:val="000000" w:themeColor="text1"/>
                <w:szCs w:val="21"/>
                <w14:textFill>
                  <w14:solidFill>
                    <w14:schemeClr w14:val="tx1"/>
                  </w14:solidFill>
                </w14:textFill>
              </w:rPr>
              <w:t>𝑎</w:t>
            </w:r>
            <w:r>
              <w:rPr>
                <w:rFonts w:hint="eastAsia"/>
                <w:color w:val="000000" w:themeColor="text1"/>
                <w:szCs w:val="21"/>
                <w14:textFill>
                  <w14:solidFill>
                    <w14:schemeClr w14:val="tx1"/>
                  </w14:solidFill>
                </w14:textFill>
              </w:rPr>
              <w:t>、ƒ</w:t>
            </w:r>
            <w:r>
              <w:rPr>
                <w:rFonts w:ascii="Cambria Math" w:hAnsi="Cambria Math" w:cs="Cambria Math"/>
                <w:color w:val="000000" w:themeColor="text1"/>
                <w:szCs w:val="21"/>
                <w14:textFill>
                  <w14:solidFill>
                    <w14:schemeClr w14:val="tx1"/>
                  </w14:solidFill>
                </w14:textFill>
              </w:rPr>
              <w:t>𝑐</w:t>
            </w:r>
            <w:r>
              <w:rPr>
                <w:rFonts w:hint="eastAsia"/>
                <w:color w:val="000000" w:themeColor="text1"/>
                <w:szCs w:val="21"/>
                <w14:textFill>
                  <w14:solidFill>
                    <w14:schemeClr w14:val="tx1"/>
                  </w14:solidFill>
                </w14:textFill>
              </w:rPr>
              <w:t>、ƒ</w:t>
            </w:r>
            <w:r>
              <w:rPr>
                <w:rFonts w:ascii="Cambria Math" w:hAnsi="Cambria Math" w:cs="Cambria Math"/>
                <w:color w:val="000000" w:themeColor="text1"/>
                <w:szCs w:val="21"/>
                <w14:textFill>
                  <w14:solidFill>
                    <w14:schemeClr w14:val="tx1"/>
                  </w14:solidFill>
                </w14:textFill>
              </w:rPr>
              <w:t>𝑦</w:t>
            </w:r>
          </w:p>
        </w:tc>
        <w:tc>
          <w:tcPr>
            <w:tcW w:w="715" w:type="dxa"/>
            <w:vAlign w:val="center"/>
          </w:tcPr>
          <w:p>
            <w:pPr>
              <w:spacing w:line="36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c>
          <w:tcPr>
            <w:tcW w:w="5653" w:type="dxa"/>
            <w:gridSpan w:val="2"/>
            <w:vAlign w:val="center"/>
          </w:tcPr>
          <w:p>
            <w:pPr>
              <w:spacing w:line="360" w:lineRule="auto"/>
              <w:ind w:firstLine="0"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钢材、混凝土、钢筋抗压强度设计值；</w:t>
            </w:r>
          </w:p>
        </w:tc>
      </w:tr>
    </w:tbl>
    <w:p>
      <w:pPr>
        <w:spacing w:line="360" w:lineRule="auto"/>
        <w:ind w:firstLine="420"/>
        <w:rPr>
          <w:rFonts w:cs="Times New Roman"/>
          <w:color w:val="000000" w:themeColor="text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14:textFill>
            <w14:solidFill>
              <w14:schemeClr w14:val="tx1"/>
            </w14:solidFill>
          </w14:textFill>
        </w:rPr>
        <w:t>轴心受压构件的整体稳定计算应符合下列要求：</w:t>
      </w:r>
    </w:p>
    <w:tbl>
      <w:tblPr>
        <w:tblStyle w:val="32"/>
        <w:tblW w:w="0" w:type="dxa"/>
        <w:tblInd w:w="0" w:type="dxa"/>
        <w:tblLayout w:type="fixed"/>
        <w:tblCellMar>
          <w:top w:w="0" w:type="dxa"/>
          <w:left w:w="108" w:type="dxa"/>
          <w:bottom w:w="0" w:type="dxa"/>
          <w:right w:w="108" w:type="dxa"/>
        </w:tblCellMar>
      </w:tblPr>
      <w:tblGrid>
        <w:gridCol w:w="817"/>
        <w:gridCol w:w="1199"/>
        <w:gridCol w:w="727"/>
        <w:gridCol w:w="3687"/>
        <w:gridCol w:w="2093"/>
      </w:tblGrid>
      <w:tr>
        <w:tblPrEx>
          <w:tblCellMar>
            <w:top w:w="0" w:type="dxa"/>
            <w:left w:w="108" w:type="dxa"/>
            <w:bottom w:w="0" w:type="dxa"/>
            <w:right w:w="108" w:type="dxa"/>
          </w:tblCellMar>
        </w:tblPrEx>
        <w:tc>
          <w:tcPr>
            <w:tcW w:w="6430" w:type="dxa"/>
            <w:gridSpan w:val="4"/>
            <w:vAlign w:val="center"/>
          </w:tcPr>
          <w:p>
            <w:pPr>
              <w:spacing w:line="360" w:lineRule="auto"/>
              <w:ind w:firstLine="0" w:firstLineChars="0"/>
              <w:jc w:val="center"/>
              <w:rPr>
                <w:rFonts w:cs="Times New Roman"/>
                <w:color w:val="000000" w:themeColor="text1"/>
                <w:position w:val="-30"/>
                <w:szCs w:val="21"/>
                <w14:textFill>
                  <w14:solidFill>
                    <w14:schemeClr w14:val="tx1"/>
                  </w14:solidFill>
                </w14:textFill>
              </w:rPr>
            </w:pPr>
            <m:oMathPara>
              <m:oMath>
                <m:r>
                  <w:rPr>
                    <w:rFonts w:ascii="Cambria Math" w:hAnsi="Cambria Math" w:cs="Times New Roman"/>
                    <w:color w:val="000000" w:themeColor="text1"/>
                    <w:szCs w:val="21"/>
                    <w14:textFill>
                      <w14:solidFill>
                        <w14:schemeClr w14:val="tx1"/>
                      </w14:solidFill>
                    </w14:textFill>
                  </w:rPr>
                  <m:t>N≤</m:t>
                </m:r>
                <m:r>
                  <m:rPr>
                    <m:sty m:val="bi"/>
                  </m:rPr>
                  <w:rPr>
                    <w:rFonts w:ascii="Cambria Math" w:hAnsi="Cambria Math"/>
                    <w:color w:val="000000" w:themeColor="text1"/>
                    <w:kern w:val="0"/>
                    <w:szCs w:val="21"/>
                    <w14:textFill>
                      <w14:solidFill>
                        <w14:schemeClr w14:val="tx1"/>
                      </w14:solidFill>
                    </w14:textFill>
                  </w:rPr>
                  <m:t>φ</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cs="Times New Roman"/>
                        <w:i/>
                        <w:color w:val="000000" w:themeColor="text1"/>
                        <w:szCs w:val="21"/>
                        <w14:textFill>
                          <w14:solidFill>
                            <w14:schemeClr w14:val="tx1"/>
                          </w14:solidFill>
                        </w14:textFill>
                      </w:rPr>
                    </m:ctrlPr>
                  </m:sub>
                </m:sSub>
              </m:oMath>
            </m:oMathPara>
          </w:p>
        </w:tc>
        <w:tc>
          <w:tcPr>
            <w:tcW w:w="2093" w:type="dxa"/>
            <w:vAlign w:val="center"/>
          </w:tcPr>
          <w:p>
            <w:pPr>
              <w:tabs>
                <w:tab w:val="left" w:pos="6555"/>
              </w:tabs>
              <w:spacing w:line="360" w:lineRule="auto"/>
              <w:ind w:right="420"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(F.0.6-3)</w:t>
            </w:r>
          </w:p>
        </w:tc>
      </w:tr>
      <w:tr>
        <w:tblPrEx>
          <w:tblCellMar>
            <w:top w:w="0" w:type="dxa"/>
            <w:left w:w="108" w:type="dxa"/>
            <w:bottom w:w="0" w:type="dxa"/>
            <w:right w:w="108" w:type="dxa"/>
          </w:tblCellMar>
        </w:tblPrEx>
        <w:tc>
          <w:tcPr>
            <w:tcW w:w="817" w:type="dxa"/>
            <w:vAlign w:val="center"/>
          </w:tcPr>
          <w:p>
            <w:pPr>
              <w:spacing w:line="360" w:lineRule="auto"/>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式中</w:t>
            </w:r>
            <w:r>
              <w:rPr>
                <w:rFonts w:hint="eastAsia" w:cs="Times New Roman"/>
                <w:color w:val="000000" w:themeColor="text1"/>
                <w:szCs w:val="21"/>
                <w14:textFill>
                  <w14:solidFill>
                    <w14:schemeClr w14:val="tx1"/>
                  </w14:solidFill>
                </w14:textFill>
              </w:rPr>
              <w:t>：</w:t>
            </w:r>
          </w:p>
        </w:tc>
        <w:tc>
          <w:tcPr>
            <w:tcW w:w="1199" w:type="dxa"/>
            <w:vAlign w:val="center"/>
          </w:tcPr>
          <w:p>
            <w:pPr>
              <w:spacing w:line="360" w:lineRule="auto"/>
              <w:ind w:firstLine="0" w:firstLineChars="0"/>
              <w:jc w:val="center"/>
              <w:rPr>
                <w:rFonts w:cs="Times New Roman"/>
                <w:color w:val="000000" w:themeColor="text1"/>
                <w:szCs w:val="21"/>
                <w14:textFill>
                  <w14:solidFill>
                    <w14:schemeClr w14:val="tx1"/>
                  </w14:solidFill>
                </w14:textFill>
              </w:rPr>
            </w:pPr>
            <m:oMathPara>
              <m:oMath>
                <m:r>
                  <w:rPr>
                    <w:rFonts w:ascii="Cambria Math" w:hAnsi="Cambria Math" w:cs="Times New Roman"/>
                    <w:color w:val="000000" w:themeColor="text1"/>
                    <w:szCs w:val="21"/>
                    <w14:textFill>
                      <w14:solidFill>
                        <w14:schemeClr w14:val="tx1"/>
                      </w14:solidFill>
                    </w14:textFill>
                  </w:rPr>
                  <m:t>N</m:t>
                </m:r>
                <m:r>
                  <w:rPr>
                    <w:rFonts w:hint="eastAsia"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cs="Times New Roman"/>
                        <w:i/>
                        <w:color w:val="000000" w:themeColor="text1"/>
                        <w:szCs w:val="21"/>
                        <w14:textFill>
                          <w14:solidFill>
                            <w14:schemeClr w14:val="tx1"/>
                          </w14:solidFill>
                        </w14:textFill>
                      </w:rPr>
                    </m:ctrlPr>
                  </m:sub>
                </m:sSub>
              </m:oMath>
            </m:oMathPara>
          </w:p>
        </w:tc>
        <w:tc>
          <w:tcPr>
            <w:tcW w:w="727" w:type="dxa"/>
            <w:vAlign w:val="center"/>
          </w:tcPr>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5780" w:type="dxa"/>
            <w:gridSpan w:val="2"/>
            <w:vAlign w:val="center"/>
          </w:tcPr>
          <w:p>
            <w:pPr>
              <w:spacing w:line="360" w:lineRule="auto"/>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轴向</w:t>
            </w:r>
            <w:r>
              <w:rPr>
                <w:rFonts w:hint="eastAsia" w:ascii="宋体" w:hAnsi="宋体" w:cs="宋体"/>
                <w:color w:val="000000" w:themeColor="text1"/>
                <w14:textFill>
                  <w14:solidFill>
                    <w14:schemeClr w14:val="tx1"/>
                  </w14:solidFill>
                </w14:textFill>
              </w:rPr>
              <w:t>压力设计值、截面受压承载力设计值</w:t>
            </w:r>
            <w:r>
              <w:rPr>
                <w:rFonts w:hint="eastAsia" w:cs="Times New Roman"/>
                <w:color w:val="000000" w:themeColor="text1"/>
                <w14:textFill>
                  <w14:solidFill>
                    <w14:schemeClr w14:val="tx1"/>
                  </w14:solidFill>
                </w14:textFill>
              </w:rPr>
              <w:t>；</w:t>
            </w:r>
          </w:p>
        </w:tc>
      </w:tr>
      <w:tr>
        <w:tblPrEx>
          <w:tblCellMar>
            <w:top w:w="0" w:type="dxa"/>
            <w:left w:w="108" w:type="dxa"/>
            <w:bottom w:w="0" w:type="dxa"/>
            <w:right w:w="108" w:type="dxa"/>
          </w:tblCellMar>
        </w:tblPrEx>
        <w:trPr>
          <w:trHeight w:val="312" w:hRule="atLeast"/>
        </w:trPr>
        <w:tc>
          <w:tcPr>
            <w:tcW w:w="817" w:type="dxa"/>
            <w:vAlign w:val="center"/>
          </w:tcPr>
          <w:p>
            <w:pPr>
              <w:spacing w:line="360" w:lineRule="auto"/>
              <w:ind w:firstLine="0" w:firstLineChars="0"/>
              <w:jc w:val="center"/>
              <w:rPr>
                <w:rFonts w:cs="Times New Roman"/>
                <w:color w:val="000000" w:themeColor="text1"/>
                <w:szCs w:val="21"/>
                <w14:textFill>
                  <w14:solidFill>
                    <w14:schemeClr w14:val="tx1"/>
                  </w14:solidFill>
                </w14:textFill>
              </w:rPr>
            </w:pPr>
          </w:p>
        </w:tc>
        <w:tc>
          <w:tcPr>
            <w:tcW w:w="1199" w:type="dxa"/>
            <w:vAlign w:val="center"/>
          </w:tcPr>
          <w:p>
            <w:pPr>
              <w:spacing w:line="360" w:lineRule="auto"/>
              <w:ind w:firstLine="0" w:firstLineChars="0"/>
              <w:jc w:val="center"/>
              <w:rPr>
                <w:rFonts w:cs="Times New Roman"/>
                <w:color w:val="000000" w:themeColor="text1"/>
                <w:position w:val="-12"/>
                <w:szCs w:val="21"/>
                <w14:textFill>
                  <w14:solidFill>
                    <w14:schemeClr w14:val="tx1"/>
                  </w14:solidFill>
                </w14:textFill>
              </w:rPr>
            </w:pPr>
            <m:oMathPara>
              <m:oMath>
                <m:r>
                  <m:rPr>
                    <m:sty m:val="bi"/>
                  </m:rPr>
                  <w:rPr>
                    <w:rFonts w:ascii="Cambria Math" w:hAnsi="Cambria Math"/>
                    <w:color w:val="000000" w:themeColor="text1"/>
                    <w:kern w:val="0"/>
                    <w:szCs w:val="21"/>
                    <w14:textFill>
                      <w14:solidFill>
                        <w14:schemeClr w14:val="tx1"/>
                      </w14:solidFill>
                    </w14:textFill>
                  </w:rPr>
                  <m:t>φ</m:t>
                </m:r>
              </m:oMath>
            </m:oMathPara>
          </w:p>
        </w:tc>
        <w:tc>
          <w:tcPr>
            <w:tcW w:w="727" w:type="dxa"/>
            <w:vAlign w:val="center"/>
          </w:tcPr>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5780" w:type="dxa"/>
            <w:gridSpan w:val="2"/>
            <w:vAlign w:val="center"/>
          </w:tcPr>
          <w:p>
            <w:pPr>
              <w:spacing w:line="360" w:lineRule="auto"/>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轴心受压构件的稳定系数</w:t>
            </w:r>
            <w:r>
              <w:rPr>
                <w:rFonts w:hint="eastAsia" w:cs="Times New Roman"/>
                <w:color w:val="000000" w:themeColor="text1"/>
                <w14:textFill>
                  <w14:solidFill>
                    <w14:schemeClr w14:val="tx1"/>
                  </w14:solidFill>
                </w14:textFill>
              </w:rPr>
              <w:t>。</w:t>
            </w:r>
          </w:p>
        </w:tc>
      </w:tr>
    </w:tbl>
    <w:p>
      <w:pPr>
        <w:spacing w:line="360" w:lineRule="auto"/>
        <w:ind w:firstLine="420"/>
        <w:rPr>
          <w:rFonts w:cs="Times New Roman"/>
          <w:bCs/>
          <w:color w:val="000000" w:themeColor="text1"/>
          <w14:textFill>
            <w14:solidFill>
              <w14:schemeClr w14:val="tx1"/>
            </w14:solidFill>
          </w14:textFill>
        </w:rPr>
      </w:pPr>
      <w:r>
        <w:rPr>
          <w:rFonts w:hint="eastAsia" w:cs="Times New Roman"/>
          <w:bCs/>
          <w:color w:val="000000" w:themeColor="text1"/>
          <w14:textFill>
            <w14:solidFill>
              <w14:schemeClr w14:val="tx1"/>
            </w14:solidFill>
          </w14:textFill>
        </w:rPr>
        <w:t>轴心受压构件的稳定系数</w:t>
      </w:r>
      <m:oMath>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cs="Times New Roman"/>
                <w:i/>
                <w:color w:val="000000" w:themeColor="text1"/>
                <w:szCs w:val="21"/>
                <w14:textFill>
                  <w14:solidFill>
                    <w14:schemeClr w14:val="tx1"/>
                  </w14:solidFill>
                </w14:textFill>
              </w:rPr>
            </m:ctrlPr>
          </m:sub>
        </m:sSub>
      </m:oMath>
      <w:r>
        <w:rPr>
          <w:rFonts w:hint="eastAsia" w:cs="Times New Roman"/>
          <w:bCs/>
          <w:color w:val="000000" w:themeColor="text1"/>
          <w14:textFill>
            <w14:solidFill>
              <w14:schemeClr w14:val="tx1"/>
            </w14:solidFill>
          </w14:textFill>
        </w:rPr>
        <w:t>取截面两主轴稳定系数中的较小值。对強轴采用国家现行标准《钢结构设计标准》</w:t>
      </w:r>
      <w:r>
        <w:rPr>
          <w:rFonts w:cs="Times New Roman"/>
          <w:bCs/>
          <w:color w:val="000000" w:themeColor="text1"/>
          <w14:textFill>
            <w14:solidFill>
              <w14:schemeClr w14:val="tx1"/>
            </w14:solidFill>
          </w14:textFill>
        </w:rPr>
        <w:t>GB 50017</w:t>
      </w:r>
      <w:r>
        <w:rPr>
          <w:rFonts w:hint="eastAsia" w:cs="Times New Roman"/>
          <w:bCs/>
          <w:color w:val="000000" w:themeColor="text1"/>
          <w14:textFill>
            <w14:solidFill>
              <w14:schemeClr w14:val="tx1"/>
            </w14:solidFill>
          </w14:textFill>
        </w:rPr>
        <w:t>规定的</w:t>
      </w:r>
      <w:r>
        <w:rPr>
          <w:rFonts w:cs="Times New Roman"/>
          <w:bCs/>
          <w:color w:val="000000" w:themeColor="text1"/>
          <w14:textFill>
            <w14:solidFill>
              <w14:schemeClr w14:val="tx1"/>
            </w14:solidFill>
          </w14:textFill>
        </w:rPr>
        <w:t>b</w:t>
      </w:r>
      <w:r>
        <w:rPr>
          <w:rFonts w:hint="eastAsia" w:cs="Times New Roman"/>
          <w:bCs/>
          <w:color w:val="000000" w:themeColor="text1"/>
          <w14:textFill>
            <w14:solidFill>
              <w14:schemeClr w14:val="tx1"/>
            </w14:solidFill>
          </w14:textFill>
        </w:rPr>
        <w:t>曲线，对弱轴采用该标准规定的</w:t>
      </w:r>
      <w:r>
        <w:rPr>
          <w:rFonts w:cs="Times New Roman"/>
          <w:bCs/>
          <w:color w:val="000000" w:themeColor="text1"/>
          <w14:textFill>
            <w14:solidFill>
              <w14:schemeClr w14:val="tx1"/>
            </w14:solidFill>
          </w14:textFill>
        </w:rPr>
        <w:t>c</w:t>
      </w:r>
      <w:r>
        <w:rPr>
          <w:rFonts w:hint="eastAsia" w:cs="Times New Roman"/>
          <w:bCs/>
          <w:color w:val="000000" w:themeColor="text1"/>
          <w14:textFill>
            <w14:solidFill>
              <w14:schemeClr w14:val="tx1"/>
            </w14:solidFill>
          </w14:textFill>
        </w:rPr>
        <w:t>曲线。计算长细比时，按组合截面计算回转半径，计算相对长细比时采用主钢件钢材的屈服强度。</w:t>
      </w:r>
      <w:r>
        <w:rPr>
          <w:rFonts w:cs="Times New Roman"/>
          <w:bCs/>
          <w:color w:val="000000" w:themeColor="text1"/>
          <w14:textFill>
            <w14:solidFill>
              <w14:schemeClr w14:val="tx1"/>
            </w14:solidFill>
          </w14:textFill>
        </w:rPr>
        <w:t xml:space="preserve"> </w:t>
      </w:r>
    </w:p>
    <w:p>
      <w:pPr>
        <w:spacing w:line="276" w:lineRule="auto"/>
        <w:ind w:firstLine="420"/>
        <w:rPr>
          <w:rFonts w:cs="Times New Roman"/>
          <w:bCs/>
          <w:color w:val="000000" w:themeColor="text1"/>
          <w14:textFill>
            <w14:solidFill>
              <w14:schemeClr w14:val="tx1"/>
            </w14:solidFill>
          </w14:textFill>
        </w:rPr>
      </w:pPr>
      <w:r>
        <w:rPr>
          <w:rFonts w:hint="eastAsia" w:cs="Times New Roman"/>
          <w:bCs/>
          <w:color w:val="000000" w:themeColor="text1"/>
          <w14:textFill>
            <w14:solidFill>
              <w14:schemeClr w14:val="tx1"/>
            </w14:solidFill>
          </w14:textFill>
        </w:rPr>
        <w:t>组合截面回转半径按下式计算：</w:t>
      </w:r>
    </w:p>
    <w:tbl>
      <w:tblPr>
        <w:tblStyle w:val="32"/>
        <w:tblW w:w="0" w:type="dxa"/>
        <w:tblInd w:w="0" w:type="dxa"/>
        <w:tblLayout w:type="fixed"/>
        <w:tblCellMar>
          <w:top w:w="0" w:type="dxa"/>
          <w:left w:w="108" w:type="dxa"/>
          <w:bottom w:w="0" w:type="dxa"/>
          <w:right w:w="108" w:type="dxa"/>
        </w:tblCellMar>
      </w:tblPr>
      <w:tblGrid>
        <w:gridCol w:w="817"/>
        <w:gridCol w:w="614"/>
        <w:gridCol w:w="675"/>
        <w:gridCol w:w="4324"/>
        <w:gridCol w:w="2093"/>
      </w:tblGrid>
      <w:tr>
        <w:tblPrEx>
          <w:tblCellMar>
            <w:top w:w="0" w:type="dxa"/>
            <w:left w:w="108" w:type="dxa"/>
            <w:bottom w:w="0" w:type="dxa"/>
            <w:right w:w="108" w:type="dxa"/>
          </w:tblCellMar>
        </w:tblPrEx>
        <w:tc>
          <w:tcPr>
            <w:tcW w:w="6430" w:type="dxa"/>
            <w:gridSpan w:val="4"/>
            <w:vAlign w:val="center"/>
          </w:tcPr>
          <w:p>
            <w:pPr>
              <w:ind w:firstLine="0" w:firstLineChars="0"/>
              <w:jc w:val="center"/>
              <w:rPr>
                <w:rFonts w:cs="Times New Roman"/>
                <w:color w:val="000000" w:themeColor="text1"/>
                <w:position w:val="-30"/>
                <w:szCs w:val="21"/>
                <w14:textFill>
                  <w14:solidFill>
                    <w14:schemeClr w14:val="tx1"/>
                  </w14:solidFill>
                </w14:textFill>
              </w:rPr>
            </w:pPr>
            <w:r>
              <w:rPr>
                <w:rFonts w:ascii="Cambria Math" w:hAnsi="Cambria Math" w:cs="Cambria Math"/>
                <w:color w:val="000000" w:themeColor="text1"/>
                <w:szCs w:val="21"/>
                <w14:textFill>
                  <w14:solidFill>
                    <w14:schemeClr w14:val="tx1"/>
                  </w14:solidFill>
                </w14:textFill>
              </w:rPr>
              <w:t>𝑖</w:t>
            </w:r>
            <w:r>
              <w:rPr>
                <w:rFonts w:cs="Times New Roman"/>
                <w:color w:val="000000" w:themeColor="text1"/>
                <w:szCs w:val="21"/>
                <w14:textFill>
                  <w14:solidFill>
                    <w14:schemeClr w14:val="tx1"/>
                  </w14:solidFill>
                </w14:textFill>
              </w:rPr>
              <w:t>=</w:t>
            </w:r>
            <m:oMath>
              <m:r>
                <m:rPr>
                  <m:sty m:val="p"/>
                </m:rPr>
                <w:rPr>
                  <w:rFonts w:ascii="Cambria Math" w:hAnsi="Cambria Math" w:cs="Times New Roman"/>
                  <w:color w:val="000000" w:themeColor="text1"/>
                  <w:szCs w:val="21"/>
                  <w14:textFill>
                    <w14:solidFill>
                      <w14:schemeClr w14:val="tx1"/>
                    </w14:solidFill>
                  </w14:textFill>
                </w:rPr>
                <m:t>E</m:t>
              </m:r>
            </m:oMath>
            <w:r>
              <w:rPr>
                <w:rFonts w:ascii="Cambria Math" w:hAnsi="Cambria Math" w:cs="Cambria Math"/>
                <w:color w:val="000000" w:themeColor="text1"/>
                <w:szCs w:val="21"/>
                <w14:textFill>
                  <w14:solidFill>
                    <w14:schemeClr w14:val="tx1"/>
                  </w14:solidFill>
                </w14:textFill>
              </w:rPr>
              <w:t>𝑎𝐼𝑎</w:t>
            </w:r>
            <w:r>
              <w:rPr>
                <w:rFonts w:cs="Times New Roman"/>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𝐸𝑐𝐼𝑐𝐸𝑎𝐴𝑎</w:t>
            </w:r>
            <w:r>
              <w:rPr>
                <w:rFonts w:cs="Times New Roman"/>
                <w:color w:val="000000" w:themeColor="text1"/>
                <w:szCs w:val="21"/>
                <w14:textFill>
                  <w14:solidFill>
                    <w14:schemeClr w14:val="tx1"/>
                  </w14:solidFill>
                </w14:textFill>
              </w:rPr>
              <w:t>+</w:t>
            </w:r>
            <w:r>
              <w:rPr>
                <w:rFonts w:ascii="Cambria Math" w:hAnsi="Cambria Math" w:cs="Cambria Math"/>
                <w:color w:val="000000" w:themeColor="text1"/>
                <w:szCs w:val="21"/>
                <w14:textFill>
                  <w14:solidFill>
                    <w14:schemeClr w14:val="tx1"/>
                  </w14:solidFill>
                </w14:textFill>
              </w:rPr>
              <w:t>𝐸𝑐𝐴𝑐</w:t>
            </w:r>
          </w:p>
        </w:tc>
        <w:tc>
          <w:tcPr>
            <w:tcW w:w="2093" w:type="dxa"/>
            <w:vAlign w:val="center"/>
          </w:tcPr>
          <w:p>
            <w:pPr>
              <w:tabs>
                <w:tab w:val="left" w:pos="6555"/>
              </w:tabs>
              <w:ind w:right="420"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(F.0.6-4)</w:t>
            </w:r>
          </w:p>
        </w:tc>
      </w:tr>
      <w:tr>
        <w:tblPrEx>
          <w:tblCellMar>
            <w:top w:w="0" w:type="dxa"/>
            <w:left w:w="108" w:type="dxa"/>
            <w:bottom w:w="0" w:type="dxa"/>
            <w:right w:w="108" w:type="dxa"/>
          </w:tblCellMar>
        </w:tblPrEx>
        <w:tc>
          <w:tcPr>
            <w:tcW w:w="817" w:type="dxa"/>
            <w:vAlign w:val="center"/>
          </w:tcPr>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式中：</w:t>
            </w:r>
          </w:p>
        </w:tc>
        <w:tc>
          <w:tcPr>
            <w:tcW w:w="614" w:type="dxa"/>
            <w:vAlign w:val="center"/>
          </w:tcPr>
          <w:p>
            <w:pPr>
              <w:spacing w:line="360" w:lineRule="auto"/>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i</w:t>
            </w:r>
          </w:p>
        </w:tc>
        <w:tc>
          <w:tcPr>
            <w:tcW w:w="675" w:type="dxa"/>
            <w:vAlign w:val="center"/>
          </w:tcPr>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417" w:type="dxa"/>
            <w:gridSpan w:val="2"/>
            <w:vAlign w:val="center"/>
          </w:tcPr>
          <w:p>
            <w:pPr>
              <w:spacing w:line="360" w:lineRule="auto"/>
              <w:ind w:firstLine="0" w:firstLineChars="0"/>
              <w:jc w:val="left"/>
              <w:rPr>
                <w:rFonts w:cs="Times New Roman"/>
                <w:color w:val="000000" w:themeColor="text1"/>
                <w:szCs w:val="21"/>
                <w14:textFill>
                  <w14:solidFill>
                    <w14:schemeClr w14:val="tx1"/>
                  </w14:solidFill>
                </w14:textFill>
              </w:rPr>
            </w:pPr>
            <w:r>
              <w:rPr>
                <w:rFonts w:hint="eastAsia" w:cs="Times New Roman"/>
                <w:bCs/>
                <w:color w:val="000000" w:themeColor="text1"/>
                <w14:textFill>
                  <w14:solidFill>
                    <w14:schemeClr w14:val="tx1"/>
                  </w14:solidFill>
                </w14:textFill>
              </w:rPr>
              <w:t>组合截面回转半径</w:t>
            </w:r>
            <w:r>
              <w:rPr>
                <w:rFonts w:hint="eastAsia" w:cs="Times New Roman"/>
                <w:color w:val="000000" w:themeColor="text1"/>
                <w14:textFill>
                  <w14:solidFill>
                    <w14:schemeClr w14:val="tx1"/>
                  </w14:solidFill>
                </w14:textFill>
              </w:rPr>
              <w:t>。</w:t>
            </w:r>
          </w:p>
        </w:tc>
      </w:tr>
    </w:tbl>
    <w:p>
      <w:pPr>
        <w:spacing w:line="360" w:lineRule="auto"/>
        <w:ind w:firstLine="420"/>
        <w:rPr>
          <w:rFonts w:cs="Times New Roman"/>
          <w:bCs/>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轴心受力构件和框架柱的计算长度按国家现行标准《</w:t>
      </w:r>
      <w:r>
        <w:rPr>
          <w:rFonts w:hint="eastAsia" w:cs="Times New Roman"/>
          <w:bCs/>
          <w:color w:val="000000" w:themeColor="text1"/>
          <w14:textFill>
            <w14:solidFill>
              <w14:schemeClr w14:val="tx1"/>
            </w14:solidFill>
          </w14:textFill>
        </w:rPr>
        <w:t>钢结构设计标准</w:t>
      </w:r>
      <w:r>
        <w:rPr>
          <w:rFonts w:hint="eastAsia" w:cs="Times New Roman"/>
          <w:color w:val="000000" w:themeColor="text1"/>
          <w14:textFill>
            <w14:solidFill>
              <w14:schemeClr w14:val="tx1"/>
            </w14:solidFill>
          </w14:textFill>
        </w:rPr>
        <w:t>》</w:t>
      </w:r>
      <w:r>
        <w:rPr>
          <w:rFonts w:cs="Times New Roman"/>
          <w:bCs/>
          <w:color w:val="000000" w:themeColor="text1"/>
          <w14:textFill>
            <w14:solidFill>
              <w14:schemeClr w14:val="tx1"/>
            </w14:solidFill>
          </w14:textFill>
        </w:rPr>
        <w:t>GB 50017</w:t>
      </w:r>
      <w:r>
        <w:rPr>
          <w:rFonts w:hint="eastAsia" w:cs="Times New Roman"/>
          <w:bCs/>
          <w:color w:val="000000" w:themeColor="text1"/>
          <w14:textFill>
            <w14:solidFill>
              <w14:schemeClr w14:val="tx1"/>
            </w14:solidFill>
          </w14:textFill>
        </w:rPr>
        <w:t>规定执行。确定框架柱的柱端约束时所采用的组合梁、组合柱线刚度，应按下式计算相应的构件截面等效刚度。</w:t>
      </w:r>
    </w:p>
    <w:tbl>
      <w:tblPr>
        <w:tblStyle w:val="32"/>
        <w:tblW w:w="0" w:type="dxa"/>
        <w:tblInd w:w="0" w:type="dxa"/>
        <w:tblLayout w:type="fixed"/>
        <w:tblCellMar>
          <w:top w:w="0" w:type="dxa"/>
          <w:left w:w="108" w:type="dxa"/>
          <w:bottom w:w="0" w:type="dxa"/>
          <w:right w:w="108" w:type="dxa"/>
        </w:tblCellMar>
      </w:tblPr>
      <w:tblGrid>
        <w:gridCol w:w="817"/>
        <w:gridCol w:w="1377"/>
        <w:gridCol w:w="745"/>
        <w:gridCol w:w="4166"/>
        <w:gridCol w:w="1418"/>
      </w:tblGrid>
      <w:tr>
        <w:tblPrEx>
          <w:tblCellMar>
            <w:top w:w="0" w:type="dxa"/>
            <w:left w:w="108" w:type="dxa"/>
            <w:bottom w:w="0" w:type="dxa"/>
            <w:right w:w="108" w:type="dxa"/>
          </w:tblCellMar>
        </w:tblPrEx>
        <w:tc>
          <w:tcPr>
            <w:tcW w:w="7105" w:type="dxa"/>
            <w:gridSpan w:val="4"/>
            <w:vAlign w:val="center"/>
          </w:tcPr>
          <w:p>
            <w:pPr>
              <w:ind w:firstLine="0" w:firstLineChars="0"/>
              <w:rPr>
                <w:rFonts w:cs="Times New Roman"/>
                <w:color w:val="000000" w:themeColor="text1"/>
                <w:position w:val="-30"/>
                <w:szCs w:val="21"/>
                <w14:textFill>
                  <w14:solidFill>
                    <w14:schemeClr w14:val="tx1"/>
                  </w14:solidFill>
                </w14:textFill>
              </w:rPr>
            </w:pPr>
            <m:oMathPara>
              <m:oMath>
                <m:sSub>
                  <m:sSubPr>
                    <m:ctrlPr>
                      <w:rPr>
                        <w:rFonts w:ascii="Cambria Math" w:hAnsi="Cambria Math" w:cs="Times New Roman"/>
                        <w:iCs/>
                        <w:color w:val="000000" w:themeColor="text1"/>
                        <w:szCs w:val="21"/>
                        <w14:textFill>
                          <w14:solidFill>
                            <w14:schemeClr w14:val="tx1"/>
                          </w14:solidFill>
                        </w14:textFill>
                      </w:rPr>
                    </m:ctrlPr>
                  </m:sSubPr>
                  <m:e>
                    <m:r>
                      <m:rPr>
                        <m:sty m:val="p"/>
                      </m:rPr>
                      <w:rPr>
                        <w:rFonts w:hint="eastAsia" w:ascii="Cambria Math" w:hAnsi="Cambria Math" w:cs="Times New Roman"/>
                        <w:color w:val="000000" w:themeColor="text1"/>
                        <w:szCs w:val="21"/>
                        <w14:textFill>
                          <w14:solidFill>
                            <w14:schemeClr w14:val="tx1"/>
                          </w14:solidFill>
                        </w14:textFill>
                      </w:rPr>
                      <m:t>（</m:t>
                    </m:r>
                    <m:r>
                      <m:rPr>
                        <m:sty m:val="p"/>
                      </m:rPr>
                      <w:rPr>
                        <w:rFonts w:ascii="Cambria Math" w:hAnsi="Cambria Math" w:cs="Times New Roman"/>
                        <w:color w:val="000000" w:themeColor="text1"/>
                        <w:szCs w:val="21"/>
                        <w14:textFill>
                          <w14:solidFill>
                            <w14:schemeClr w14:val="tx1"/>
                          </w14:solidFill>
                        </w14:textFill>
                      </w:rPr>
                      <m:t>EI</m:t>
                    </m:r>
                    <m:r>
                      <m:rPr>
                        <m:sty m:val="p"/>
                      </m:rPr>
                      <w:rPr>
                        <w:rFonts w:hint="eastAsia" w:ascii="Cambria Math" w:hAnsi="Cambria Math" w:cs="Times New Roman"/>
                        <w:color w:val="000000" w:themeColor="text1"/>
                        <w:szCs w:val="21"/>
                        <w14:textFill>
                          <w14:solidFill>
                            <w14:schemeClr w14:val="tx1"/>
                          </w14:solidFill>
                        </w14:textFill>
                      </w:rPr>
                      <m:t>）</m:t>
                    </m:r>
                    <m:ctrlPr>
                      <w:rPr>
                        <w:rFonts w:ascii="Cambria Math" w:hAnsi="Cambria Math" w:cs="Times New Roman"/>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iCs/>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i/>
                        <w:iCs/>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i/>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i/>
                        <w:iCs/>
                        <w:color w:val="000000" w:themeColor="text1"/>
                        <w:szCs w:val="21"/>
                        <w14:textFill>
                          <w14:solidFill>
                            <w14:schemeClr w14:val="tx1"/>
                          </w14:solidFill>
                        </w14:textFill>
                      </w:rPr>
                    </m:ctrlPr>
                  </m:sub>
                </m:sSub>
                <m:sSub>
                  <m:sSubPr>
                    <m:ctrlPr>
                      <w:rPr>
                        <w:rFonts w:ascii="Cambria Math" w:hAnsi="Cambria Math" w:cs="Times New Roman"/>
                        <w:i/>
                        <w:iCs/>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i/>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i/>
                        <w:iCs/>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i/>
                        <w:iCs/>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i/>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s</m:t>
                    </m:r>
                    <m:ctrlPr>
                      <w:rPr>
                        <w:rFonts w:ascii="Cambria Math" w:hAnsi="Cambria Math" w:cs="Times New Roman"/>
                        <w:i/>
                        <w:iCs/>
                        <w:color w:val="000000" w:themeColor="text1"/>
                        <w:szCs w:val="21"/>
                        <w14:textFill>
                          <w14:solidFill>
                            <w14:schemeClr w14:val="tx1"/>
                          </w14:solidFill>
                        </w14:textFill>
                      </w:rPr>
                    </m:ctrlPr>
                  </m:sub>
                </m:sSub>
                <m:sSub>
                  <m:sSubPr>
                    <m:ctrlPr>
                      <w:rPr>
                        <w:rFonts w:ascii="Cambria Math" w:hAnsi="Cambria Math" w:cs="Times New Roman"/>
                        <w:i/>
                        <w:iCs/>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i/>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s</m:t>
                    </m:r>
                    <m:ctrlPr>
                      <w:rPr>
                        <w:rFonts w:ascii="Cambria Math" w:hAnsi="Cambria Math" w:cs="Times New Roman"/>
                        <w:i/>
                        <w:iCs/>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i/>
                        <w:iCs/>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k</m:t>
                    </m:r>
                    <m:ctrlPr>
                      <w:rPr>
                        <w:rFonts w:ascii="Cambria Math" w:hAnsi="Cambria Math" w:cs="Times New Roman"/>
                        <w:i/>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i/>
                        <w:iCs/>
                        <w:color w:val="000000" w:themeColor="text1"/>
                        <w:szCs w:val="21"/>
                        <w14:textFill>
                          <w14:solidFill>
                            <w14:schemeClr w14:val="tx1"/>
                          </w14:solidFill>
                        </w14:textFill>
                      </w:rPr>
                    </m:ctrlPr>
                  </m:sub>
                </m:sSub>
                <m:sSub>
                  <m:sSubPr>
                    <m:ctrlPr>
                      <w:rPr>
                        <w:rFonts w:ascii="Cambria Math" w:hAnsi="Cambria Math" w:cs="Times New Roman"/>
                        <w:i/>
                        <w:iCs/>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i/>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m:t>
                    </m:r>
                    <m:ctrlPr>
                      <w:rPr>
                        <w:rFonts w:ascii="Cambria Math" w:hAnsi="Cambria Math" w:cs="Times New Roman"/>
                        <w:i/>
                        <w:iCs/>
                        <w:color w:val="000000" w:themeColor="text1"/>
                        <w:szCs w:val="21"/>
                        <w14:textFill>
                          <w14:solidFill>
                            <w14:schemeClr w14:val="tx1"/>
                          </w14:solidFill>
                        </w14:textFill>
                      </w:rPr>
                    </m:ctrlPr>
                  </m:sub>
                </m:sSub>
                <m:sSub>
                  <m:sSubPr>
                    <m:ctrlPr>
                      <w:rPr>
                        <w:rFonts w:ascii="Cambria Math" w:hAnsi="Cambria Math" w:cs="Times New Roman"/>
                        <w:i/>
                        <w:iCs/>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i/>
                        <w:iCs/>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m:t>
                    </m:r>
                    <m:ctrlPr>
                      <w:rPr>
                        <w:rFonts w:ascii="Cambria Math" w:hAnsi="Cambria Math" w:cs="Times New Roman"/>
                        <w:i/>
                        <w:iCs/>
                        <w:color w:val="000000" w:themeColor="text1"/>
                        <w:szCs w:val="21"/>
                        <w14:textFill>
                          <w14:solidFill>
                            <w14:schemeClr w14:val="tx1"/>
                          </w14:solidFill>
                        </w14:textFill>
                      </w:rPr>
                    </m:ctrlPr>
                  </m:sub>
                </m:sSub>
              </m:oMath>
            </m:oMathPara>
          </w:p>
        </w:tc>
        <w:tc>
          <w:tcPr>
            <w:tcW w:w="1418" w:type="dxa"/>
            <w:vAlign w:val="center"/>
          </w:tcPr>
          <w:p>
            <w:pPr>
              <w:tabs>
                <w:tab w:val="left" w:pos="6555"/>
              </w:tabs>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(F.0.6-5)</w:t>
            </w:r>
          </w:p>
        </w:tc>
      </w:tr>
      <w:tr>
        <w:tblPrEx>
          <w:tblCellMar>
            <w:top w:w="0" w:type="dxa"/>
            <w:left w:w="108" w:type="dxa"/>
            <w:bottom w:w="0" w:type="dxa"/>
            <w:right w:w="108" w:type="dxa"/>
          </w:tblCellMar>
        </w:tblPrEx>
        <w:tc>
          <w:tcPr>
            <w:tcW w:w="817" w:type="dxa"/>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式中</w:t>
            </w:r>
            <w:r>
              <w:rPr>
                <w:rFonts w:hint="eastAsia" w:cs="Times New Roman"/>
                <w:color w:val="000000" w:themeColor="text1"/>
                <w:szCs w:val="21"/>
                <w14:textFill>
                  <w14:solidFill>
                    <w14:schemeClr w14:val="tx1"/>
                  </w14:solidFill>
                </w14:textFill>
              </w:rPr>
              <w:t>：</w:t>
            </w:r>
          </w:p>
        </w:tc>
        <w:tc>
          <w:tcPr>
            <w:tcW w:w="1377"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E</w:t>
            </w:r>
            <w:r>
              <w:rPr>
                <w:rFonts w:cs="Times New Roman"/>
                <w:color w:val="000000" w:themeColor="text1"/>
                <w:szCs w:val="21"/>
                <w:vertAlign w:val="subscript"/>
                <w14:textFill>
                  <w14:solidFill>
                    <w14:schemeClr w14:val="tx1"/>
                  </w14:solidFill>
                </w14:textFill>
              </w:rPr>
              <w:t>a</w:t>
            </w:r>
            <w:r>
              <w:rPr>
                <w:rFonts w:hint="eastAsia" w:ascii="宋体" w:hAnsi="宋体" w:cs="宋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E</w:t>
            </w:r>
            <w:r>
              <w:rPr>
                <w:rFonts w:cs="Times New Roman"/>
                <w:color w:val="000000" w:themeColor="text1"/>
                <w:szCs w:val="21"/>
                <w:vertAlign w:val="subscript"/>
                <w14:textFill>
                  <w14:solidFill>
                    <w14:schemeClr w14:val="tx1"/>
                  </w14:solidFill>
                </w14:textFill>
              </w:rPr>
              <w:t>s</w:t>
            </w:r>
            <w:r>
              <w:rPr>
                <w:rFonts w:hint="eastAsia" w:ascii="宋体" w:hAnsi="宋体" w:cs="宋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E</w:t>
            </w:r>
            <w:r>
              <w:rPr>
                <w:rFonts w:cs="Times New Roman"/>
                <w:color w:val="000000" w:themeColor="text1"/>
                <w:szCs w:val="21"/>
                <w:vertAlign w:val="subscript"/>
                <w14:textFill>
                  <w14:solidFill>
                    <w14:schemeClr w14:val="tx1"/>
                  </w14:solidFill>
                </w14:textFill>
              </w:rPr>
              <w:t>c</w:t>
            </w:r>
          </w:p>
        </w:tc>
        <w:tc>
          <w:tcPr>
            <w:tcW w:w="745"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5584" w:type="dxa"/>
            <w:gridSpan w:val="2"/>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钢材、钢筋、混凝土弹性模量，按相关规范取值</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vAlign w:val="center"/>
          </w:tcPr>
          <w:p>
            <w:pPr>
              <w:ind w:firstLine="0" w:firstLineChars="0"/>
              <w:rPr>
                <w:rFonts w:cs="Times New Roman"/>
                <w:color w:val="000000" w:themeColor="text1"/>
                <w:szCs w:val="21"/>
                <w14:textFill>
                  <w14:solidFill>
                    <w14:schemeClr w14:val="tx1"/>
                  </w14:solidFill>
                </w14:textFill>
              </w:rPr>
            </w:pPr>
          </w:p>
        </w:tc>
        <w:tc>
          <w:tcPr>
            <w:tcW w:w="1377"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I</w:t>
            </w:r>
            <w:r>
              <w:rPr>
                <w:rFonts w:cs="Times New Roman"/>
                <w:color w:val="000000" w:themeColor="text1"/>
                <w:szCs w:val="21"/>
                <w:vertAlign w:val="subscript"/>
                <w14:textFill>
                  <w14:solidFill>
                    <w14:schemeClr w14:val="tx1"/>
                  </w14:solidFill>
                </w14:textFill>
              </w:rPr>
              <w:t>a</w:t>
            </w:r>
            <w:r>
              <w:rPr>
                <w:rFonts w:hint="eastAsia" w:ascii="宋体" w:hAnsi="宋体" w:cs="宋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I</w:t>
            </w:r>
            <w:r>
              <w:rPr>
                <w:rFonts w:cs="Times New Roman"/>
                <w:color w:val="000000" w:themeColor="text1"/>
                <w:szCs w:val="21"/>
                <w:vertAlign w:val="subscript"/>
                <w14:textFill>
                  <w14:solidFill>
                    <w14:schemeClr w14:val="tx1"/>
                  </w14:solidFill>
                </w14:textFill>
              </w:rPr>
              <w:t>s</w:t>
            </w:r>
            <w:r>
              <w:rPr>
                <w:rFonts w:hint="eastAsia" w:ascii="宋体" w:hAnsi="宋体" w:cs="宋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I</w:t>
            </w:r>
            <w:r>
              <w:rPr>
                <w:rFonts w:cs="Times New Roman"/>
                <w:color w:val="000000" w:themeColor="text1"/>
                <w:szCs w:val="21"/>
                <w:vertAlign w:val="subscript"/>
                <w14:textFill>
                  <w14:solidFill>
                    <w14:schemeClr w14:val="tx1"/>
                  </w14:solidFill>
                </w14:textFill>
              </w:rPr>
              <w:t>c</w:t>
            </w:r>
          </w:p>
        </w:tc>
        <w:tc>
          <w:tcPr>
            <w:tcW w:w="745"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5584" w:type="dxa"/>
            <w:gridSpan w:val="2"/>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主钢件、钢筋、混凝土截面惯性矩</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vAlign w:val="center"/>
          </w:tcPr>
          <w:p>
            <w:pPr>
              <w:ind w:firstLine="0" w:firstLineChars="0"/>
              <w:rPr>
                <w:rFonts w:cs="Times New Roman"/>
                <w:color w:val="000000" w:themeColor="text1"/>
                <w:szCs w:val="21"/>
                <w14:textFill>
                  <w14:solidFill>
                    <w14:schemeClr w14:val="tx1"/>
                  </w14:solidFill>
                </w14:textFill>
              </w:rPr>
            </w:pPr>
          </w:p>
        </w:tc>
        <w:tc>
          <w:tcPr>
            <w:tcW w:w="1377"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k</w:t>
            </w:r>
            <w:r>
              <w:rPr>
                <w:rFonts w:cs="Times New Roman"/>
                <w:color w:val="000000" w:themeColor="text1"/>
                <w:szCs w:val="21"/>
                <w:vertAlign w:val="subscript"/>
                <w14:textFill>
                  <w14:solidFill>
                    <w14:schemeClr w14:val="tx1"/>
                  </w14:solidFill>
                </w14:textFill>
              </w:rPr>
              <w:t>e</w:t>
            </w:r>
          </w:p>
        </w:tc>
        <w:tc>
          <w:tcPr>
            <w:tcW w:w="745"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5584" w:type="dxa"/>
            <w:gridSpan w:val="2"/>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折减系数，取</w:t>
            </w:r>
            <w:r>
              <w:rPr>
                <w:rFonts w:cs="Times New Roman"/>
                <w:color w:val="000000" w:themeColor="text1"/>
                <w:szCs w:val="21"/>
                <w14:textFill>
                  <w14:solidFill>
                    <w14:schemeClr w14:val="tx1"/>
                  </w14:solidFill>
                </w14:textFill>
              </w:rPr>
              <w:t>0.5</w:t>
            </w:r>
            <w:r>
              <w:rPr>
                <w:rFonts w:hint="eastAsia" w:cs="Times New Roman"/>
                <w:color w:val="000000" w:themeColor="text1"/>
                <w:szCs w:val="21"/>
                <w14:textFill>
                  <w14:solidFill>
                    <w14:schemeClr w14:val="tx1"/>
                  </w14:solidFill>
                </w14:textFill>
              </w:rPr>
              <w:t>。</w:t>
            </w:r>
          </w:p>
        </w:tc>
      </w:tr>
    </w:tbl>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spacing w:line="360" w:lineRule="auto"/>
        <w:ind w:left="567" w:hanging="567" w:hangingChars="27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F.0.7 </w:t>
      </w:r>
      <w:r>
        <w:rPr>
          <w:rFonts w:hint="eastAsia" w:cs="Times New Roman"/>
          <w:color w:val="000000" w:themeColor="text1"/>
          <w:szCs w:val="21"/>
          <w14:textFill>
            <w14:solidFill>
              <w14:schemeClr w14:val="tx1"/>
            </w14:solidFill>
          </w14:textFill>
        </w:rPr>
        <w:t>构件受弯、受剪承载力计算</w:t>
      </w:r>
    </w:p>
    <w:p>
      <w:pPr>
        <w:tabs>
          <w:tab w:val="left" w:pos="0"/>
        </w:tabs>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主钢件符合截面分类</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、截面分类</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要求的构件，截面绕強轴的受弯承载力按下列公式计算：</w:t>
      </w:r>
    </w:p>
    <w:tbl>
      <w:tblPr>
        <w:tblStyle w:val="32"/>
        <w:tblW w:w="0" w:type="dxa"/>
        <w:tblInd w:w="0" w:type="dxa"/>
        <w:tblLayout w:type="fixed"/>
        <w:tblCellMar>
          <w:top w:w="0" w:type="dxa"/>
          <w:left w:w="108" w:type="dxa"/>
          <w:bottom w:w="0" w:type="dxa"/>
          <w:right w:w="108" w:type="dxa"/>
        </w:tblCellMar>
      </w:tblPr>
      <w:tblGrid>
        <w:gridCol w:w="7487"/>
        <w:gridCol w:w="1035"/>
      </w:tblGrid>
      <w:tr>
        <w:tblPrEx>
          <w:tblCellMar>
            <w:top w:w="0" w:type="dxa"/>
            <w:left w:w="108" w:type="dxa"/>
            <w:bottom w:w="0" w:type="dxa"/>
            <w:right w:w="108" w:type="dxa"/>
          </w:tblCellMar>
        </w:tblPrEx>
        <w:tc>
          <w:tcPr>
            <w:tcW w:w="7487" w:type="dxa"/>
            <w:vAlign w:val="center"/>
          </w:tcPr>
          <w:p>
            <w:pPr>
              <w:spacing w:line="276" w:lineRule="auto"/>
              <w:ind w:firstLine="0" w:firstLineChars="0"/>
              <w:jc w:val="center"/>
              <w:textAlignment w:val="center"/>
              <w:rPr>
                <w:rFonts w:cs="Times New Roman"/>
                <w:i/>
                <w:color w:val="000000" w:themeColor="text1"/>
                <w:kern w:val="0"/>
                <w14:textFill>
                  <w14:solidFill>
                    <w14:schemeClr w14:val="tx1"/>
                  </w14:solidFill>
                </w14:textFill>
              </w:rPr>
            </w:pPr>
            <m:oMathPara>
              <m:oMath>
                <m:r>
                  <w:rPr>
                    <w:rFonts w:ascii="Cambria Math" w:hAnsi="Cambria Math" w:cs="Times New Roman"/>
                    <w:color w:val="000000" w:themeColor="text1"/>
                    <w:kern w:val="0"/>
                    <w14:textFill>
                      <w14:solidFill>
                        <w14:schemeClr w14:val="tx1"/>
                      </w14:solidFill>
                    </w14:textFill>
                  </w:rPr>
                  <m:t>M≤</m:t>
                </m:r>
                <m:sSub>
                  <m:sSubPr>
                    <m:ctrlPr>
                      <w:rPr>
                        <w:rFonts w:ascii="Cambria Math" w:hAnsi="Cambria Math" w:cs="Times New Roman"/>
                        <w:i/>
                        <w:color w:val="000000" w:themeColor="text1"/>
                        <w:kern w:val="0"/>
                        <w14:textFill>
                          <w14:solidFill>
                            <w14:schemeClr w14:val="tx1"/>
                          </w14:solidFill>
                        </w14:textFill>
                      </w:rPr>
                    </m:ctrlPr>
                  </m:sSubPr>
                  <m:e>
                    <m:r>
                      <w:rPr>
                        <w:rFonts w:ascii="Cambria Math" w:hAnsi="Cambria Math" w:cs="Times New Roman"/>
                        <w:color w:val="000000" w:themeColor="text1"/>
                        <w:kern w:val="0"/>
                        <w14:textFill>
                          <w14:solidFill>
                            <w14:schemeClr w14:val="tx1"/>
                          </w14:solidFill>
                        </w14:textFill>
                      </w:rPr>
                      <m:t>M</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u</m:t>
                    </m:r>
                    <m:ctrlPr>
                      <w:rPr>
                        <w:rFonts w:ascii="Cambria Math" w:hAnsi="Cambria Math" w:cs="Times New Roman"/>
                        <w:i/>
                        <w:color w:val="000000" w:themeColor="text1"/>
                        <w:kern w:val="0"/>
                        <w14:textFill>
                          <w14:solidFill>
                            <w14:schemeClr w14:val="tx1"/>
                          </w14:solidFill>
                        </w14:textFill>
                      </w:rPr>
                    </m:ctrlPr>
                  </m:sub>
                </m:sSub>
              </m:oMath>
            </m:oMathPara>
          </w:p>
        </w:tc>
        <w:tc>
          <w:tcPr>
            <w:tcW w:w="1035" w:type="dxa"/>
            <w:vAlign w:val="center"/>
          </w:tcPr>
          <w:p>
            <w:pPr>
              <w:spacing w:line="276" w:lineRule="auto"/>
              <w:ind w:firstLine="0" w:firstLineChars="0"/>
              <w:jc w:val="right"/>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(F.0.7-1)</w:t>
            </w:r>
          </w:p>
        </w:tc>
      </w:tr>
      <w:tr>
        <w:tblPrEx>
          <w:tblCellMar>
            <w:top w:w="0" w:type="dxa"/>
            <w:left w:w="108" w:type="dxa"/>
            <w:bottom w:w="0" w:type="dxa"/>
            <w:right w:w="108" w:type="dxa"/>
          </w:tblCellMar>
        </w:tblPrEx>
        <w:tc>
          <w:tcPr>
            <w:tcW w:w="7487" w:type="dxa"/>
            <w:vAlign w:val="center"/>
          </w:tcPr>
          <w:p>
            <w:pPr>
              <w:spacing w:line="360" w:lineRule="auto"/>
              <w:ind w:firstLine="0" w:firstLineChars="0"/>
              <w:jc w:val="center"/>
              <w:textAlignment w:val="center"/>
              <w:rPr>
                <w:rFonts w:cs="Times New Roman"/>
                <w:i/>
                <w:color w:val="000000" w:themeColor="text1"/>
                <w:kern w:val="0"/>
                <w14:textFill>
                  <w14:solidFill>
                    <w14:schemeClr w14:val="tx1"/>
                  </w14:solidFill>
                </w14:textFill>
              </w:rPr>
            </w:pPr>
            <m:oMathPara>
              <m:oMath>
                <m:sSub>
                  <w:bookmarkStart w:id="252" w:name="_Hlk24035272"/>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u</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α</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1</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cw</m:t>
                    </m:r>
                    <m:ctrlPr>
                      <w:rPr>
                        <w:rFonts w:ascii="Cambria Math" w:hAnsi="Cambria Math" w:cs="Times New Roman"/>
                        <w:i/>
                        <w:color w:val="000000" w:themeColor="text1"/>
                        <w:kern w:val="0"/>
                        <w:sz w:val="20"/>
                        <w:szCs w:val="21"/>
                        <w14:textFill>
                          <w14:solidFill>
                            <w14:schemeClr w14:val="tx1"/>
                          </w14:solidFill>
                        </w14:textFill>
                      </w:rPr>
                    </m:ctrlPr>
                  </m:sub>
                </m:sSub>
                <m:d>
                  <m:dPr>
                    <m:begChr m:val="（"/>
                    <m:endChr m:val="）"/>
                    <m:ctrlPr>
                      <w:rPr>
                        <w:rFonts w:ascii="Cambria Math" w:hAnsi="Cambria Math" w:cs="Times New Roman"/>
                        <w:i/>
                        <w:color w:val="000000" w:themeColor="text1"/>
                        <w:kern w:val="0"/>
                        <w:sz w:val="20"/>
                        <w:szCs w:val="21"/>
                        <w14:textFill>
                          <w14:solidFill>
                            <w14:schemeClr w14:val="tx1"/>
                          </w14:solidFill>
                        </w14:textFill>
                      </w:rPr>
                    </m:ctrlPr>
                  </m:dPr>
                  <m:e>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b</m:t>
                        </m:r>
                        <m:ctrlPr>
                          <w:rPr>
                            <w:rFonts w:ascii="Cambria Math" w:hAnsi="Cambria Math" w:cs="Times New Roman"/>
                            <w:i/>
                            <w:color w:val="000000" w:themeColor="text1"/>
                            <w:kern w:val="0"/>
                            <w:sz w:val="20"/>
                            <w:szCs w:val="21"/>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t</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w</m:t>
                        </m:r>
                        <m:ctrlPr>
                          <w:rPr>
                            <w:rFonts w:ascii="Cambria Math" w:hAnsi="Cambria Math" w:cs="Times New Roman"/>
                            <w:i/>
                            <w:color w:val="000000" w:themeColor="text1"/>
                            <w:kern w:val="0"/>
                            <w:sz w:val="20"/>
                            <w:szCs w:val="21"/>
                            <w14:textFill>
                              <w14:solidFill>
                                <w14:schemeClr w14:val="tx1"/>
                              </w14:solidFill>
                            </w14:textFill>
                          </w:rPr>
                        </m:ctrlPr>
                      </m:sub>
                    </m:sSub>
                    <m:ctrlPr>
                      <w:rPr>
                        <w:rFonts w:ascii="Cambria Math" w:hAnsi="Cambria Math" w:cs="Times New Roman"/>
                        <w:i/>
                        <w:color w:val="000000" w:themeColor="text1"/>
                        <w:kern w:val="0"/>
                        <w:sz w:val="20"/>
                        <w:szCs w:val="21"/>
                        <w14:textFill>
                          <w14:solidFill>
                            <w14:schemeClr w14:val="tx1"/>
                          </w14:solidFill>
                        </w14:textFill>
                      </w:rPr>
                    </m:ctrlPr>
                  </m:e>
                </m:d>
                <m:f>
                  <m:fPr>
                    <m:ctrlPr>
                      <w:rPr>
                        <w:rFonts w:ascii="Cambria Math" w:hAnsi="Cambria Math" w:cs="Times New Roman"/>
                        <w:i/>
                        <w:color w:val="000000" w:themeColor="text1"/>
                        <w:kern w:val="0"/>
                        <w:sz w:val="20"/>
                        <w:szCs w:val="21"/>
                        <w14:textFill>
                          <w14:solidFill>
                            <w14:schemeClr w14:val="tx1"/>
                          </w14:solidFill>
                        </w14:textFill>
                      </w:rPr>
                    </m:ctrlPr>
                  </m:fPr>
                  <m:num>
                    <m:sSup>
                      <m:sSupPr>
                        <m:ctrlPr>
                          <w:rPr>
                            <w:rFonts w:ascii="Cambria Math" w:hAnsi="Cambria Math" w:cs="Times New Roman"/>
                            <w:i/>
                            <w:color w:val="000000" w:themeColor="text1"/>
                            <w:kern w:val="0"/>
                            <w:sz w:val="20"/>
                            <w:szCs w:val="21"/>
                            <w14:textFill>
                              <w14:solidFill>
                                <w14:schemeClr w14:val="tx1"/>
                              </w14:solidFill>
                            </w14:textFill>
                          </w:rPr>
                        </m:ctrlPr>
                      </m:sSupPr>
                      <m:e>
                        <m:r>
                          <w:rPr>
                            <w:rFonts w:ascii="Cambria Math" w:hAnsi="Cambria Math" w:cs="Times New Roman"/>
                            <w:color w:val="000000" w:themeColor="text1"/>
                            <w:kern w:val="0"/>
                            <w:sz w:val="20"/>
                            <w:szCs w:val="21"/>
                            <w14:textFill>
                              <w14:solidFill>
                                <w14:schemeClr w14:val="tx1"/>
                              </w14:solidFill>
                            </w14:textFill>
                          </w:rPr>
                          <m:t>x</m:t>
                        </m:r>
                        <m:ctrlPr>
                          <w:rPr>
                            <w:rFonts w:ascii="Cambria Math" w:hAnsi="Cambria Math" w:cs="Times New Roman"/>
                            <w:i/>
                            <w:color w:val="000000" w:themeColor="text1"/>
                            <w:kern w:val="0"/>
                            <w:sz w:val="20"/>
                            <w:szCs w:val="21"/>
                            <w14:textFill>
                              <w14:solidFill>
                                <w14:schemeClr w14:val="tx1"/>
                              </w14:solidFill>
                            </w14:textFill>
                          </w:rPr>
                        </m:ctrlPr>
                      </m:e>
                      <m:sup>
                        <m:r>
                          <w:rPr>
                            <w:rFonts w:ascii="Cambria Math" w:hAnsi="Cambria Math" w:cs="Times New Roman"/>
                            <w:color w:val="000000" w:themeColor="text1"/>
                            <w:kern w:val="0"/>
                            <w:sz w:val="20"/>
                            <w:szCs w:val="21"/>
                            <w14:textFill>
                              <w14:solidFill>
                                <w14:schemeClr w14:val="tx1"/>
                              </w14:solidFill>
                            </w14:textFill>
                          </w:rPr>
                          <m:t>2</m:t>
                        </m:r>
                        <m:ctrlPr>
                          <w:rPr>
                            <w:rFonts w:ascii="Cambria Math" w:hAnsi="Cambria Math" w:cs="Times New Roman"/>
                            <w:i/>
                            <w:color w:val="000000" w:themeColor="text1"/>
                            <w:kern w:val="0"/>
                            <w:sz w:val="20"/>
                            <w:szCs w:val="21"/>
                            <w14:textFill>
                              <w14:solidFill>
                                <w14:schemeClr w14:val="tx1"/>
                              </w14:solidFill>
                            </w14:textFill>
                          </w:rPr>
                        </m:ctrlPr>
                      </m:sup>
                    </m:sSup>
                    <m:ctrlPr>
                      <w:rPr>
                        <w:rFonts w:ascii="Cambria Math" w:hAnsi="Cambria Math" w:cs="Times New Roman"/>
                        <w:i/>
                        <w:color w:val="000000" w:themeColor="text1"/>
                        <w:kern w:val="0"/>
                        <w:sz w:val="20"/>
                        <w:szCs w:val="21"/>
                        <w14:textFill>
                          <w14:solidFill>
                            <w14:schemeClr w14:val="tx1"/>
                          </w14:solidFill>
                        </w14:textFill>
                      </w:rPr>
                    </m:ctrlPr>
                  </m:num>
                  <m:den>
                    <m:r>
                      <w:rPr>
                        <w:rFonts w:ascii="Cambria Math" w:hAnsi="Cambria Math" w:cs="Times New Roman"/>
                        <w:color w:val="000000" w:themeColor="text1"/>
                        <w:kern w:val="0"/>
                        <w:sz w:val="20"/>
                        <w:szCs w:val="21"/>
                        <w14:textFill>
                          <w14:solidFill>
                            <w14:schemeClr w14:val="tx1"/>
                          </w14:solidFill>
                        </w14:textFill>
                      </w:rPr>
                      <m:t>2</m:t>
                    </m:r>
                    <m:ctrlPr>
                      <w:rPr>
                        <w:rFonts w:ascii="Cambria Math" w:hAnsi="Cambria Math" w:cs="Times New Roman"/>
                        <w:i/>
                        <w:color w:val="000000" w:themeColor="text1"/>
                        <w:kern w:val="0"/>
                        <w:sz w:val="20"/>
                        <w:szCs w:val="21"/>
                        <w14:textFill>
                          <w14:solidFill>
                            <w14:schemeClr w14:val="tx1"/>
                          </w14:solidFill>
                        </w14:textFill>
                      </w:rPr>
                    </m:ctrlPr>
                  </m:den>
                </m:f>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y</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s</m:t>
                    </m:r>
                    <m:ctrlPr>
                      <w:rPr>
                        <w:rFonts w:ascii="Cambria Math" w:hAnsi="Cambria Math" w:cs="Times New Roman"/>
                        <w:i/>
                        <w:color w:val="000000" w:themeColor="text1"/>
                        <w:kern w:val="0"/>
                        <w:sz w:val="20"/>
                        <w:szCs w:val="21"/>
                        <w14:textFill>
                          <w14:solidFill>
                            <w14:schemeClr w14:val="tx1"/>
                          </w14:solidFill>
                        </w14:textFill>
                      </w:rPr>
                    </m:ctrlPr>
                  </m:sub>
                </m:sSub>
                <m:d>
                  <m:dPr>
                    <m:ctrlPr>
                      <w:rPr>
                        <w:rFonts w:ascii="Cambria Math" w:hAnsi="Cambria Math" w:cs="Times New Roman"/>
                        <w:i/>
                        <w:color w:val="000000" w:themeColor="text1"/>
                        <w:kern w:val="0"/>
                        <w:sz w:val="20"/>
                        <w:szCs w:val="21"/>
                        <w14:textFill>
                          <w14:solidFill>
                            <w14:schemeClr w14:val="tx1"/>
                          </w14:solidFill>
                        </w14:textFill>
                      </w:rPr>
                    </m:ctrlPr>
                  </m:dPr>
                  <m:e>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h</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-x-2</m:t>
                    </m:r>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t</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f</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s</m:t>
                        </m:r>
                        <m:ctrlPr>
                          <w:rPr>
                            <w:rFonts w:ascii="Cambria Math" w:hAnsi="Cambria Math" w:cs="Times New Roman"/>
                            <w:i/>
                            <w:color w:val="000000" w:themeColor="text1"/>
                            <w:kern w:val="0"/>
                            <w:sz w:val="20"/>
                            <w:szCs w:val="21"/>
                            <w14:textFill>
                              <w14:solidFill>
                                <w14:schemeClr w14:val="tx1"/>
                              </w14:solidFill>
                            </w14:textFill>
                          </w:rPr>
                        </m:ctrlPr>
                      </m:sub>
                    </m:sSub>
                    <m:ctrlPr>
                      <w:rPr>
                        <w:rFonts w:ascii="Cambria Math" w:hAnsi="Cambria Math" w:cs="Times New Roman"/>
                        <w:i/>
                        <w:color w:val="000000" w:themeColor="text1"/>
                        <w:kern w:val="0"/>
                        <w:sz w:val="20"/>
                        <w:szCs w:val="21"/>
                        <w14:textFill>
                          <w14:solidFill>
                            <w14:schemeClr w14:val="tx1"/>
                          </w14:solidFill>
                        </w14:textFill>
                      </w:rPr>
                    </m:ctrlPr>
                  </m:e>
                </m:d>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acc>
                      <m:accPr>
                        <m:chr m:val="́"/>
                        <m:ctrlPr>
                          <w:rPr>
                            <w:rFonts w:ascii="Cambria Math" w:hAnsi="Cambria Math"/>
                            <w:color w:val="000000" w:themeColor="text1"/>
                            <w:sz w:val="20"/>
                            <w:szCs w:val="20"/>
                            <w14:textFill>
                              <w14:solidFill>
                                <w14:schemeClr w14:val="tx1"/>
                              </w14:solidFill>
                            </w14:textFill>
                          </w:rPr>
                        </m:ctrlPr>
                      </m:acc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acc>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y</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acc>
                      <m:accPr>
                        <m:chr m:val="́"/>
                        <m:ctrlPr>
                          <w:rPr>
                            <w:rFonts w:ascii="Cambria Math" w:hAnsi="Cambria Math" w:cs="Times New Roman"/>
                            <w:i/>
                            <w:color w:val="000000" w:themeColor="text1"/>
                            <w:kern w:val="0"/>
                            <w:sz w:val="20"/>
                            <w:szCs w:val="21"/>
                            <w14:textFill>
                              <w14:solidFill>
                                <w14:schemeClr w14:val="tx1"/>
                              </w14:solidFill>
                            </w14:textFill>
                          </w:rPr>
                        </m:ctrlPr>
                      </m:acc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acc>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s</m:t>
                    </m:r>
                    <m:ctrlPr>
                      <w:rPr>
                        <w:rFonts w:ascii="Cambria Math" w:hAnsi="Cambria Math" w:cs="Times New Roman"/>
                        <w:i/>
                        <w:color w:val="000000" w:themeColor="text1"/>
                        <w:kern w:val="0"/>
                        <w:sz w:val="20"/>
                        <w:szCs w:val="21"/>
                        <w14:textFill>
                          <w14:solidFill>
                            <w14:schemeClr w14:val="tx1"/>
                          </w14:solidFill>
                        </w14:textFill>
                      </w:rPr>
                    </m:ctrlPr>
                  </m:sub>
                </m:sSub>
                <m:d>
                  <m:dPr>
                    <m:ctrlPr>
                      <w:rPr>
                        <w:rFonts w:ascii="Cambria Math" w:hAnsi="Cambria Math" w:cs="Times New Roman"/>
                        <w:i/>
                        <w:color w:val="000000" w:themeColor="text1"/>
                        <w:kern w:val="0"/>
                        <w:sz w:val="20"/>
                        <w:szCs w:val="21"/>
                        <w14:textFill>
                          <w14:solidFill>
                            <w14:schemeClr w14:val="tx1"/>
                          </w14:solidFill>
                        </w14:textFill>
                      </w:rPr>
                    </m:ctrlPr>
                  </m:dPr>
                  <m:e>
                    <m:r>
                      <w:rPr>
                        <w:rFonts w:ascii="Cambria Math" w:hAnsi="Cambria Math" w:cs="Times New Roman"/>
                        <w:color w:val="000000" w:themeColor="text1"/>
                        <w:kern w:val="0"/>
                        <w:sz w:val="20"/>
                        <w:szCs w:val="21"/>
                        <w14:textFill>
                          <w14:solidFill>
                            <w14:schemeClr w14:val="tx1"/>
                          </w14:solidFill>
                        </w14:textFill>
                      </w:rPr>
                      <m:t>x-</m:t>
                    </m:r>
                    <m:sSub>
                      <m:sSubPr>
                        <m:ctrlPr>
                          <w:rPr>
                            <w:rFonts w:ascii="Cambria Math" w:hAnsi="Cambria Math" w:cs="Times New Roman"/>
                            <w:i/>
                            <w:color w:val="000000" w:themeColor="text1"/>
                            <w:kern w:val="0"/>
                            <w:sz w:val="20"/>
                            <w:szCs w:val="21"/>
                            <w14:textFill>
                              <w14:solidFill>
                                <w14:schemeClr w14:val="tx1"/>
                              </w14:solidFill>
                            </w14:textFill>
                          </w:rPr>
                        </m:ctrlPr>
                      </m:sSubPr>
                      <m:e>
                        <m:acc>
                          <m:accPr>
                            <m:chr m:val="́"/>
                            <m:ctrlPr>
                              <w:rPr>
                                <w:rFonts w:ascii="Cambria Math" w:hAnsi="Cambria Math" w:cs="Times New Roman"/>
                                <w:i/>
                                <w:color w:val="000000" w:themeColor="text1"/>
                                <w:kern w:val="0"/>
                                <w:sz w:val="20"/>
                                <w:szCs w:val="21"/>
                                <w14:textFill>
                                  <w14:solidFill>
                                    <w14:schemeClr w14:val="tx1"/>
                                  </w14:solidFill>
                                </w14:textFill>
                              </w:rPr>
                            </m:ctrlPr>
                          </m:acc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acc>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s</m:t>
                        </m:r>
                        <m:ctrlPr>
                          <w:rPr>
                            <w:rFonts w:ascii="Cambria Math" w:hAnsi="Cambria Math" w:cs="Times New Roman"/>
                            <w:i/>
                            <w:color w:val="000000" w:themeColor="text1"/>
                            <w:kern w:val="0"/>
                            <w:sz w:val="20"/>
                            <w:szCs w:val="21"/>
                            <w14:textFill>
                              <w14:solidFill>
                                <w14:schemeClr w14:val="tx1"/>
                              </w14:solidFill>
                            </w14:textFill>
                          </w:rPr>
                        </m:ctrlPr>
                      </m:sub>
                    </m:sSub>
                    <m:ctrlPr>
                      <w:rPr>
                        <w:rFonts w:ascii="Cambria Math" w:hAnsi="Cambria Math" w:cs="Times New Roman"/>
                        <w:i/>
                        <w:color w:val="000000" w:themeColor="text1"/>
                        <w:kern w:val="0"/>
                        <w:sz w:val="20"/>
                        <w:szCs w:val="21"/>
                        <w14:textFill>
                          <w14:solidFill>
                            <w14:schemeClr w14:val="tx1"/>
                          </w14:solidFill>
                        </w14:textFill>
                      </w:rPr>
                    </m:ctrlPr>
                  </m:e>
                </m:d>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S</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at</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acc>
                      <m:accPr>
                        <m:chr m:val="́"/>
                        <m:ctrlPr>
                          <w:rPr>
                            <w:rFonts w:ascii="Cambria Math" w:hAnsi="Cambria Math"/>
                            <w:color w:val="000000" w:themeColor="text1"/>
                            <w:sz w:val="20"/>
                            <w:szCs w:val="20"/>
                            <w14:textFill>
                              <w14:solidFill>
                                <w14:schemeClr w14:val="tx1"/>
                              </w14:solidFill>
                            </w14:textFill>
                          </w:rPr>
                        </m:ctrlPr>
                      </m:acc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acc>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S</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ac</m:t>
                    </m:r>
                    <w:bookmarkEnd w:id="252"/>
                    <m:ctrlPr>
                      <w:rPr>
                        <w:rFonts w:ascii="Cambria Math" w:hAnsi="Cambria Math" w:cs="Times New Roman"/>
                        <w:i/>
                        <w:color w:val="000000" w:themeColor="text1"/>
                        <w:kern w:val="0"/>
                        <w:sz w:val="20"/>
                        <w:szCs w:val="21"/>
                        <w14:textFill>
                          <w14:solidFill>
                            <w14:schemeClr w14:val="tx1"/>
                          </w14:solidFill>
                        </w14:textFill>
                      </w:rPr>
                    </m:ctrlPr>
                  </m:sub>
                </m:sSub>
              </m:oMath>
            </m:oMathPara>
          </w:p>
        </w:tc>
        <w:tc>
          <w:tcPr>
            <w:tcW w:w="1035" w:type="dxa"/>
            <w:vAlign w:val="center"/>
          </w:tcPr>
          <w:p>
            <w:pPr>
              <w:spacing w:line="276" w:lineRule="auto"/>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(F.0.7-2)</w:t>
            </w:r>
          </w:p>
        </w:tc>
      </w:tr>
      <w:tr>
        <w:tblPrEx>
          <w:tblCellMar>
            <w:top w:w="0" w:type="dxa"/>
            <w:left w:w="108" w:type="dxa"/>
            <w:bottom w:w="0" w:type="dxa"/>
            <w:right w:w="108" w:type="dxa"/>
          </w:tblCellMar>
        </w:tblPrEx>
        <w:tc>
          <w:tcPr>
            <w:tcW w:w="7487" w:type="dxa"/>
            <w:vAlign w:val="center"/>
          </w:tcPr>
          <w:p>
            <w:pPr>
              <w:spacing w:line="276" w:lineRule="auto"/>
              <w:ind w:firstLine="0" w:firstLineChars="0"/>
              <w:jc w:val="center"/>
              <w:textAlignment w:val="center"/>
              <w:rPr>
                <w:rFonts w:cs="Times New Roman"/>
                <w:color w:val="000000" w:themeColor="text1"/>
                <w:szCs w:val="21"/>
                <w14:textFill>
                  <w14:solidFill>
                    <w14:schemeClr w14:val="tx1"/>
                  </w14:solidFill>
                </w14:textFill>
              </w:rPr>
            </w:pPr>
            <m:oMathPara>
              <m:oMath>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α</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1</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cw</m:t>
                    </m:r>
                    <m:ctrlPr>
                      <w:rPr>
                        <w:rFonts w:ascii="Cambria Math" w:hAnsi="Cambria Math" w:cs="Times New Roman"/>
                        <w:i/>
                        <w:color w:val="000000" w:themeColor="text1"/>
                        <w:kern w:val="0"/>
                        <w:sz w:val="20"/>
                        <w:szCs w:val="21"/>
                        <w14:textFill>
                          <w14:solidFill>
                            <w14:schemeClr w14:val="tx1"/>
                          </w14:solidFill>
                        </w14:textFill>
                      </w:rPr>
                    </m:ctrlPr>
                  </m:sub>
                </m:sSub>
                <m:d>
                  <m:dPr>
                    <m:begChr m:val="（"/>
                    <m:endChr m:val="）"/>
                    <m:ctrlPr>
                      <w:rPr>
                        <w:rFonts w:ascii="Cambria Math" w:hAnsi="Cambria Math" w:cs="Times New Roman"/>
                        <w:i/>
                        <w:color w:val="000000" w:themeColor="text1"/>
                        <w:kern w:val="0"/>
                        <w:sz w:val="20"/>
                        <w:szCs w:val="21"/>
                        <w14:textFill>
                          <w14:solidFill>
                            <w14:schemeClr w14:val="tx1"/>
                          </w14:solidFill>
                        </w14:textFill>
                      </w:rPr>
                    </m:ctrlPr>
                  </m:dPr>
                  <m:e>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b</m:t>
                        </m:r>
                        <m:ctrlPr>
                          <w:rPr>
                            <w:rFonts w:ascii="Cambria Math" w:hAnsi="Cambria Math" w:cs="Times New Roman"/>
                            <w:i/>
                            <w:color w:val="000000" w:themeColor="text1"/>
                            <w:kern w:val="0"/>
                            <w:sz w:val="20"/>
                            <w:szCs w:val="21"/>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t</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w</m:t>
                        </m:r>
                        <m:ctrlPr>
                          <w:rPr>
                            <w:rFonts w:ascii="Cambria Math" w:hAnsi="Cambria Math" w:cs="Times New Roman"/>
                            <w:i/>
                            <w:color w:val="000000" w:themeColor="text1"/>
                            <w:kern w:val="0"/>
                            <w:sz w:val="20"/>
                            <w:szCs w:val="21"/>
                            <w14:textFill>
                              <w14:solidFill>
                                <w14:schemeClr w14:val="tx1"/>
                              </w14:solidFill>
                            </w14:textFill>
                          </w:rPr>
                        </m:ctrlPr>
                      </m:sub>
                    </m:sSub>
                    <m:ctrlPr>
                      <w:rPr>
                        <w:rFonts w:ascii="Cambria Math" w:hAnsi="Cambria Math" w:cs="Times New Roman"/>
                        <w:i/>
                        <w:color w:val="000000" w:themeColor="text1"/>
                        <w:kern w:val="0"/>
                        <w:sz w:val="20"/>
                        <w:szCs w:val="21"/>
                        <w14:textFill>
                          <w14:solidFill>
                            <w14:schemeClr w14:val="tx1"/>
                          </w14:solidFill>
                        </w14:textFill>
                      </w:rPr>
                    </m:ctrlPr>
                  </m:e>
                </m:d>
                <m:r>
                  <w:rPr>
                    <w:rFonts w:ascii="Cambria Math" w:hAnsi="Cambria Math" w:cs="Times New Roman"/>
                    <w:color w:val="000000" w:themeColor="text1"/>
                    <w:kern w:val="0"/>
                    <w:sz w:val="20"/>
                    <w:szCs w:val="21"/>
                    <w14:textFill>
                      <w14:solidFill>
                        <w14:schemeClr w14:val="tx1"/>
                      </w14:solidFill>
                    </w14:textFill>
                  </w:rPr>
                  <m:t>x+</m:t>
                </m:r>
                <m:sSub>
                  <m:sSubPr>
                    <m:ctrlPr>
                      <w:rPr>
                        <w:rFonts w:ascii="Cambria Math" w:hAnsi="Cambria Math" w:cs="Times New Roman"/>
                        <w:i/>
                        <w:color w:val="000000" w:themeColor="text1"/>
                        <w:kern w:val="0"/>
                        <w:sz w:val="20"/>
                        <w:szCs w:val="21"/>
                        <w14:textFill>
                          <w14:solidFill>
                            <w14:schemeClr w14:val="tx1"/>
                          </w14:solidFill>
                        </w14:textFill>
                      </w:rPr>
                    </m:ctrlPr>
                  </m:sSubPr>
                  <m:e>
                    <m:acc>
                      <m:accPr>
                        <m:chr m:val="́"/>
                        <m:ctrlPr>
                          <w:rPr>
                            <w:rFonts w:ascii="Cambria Math" w:hAnsi="Cambria Math"/>
                            <w:color w:val="000000" w:themeColor="text1"/>
                            <w:sz w:val="20"/>
                            <w:szCs w:val="20"/>
                            <w14:textFill>
                              <w14:solidFill>
                                <w14:schemeClr w14:val="tx1"/>
                              </w14:solidFill>
                            </w14:textFill>
                          </w:rPr>
                        </m:ctrlPr>
                      </m:acc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acc>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y</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acc>
                      <m:accPr>
                        <m:chr m:val="́"/>
                        <m:ctrlPr>
                          <w:rPr>
                            <w:rFonts w:ascii="Cambria Math" w:hAnsi="Cambria Math" w:cs="Times New Roman"/>
                            <w:i/>
                            <w:color w:val="000000" w:themeColor="text1"/>
                            <w:kern w:val="0"/>
                            <w:sz w:val="20"/>
                            <w:szCs w:val="21"/>
                            <w14:textFill>
                              <w14:solidFill>
                                <w14:schemeClr w14:val="tx1"/>
                              </w14:solidFill>
                            </w14:textFill>
                          </w:rPr>
                        </m:ctrlPr>
                      </m:acc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acc>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s</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acc>
                      <m:accPr>
                        <m:chr m:val="́"/>
                        <m:ctrlPr>
                          <w:rPr>
                            <w:rFonts w:ascii="Cambria Math" w:hAnsi="Cambria Math"/>
                            <w:color w:val="000000" w:themeColor="text1"/>
                            <w:sz w:val="20"/>
                            <w:szCs w:val="20"/>
                            <w14:textFill>
                              <w14:solidFill>
                                <w14:schemeClr w14:val="tx1"/>
                              </w14:solidFill>
                            </w14:textFill>
                          </w:rPr>
                        </m:ctrlPr>
                      </m:acc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acc>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ac</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y</m:t>
                    </m:r>
                    <m:ctrlPr>
                      <w:rPr>
                        <w:rFonts w:ascii="Cambria Math" w:hAnsi="Cambria Math" w:cs="Times New Roman"/>
                        <w:i/>
                        <w:color w:val="000000" w:themeColor="text1"/>
                        <w:kern w:val="0"/>
                        <w:sz w:val="20"/>
                        <w:szCs w:val="21"/>
                        <w14:textFill>
                          <w14:solidFill>
                            <w14:schemeClr w14:val="tx1"/>
                          </w14:solidFill>
                        </w14:textFill>
                      </w:rPr>
                    </m:ctrlPr>
                  </m:sub>
                </m:sSub>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s</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sub>
                </m:sSub>
                <m:d>
                  <m:dPr>
                    <m:ctrlPr>
                      <w:rPr>
                        <w:rFonts w:ascii="Cambria Math" w:hAnsi="Cambria Math" w:cs="Times New Roman"/>
                        <w:i/>
                        <w:color w:val="000000" w:themeColor="text1"/>
                        <w:kern w:val="0"/>
                        <w:sz w:val="20"/>
                        <w:szCs w:val="21"/>
                        <w14:textFill>
                          <w14:solidFill>
                            <w14:schemeClr w14:val="tx1"/>
                          </w14:solidFill>
                        </w14:textFill>
                      </w:rPr>
                    </m:ctrlPr>
                  </m:dPr>
                  <m:e>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m:t>
                    </m:r>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a</m:t>
                        </m:r>
                        <m:ctrlPr>
                          <w:rPr>
                            <w:rFonts w:ascii="Cambria Math" w:hAnsi="Cambria Math" w:cs="Times New Roman"/>
                            <w:i/>
                            <w:color w:val="000000" w:themeColor="text1"/>
                            <w:kern w:val="0"/>
                            <w:sz w:val="20"/>
                            <w:szCs w:val="21"/>
                            <w14:textFill>
                              <w14:solidFill>
                                <w14:schemeClr w14:val="tx1"/>
                              </w14:solidFill>
                            </w14:textFill>
                          </w:rPr>
                        </m:ctrlPr>
                      </m:sub>
                    </m:sSub>
                    <m:ctrlPr>
                      <w:rPr>
                        <w:rFonts w:ascii="Cambria Math" w:hAnsi="Cambria Math" w:cs="Times New Roman"/>
                        <w:i/>
                        <w:color w:val="000000" w:themeColor="text1"/>
                        <w:kern w:val="0"/>
                        <w:sz w:val="20"/>
                        <w:szCs w:val="21"/>
                        <w14:textFill>
                          <w14:solidFill>
                            <w14:schemeClr w14:val="tx1"/>
                          </w14:solidFill>
                        </w14:textFill>
                      </w:rPr>
                    </m:ctrlPr>
                  </m:e>
                </m:d>
                <m:r>
                  <w:rPr>
                    <w:rFonts w:ascii="Cambria Math" w:hAnsi="Cambria Math" w:cs="Times New Roman"/>
                    <w:color w:val="000000" w:themeColor="text1"/>
                    <w:kern w:val="0"/>
                    <w:sz w:val="20"/>
                    <w:szCs w:val="21"/>
                    <w14:textFill>
                      <w14:solidFill>
                        <w14:schemeClr w14:val="tx1"/>
                      </w14:solidFill>
                    </w14:textFill>
                  </w:rPr>
                  <m:t>=0</m:t>
                </m:r>
              </m:oMath>
            </m:oMathPara>
          </w:p>
        </w:tc>
        <w:tc>
          <w:tcPr>
            <w:tcW w:w="1035" w:type="dxa"/>
            <w:vAlign w:val="center"/>
          </w:tcPr>
          <w:p>
            <w:pPr>
              <w:spacing w:line="276" w:lineRule="auto"/>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(F.0.7-3)</w:t>
            </w:r>
          </w:p>
        </w:tc>
      </w:tr>
      <w:tr>
        <w:tblPrEx>
          <w:tblCellMar>
            <w:top w:w="0" w:type="dxa"/>
            <w:left w:w="108" w:type="dxa"/>
            <w:bottom w:w="0" w:type="dxa"/>
            <w:right w:w="108" w:type="dxa"/>
          </w:tblCellMar>
        </w:tblPrEx>
        <w:tc>
          <w:tcPr>
            <w:tcW w:w="7487" w:type="dxa"/>
            <w:vAlign w:val="center"/>
          </w:tcPr>
          <w:p>
            <w:pPr>
              <w:spacing w:line="276" w:lineRule="auto"/>
              <w:ind w:firstLine="0" w:firstLineChars="0"/>
              <w:jc w:val="center"/>
              <w:textAlignment w:val="center"/>
              <w:rPr>
                <w:rFonts w:cs="Times New Roman"/>
                <w:i/>
                <w:color w:val="000000" w:themeColor="text1"/>
                <w:kern w:val="0"/>
                <w14:textFill>
                  <w14:solidFill>
                    <w14:schemeClr w14:val="tx1"/>
                  </w14:solidFill>
                </w14:textFill>
              </w:rPr>
            </w:pPr>
            <m:oMathPara>
              <m:oMath>
                <m:r>
                  <w:rPr>
                    <w:rFonts w:ascii="Cambria Math" w:hAnsi="Cambria Math" w:cs="Times New Roman"/>
                    <w:color w:val="000000" w:themeColor="text1"/>
                    <w:kern w:val="0"/>
                    <w14:textFill>
                      <w14:solidFill>
                        <w14:schemeClr w14:val="tx1"/>
                      </w14:solidFill>
                    </w14:textFill>
                  </w:rPr>
                  <m:t>2</m:t>
                </m:r>
                <m:sSub>
                  <m:sSubPr>
                    <m:ctrlPr>
                      <w:rPr>
                        <w:rFonts w:ascii="Cambria Math" w:hAnsi="Cambria Math" w:cs="Times New Roman"/>
                        <w:i/>
                        <w:color w:val="000000" w:themeColor="text1"/>
                        <w:kern w:val="0"/>
                        <w14:textFill>
                          <w14:solidFill>
                            <w14:schemeClr w14:val="tx1"/>
                          </w14:solidFill>
                        </w14:textFill>
                      </w:rPr>
                    </m:ctrlPr>
                  </m:sSubPr>
                  <m:e>
                    <m:acc>
                      <m:accPr>
                        <m:chr m:val="́"/>
                        <m:ctrlPr>
                          <w:rPr>
                            <w:rFonts w:ascii="Cambria Math" w:hAnsi="Cambria Math" w:cs="Times New Roman"/>
                            <w:i/>
                            <w:color w:val="000000" w:themeColor="text1"/>
                            <w:kern w:val="0"/>
                            <w14:textFill>
                              <w14:solidFill>
                                <w14:schemeClr w14:val="tx1"/>
                              </w14:solidFill>
                            </w14:textFill>
                          </w:rPr>
                        </m:ctrlPr>
                      </m:accPr>
                      <m:e>
                        <m:r>
                          <w:rPr>
                            <w:rFonts w:ascii="Cambria Math" w:hAnsi="Cambria Math" w:cs="Times New Roman"/>
                            <w:color w:val="000000" w:themeColor="text1"/>
                            <w:kern w:val="0"/>
                            <w14:textFill>
                              <w14:solidFill>
                                <w14:schemeClr w14:val="tx1"/>
                              </w14:solidFill>
                            </w14:textFill>
                          </w:rPr>
                          <m:t>a</m:t>
                        </m:r>
                        <m:ctrlPr>
                          <w:rPr>
                            <w:rFonts w:ascii="Cambria Math" w:hAnsi="Cambria Math" w:cs="Times New Roman"/>
                            <w:i/>
                            <w:color w:val="000000" w:themeColor="text1"/>
                            <w:kern w:val="0"/>
                            <w14:textFill>
                              <w14:solidFill>
                                <w14:schemeClr w14:val="tx1"/>
                              </w14:solidFill>
                            </w14:textFill>
                          </w:rPr>
                        </m:ctrlPr>
                      </m:e>
                    </m:acc>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s</m:t>
                    </m:r>
                    <m:ctrlPr>
                      <w:rPr>
                        <w:rFonts w:ascii="Cambria Math" w:hAnsi="Cambria Math" w:cs="Times New Roman"/>
                        <w:i/>
                        <w:color w:val="000000" w:themeColor="text1"/>
                        <w:kern w:val="0"/>
                        <w14:textFill>
                          <w14:solidFill>
                            <w14:schemeClr w14:val="tx1"/>
                          </w14:solidFill>
                        </w14:textFill>
                      </w:rPr>
                    </m:ctrlPr>
                  </m:sub>
                </m:sSub>
                <m:r>
                  <w:rPr>
                    <w:rFonts w:ascii="Cambria Math" w:hAnsi="Cambria Math" w:cs="Times New Roman"/>
                    <w:color w:val="000000" w:themeColor="text1"/>
                    <w:kern w:val="0"/>
                    <w14:textFill>
                      <w14:solidFill>
                        <w14:schemeClr w14:val="tx1"/>
                      </w14:solidFill>
                    </w14:textFill>
                  </w:rPr>
                  <m:t>≤x≤</m:t>
                </m:r>
                <m:sSub>
                  <m:sSubPr>
                    <m:ctrlPr>
                      <w:rPr>
                        <w:rFonts w:ascii="Cambria Math" w:hAnsi="Cambria Math" w:cs="Times New Roman"/>
                        <w:i/>
                        <w:color w:val="000000" w:themeColor="text1"/>
                        <w:kern w:val="0"/>
                        <w14:textFill>
                          <w14:solidFill>
                            <w14:schemeClr w14:val="tx1"/>
                          </w14:solidFill>
                        </w14:textFill>
                      </w:rPr>
                    </m:ctrlPr>
                  </m:sSubPr>
                  <m:e>
                    <m:r>
                      <w:rPr>
                        <w:rFonts w:ascii="Cambria Math" w:hAnsi="Cambria Math" w:cs="Times New Roman"/>
                        <w:color w:val="000000" w:themeColor="text1"/>
                        <w:kern w:val="0"/>
                        <w14:textFill>
                          <w14:solidFill>
                            <w14:schemeClr w14:val="tx1"/>
                          </w14:solidFill>
                        </w14:textFill>
                      </w:rPr>
                      <m:t>ξ</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b</m:t>
                    </m:r>
                    <m:ctrlPr>
                      <w:rPr>
                        <w:rFonts w:ascii="Cambria Math" w:hAnsi="Cambria Math" w:cs="Times New Roman"/>
                        <w:i/>
                        <w:color w:val="000000" w:themeColor="text1"/>
                        <w:kern w:val="0"/>
                        <w14:textFill>
                          <w14:solidFill>
                            <w14:schemeClr w14:val="tx1"/>
                          </w14:solidFill>
                        </w14:textFill>
                      </w:rPr>
                    </m:ctrlPr>
                  </m:sub>
                </m:sSub>
                <m:sSub>
                  <m:sSubPr>
                    <m:ctrlPr>
                      <w:rPr>
                        <w:rFonts w:ascii="Cambria Math" w:hAnsi="Cambria Math" w:cs="Times New Roman"/>
                        <w:i/>
                        <w:color w:val="000000" w:themeColor="text1"/>
                        <w:kern w:val="0"/>
                        <w14:textFill>
                          <w14:solidFill>
                            <w14:schemeClr w14:val="tx1"/>
                          </w14:solidFill>
                        </w14:textFill>
                      </w:rPr>
                    </m:ctrlPr>
                  </m:sSubPr>
                  <m:e>
                    <m:r>
                      <w:rPr>
                        <w:rFonts w:ascii="Cambria Math" w:hAnsi="Cambria Math" w:cs="Times New Roman"/>
                        <w:color w:val="000000" w:themeColor="text1"/>
                        <w:kern w:val="0"/>
                        <w14:textFill>
                          <w14:solidFill>
                            <w14:schemeClr w14:val="tx1"/>
                          </w14:solidFill>
                        </w14:textFill>
                      </w:rPr>
                      <m:t>h</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0</m:t>
                    </m:r>
                    <m:ctrlPr>
                      <w:rPr>
                        <w:rFonts w:ascii="Cambria Math" w:hAnsi="Cambria Math" w:cs="Times New Roman"/>
                        <w:i/>
                        <w:color w:val="000000" w:themeColor="text1"/>
                        <w:kern w:val="0"/>
                        <w14:textFill>
                          <w14:solidFill>
                            <w14:schemeClr w14:val="tx1"/>
                          </w14:solidFill>
                        </w14:textFill>
                      </w:rPr>
                    </m:ctrlPr>
                  </m:sub>
                </m:sSub>
              </m:oMath>
            </m:oMathPara>
          </w:p>
        </w:tc>
        <w:tc>
          <w:tcPr>
            <w:tcW w:w="1035" w:type="dxa"/>
            <w:vAlign w:val="center"/>
          </w:tcPr>
          <w:p>
            <w:pPr>
              <w:spacing w:line="276" w:lineRule="auto"/>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(F.0.7-4)</w:t>
            </w:r>
          </w:p>
        </w:tc>
      </w:tr>
      <w:tr>
        <w:tblPrEx>
          <w:tblCellMar>
            <w:top w:w="0" w:type="dxa"/>
            <w:left w:w="108" w:type="dxa"/>
            <w:bottom w:w="0" w:type="dxa"/>
            <w:right w:w="108" w:type="dxa"/>
          </w:tblCellMar>
        </w:tblPrEx>
        <w:tc>
          <w:tcPr>
            <w:tcW w:w="7487" w:type="dxa"/>
            <w:vAlign w:val="center"/>
          </w:tcPr>
          <w:p>
            <w:pPr>
              <w:spacing w:line="276" w:lineRule="auto"/>
              <w:ind w:firstLine="0" w:firstLineChars="0"/>
              <w:jc w:val="center"/>
              <w:textAlignment w:val="center"/>
              <w:rPr>
                <w:rFonts w:cs="Times New Roman"/>
                <w:color w:val="000000" w:themeColor="text1"/>
                <w:kern w:val="0"/>
                <w14:textFill>
                  <w14:solidFill>
                    <w14:schemeClr w14:val="tx1"/>
                  </w14:solidFill>
                </w14:textFill>
              </w:rPr>
            </w:pPr>
            <m:oMathPara>
              <m:oMath>
                <m:sSub>
                  <m:sSubPr>
                    <m:ctrlPr>
                      <w:rPr>
                        <w:rFonts w:ascii="Cambria Math" w:hAnsi="Cambria Math" w:cs="Times New Roman"/>
                        <w:i/>
                        <w:color w:val="000000" w:themeColor="text1"/>
                        <w:kern w:val="0"/>
                        <w14:textFill>
                          <w14:solidFill>
                            <w14:schemeClr w14:val="tx1"/>
                          </w14:solidFill>
                        </w14:textFill>
                      </w:rPr>
                    </m:ctrlPr>
                  </m:sSubPr>
                  <m:e>
                    <m:r>
                      <w:rPr>
                        <w:rFonts w:ascii="Cambria Math" w:hAnsi="Cambria Math" w:cs="Times New Roman"/>
                        <w:color w:val="000000" w:themeColor="text1"/>
                        <w:kern w:val="0"/>
                        <w14:textFill>
                          <w14:solidFill>
                            <w14:schemeClr w14:val="tx1"/>
                          </w14:solidFill>
                        </w14:textFill>
                      </w:rPr>
                      <m:t>ξ</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b</m:t>
                    </m:r>
                    <m:ctrlPr>
                      <w:rPr>
                        <w:rFonts w:ascii="Cambria Math" w:hAnsi="Cambria Math" w:cs="Times New Roman"/>
                        <w:i/>
                        <w:color w:val="000000" w:themeColor="text1"/>
                        <w:kern w:val="0"/>
                        <w14:textFill>
                          <w14:solidFill>
                            <w14:schemeClr w14:val="tx1"/>
                          </w14:solidFill>
                        </w14:textFill>
                      </w:rPr>
                    </m:ctrlPr>
                  </m:sub>
                </m:sSub>
                <m:r>
                  <w:rPr>
                    <w:rFonts w:ascii="Cambria Math" w:hAnsi="Cambria Math" w:cs="Times New Roman"/>
                    <w:color w:val="000000" w:themeColor="text1"/>
                    <w:kern w:val="0"/>
                    <w14:textFill>
                      <w14:solidFill>
                        <w14:schemeClr w14:val="tx1"/>
                      </w14:solidFill>
                    </w14:textFill>
                  </w:rPr>
                  <m:t>=</m:t>
                </m:r>
                <m:f>
                  <m:fPr>
                    <m:ctrlPr>
                      <w:rPr>
                        <w:rFonts w:ascii="Cambria Math" w:hAnsi="Cambria Math" w:cs="Times New Roman"/>
                        <w:i/>
                        <w:color w:val="000000" w:themeColor="text1"/>
                        <w:kern w:val="0"/>
                        <w14:textFill>
                          <w14:solidFill>
                            <w14:schemeClr w14:val="tx1"/>
                          </w14:solidFill>
                        </w14:textFill>
                      </w:rPr>
                    </m:ctrlPr>
                  </m:fPr>
                  <m:num>
                    <m:r>
                      <w:rPr>
                        <w:rFonts w:ascii="Cambria Math" w:hAnsi="Cambria Math" w:cs="Times New Roman"/>
                        <w:color w:val="000000" w:themeColor="text1"/>
                        <w:kern w:val="0"/>
                        <w14:textFill>
                          <w14:solidFill>
                            <w14:schemeClr w14:val="tx1"/>
                          </w14:solidFill>
                        </w14:textFill>
                      </w:rPr>
                      <m:t>1</m:t>
                    </m:r>
                    <m:ctrlPr>
                      <w:rPr>
                        <w:rFonts w:ascii="Cambria Math" w:hAnsi="Cambria Math" w:cs="Times New Roman"/>
                        <w:i/>
                        <w:color w:val="000000" w:themeColor="text1"/>
                        <w:kern w:val="0"/>
                        <w14:textFill>
                          <w14:solidFill>
                            <w14:schemeClr w14:val="tx1"/>
                          </w14:solidFill>
                        </w14:textFill>
                      </w:rPr>
                    </m:ctrlPr>
                  </m:num>
                  <m:den>
                    <m:r>
                      <w:rPr>
                        <w:rFonts w:ascii="Cambria Math" w:hAnsi="Cambria Math" w:cs="Times New Roman"/>
                        <w:color w:val="000000" w:themeColor="text1"/>
                        <w:kern w:val="0"/>
                        <w14:textFill>
                          <w14:solidFill>
                            <w14:schemeClr w14:val="tx1"/>
                          </w14:solidFill>
                        </w14:textFill>
                      </w:rPr>
                      <m:t>1+</m:t>
                    </m:r>
                    <m:f>
                      <m:fPr>
                        <m:ctrlPr>
                          <w:rPr>
                            <w:rFonts w:ascii="Cambria Math" w:hAnsi="Cambria Math" w:cs="Times New Roman"/>
                            <w:i/>
                            <w:color w:val="000000" w:themeColor="text1"/>
                            <w:kern w:val="0"/>
                            <w14:textFill>
                              <w14:solidFill>
                                <w14:schemeClr w14:val="tx1"/>
                              </w14:solidFill>
                            </w14:textFill>
                          </w:rPr>
                        </m:ctrlPr>
                      </m:fPr>
                      <m:num>
                        <m:sSub>
                          <m:sSubPr>
                            <m:ctrlPr>
                              <w:rPr>
                                <w:rFonts w:ascii="Cambria Math" w:hAnsi="Cambria Math" w:cs="Times New Roman"/>
                                <w:i/>
                                <w:color w:val="000000" w:themeColor="text1"/>
                                <w:kern w:val="0"/>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y</m:t>
                            </m:r>
                            <m:ctrlPr>
                              <w:rPr>
                                <w:rFonts w:ascii="Cambria Math" w:hAnsi="Cambria Math" w:cs="Times New Roman"/>
                                <w:i/>
                                <w:color w:val="000000" w:themeColor="text1"/>
                                <w:kern w:val="0"/>
                                <w14:textFill>
                                  <w14:solidFill>
                                    <w14:schemeClr w14:val="tx1"/>
                                  </w14:solidFill>
                                </w14:textFill>
                              </w:rPr>
                            </m:ctrlPr>
                          </m:sub>
                        </m:sSub>
                        <m:r>
                          <w:rPr>
                            <w:rFonts w:ascii="Cambria Math" w:hAnsi="Cambria Math" w:cs="Times New Roman"/>
                            <w:color w:val="000000" w:themeColor="text1"/>
                            <w:kern w:val="0"/>
                            <w14:textFill>
                              <w14:solidFill>
                                <w14:schemeClr w14:val="tx1"/>
                              </w14:solidFill>
                            </w14:textFill>
                          </w:rPr>
                          <m:t>+</m:t>
                        </m:r>
                        <m:sSub>
                          <m:sSubPr>
                            <m:ctrlPr>
                              <w:rPr>
                                <w:rFonts w:ascii="Cambria Math" w:hAnsi="Cambria Math" w:cs="Times New Roman"/>
                                <w:i/>
                                <w:color w:val="000000" w:themeColor="text1"/>
                                <w:kern w:val="0"/>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a</m:t>
                            </m:r>
                            <m:ctrlPr>
                              <w:rPr>
                                <w:rFonts w:ascii="Cambria Math" w:hAnsi="Cambria Math" w:cs="Times New Roman"/>
                                <w:i/>
                                <w:color w:val="000000" w:themeColor="text1"/>
                                <w:kern w:val="0"/>
                                <w14:textFill>
                                  <w14:solidFill>
                                    <w14:schemeClr w14:val="tx1"/>
                                  </w14:solidFill>
                                </w14:textFill>
                              </w:rPr>
                            </m:ctrlPr>
                          </m:sub>
                        </m:sSub>
                        <m:ctrlPr>
                          <w:rPr>
                            <w:rFonts w:ascii="Cambria Math" w:hAnsi="Cambria Math" w:cs="Times New Roman"/>
                            <w:i/>
                            <w:color w:val="000000" w:themeColor="text1"/>
                            <w:kern w:val="0"/>
                            <w14:textFill>
                              <w14:solidFill>
                                <w14:schemeClr w14:val="tx1"/>
                              </w14:solidFill>
                            </w14:textFill>
                          </w:rPr>
                        </m:ctrlPr>
                      </m:num>
                      <m:den>
                        <m:r>
                          <w:rPr>
                            <w:rFonts w:ascii="Cambria Math" w:hAnsi="Cambria Math" w:cs="Times New Roman"/>
                            <w:color w:val="000000" w:themeColor="text1"/>
                            <w:kern w:val="0"/>
                            <w14:textFill>
                              <w14:solidFill>
                                <w14:schemeClr w14:val="tx1"/>
                              </w14:solidFill>
                            </w14:textFill>
                          </w:rPr>
                          <m:t>2×0.003</m:t>
                        </m:r>
                        <m:sSub>
                          <m:sSubPr>
                            <m:ctrlPr>
                              <w:rPr>
                                <w:rFonts w:ascii="Cambria Math" w:hAnsi="Cambria Math" w:cs="Times New Roman"/>
                                <w:i/>
                                <w:color w:val="000000" w:themeColor="text1"/>
                                <w:kern w:val="0"/>
                                <w14:textFill>
                                  <w14:solidFill>
                                    <w14:schemeClr w14:val="tx1"/>
                                  </w14:solidFill>
                                </w14:textFill>
                              </w:rPr>
                            </m:ctrlPr>
                          </m:sSubPr>
                          <m:e>
                            <m:r>
                              <w:rPr>
                                <w:rFonts w:ascii="Cambria Math" w:hAnsi="Cambria Math" w:cs="Times New Roman"/>
                                <w:color w:val="000000" w:themeColor="text1"/>
                                <w:kern w:val="0"/>
                                <w14:textFill>
                                  <w14:solidFill>
                                    <w14:schemeClr w14:val="tx1"/>
                                  </w14:solidFill>
                                </w14:textFill>
                              </w:rPr>
                              <m:t>E</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s</m:t>
                            </m:r>
                            <m:ctrlPr>
                              <w:rPr>
                                <w:rFonts w:ascii="Cambria Math" w:hAnsi="Cambria Math" w:cs="Times New Roman"/>
                                <w:i/>
                                <w:color w:val="000000" w:themeColor="text1"/>
                                <w:kern w:val="0"/>
                                <w14:textFill>
                                  <w14:solidFill>
                                    <w14:schemeClr w14:val="tx1"/>
                                  </w14:solidFill>
                                </w14:textFill>
                              </w:rPr>
                            </m:ctrlPr>
                          </m:sub>
                        </m:sSub>
                        <m:ctrlPr>
                          <w:rPr>
                            <w:rFonts w:ascii="Cambria Math" w:hAnsi="Cambria Math" w:cs="Times New Roman"/>
                            <w:i/>
                            <w:color w:val="000000" w:themeColor="text1"/>
                            <w:kern w:val="0"/>
                            <w14:textFill>
                              <w14:solidFill>
                                <w14:schemeClr w14:val="tx1"/>
                              </w14:solidFill>
                            </w14:textFill>
                          </w:rPr>
                        </m:ctrlPr>
                      </m:den>
                    </m:f>
                    <m:ctrlPr>
                      <w:rPr>
                        <w:rFonts w:ascii="Cambria Math" w:hAnsi="Cambria Math" w:cs="Times New Roman"/>
                        <w:i/>
                        <w:color w:val="000000" w:themeColor="text1"/>
                        <w:kern w:val="0"/>
                        <w14:textFill>
                          <w14:solidFill>
                            <w14:schemeClr w14:val="tx1"/>
                          </w14:solidFill>
                        </w14:textFill>
                      </w:rPr>
                    </m:ctrlPr>
                  </m:den>
                </m:f>
              </m:oMath>
            </m:oMathPara>
          </w:p>
        </w:tc>
        <w:tc>
          <w:tcPr>
            <w:tcW w:w="1035" w:type="dxa"/>
            <w:vAlign w:val="center"/>
          </w:tcPr>
          <w:p>
            <w:pPr>
              <w:autoSpaceDE w:val="0"/>
              <w:autoSpaceDN w:val="0"/>
              <w:spacing w:line="276" w:lineRule="auto"/>
              <w:ind w:firstLine="0" w:firstLineChars="0"/>
              <w:jc w:val="right"/>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(F.0.7-5)</w:t>
            </w:r>
          </w:p>
          <w:p>
            <w:pPr>
              <w:spacing w:line="276" w:lineRule="auto"/>
              <w:ind w:firstLine="0" w:firstLineChars="0"/>
              <w:jc w:val="right"/>
              <w:textAlignment w:val="center"/>
              <w:rPr>
                <w:rFonts w:cs="Times New Roman"/>
                <w:color w:val="000000" w:themeColor="text1"/>
                <w14:textFill>
                  <w14:solidFill>
                    <w14:schemeClr w14:val="tx1"/>
                  </w14:solidFill>
                </w14:textFill>
              </w:rPr>
            </w:pPr>
          </w:p>
        </w:tc>
      </w:tr>
    </w:tbl>
    <w:p>
      <w:pPr>
        <w:autoSpaceDE w:val="0"/>
        <w:autoSpaceDN w:val="0"/>
        <w:spacing w:line="276" w:lineRule="auto"/>
        <w:ind w:firstLine="420"/>
        <w:jc w:val="left"/>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drawing>
          <wp:inline distT="0" distB="0" distL="0" distR="0">
            <wp:extent cx="5270500" cy="1860550"/>
            <wp:effectExtent l="0" t="0" r="6350" b="635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5270500" cy="1860550"/>
                    </a:xfrm>
                    <a:prstGeom prst="rect">
                      <a:avLst/>
                    </a:prstGeom>
                    <a:noFill/>
                    <a:ln>
                      <a:noFill/>
                    </a:ln>
                  </pic:spPr>
                </pic:pic>
              </a:graphicData>
            </a:graphic>
          </wp:inline>
        </w:drawing>
      </w:r>
    </w:p>
    <w:p>
      <w:pPr>
        <w:autoSpaceDE w:val="0"/>
        <w:autoSpaceDN w:val="0"/>
        <w:spacing w:line="276" w:lineRule="auto"/>
        <w:ind w:firstLine="90" w:firstLineChars="50"/>
        <w:jc w:val="center"/>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图</w:t>
      </w:r>
      <w:r>
        <w:rPr>
          <w:rFonts w:cs="Times New Roman"/>
          <w:color w:val="000000" w:themeColor="text1"/>
          <w:sz w:val="18"/>
          <w:szCs w:val="18"/>
          <w14:textFill>
            <w14:solidFill>
              <w14:schemeClr w14:val="tx1"/>
            </w14:solidFill>
          </w14:textFill>
        </w:rPr>
        <w:t xml:space="preserve">F.0.7-1 </w:t>
      </w:r>
      <w:r>
        <w:rPr>
          <w:rFonts w:hint="eastAsia" w:cs="Times New Roman"/>
          <w:color w:val="000000" w:themeColor="text1"/>
          <w:sz w:val="18"/>
          <w:szCs w:val="18"/>
          <w14:textFill>
            <w14:solidFill>
              <w14:schemeClr w14:val="tx1"/>
            </w14:solidFill>
          </w14:textFill>
        </w:rPr>
        <w:t>绕強轴弯矩作用下组合截面及应力图形</w:t>
      </w:r>
    </w:p>
    <w:tbl>
      <w:tblPr>
        <w:tblStyle w:val="32"/>
        <w:tblW w:w="0" w:type="dxa"/>
        <w:tblInd w:w="0" w:type="dxa"/>
        <w:tblLayout w:type="fixed"/>
        <w:tblCellMar>
          <w:top w:w="0" w:type="dxa"/>
          <w:left w:w="108" w:type="dxa"/>
          <w:bottom w:w="0" w:type="dxa"/>
          <w:right w:w="108" w:type="dxa"/>
        </w:tblCellMar>
      </w:tblPr>
      <w:tblGrid>
        <w:gridCol w:w="817"/>
        <w:gridCol w:w="675"/>
        <w:gridCol w:w="388"/>
        <w:gridCol w:w="6642"/>
      </w:tblGrid>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式中</w:t>
            </w:r>
            <w:r>
              <w:rPr>
                <w:rFonts w:cs="Times New Roman"/>
                <w:color w:val="000000" w:themeColor="text1"/>
                <w14:textFill>
                  <w14:solidFill>
                    <w14:schemeClr w14:val="tx1"/>
                  </w14:solidFill>
                </w14:textFill>
              </w:rPr>
              <w:t>:</w:t>
            </w:r>
          </w:p>
        </w:tc>
        <w:tc>
          <w:tcPr>
            <w:tcW w:w="675" w:type="dxa"/>
            <w:vAlign w:val="center"/>
          </w:tcPr>
          <w:p>
            <w:pPr>
              <w:ind w:firstLine="0" w:firstLineChars="0"/>
              <w:jc w:val="right"/>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M</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正弯矩设计值；</w:t>
            </w:r>
          </w:p>
        </w:tc>
      </w:tr>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p>
        </w:tc>
        <w:tc>
          <w:tcPr>
            <w:tcW w:w="675" w:type="dxa"/>
            <w:vAlign w:val="center"/>
          </w:tcPr>
          <w:p>
            <w:pPr>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14:textFill>
                  <w14:solidFill>
                    <w14:schemeClr w14:val="tx1"/>
                  </w14:solidFill>
                </w14:textFill>
              </w:rPr>
              <w:t>M</w:t>
            </w:r>
            <w:r>
              <w:rPr>
                <w:rFonts w:cs="Times New Roman"/>
                <w:color w:val="000000" w:themeColor="text1"/>
                <w:vertAlign w:val="subscript"/>
                <w14:textFill>
                  <w14:solidFill>
                    <w14:schemeClr w14:val="tx1"/>
                  </w14:solidFill>
                </w14:textFill>
              </w:rPr>
              <w:t>u</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kern w:val="0"/>
                <w14:textFill>
                  <w14:solidFill>
                    <w14:schemeClr w14:val="tx1"/>
                  </w14:solidFill>
                </w14:textFill>
              </w:rPr>
            </w:pPr>
            <w:r>
              <w:rPr>
                <w:rFonts w:hint="eastAsia" w:cs="Times New Roman"/>
                <w:color w:val="000000" w:themeColor="text1"/>
                <w14:textFill>
                  <w14:solidFill>
                    <w14:schemeClr w14:val="tx1"/>
                  </w14:solidFill>
                </w14:textFill>
              </w:rPr>
              <w:t>截面受弯承载力设计值；</w:t>
            </w:r>
          </w:p>
        </w:tc>
      </w:tr>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p>
        </w:tc>
        <w:tc>
          <w:tcPr>
            <w:tcW w:w="675" w:type="dxa"/>
            <w:vAlign w:val="center"/>
          </w:tcPr>
          <w:p>
            <w:pPr>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f</w:t>
            </w:r>
            <w:r>
              <w:rPr>
                <w:rFonts w:cs="Times New Roman"/>
                <w:color w:val="000000" w:themeColor="text1"/>
                <w:kern w:val="0"/>
                <w:vertAlign w:val="subscript"/>
                <w14:textFill>
                  <w14:solidFill>
                    <w14:schemeClr w14:val="tx1"/>
                  </w14:solidFill>
                </w14:textFill>
              </w:rPr>
              <w:t>cw</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kern w:val="0"/>
                <w14:textFill>
                  <w14:solidFill>
                    <w14:schemeClr w14:val="tx1"/>
                  </w14:solidFill>
                </w14:textFill>
              </w:rPr>
            </w:pPr>
            <w:r>
              <w:rPr>
                <w:rFonts w:hint="eastAsia" w:cs="Times New Roman"/>
                <w:color w:val="000000" w:themeColor="text1"/>
                <w:kern w:val="0"/>
                <w14:textFill>
                  <w14:solidFill>
                    <w14:schemeClr w14:val="tx1"/>
                  </w14:solidFill>
                </w14:textFill>
              </w:rPr>
              <w:t>梁主钢件腹部混凝土抗压强度设计值；</w:t>
            </w:r>
          </w:p>
        </w:tc>
      </w:tr>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p>
        </w:tc>
        <w:tc>
          <w:tcPr>
            <w:tcW w:w="675" w:type="dxa"/>
            <w:vAlign w:val="center"/>
          </w:tcPr>
          <w:p>
            <w:pPr>
              <w:ind w:firstLine="0" w:firstLineChars="0"/>
              <w:jc w:val="right"/>
              <w:textAlignment w:val="center"/>
              <w:rPr>
                <w:rFonts w:cs="Times New Roman"/>
                <w:color w:val="000000" w:themeColor="text1"/>
                <w14:textFill>
                  <w14:solidFill>
                    <w14:schemeClr w14:val="tx1"/>
                  </w14:solidFill>
                </w14:textFill>
              </w:rPr>
            </w:pPr>
            <w:r>
              <w:rPr>
                <w:rFonts w:cs="Times New Roman"/>
                <w:color w:val="000000" w:themeColor="text1"/>
                <w:kern w:val="0"/>
                <w14:textFill>
                  <w14:solidFill>
                    <w14:schemeClr w14:val="tx1"/>
                  </w14:solidFill>
                </w14:textFill>
              </w:rPr>
              <w:t>x</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组合截面中和轴至</w:t>
            </w:r>
            <w:r>
              <w:rPr>
                <w:rFonts w:hint="eastAsia" w:cs="Times New Roman"/>
                <w:color w:val="000000" w:themeColor="text1"/>
                <w:szCs w:val="21"/>
                <w14:textFill>
                  <w14:solidFill>
                    <w14:schemeClr w14:val="tx1"/>
                  </w14:solidFill>
                </w14:textFill>
              </w:rPr>
              <w:t>混凝土受压边缘的距离</w:t>
            </w:r>
            <w:r>
              <w:rPr>
                <w:rFonts w:hint="eastAsia" w:cs="Times New Roman"/>
                <w:color w:val="000000" w:themeColor="text1"/>
                <w14:textFill>
                  <w14:solidFill>
                    <w14:schemeClr w14:val="tx1"/>
                  </w14:solidFill>
                </w14:textFill>
              </w:rPr>
              <w:t>；</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b</w:t>
            </w:r>
            <w:r>
              <w:rPr>
                <w:rFonts w:cs="Times New Roman"/>
                <w:color w:val="000000" w:themeColor="text1"/>
                <w:vertAlign w:val="subscript"/>
                <w14:textFill>
                  <w14:solidFill>
                    <w14:schemeClr w14:val="tx1"/>
                  </w14:solidFill>
                </w14:textFill>
              </w:rPr>
              <w:t>f</w:t>
            </w:r>
            <w:r>
              <w:rPr>
                <w:rFonts w:hint="eastAsia" w:cs="Times New Roman"/>
                <w:color w:val="000000" w:themeColor="text1"/>
                <w:kern w:val="0"/>
                <w14:textFill>
                  <w14:solidFill>
                    <w14:schemeClr w14:val="tx1"/>
                  </w14:solidFill>
                </w14:textFill>
              </w:rPr>
              <w:t>、</w:t>
            </w:r>
            <w:r>
              <w:rPr>
                <w:rFonts w:cs="Times New Roman"/>
                <w:color w:val="000000" w:themeColor="text1"/>
                <w:kern w:val="0"/>
                <w14:textFill>
                  <w14:solidFill>
                    <w14:schemeClr w14:val="tx1"/>
                  </w14:solidFill>
                </w14:textFill>
              </w:rPr>
              <w:t>h</w:t>
            </w:r>
            <w:r>
              <w:rPr>
                <w:rFonts w:cs="Times New Roman"/>
                <w:color w:val="000000" w:themeColor="text1"/>
                <w:kern w:val="0"/>
                <w:vertAlign w:val="subscript"/>
                <w14:textFill>
                  <w14:solidFill>
                    <w14:schemeClr w14:val="tx1"/>
                  </w14:solidFill>
                </w14:textFill>
              </w:rPr>
              <w:t>a</w:t>
            </w:r>
            <w:r>
              <w:rPr>
                <w:rFonts w:hint="eastAsia" w:cs="Times New Roman"/>
                <w:color w:val="000000" w:themeColor="text1"/>
                <w:kern w:val="0"/>
                <w14:textFill>
                  <w14:solidFill>
                    <w14:schemeClr w14:val="tx1"/>
                  </w14:solidFill>
                </w14:textFill>
              </w:rPr>
              <w:t>、</w:t>
            </w:r>
            <w:r>
              <w:rPr>
                <w:rFonts w:cs="Times New Roman"/>
                <w:color w:val="000000" w:themeColor="text1"/>
                <w:kern w:val="0"/>
                <w14:textFill>
                  <w14:solidFill>
                    <w14:schemeClr w14:val="tx1"/>
                  </w14:solidFill>
                </w14:textFill>
              </w:rPr>
              <w:t>t</w:t>
            </w:r>
            <w:r>
              <w:rPr>
                <w:rFonts w:cs="Times New Roman"/>
                <w:color w:val="000000" w:themeColor="text1"/>
                <w:kern w:val="0"/>
                <w:vertAlign w:val="subscript"/>
                <w14:textFill>
                  <w14:solidFill>
                    <w14:schemeClr w14:val="tx1"/>
                  </w14:solidFill>
                </w14:textFill>
              </w:rPr>
              <w:t>w</w:t>
            </w:r>
            <w:r>
              <w:rPr>
                <w:rFonts w:hint="eastAsia" w:cs="Times New Roman"/>
                <w:color w:val="000000" w:themeColor="text1"/>
                <w:kern w:val="0"/>
                <w14:textFill>
                  <w14:solidFill>
                    <w14:schemeClr w14:val="tx1"/>
                  </w14:solidFill>
                </w14:textFill>
              </w:rPr>
              <w:t>、</w:t>
            </w:r>
            <w:r>
              <w:rPr>
                <w:rFonts w:cs="Times New Roman"/>
                <w:color w:val="000000" w:themeColor="text1"/>
                <w:kern w:val="0"/>
                <w14:textFill>
                  <w14:solidFill>
                    <w14:schemeClr w14:val="tx1"/>
                  </w14:solidFill>
                </w14:textFill>
              </w:rPr>
              <w:t>t</w:t>
            </w:r>
            <w:r>
              <w:rPr>
                <w:rFonts w:cs="Times New Roman"/>
                <w:color w:val="000000" w:themeColor="text1"/>
                <w:kern w:val="0"/>
                <w:vertAlign w:val="subscript"/>
                <w14:textFill>
                  <w14:solidFill>
                    <w14:schemeClr w14:val="tx1"/>
                  </w14:solidFill>
                </w14:textFill>
              </w:rPr>
              <w:t>f</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kern w:val="0"/>
                <w14:textFill>
                  <w14:solidFill>
                    <w14:schemeClr w14:val="tx1"/>
                  </w14:solidFill>
                </w14:textFill>
              </w:rPr>
              <w:t>梁主钢件</w:t>
            </w:r>
            <w:r>
              <w:rPr>
                <w:rFonts w:hint="eastAsia" w:cs="Times New Roman"/>
                <w:color w:val="000000" w:themeColor="text1"/>
                <w:szCs w:val="21"/>
                <w14:textFill>
                  <w14:solidFill>
                    <w14:schemeClr w14:val="tx1"/>
                  </w14:solidFill>
                </w14:textFill>
              </w:rPr>
              <w:t>翼缘宽度、截面高度、腹板厚度、翼缘厚度；</w:t>
            </w:r>
          </w:p>
        </w:tc>
      </w:tr>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p>
        </w:tc>
        <w:tc>
          <w:tcPr>
            <w:tcW w:w="675" w:type="dxa"/>
            <w:vAlign w:val="center"/>
          </w:tcPr>
          <w:p>
            <w:pPr>
              <w:ind w:firstLine="0" w:firstLineChars="0"/>
              <w:jc w:val="right"/>
              <w:textAlignment w:val="center"/>
              <w:rPr>
                <w:rFonts w:cs="Times New Roman"/>
                <w:color w:val="000000" w:themeColor="text1"/>
                <w14:textFill>
                  <w14:solidFill>
                    <w14:schemeClr w14:val="tx1"/>
                  </w14:solidFill>
                </w14:textFill>
              </w:rPr>
            </w:pPr>
            <w:r>
              <w:rPr>
                <w:rFonts w:cs="Times New Roman"/>
                <w:color w:val="000000" w:themeColor="text1"/>
                <w:kern w:val="0"/>
                <w14:textFill>
                  <w14:solidFill>
                    <w14:schemeClr w14:val="tx1"/>
                  </w14:solidFill>
                </w14:textFill>
              </w:rPr>
              <w:t>α</w:t>
            </w:r>
            <w:r>
              <w:rPr>
                <w:rFonts w:cs="Times New Roman"/>
                <w:color w:val="000000" w:themeColor="text1"/>
                <w:kern w:val="0"/>
                <w:vertAlign w:val="subscript"/>
                <w14:textFill>
                  <w14:solidFill>
                    <w14:schemeClr w14:val="tx1"/>
                  </w14:solidFill>
                </w14:textFill>
              </w:rPr>
              <w:t>1</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szCs w:val="21"/>
                <w14:textFill>
                  <w14:solidFill>
                    <w14:schemeClr w14:val="tx1"/>
                  </w14:solidFill>
                </w14:textFill>
              </w:rPr>
              <w:t>受压区混凝土压应力影响系数，当混凝土强度等级不超过</w:t>
            </w:r>
            <w:r>
              <w:rPr>
                <w:rFonts w:cs="Times New Roman"/>
                <w:color w:val="000000" w:themeColor="text1"/>
                <w:szCs w:val="21"/>
                <w14:textFill>
                  <w14:solidFill>
                    <w14:schemeClr w14:val="tx1"/>
                  </w14:solidFill>
                </w14:textFill>
              </w:rPr>
              <w:t>C50</w:t>
            </w:r>
            <w:r>
              <w:rPr>
                <w:rFonts w:hint="eastAsia" w:cs="Times New Roman"/>
                <w:color w:val="000000" w:themeColor="text1"/>
                <w:szCs w:val="21"/>
                <w14:textFill>
                  <w14:solidFill>
                    <w14:schemeClr w14:val="tx1"/>
                  </w14:solidFill>
                </w14:textFill>
              </w:rPr>
              <w:t>时，</w:t>
            </w:r>
            <w:r>
              <w:rPr>
                <w:rFonts w:cs="Times New Roman"/>
                <w:color w:val="000000" w:themeColor="text1"/>
                <w:kern w:val="0"/>
                <w14:textFill>
                  <w14:solidFill>
                    <w14:schemeClr w14:val="tx1"/>
                  </w14:solidFill>
                </w14:textFill>
              </w:rPr>
              <w:t>α</w:t>
            </w:r>
            <w:r>
              <w:rPr>
                <w:rFonts w:hint="eastAsia" w:cs="Times New Roman"/>
                <w:color w:val="000000" w:themeColor="text1"/>
                <w:szCs w:val="21"/>
                <w14:textFill>
                  <w14:solidFill>
                    <w14:schemeClr w14:val="tx1"/>
                  </w14:solidFill>
                </w14:textFill>
              </w:rPr>
              <w:t>取</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kern w:val="0"/>
                <w14:textFill>
                  <w14:solidFill>
                    <w14:schemeClr w14:val="tx1"/>
                  </w14:solidFill>
                </w14:textFill>
              </w:rPr>
            </w:pP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szCs w:val="21"/>
                <w14:textFill>
                  <w14:solidFill>
                    <w14:schemeClr w14:val="tx1"/>
                  </w14:solidFill>
                </w14:textFill>
              </w:rPr>
              <w:t>1.0</w:t>
            </w:r>
            <w:r>
              <w:rPr>
                <w:rFonts w:hint="eastAsia" w:cs="Times New Roman"/>
                <w:color w:val="000000" w:themeColor="text1"/>
                <w:szCs w:val="21"/>
                <w14:textFill>
                  <w14:solidFill>
                    <w14:schemeClr w14:val="tx1"/>
                  </w14:solidFill>
                </w14:textFill>
              </w:rPr>
              <w:t>，当混凝土强度等级为</w:t>
            </w:r>
            <w:r>
              <w:rPr>
                <w:rFonts w:cs="Times New Roman"/>
                <w:color w:val="000000" w:themeColor="text1"/>
                <w:szCs w:val="21"/>
                <w14:textFill>
                  <w14:solidFill>
                    <w14:schemeClr w14:val="tx1"/>
                  </w14:solidFill>
                </w14:textFill>
              </w:rPr>
              <w:t>C80</w:t>
            </w:r>
            <w:r>
              <w:rPr>
                <w:rFonts w:hint="eastAsia" w:cs="Times New Roman"/>
                <w:color w:val="000000" w:themeColor="text1"/>
                <w:szCs w:val="21"/>
                <w14:textFill>
                  <w14:solidFill>
                    <w14:schemeClr w14:val="tx1"/>
                  </w14:solidFill>
                </w14:textFill>
              </w:rPr>
              <w:t>时，</w:t>
            </w:r>
            <w:r>
              <w:rPr>
                <w:rFonts w:cs="Times New Roman"/>
                <w:color w:val="000000" w:themeColor="text1"/>
                <w:kern w:val="0"/>
                <w14:textFill>
                  <w14:solidFill>
                    <w14:schemeClr w14:val="tx1"/>
                  </w14:solidFill>
                </w14:textFill>
              </w:rPr>
              <w:t>α</w:t>
            </w:r>
            <w:r>
              <w:rPr>
                <w:rFonts w:hint="eastAsia" w:cs="Times New Roman"/>
                <w:color w:val="000000" w:themeColor="text1"/>
                <w:szCs w:val="21"/>
                <w14:textFill>
                  <w14:solidFill>
                    <w14:schemeClr w14:val="tx1"/>
                  </w14:solidFill>
                </w14:textFill>
              </w:rPr>
              <w:t>取</w:t>
            </w:r>
            <w:r>
              <w:rPr>
                <w:rFonts w:cs="Times New Roman"/>
                <w:color w:val="000000" w:themeColor="text1"/>
                <w:szCs w:val="21"/>
                <w14:textFill>
                  <w14:solidFill>
                    <w14:schemeClr w14:val="tx1"/>
                  </w14:solidFill>
                </w14:textFill>
              </w:rPr>
              <w:t>0.94</w:t>
            </w:r>
            <w:r>
              <w:rPr>
                <w:rFonts w:hint="eastAsia" w:cs="Times New Roman"/>
                <w:color w:val="000000" w:themeColor="text1"/>
                <w:szCs w:val="21"/>
                <w14:textFill>
                  <w14:solidFill>
                    <w14:schemeClr w14:val="tx1"/>
                  </w14:solidFill>
                </w14:textFill>
              </w:rPr>
              <w:t>，其间按线性内插法确定；</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kern w:val="0"/>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oMath>
            <w:r>
              <w:rPr>
                <w:rFonts w:hint="eastAsia" w:cs="Times New Roman"/>
                <w:bCs/>
                <w:color w:val="000000" w:themeColor="text1"/>
                <w:szCs w:val="21"/>
                <w14:textFill>
                  <w14:solidFill>
                    <w14:schemeClr w14:val="tx1"/>
                  </w14:solidFill>
                </w14:textFill>
              </w:rPr>
              <w:t>、</w:t>
            </w:r>
            <m:oMath>
              <m:sSub>
                <m:sSubPr>
                  <m:ctrlPr>
                    <w:rPr>
                      <w:rFonts w:ascii="Cambria Math" w:hAnsi="Cambria Math"/>
                      <w:bCs/>
                      <w:i/>
                      <w:color w:val="000000" w:themeColor="text1"/>
                      <w:szCs w:val="21"/>
                      <w14:textFill>
                        <w14:solidFill>
                          <w14:schemeClr w14:val="tx1"/>
                        </w14:solidFill>
                      </w14:textFill>
                    </w:rPr>
                  </m:ctrlPr>
                </m:sSubPr>
                <m:e>
                  <m:acc>
                    <m:accPr>
                      <m:chr m:val="́"/>
                      <m:ctrlPr>
                        <w:rPr>
                          <w:rFonts w:ascii="Cambria Math" w:hAnsi="Cambria Math"/>
                          <w:i/>
                          <w:color w:val="000000" w:themeColor="text1"/>
                          <w:szCs w:val="21"/>
                          <w14:textFill>
                            <w14:solidFill>
                              <w14:schemeClr w14:val="tx1"/>
                            </w14:solidFill>
                          </w14:textFill>
                        </w:rPr>
                      </m:ctrlPr>
                    </m:accPr>
                    <m:e>
                      <m:r>
                        <w:rPr>
                          <w:rFonts w:hint="eastAsia" w:ascii="Cambria Math" w:hAnsi="Cambria Math"/>
                          <w:color w:val="000000" w:themeColor="text1"/>
                          <w:szCs w:val="21"/>
                          <w14:textFill>
                            <w14:solidFill>
                              <w14:schemeClr w14:val="tx1"/>
                            </w14:solidFill>
                          </w14:textFill>
                        </w:rPr>
                        <m:t>ƒ</m:t>
                      </m:r>
                      <m:ctrlPr>
                        <w:rPr>
                          <w:rFonts w:ascii="Cambria Math" w:hAnsi="Cambria Math"/>
                          <w:i/>
                          <w:color w:val="000000" w:themeColor="text1"/>
                          <w:szCs w:val="21"/>
                          <w14:textFill>
                            <w14:solidFill>
                              <w14:schemeClr w14:val="tx1"/>
                            </w14:solidFill>
                          </w14:textFill>
                        </w:rPr>
                      </m:ctrlPr>
                    </m:e>
                  </m:acc>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oMath>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kern w:val="0"/>
                <w14:textFill>
                  <w14:solidFill>
                    <w14:schemeClr w14:val="tx1"/>
                  </w14:solidFill>
                </w14:textFill>
              </w:rPr>
              <w:t>钢筋抗拉、抗压强度设计值；</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kern w:val="0"/>
                <w14:textFill>
                  <w14:solidFill>
                    <w14:schemeClr w14:val="tx1"/>
                  </w14:solidFill>
                </w14:textFill>
              </w:rPr>
            </w:pPr>
            <m:oMathPara>
              <m:oMath>
                <m:sSub>
                  <m:sSubPr>
                    <m:ctrlPr>
                      <w:rPr>
                        <w:rFonts w:ascii="Cambria Math" w:hAnsi="Cambria Math"/>
                        <w:bCs/>
                        <w:i/>
                        <w:color w:val="000000" w:themeColor="text1"/>
                        <w:szCs w:val="21"/>
                        <w14:textFill>
                          <w14:solidFill>
                            <w14:schemeClr w14:val="tx1"/>
                          </w14:solidFill>
                        </w14:textFill>
                      </w:rPr>
                    </m:ctrlPr>
                  </m:sSubPr>
                  <m:e>
                    <m: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r>
                  <w:rPr>
                    <w:rFonts w:hint="eastAsia" w:ascii="Cambria Math" w:hAnsi="Cambria Math"/>
                    <w:color w:val="000000" w:themeColor="text1"/>
                    <w:szCs w:val="21"/>
                    <w14:textFill>
                      <w14:solidFill>
                        <w14:schemeClr w14:val="tx1"/>
                      </w14:solidFill>
                    </w14:textFill>
                  </w:rPr>
                  <m:t>、</m:t>
                </m:r>
                <m:sSub>
                  <m:sSubPr>
                    <m:ctrlPr>
                      <w:rPr>
                        <w:rFonts w:ascii="Cambria Math" w:hAnsi="Cambria Math"/>
                        <w:bCs/>
                        <w:i/>
                        <w:color w:val="000000" w:themeColor="text1"/>
                        <w:szCs w:val="21"/>
                        <w14:textFill>
                          <w14:solidFill>
                            <w14:schemeClr w14:val="tx1"/>
                          </w14:solidFill>
                        </w14:textFill>
                      </w:rPr>
                    </m:ctrlPr>
                  </m:sSubPr>
                  <m:e>
                    <m:acc>
                      <m:accPr>
                        <m:chr m:val="́"/>
                        <m:ctrlPr>
                          <w:rPr>
                            <w:rFonts w:ascii="Cambria Math" w:hAnsi="Cambria Math"/>
                            <w:i/>
                            <w:color w:val="000000" w:themeColor="text1"/>
                            <w:szCs w:val="21"/>
                            <w14:textFill>
                              <w14:solidFill>
                                <w14:schemeClr w14:val="tx1"/>
                              </w14:solidFill>
                            </w14:textFill>
                          </w:rPr>
                        </m:ctrlPr>
                      </m:accPr>
                      <m:e>
                        <m:r>
                          <w:rPr>
                            <w:rFonts w:hint="eastAsia" w:ascii="Cambria Math" w:hAnsi="Cambria Math"/>
                            <w:color w:val="000000" w:themeColor="text1"/>
                            <w:szCs w:val="21"/>
                            <w14:textFill>
                              <w14:solidFill>
                                <w14:schemeClr w14:val="tx1"/>
                              </w14:solidFill>
                            </w14:textFill>
                          </w:rPr>
                          <m:t>ƒ</m:t>
                        </m:r>
                        <m:ctrlPr>
                          <w:rPr>
                            <w:rFonts w:ascii="Cambria Math" w:hAnsi="Cambria Math"/>
                            <w:i/>
                            <w:color w:val="000000" w:themeColor="text1"/>
                            <w:szCs w:val="21"/>
                            <w14:textFill>
                              <w14:solidFill>
                                <w14:schemeClr w14:val="tx1"/>
                              </w14:solidFill>
                            </w14:textFill>
                          </w:rPr>
                        </m:ctrlPr>
                      </m:e>
                    </m:acc>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m:t>
                    </m:r>
                    <m:ctrlPr>
                      <w:rPr>
                        <w:rFonts w:ascii="Cambria Math" w:hAnsi="Cambria Math"/>
                        <w:bCs/>
                        <w:i/>
                        <w:color w:val="000000" w:themeColor="text1"/>
                        <w:szCs w:val="21"/>
                        <w14:textFill>
                          <w14:solidFill>
                            <w14:schemeClr w14:val="tx1"/>
                          </w14:solidFill>
                        </w14:textFill>
                      </w:rPr>
                    </m:ctrlPr>
                  </m:sub>
                </m:sSub>
              </m:oMath>
            </m:oMathPara>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kern w:val="0"/>
                <w14:textFill>
                  <w14:solidFill>
                    <w14:schemeClr w14:val="tx1"/>
                  </w14:solidFill>
                </w14:textFill>
              </w:rPr>
              <w:t>梁主钢件抗拉、抗压强度设计值；</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kern w:val="0"/>
                <w14:textFill>
                  <w14:solidFill>
                    <w14:schemeClr w14:val="tx1"/>
                  </w14:solidFill>
                </w14:textFill>
              </w:rPr>
            </w:pPr>
            <m:oMathPara>
              <m:oMath>
                <m:sSub>
                  <m:sSubPr>
                    <m:ctrlPr>
                      <w:rPr>
                        <w:rFonts w:ascii="Cambria Math" w:hAnsi="Cambria Math" w:cs="Times New Roman"/>
                        <w:i/>
                        <w:color w:val="000000" w:themeColor="text1"/>
                        <w:kern w:val="0"/>
                        <w14:textFill>
                          <w14:solidFill>
                            <w14:schemeClr w14:val="tx1"/>
                          </w14:solidFill>
                        </w14:textFill>
                      </w:rPr>
                    </m:ctrlPr>
                  </m:sSubPr>
                  <m:e>
                    <m:r>
                      <w:rPr>
                        <w:rFonts w:ascii="Cambria Math" w:hAnsi="Cambria Math" w:cs="Times New Roman"/>
                        <w:color w:val="000000" w:themeColor="text1"/>
                        <w:kern w:val="0"/>
                        <w14:textFill>
                          <w14:solidFill>
                            <w14:schemeClr w14:val="tx1"/>
                          </w14:solidFill>
                        </w14:textFill>
                      </w:rPr>
                      <m:t>A</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s</m:t>
                    </m:r>
                    <m:ctrlPr>
                      <w:rPr>
                        <w:rFonts w:ascii="Cambria Math" w:hAnsi="Cambria Math" w:cs="Times New Roman"/>
                        <w:i/>
                        <w:color w:val="000000" w:themeColor="text1"/>
                        <w:kern w:val="0"/>
                        <w14:textFill>
                          <w14:solidFill>
                            <w14:schemeClr w14:val="tx1"/>
                          </w14:solidFill>
                        </w14:textFill>
                      </w:rPr>
                    </m:ctrlPr>
                  </m:sub>
                </m:sSub>
                <m:sSub>
                  <m:sSubPr>
                    <m:ctrlPr>
                      <w:rPr>
                        <w:rFonts w:ascii="Cambria Math" w:hAnsi="Cambria Math" w:cs="Times New Roman"/>
                        <w:i/>
                        <w:color w:val="000000" w:themeColor="text1"/>
                        <w:kern w:val="0"/>
                        <w14:textFill>
                          <w14:solidFill>
                            <w14:schemeClr w14:val="tx1"/>
                          </w14:solidFill>
                        </w14:textFill>
                      </w:rPr>
                    </m:ctrlPr>
                  </m:sSubPr>
                  <m:e>
                    <m:r>
                      <w:rPr>
                        <w:rFonts w:hint="eastAsia" w:ascii="Cambria Math" w:hAnsi="Cambria Math" w:cs="Times New Roman"/>
                        <w:color w:val="000000" w:themeColor="text1"/>
                        <w:kern w:val="0"/>
                        <w14:textFill>
                          <w14:solidFill>
                            <w14:schemeClr w14:val="tx1"/>
                          </w14:solidFill>
                        </w14:textFill>
                      </w:rPr>
                      <m:t>、</m:t>
                    </m:r>
                    <m:acc>
                      <m:accPr>
                        <m:chr m:val="́"/>
                        <m:ctrlPr>
                          <w:rPr>
                            <w:rFonts w:ascii="Cambria Math" w:hAnsi="Cambria Math" w:cs="Times New Roman"/>
                            <w:i/>
                            <w:color w:val="000000" w:themeColor="text1"/>
                            <w:kern w:val="0"/>
                            <w14:textFill>
                              <w14:solidFill>
                                <w14:schemeClr w14:val="tx1"/>
                              </w14:solidFill>
                            </w14:textFill>
                          </w:rPr>
                        </m:ctrlPr>
                      </m:accPr>
                      <m:e>
                        <m:r>
                          <w:rPr>
                            <w:rFonts w:ascii="Cambria Math" w:hAnsi="Cambria Math" w:cs="Times New Roman"/>
                            <w:color w:val="000000" w:themeColor="text1"/>
                            <w:kern w:val="0"/>
                            <w14:textFill>
                              <w14:solidFill>
                                <w14:schemeClr w14:val="tx1"/>
                              </w14:solidFill>
                            </w14:textFill>
                          </w:rPr>
                          <m:t>A</m:t>
                        </m:r>
                        <m:ctrlPr>
                          <w:rPr>
                            <w:rFonts w:ascii="Cambria Math" w:hAnsi="Cambria Math" w:cs="Times New Roman"/>
                            <w:i/>
                            <w:color w:val="000000" w:themeColor="text1"/>
                            <w:kern w:val="0"/>
                            <w14:textFill>
                              <w14:solidFill>
                                <w14:schemeClr w14:val="tx1"/>
                              </w14:solidFill>
                            </w14:textFill>
                          </w:rPr>
                        </m:ctrlPr>
                      </m:e>
                    </m:acc>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s</m:t>
                    </m:r>
                    <m:ctrlPr>
                      <w:rPr>
                        <w:rFonts w:ascii="Cambria Math" w:hAnsi="Cambria Math" w:cs="Times New Roman"/>
                        <w:i/>
                        <w:color w:val="000000" w:themeColor="text1"/>
                        <w:kern w:val="0"/>
                        <w14:textFill>
                          <w14:solidFill>
                            <w14:schemeClr w14:val="tx1"/>
                          </w14:solidFill>
                        </w14:textFill>
                      </w:rPr>
                    </m:ctrlPr>
                  </m:sub>
                </m:sSub>
              </m:oMath>
            </m:oMathPara>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szCs w:val="21"/>
                <w14:textFill>
                  <w14:solidFill>
                    <w14:schemeClr w14:val="tx1"/>
                  </w14:solidFill>
                </w14:textFill>
              </w:rPr>
              <w:t>受拉、受压钢筋截面面积</w:t>
            </w:r>
            <w:r>
              <w:rPr>
                <w:rFonts w:hint="eastAsia" w:cs="Times New Roman"/>
                <w:color w:val="000000" w:themeColor="text1"/>
                <w:kern w:val="0"/>
                <w14:textFill>
                  <w14:solidFill>
                    <w14:schemeClr w14:val="tx1"/>
                  </w14:solidFill>
                </w14:textFill>
              </w:rPr>
              <w:t>；</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A</w:t>
            </w:r>
            <w:r>
              <w:rPr>
                <w:rFonts w:cs="Times New Roman"/>
                <w:color w:val="000000" w:themeColor="text1"/>
                <w:kern w:val="0"/>
                <w:vertAlign w:val="subscript"/>
                <w14:textFill>
                  <w14:solidFill>
                    <w14:schemeClr w14:val="tx1"/>
                  </w14:solidFill>
                </w14:textFill>
              </w:rPr>
              <w:t>a</w:t>
            </w:r>
            <w:r>
              <w:rPr>
                <w:rFonts w:hint="eastAsia" w:cs="Times New Roman"/>
                <w:color w:val="000000" w:themeColor="text1"/>
                <w:kern w:val="0"/>
                <w14:textFill>
                  <w14:solidFill>
                    <w14:schemeClr w14:val="tx1"/>
                  </w14:solidFill>
                </w14:textFill>
              </w:rPr>
              <w:t>、</w:t>
            </w:r>
            <w:r>
              <w:rPr>
                <w:rFonts w:cs="Times New Roman"/>
                <w:color w:val="000000" w:themeColor="text1"/>
                <w:kern w:val="0"/>
                <w14:textFill>
                  <w14:solidFill>
                    <w14:schemeClr w14:val="tx1"/>
                  </w14:solidFill>
                </w14:textFill>
              </w:rPr>
              <w:t>A</w:t>
            </w:r>
            <w:r>
              <w:rPr>
                <w:rFonts w:cs="Times New Roman"/>
                <w:color w:val="000000" w:themeColor="text1"/>
                <w:kern w:val="0"/>
                <w:vertAlign w:val="subscript"/>
                <w14:textFill>
                  <w14:solidFill>
                    <w14:schemeClr w14:val="tx1"/>
                  </w14:solidFill>
                </w14:textFill>
              </w:rPr>
              <w:t>ac</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kern w:val="0"/>
                <w14:textFill>
                  <w14:solidFill>
                    <w14:schemeClr w14:val="tx1"/>
                  </w14:solidFill>
                </w14:textFill>
              </w:rPr>
              <w:t>梁主钢件</w:t>
            </w:r>
            <w:r>
              <w:rPr>
                <w:rFonts w:hint="eastAsia" w:cs="Times New Roman"/>
                <w:color w:val="000000" w:themeColor="text1"/>
                <w:szCs w:val="21"/>
                <w14:textFill>
                  <w14:solidFill>
                    <w14:schemeClr w14:val="tx1"/>
                  </w14:solidFill>
                </w14:textFill>
              </w:rPr>
              <w:t>全截面、</w:t>
            </w:r>
            <w:r>
              <w:rPr>
                <w:rFonts w:hint="eastAsia" w:cs="Times New Roman"/>
                <w:color w:val="000000" w:themeColor="text1"/>
                <w:kern w:val="0"/>
                <w14:textFill>
                  <w14:solidFill>
                    <w14:schemeClr w14:val="tx1"/>
                  </w14:solidFill>
                </w14:textFill>
              </w:rPr>
              <w:t>梁主钢件</w:t>
            </w:r>
            <w:r>
              <w:rPr>
                <w:rFonts w:hint="eastAsia" w:cs="Times New Roman"/>
                <w:color w:val="000000" w:themeColor="text1"/>
                <w:szCs w:val="21"/>
                <w14:textFill>
                  <w14:solidFill>
                    <w14:schemeClr w14:val="tx1"/>
                  </w14:solidFill>
                </w14:textFill>
              </w:rPr>
              <w:t>受压区截面面积</w:t>
            </w:r>
            <w:r>
              <w:rPr>
                <w:rFonts w:hint="eastAsia" w:cs="Times New Roman"/>
                <w:color w:val="000000" w:themeColor="text1"/>
                <w:kern w:val="0"/>
                <w14:textFill>
                  <w14:solidFill>
                    <w14:schemeClr w14:val="tx1"/>
                  </w14:solidFill>
                </w14:textFill>
              </w:rPr>
              <w:t>；</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kern w:val="0"/>
                <w14:textFill>
                  <w14:solidFill>
                    <w14:schemeClr w14:val="tx1"/>
                  </w14:solidFill>
                </w14:textFill>
              </w:rPr>
            </w:pPr>
            <m:oMathPara>
              <m:oMath>
                <m:sSub>
                  <m:sSubPr>
                    <m:ctrlPr>
                      <w:rPr>
                        <w:rFonts w:ascii="Cambria Math" w:hAnsi="Cambria Math" w:cs="Times New Roman"/>
                        <w:i/>
                        <w:color w:val="000000" w:themeColor="text1"/>
                        <w:kern w:val="0"/>
                        <w14:textFill>
                          <w14:solidFill>
                            <w14:schemeClr w14:val="tx1"/>
                          </w14:solidFill>
                        </w14:textFill>
                      </w:rPr>
                    </m:ctrlPr>
                  </m:sSubPr>
                  <m:e>
                    <m:r>
                      <w:rPr>
                        <w:rFonts w:ascii="Cambria Math" w:hAnsi="Cambria Math" w:cs="Times New Roman"/>
                        <w:color w:val="000000" w:themeColor="text1"/>
                        <w:kern w:val="0"/>
                        <w14:textFill>
                          <w14:solidFill>
                            <w14:schemeClr w14:val="tx1"/>
                          </w14:solidFill>
                        </w14:textFill>
                      </w:rPr>
                      <m:t>a</m:t>
                    </m:r>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s</m:t>
                    </m:r>
                    <m:ctrlPr>
                      <w:rPr>
                        <w:rFonts w:ascii="Cambria Math" w:hAnsi="Cambria Math" w:cs="Times New Roman"/>
                        <w:i/>
                        <w:color w:val="000000" w:themeColor="text1"/>
                        <w:kern w:val="0"/>
                        <w14:textFill>
                          <w14:solidFill>
                            <w14:schemeClr w14:val="tx1"/>
                          </w14:solidFill>
                        </w14:textFill>
                      </w:rPr>
                    </m:ctrlPr>
                  </m:sub>
                </m:sSub>
                <m:r>
                  <w:rPr>
                    <w:rFonts w:hint="eastAsia" w:ascii="Cambria Math" w:hAnsi="Cambria Math" w:cs="Times New Roman"/>
                    <w:color w:val="000000" w:themeColor="text1"/>
                    <w:kern w:val="0"/>
                    <w14:textFill>
                      <w14:solidFill>
                        <w14:schemeClr w14:val="tx1"/>
                      </w14:solidFill>
                    </w14:textFill>
                  </w:rPr>
                  <m:t>、</m:t>
                </m:r>
                <m:sSub>
                  <m:sSubPr>
                    <m:ctrlPr>
                      <w:rPr>
                        <w:rFonts w:ascii="Cambria Math" w:hAnsi="Cambria Math" w:cs="Times New Roman"/>
                        <w:i/>
                        <w:color w:val="000000" w:themeColor="text1"/>
                        <w:kern w:val="0"/>
                        <w14:textFill>
                          <w14:solidFill>
                            <w14:schemeClr w14:val="tx1"/>
                          </w14:solidFill>
                        </w14:textFill>
                      </w:rPr>
                    </m:ctrlPr>
                  </m:sSubPr>
                  <m:e>
                    <m:acc>
                      <m:accPr>
                        <m:chr m:val="́"/>
                        <m:ctrlPr>
                          <w:rPr>
                            <w:rFonts w:ascii="Cambria Math" w:hAnsi="Cambria Math" w:cs="Times New Roman"/>
                            <w:i/>
                            <w:color w:val="000000" w:themeColor="text1"/>
                            <w:kern w:val="0"/>
                            <w14:textFill>
                              <w14:solidFill>
                                <w14:schemeClr w14:val="tx1"/>
                              </w14:solidFill>
                            </w14:textFill>
                          </w:rPr>
                        </m:ctrlPr>
                      </m:accPr>
                      <m:e>
                        <m:r>
                          <w:rPr>
                            <w:rFonts w:ascii="Cambria Math" w:hAnsi="Cambria Math" w:cs="Times New Roman"/>
                            <w:color w:val="000000" w:themeColor="text1"/>
                            <w:kern w:val="0"/>
                            <w14:textFill>
                              <w14:solidFill>
                                <w14:schemeClr w14:val="tx1"/>
                              </w14:solidFill>
                            </w14:textFill>
                          </w:rPr>
                          <m:t>a</m:t>
                        </m:r>
                        <m:ctrlPr>
                          <w:rPr>
                            <w:rFonts w:ascii="Cambria Math" w:hAnsi="Cambria Math" w:cs="Times New Roman"/>
                            <w:i/>
                            <w:color w:val="000000" w:themeColor="text1"/>
                            <w:kern w:val="0"/>
                            <w14:textFill>
                              <w14:solidFill>
                                <w14:schemeClr w14:val="tx1"/>
                              </w14:solidFill>
                            </w14:textFill>
                          </w:rPr>
                        </m:ctrlPr>
                      </m:e>
                    </m:acc>
                    <m:ctrlPr>
                      <w:rPr>
                        <w:rFonts w:ascii="Cambria Math" w:hAnsi="Cambria Math" w:cs="Times New Roman"/>
                        <w:i/>
                        <w:color w:val="000000" w:themeColor="text1"/>
                        <w:kern w:val="0"/>
                        <w14:textFill>
                          <w14:solidFill>
                            <w14:schemeClr w14:val="tx1"/>
                          </w14:solidFill>
                        </w14:textFill>
                      </w:rPr>
                    </m:ctrlPr>
                  </m:e>
                  <m:sub>
                    <m:r>
                      <w:rPr>
                        <w:rFonts w:ascii="Cambria Math" w:hAnsi="Cambria Math" w:cs="Times New Roman"/>
                        <w:color w:val="000000" w:themeColor="text1"/>
                        <w:kern w:val="0"/>
                        <w14:textFill>
                          <w14:solidFill>
                            <w14:schemeClr w14:val="tx1"/>
                          </w14:solidFill>
                        </w14:textFill>
                      </w:rPr>
                      <m:t>s</m:t>
                    </m:r>
                    <m:ctrlPr>
                      <w:rPr>
                        <w:rFonts w:ascii="Cambria Math" w:hAnsi="Cambria Math" w:cs="Times New Roman"/>
                        <w:i/>
                        <w:color w:val="000000" w:themeColor="text1"/>
                        <w:kern w:val="0"/>
                        <w14:textFill>
                          <w14:solidFill>
                            <w14:schemeClr w14:val="tx1"/>
                          </w14:solidFill>
                        </w14:textFill>
                      </w:rPr>
                    </m:ctrlPr>
                  </m:sub>
                </m:sSub>
              </m:oMath>
            </m:oMathPara>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szCs w:val="21"/>
                <w14:textFill>
                  <w14:solidFill>
                    <w14:schemeClr w14:val="tx1"/>
                  </w14:solidFill>
                </w14:textFill>
              </w:rPr>
              <w:t>受拉区钢筋合力点至混凝土受拉边缘的距离，受压区钢筋合力点至混凝</w:t>
            </w:r>
          </w:p>
        </w:tc>
      </w:tr>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p>
        </w:tc>
        <w:tc>
          <w:tcPr>
            <w:tcW w:w="675" w:type="dxa"/>
            <w:vAlign w:val="center"/>
          </w:tcPr>
          <w:p>
            <w:pPr>
              <w:ind w:firstLine="0" w:firstLineChars="0"/>
              <w:jc w:val="right"/>
              <w:textAlignment w:val="center"/>
              <w:rPr>
                <w:rFonts w:cs="Times New Roman"/>
                <w:color w:val="000000" w:themeColor="text1"/>
                <w:kern w:val="0"/>
                <w14:textFill>
                  <w14:solidFill>
                    <w14:schemeClr w14:val="tx1"/>
                  </w14:solidFill>
                </w14:textFill>
              </w:rPr>
            </w:pP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szCs w:val="21"/>
                <w14:textFill>
                  <w14:solidFill>
                    <w14:schemeClr w14:val="tx1"/>
                  </w14:solidFill>
                </w14:textFill>
              </w:rPr>
              <w:t>土受压边缘的距离；</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S</w:t>
            </w:r>
            <w:r>
              <w:rPr>
                <w:rFonts w:cs="Times New Roman"/>
                <w:color w:val="000000" w:themeColor="text1"/>
                <w:kern w:val="0"/>
                <w:vertAlign w:val="subscript"/>
                <w14:textFill>
                  <w14:solidFill>
                    <w14:schemeClr w14:val="tx1"/>
                  </w14:solidFill>
                </w14:textFill>
              </w:rPr>
              <w:t>at</w:t>
            </w:r>
            <w:r>
              <w:rPr>
                <w:rFonts w:hint="eastAsia" w:cs="Times New Roman"/>
                <w:color w:val="000000" w:themeColor="text1"/>
                <w:kern w:val="0"/>
                <w14:textFill>
                  <w14:solidFill>
                    <w14:schemeClr w14:val="tx1"/>
                  </w14:solidFill>
                </w14:textFill>
              </w:rPr>
              <w:t>、</w:t>
            </w:r>
            <w:r>
              <w:rPr>
                <w:rFonts w:cs="Times New Roman"/>
                <w:color w:val="000000" w:themeColor="text1"/>
                <w:kern w:val="0"/>
                <w14:textFill>
                  <w14:solidFill>
                    <w14:schemeClr w14:val="tx1"/>
                  </w14:solidFill>
                </w14:textFill>
              </w:rPr>
              <w:t>S</w:t>
            </w:r>
            <w:r>
              <w:rPr>
                <w:rFonts w:cs="Times New Roman"/>
                <w:color w:val="000000" w:themeColor="text1"/>
                <w:kern w:val="0"/>
                <w:vertAlign w:val="subscript"/>
                <w14:textFill>
                  <w14:solidFill>
                    <w14:schemeClr w14:val="tx1"/>
                  </w14:solidFill>
                </w14:textFill>
              </w:rPr>
              <w:t>ac</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szCs w:val="21"/>
                <w14:textFill>
                  <w14:solidFill>
                    <w14:schemeClr w14:val="tx1"/>
                  </w14:solidFill>
                </w14:textFill>
              </w:rPr>
              <w:t>受拉区梁主钢件截面、受压区梁主钢件截面对组合截面塑性中和轴的面</w:t>
            </w:r>
          </w:p>
        </w:tc>
      </w:tr>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p>
        </w:tc>
        <w:tc>
          <w:tcPr>
            <w:tcW w:w="675" w:type="dxa"/>
            <w:vAlign w:val="center"/>
          </w:tcPr>
          <w:p>
            <w:pPr>
              <w:ind w:firstLine="0" w:firstLineChars="0"/>
              <w:jc w:val="right"/>
              <w:textAlignment w:val="center"/>
              <w:rPr>
                <w:rFonts w:cs="Times New Roman"/>
                <w:color w:val="000000" w:themeColor="text1"/>
                <w:kern w:val="0"/>
                <w14:textFill>
                  <w14:solidFill>
                    <w14:schemeClr w14:val="tx1"/>
                  </w14:solidFill>
                </w14:textFill>
              </w:rPr>
            </w:pP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szCs w:val="21"/>
                <w14:textFill>
                  <w14:solidFill>
                    <w14:schemeClr w14:val="tx1"/>
                  </w14:solidFill>
                </w14:textFill>
              </w:rPr>
              <w:t>积矩</w:t>
            </w:r>
            <w:r>
              <w:rPr>
                <w:rFonts w:hint="eastAsia" w:cs="Times New Roman"/>
                <w:color w:val="000000" w:themeColor="text1"/>
                <w:kern w:val="0"/>
                <w14:textFill>
                  <w14:solidFill>
                    <w14:schemeClr w14:val="tx1"/>
                  </w14:solidFill>
                </w14:textFill>
              </w:rPr>
              <w:t>；</w:t>
            </w:r>
          </w:p>
        </w:tc>
      </w:tr>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p>
        </w:tc>
        <w:tc>
          <w:tcPr>
            <w:tcW w:w="675" w:type="dxa"/>
            <w:vAlign w:val="center"/>
          </w:tcPr>
          <w:p>
            <w:pPr>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h</w:t>
            </w:r>
            <w:r>
              <w:rPr>
                <w:rFonts w:cs="Times New Roman"/>
                <w:color w:val="000000" w:themeColor="text1"/>
                <w:kern w:val="0"/>
                <w:vertAlign w:val="subscript"/>
                <w14:textFill>
                  <w14:solidFill>
                    <w14:schemeClr w14:val="tx1"/>
                  </w14:solidFill>
                </w14:textFill>
              </w:rPr>
              <w:t>0</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kern w:val="0"/>
                <w14:textFill>
                  <w14:solidFill>
                    <w14:schemeClr w14:val="tx1"/>
                  </w14:solidFill>
                </w14:textFill>
              </w:rPr>
              <w:t>混凝土截面有效高度</w:t>
            </w:r>
            <w:r>
              <w:rPr>
                <w:rFonts w:cs="Times New Roman"/>
                <w:color w:val="000000" w:themeColor="text1"/>
                <w:kern w:val="0"/>
                <w14:textFill>
                  <w14:solidFill>
                    <w14:schemeClr w14:val="tx1"/>
                  </w14:solidFill>
                </w14:textFill>
              </w:rPr>
              <w:t>,</w:t>
            </w:r>
            <w:r>
              <w:rPr>
                <w:rFonts w:hint="eastAsia" w:cs="Times New Roman"/>
                <w:color w:val="000000" w:themeColor="text1"/>
                <w:kern w:val="0"/>
                <w14:textFill>
                  <w14:solidFill>
                    <w14:schemeClr w14:val="tx1"/>
                  </w14:solidFill>
                </w14:textFill>
              </w:rPr>
              <w:t>为混凝土截面受压区的外边缘至梁主钢件受拉翼</w:t>
            </w:r>
          </w:p>
        </w:tc>
      </w:tr>
      <w:tr>
        <w:tblPrEx>
          <w:tblCellMar>
            <w:top w:w="0" w:type="dxa"/>
            <w:left w:w="108" w:type="dxa"/>
            <w:bottom w:w="0" w:type="dxa"/>
            <w:right w:w="108" w:type="dxa"/>
          </w:tblCellMar>
        </w:tblPrEx>
        <w:tc>
          <w:tcPr>
            <w:tcW w:w="817" w:type="dxa"/>
            <w:vAlign w:val="center"/>
          </w:tcPr>
          <w:p>
            <w:pPr>
              <w:ind w:firstLine="0" w:firstLineChars="0"/>
              <w:textAlignment w:val="center"/>
              <w:rPr>
                <w:rFonts w:cs="Times New Roman"/>
                <w:color w:val="000000" w:themeColor="text1"/>
                <w14:textFill>
                  <w14:solidFill>
                    <w14:schemeClr w14:val="tx1"/>
                  </w14:solidFill>
                </w14:textFill>
              </w:rPr>
            </w:pPr>
          </w:p>
        </w:tc>
        <w:tc>
          <w:tcPr>
            <w:tcW w:w="675" w:type="dxa"/>
            <w:vAlign w:val="center"/>
          </w:tcPr>
          <w:p>
            <w:pPr>
              <w:ind w:firstLine="0" w:firstLineChars="0"/>
              <w:jc w:val="right"/>
              <w:textAlignment w:val="center"/>
              <w:rPr>
                <w:rFonts w:cs="Times New Roman"/>
                <w:color w:val="000000" w:themeColor="text1"/>
                <w:kern w:val="0"/>
                <w14:textFill>
                  <w14:solidFill>
                    <w14:schemeClr w14:val="tx1"/>
                  </w14:solidFill>
                </w14:textFill>
              </w:rPr>
            </w:pP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p>
        </w:tc>
        <w:tc>
          <w:tcPr>
            <w:tcW w:w="6642" w:type="dxa"/>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kern w:val="0"/>
                <w14:textFill>
                  <w14:solidFill>
                    <w14:schemeClr w14:val="tx1"/>
                  </w14:solidFill>
                </w14:textFill>
              </w:rPr>
              <w:t>缘与受拉钢筋合力点的距离；</w:t>
            </w:r>
          </w:p>
        </w:tc>
      </w:tr>
      <w:tr>
        <w:tblPrEx>
          <w:tblCellMar>
            <w:top w:w="0" w:type="dxa"/>
            <w:left w:w="108" w:type="dxa"/>
            <w:bottom w:w="0" w:type="dxa"/>
            <w:right w:w="108" w:type="dxa"/>
          </w:tblCellMar>
        </w:tblPrEx>
        <w:tc>
          <w:tcPr>
            <w:tcW w:w="1492" w:type="dxa"/>
            <w:gridSpan w:val="2"/>
            <w:vAlign w:val="center"/>
          </w:tcPr>
          <w:p>
            <w:pPr>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E</w:t>
            </w:r>
            <w:r>
              <w:rPr>
                <w:rFonts w:cs="Times New Roman"/>
                <w:color w:val="000000" w:themeColor="text1"/>
                <w:kern w:val="0"/>
                <w:vertAlign w:val="subscript"/>
                <w14:textFill>
                  <w14:solidFill>
                    <w14:schemeClr w14:val="tx1"/>
                  </w14:solidFill>
                </w14:textFill>
              </w:rPr>
              <w:t>s</w:t>
            </w:r>
            <w:r>
              <w:rPr>
                <w:rFonts w:hint="eastAsia" w:cs="Times New Roman"/>
                <w:color w:val="000000" w:themeColor="text1"/>
                <w:kern w:val="0"/>
                <w14:textFill>
                  <w14:solidFill>
                    <w14:schemeClr w14:val="tx1"/>
                  </w14:solidFill>
                </w14:textFill>
              </w:rPr>
              <w:t>、</w:t>
            </w:r>
            <w:r>
              <w:rPr>
                <w:rFonts w:cs="Times New Roman"/>
                <w:color w:val="000000" w:themeColor="text1"/>
                <w:kern w:val="0"/>
                <w14:textFill>
                  <w14:solidFill>
                    <w14:schemeClr w14:val="tx1"/>
                  </w14:solidFill>
                </w14:textFill>
              </w:rPr>
              <w:t>E</w:t>
            </w:r>
            <w:r>
              <w:rPr>
                <w:rFonts w:cs="Times New Roman"/>
                <w:color w:val="000000" w:themeColor="text1"/>
                <w:kern w:val="0"/>
                <w:vertAlign w:val="subscript"/>
                <w14:textFill>
                  <w14:solidFill>
                    <w14:schemeClr w14:val="tx1"/>
                  </w14:solidFill>
                </w14:textFill>
              </w:rPr>
              <w:t>a</w:t>
            </w:r>
          </w:p>
        </w:tc>
        <w:tc>
          <w:tcPr>
            <w:tcW w:w="388" w:type="dxa"/>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6642" w:type="dxa"/>
            <w:vAlign w:val="center"/>
          </w:tcPr>
          <w:p>
            <w:pPr>
              <w:ind w:firstLine="0" w:firstLineChars="0"/>
              <w:textAlignment w:val="center"/>
              <w:rPr>
                <w:rFonts w:cs="Times New Roman"/>
                <w:color w:val="000000" w:themeColor="text1"/>
                <w:kern w:val="0"/>
                <w14:textFill>
                  <w14:solidFill>
                    <w14:schemeClr w14:val="tx1"/>
                  </w14:solidFill>
                </w14:textFill>
              </w:rPr>
            </w:pPr>
            <w:r>
              <w:rPr>
                <w:rFonts w:hint="eastAsia" w:cs="Times New Roman"/>
                <w:color w:val="000000" w:themeColor="text1"/>
                <w14:textFill>
                  <w14:solidFill>
                    <w14:schemeClr w14:val="tx1"/>
                  </w14:solidFill>
                </w14:textFill>
              </w:rPr>
              <w:t>钢筋弹性模量、梁主钢件弹性模量；</w:t>
            </w:r>
          </w:p>
        </w:tc>
      </w:tr>
    </w:tbl>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主钢件符合截面分类</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、截面分类</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要求的构件，截面绕弱轴的受弯承载力按下列公式计算：</w:t>
      </w:r>
      <w:r>
        <w:rPr>
          <w:rFonts w:cs="Times New Roman"/>
          <w:color w:val="000000" w:themeColor="text1"/>
          <w:szCs w:val="21"/>
          <w14:textFill>
            <w14:solidFill>
              <w14:schemeClr w14:val="tx1"/>
            </w14:solidFill>
          </w14:textFill>
        </w:rPr>
        <w:t xml:space="preserve"> </w:t>
      </w:r>
    </w:p>
    <w:tbl>
      <w:tblPr>
        <w:tblStyle w:val="32"/>
        <w:tblW w:w="8696" w:type="dxa"/>
        <w:tblInd w:w="0" w:type="dxa"/>
        <w:tblLayout w:type="fixed"/>
        <w:tblCellMar>
          <w:top w:w="0" w:type="dxa"/>
          <w:left w:w="108" w:type="dxa"/>
          <w:bottom w:w="0" w:type="dxa"/>
          <w:right w:w="108" w:type="dxa"/>
        </w:tblCellMar>
      </w:tblPr>
      <w:tblGrid>
        <w:gridCol w:w="993"/>
        <w:gridCol w:w="1026"/>
        <w:gridCol w:w="663"/>
        <w:gridCol w:w="4471"/>
        <w:gridCol w:w="1543"/>
      </w:tblGrid>
      <w:tr>
        <w:tblPrEx>
          <w:tblCellMar>
            <w:top w:w="0" w:type="dxa"/>
            <w:left w:w="108" w:type="dxa"/>
            <w:bottom w:w="0" w:type="dxa"/>
            <w:right w:w="108" w:type="dxa"/>
          </w:tblCellMar>
        </w:tblPrEx>
        <w:tc>
          <w:tcPr>
            <w:tcW w:w="8695" w:type="dxa"/>
            <w:gridSpan w:val="5"/>
          </w:tcPr>
          <w:p>
            <w:pPr>
              <w:spacing w:line="360" w:lineRule="auto"/>
              <w:ind w:firstLine="0" w:firstLineChars="0"/>
              <w:jc w:val="center"/>
              <w:rPr>
                <w:rFonts w:cs="Times New Roman"/>
                <w:color w:val="000000" w:themeColor="text1"/>
                <w:sz w:val="24"/>
                <w:szCs w:val="24"/>
                <w14:textFill>
                  <w14:solidFill>
                    <w14:schemeClr w14:val="tx1"/>
                  </w14:solidFill>
                </w14:textFill>
              </w:rPr>
            </w:pPr>
            <w:r>
              <w:rPr>
                <w:rFonts w:cs="Times New Roman"/>
                <w:color w:val="000000" w:themeColor="text1"/>
                <w14:textFill>
                  <w14:solidFill>
                    <w14:schemeClr w14:val="tx1"/>
                  </w14:solidFill>
                </w14:textFill>
              </w:rPr>
              <w:drawing>
                <wp:inline distT="0" distB="0" distL="0" distR="0">
                  <wp:extent cx="5270500" cy="1543050"/>
                  <wp:effectExtent l="0" t="0" r="635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0" y="0"/>
                            <a:ext cx="5270500" cy="1543050"/>
                          </a:xfrm>
                          <a:prstGeom prst="rect">
                            <a:avLst/>
                          </a:prstGeom>
                          <a:noFill/>
                          <a:ln>
                            <a:noFill/>
                          </a:ln>
                        </pic:spPr>
                      </pic:pic>
                    </a:graphicData>
                  </a:graphic>
                </wp:inline>
              </w:drawing>
            </w:r>
          </w:p>
        </w:tc>
      </w:tr>
      <w:tr>
        <w:tblPrEx>
          <w:tblCellMar>
            <w:top w:w="0" w:type="dxa"/>
            <w:left w:w="108" w:type="dxa"/>
            <w:bottom w:w="0" w:type="dxa"/>
            <w:right w:w="108" w:type="dxa"/>
          </w:tblCellMar>
        </w:tblPrEx>
        <w:tc>
          <w:tcPr>
            <w:tcW w:w="8695" w:type="dxa"/>
            <w:gridSpan w:val="5"/>
          </w:tcPr>
          <w:p>
            <w:pPr>
              <w:spacing w:line="360" w:lineRule="auto"/>
              <w:ind w:firstLine="0" w:firstLineChars="0"/>
              <w:jc w:val="center"/>
              <w:rPr>
                <w:rFonts w:cs="Times New Roman"/>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图</w:t>
            </w:r>
            <w:r>
              <w:rPr>
                <w:rFonts w:cs="Times New Roman"/>
                <w:color w:val="000000" w:themeColor="text1"/>
                <w:sz w:val="18"/>
                <w:szCs w:val="18"/>
                <w14:textFill>
                  <w14:solidFill>
                    <w14:schemeClr w14:val="tx1"/>
                  </w14:solidFill>
                </w14:textFill>
              </w:rPr>
              <w:t xml:space="preserve">F.0.7-2 </w:t>
            </w:r>
            <w:r>
              <w:rPr>
                <w:rFonts w:hint="eastAsia" w:ascii="宋体" w:hAnsi="宋体" w:cs="宋体"/>
                <w:color w:val="000000" w:themeColor="text1"/>
                <w:sz w:val="18"/>
                <w:szCs w:val="18"/>
                <w14:textFill>
                  <w14:solidFill>
                    <w14:schemeClr w14:val="tx1"/>
                  </w14:solidFill>
                </w14:textFill>
              </w:rPr>
              <w:t>绕弱轴弯矩作用下截面受弯承载力计算应力图</w:t>
            </w:r>
            <w:r>
              <w:rPr>
                <w:rFonts w:hint="eastAsia" w:cs="Times New Roman"/>
                <w:color w:val="000000" w:themeColor="text1"/>
                <w:sz w:val="18"/>
                <w:szCs w:val="18"/>
                <w14:textFill>
                  <w14:solidFill>
                    <w14:schemeClr w14:val="tx1"/>
                  </w14:solidFill>
                </w14:textFill>
              </w:rPr>
              <w:t>式</w:t>
            </w:r>
          </w:p>
        </w:tc>
      </w:tr>
      <w:tr>
        <w:tblPrEx>
          <w:tblCellMar>
            <w:top w:w="0" w:type="dxa"/>
            <w:left w:w="108" w:type="dxa"/>
            <w:bottom w:w="0" w:type="dxa"/>
            <w:right w:w="108" w:type="dxa"/>
          </w:tblCellMar>
        </w:tblPrEx>
        <w:tc>
          <w:tcPr>
            <w:tcW w:w="7153" w:type="dxa"/>
            <w:gridSpan w:val="4"/>
          </w:tcPr>
          <w:p>
            <w:pPr>
              <w:spacing w:line="360" w:lineRule="auto"/>
              <w:ind w:firstLine="0" w:firstLineChars="0"/>
              <w:jc w:val="center"/>
              <w:rPr>
                <w:rFonts w:cs="Times New Roman"/>
                <w:color w:val="000000" w:themeColor="text1"/>
                <w:szCs w:val="21"/>
                <w14:textFill>
                  <w14:solidFill>
                    <w14:schemeClr w14:val="tx1"/>
                  </w14:solidFill>
                </w14:textFill>
              </w:rPr>
            </w:pPr>
            <m:oMathPara>
              <m:oMath>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M</m:t>
                    </m:r>
                    <m:ctrlPr>
                      <w:rPr>
                        <w:rFonts w:ascii="Cambria Math" w:hAnsi="Cambria Math" w:cs="Times New Roman"/>
                        <w:i/>
                        <w:color w:val="000000" w:themeColor="text1"/>
                        <w:kern w:val="0"/>
                        <w:sz w:val="20"/>
                        <w:szCs w:val="21"/>
                        <w14:textFill>
                          <w14:solidFill>
                            <w14:schemeClr w14:val="tx1"/>
                          </w14:solidFill>
                        </w14:textFill>
                      </w:rPr>
                    </m:ctrlPr>
                  </m:e>
                  <m:sub>
                    <m:r>
                      <w:rPr>
                        <w:rFonts w:ascii="Cambria Math" w:hAnsi="Cambria Math" w:cs="Times New Roman"/>
                        <w:color w:val="000000" w:themeColor="text1"/>
                        <w:kern w:val="0"/>
                        <w:sz w:val="20"/>
                        <w:szCs w:val="21"/>
                        <w14:textFill>
                          <w14:solidFill>
                            <w14:schemeClr w14:val="tx1"/>
                          </w14:solidFill>
                        </w14:textFill>
                      </w:rPr>
                      <m:t>uy</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=2</m:t>
                </m:r>
                <m:sSub>
                  <m:sSubPr>
                    <m:ctrlPr>
                      <w:rPr>
                        <w:rFonts w:ascii="Cambria Math" w:hAnsi="Cambria Math" w:cs="Times New Roman"/>
                        <w:i/>
                        <w:color w:val="000000" w:themeColor="text1"/>
                        <w:kern w:val="0"/>
                        <w:sz w:val="20"/>
                        <w:szCs w:val="21"/>
                        <w14:textFill>
                          <w14:solidFill>
                            <w14:schemeClr w14:val="tx1"/>
                          </w14:solidFill>
                        </w14:textFill>
                      </w:rPr>
                    </m:ctrlPr>
                  </m:sSubPr>
                  <m:e>
                    <m:r>
                      <w:rPr>
                        <w:rFonts w:ascii="Cambria Math" w:hAnsi="Cambria Math" w:cs="Times New Roman"/>
                        <w:color w:val="000000" w:themeColor="text1"/>
                        <w:kern w:val="0"/>
                        <w:sz w:val="20"/>
                        <w:szCs w:val="21"/>
                        <w14:textFill>
                          <w14:solidFill>
                            <w14:schemeClr w14:val="tx1"/>
                          </w14:solidFill>
                        </w14:textFill>
                      </w:rPr>
                      <m:t>t</m:t>
                    </m:r>
                    <m:ctrlPr>
                      <w:rPr>
                        <w:rFonts w:ascii="Cambria Math" w:hAnsi="Cambria Math" w:cs="Times New Roman"/>
                        <w:i/>
                        <w:color w:val="000000" w:themeColor="text1"/>
                        <w:kern w:val="0"/>
                        <w:sz w:val="20"/>
                        <w:szCs w:val="21"/>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s="Times New Roman"/>
                        <w:i/>
                        <w:color w:val="000000" w:themeColor="text1"/>
                        <w:kern w:val="0"/>
                        <w:sz w:val="20"/>
                        <w:szCs w:val="21"/>
                        <w14:textFill>
                          <w14:solidFill>
                            <w14:schemeClr w14:val="tx1"/>
                          </w14:solidFill>
                        </w14:textFill>
                      </w:rPr>
                    </m:ctrlPr>
                  </m:sub>
                </m:sSub>
                <m:r>
                  <w:rPr>
                    <w:rFonts w:ascii="Cambria Math" w:hAnsi="Cambria Math" w:cs="Times New Roman"/>
                    <w:color w:val="000000" w:themeColor="text1"/>
                    <w:kern w:val="0"/>
                    <w:sz w:val="20"/>
                    <w:szCs w:val="21"/>
                    <w14:textFill>
                      <w14:solidFill>
                        <w14:schemeClr w14:val="tx1"/>
                      </w14:solidFill>
                    </w14:textFill>
                  </w:rPr>
                  <m:t>x</m:t>
                </m:r>
                <m:sSub>
                  <m:sSubPr>
                    <m:ctrlPr>
                      <w:rPr>
                        <w:rFonts w:ascii="Cambria Math" w:hAnsi="Cambria Math"/>
                        <w:color w:val="000000" w:themeColor="text1"/>
                        <w:sz w:val="20"/>
                        <w:szCs w:val="20"/>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color w:val="000000" w:themeColor="text1"/>
                        <w:sz w:val="20"/>
                        <w:szCs w:val="20"/>
                        <w14:textFill>
                          <w14:solidFill>
                            <w14:schemeClr w14:val="tx1"/>
                          </w14:solidFill>
                        </w14:textFill>
                      </w:rPr>
                    </m:ctrlPr>
                  </m:sub>
                </m:sSub>
                <m:d>
                  <m:dPr>
                    <m:ctrlPr>
                      <w:rPr>
                        <w:rFonts w:ascii="Cambria Math" w:hAnsi="Cambria Math"/>
                        <w:i/>
                        <w:color w:val="000000" w:themeColor="text1"/>
                        <w:sz w:val="20"/>
                        <w:szCs w:val="20"/>
                        <w14:textFill>
                          <w14:solidFill>
                            <w14:schemeClr w14:val="tx1"/>
                          </w14:solidFill>
                        </w14:textFill>
                      </w:rPr>
                    </m:ctrlPr>
                  </m:dPr>
                  <m:e>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b</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-x</m:t>
                    </m:r>
                    <m:ctrlPr>
                      <w:rPr>
                        <w:rFonts w:ascii="Cambria Math" w:hAnsi="Cambria Math"/>
                        <w:i/>
                        <w:color w:val="000000" w:themeColor="text1"/>
                        <w:sz w:val="20"/>
                        <w:szCs w:val="20"/>
                        <w14:textFill>
                          <w14:solidFill>
                            <w14:schemeClr w14:val="tx1"/>
                          </w14:solidFill>
                        </w14:textFill>
                      </w:rPr>
                    </m:ctrlPr>
                  </m:e>
                </m:d>
                <m:r>
                  <w:rPr>
                    <w:rFonts w:ascii="Cambria Math" w:hAnsi="Cambria Math"/>
                    <w:color w:val="000000" w:themeColor="text1"/>
                    <w:sz w:val="20"/>
                    <w:szCs w:val="20"/>
                    <w14:textFill>
                      <w14:solidFill>
                        <w14:schemeClr w14:val="tx1"/>
                      </w14:solidFill>
                    </w14:textFill>
                  </w:rPr>
                  <m:t>+</m:t>
                </m:r>
                <m:d>
                  <m:dPr>
                    <m:begChr m:val="["/>
                    <m:endChr m:val="]"/>
                    <m:ctrlPr>
                      <w:rPr>
                        <w:rFonts w:ascii="Cambria Math" w:hAnsi="Cambria Math"/>
                        <w:i/>
                        <w:color w:val="000000" w:themeColor="text1"/>
                        <w:sz w:val="20"/>
                        <w:szCs w:val="20"/>
                        <w14:textFill>
                          <w14:solidFill>
                            <w14:schemeClr w14:val="tx1"/>
                          </w14:solidFill>
                        </w14:textFill>
                      </w:rPr>
                    </m:ctrlPr>
                  </m:dPr>
                  <m:e>
                    <m:r>
                      <w:rPr>
                        <w:rFonts w:ascii="Cambria Math" w:hAnsi="Cambria Math"/>
                        <w:color w:val="000000" w:themeColor="text1"/>
                        <w:sz w:val="20"/>
                        <w:szCs w:val="20"/>
                        <w14:textFill>
                          <w14:solidFill>
                            <w14:schemeClr w14:val="tx1"/>
                          </w14:solidFill>
                        </w14:textFill>
                      </w:rPr>
                      <m:t>4</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s</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m</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t</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t</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w</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h</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2t</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ctrlPr>
                      <w:rPr>
                        <w:rFonts w:ascii="Cambria Math" w:hAnsi="Cambria Math"/>
                        <w:i/>
                        <w:color w:val="000000" w:themeColor="text1"/>
                        <w:sz w:val="20"/>
                        <w:szCs w:val="20"/>
                        <w14:textFill>
                          <w14:solidFill>
                            <w14:schemeClr w14:val="tx1"/>
                          </w14:solidFill>
                        </w14:textFill>
                      </w:rPr>
                    </m:ctrlPr>
                  </m:e>
                </m:d>
                <m:sSub>
                  <m:sSubPr>
                    <m:ctrlPr>
                      <w:rPr>
                        <w:rFonts w:ascii="Cambria Math" w:hAnsi="Cambria Math"/>
                        <w:color w:val="000000" w:themeColor="text1"/>
                        <w:sz w:val="20"/>
                        <w:szCs w:val="20"/>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color w:val="000000" w:themeColor="text1"/>
                        <w:sz w:val="20"/>
                        <w:szCs w:val="20"/>
                        <w14:textFill>
                          <w14:solidFill>
                            <w14:schemeClr w14:val="tx1"/>
                          </w14:solidFill>
                        </w14:textFill>
                      </w:rPr>
                    </m:ctrlPr>
                  </m:sub>
                </m:sSub>
                <m:d>
                  <m:dPr>
                    <m:ctrlPr>
                      <w:rPr>
                        <w:rFonts w:ascii="Cambria Math" w:hAnsi="Cambria Math"/>
                        <w:i/>
                        <w:color w:val="000000" w:themeColor="text1"/>
                        <w:sz w:val="20"/>
                        <w:szCs w:val="20"/>
                        <w14:textFill>
                          <w14:solidFill>
                            <w14:schemeClr w14:val="tx1"/>
                          </w14:solidFill>
                        </w14:textFill>
                      </w:rPr>
                    </m:ctrlPr>
                  </m:dPr>
                  <m:e>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b</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/2-x</m:t>
                    </m:r>
                    <m:ctrlPr>
                      <w:rPr>
                        <w:rFonts w:ascii="Cambria Math" w:hAnsi="Cambria Math"/>
                        <w:i/>
                        <w:color w:val="000000" w:themeColor="text1"/>
                        <w:sz w:val="20"/>
                        <w:szCs w:val="20"/>
                        <w14:textFill>
                          <w14:solidFill>
                            <w14:schemeClr w14:val="tx1"/>
                          </w14:solidFill>
                        </w14:textFill>
                      </w:rPr>
                    </m:ctrlPr>
                  </m:e>
                </m:d>
                <m:r>
                  <w:rPr>
                    <w:rFonts w:ascii="Cambria Math" w:hAnsi="Cambria Math"/>
                    <w:color w:val="000000" w:themeColor="text1"/>
                    <w:sz w:val="20"/>
                    <w:szCs w:val="20"/>
                    <w14:textFill>
                      <w14:solidFill>
                        <w14:schemeClr w14:val="tx1"/>
                      </w14:solidFill>
                    </w14:textFill>
                  </w:rPr>
                  <m:t>+</m:t>
                </m:r>
              </m:oMath>
            </m:oMathPara>
          </w:p>
        </w:tc>
        <w:tc>
          <w:tcPr>
            <w:tcW w:w="1542" w:type="dxa"/>
          </w:tcPr>
          <w:p>
            <w:pPr>
              <w:tabs>
                <w:tab w:val="left" w:pos="7371"/>
              </w:tabs>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(F.0.7-6)</w:t>
            </w:r>
          </w:p>
        </w:tc>
      </w:tr>
      <w:tr>
        <w:tblPrEx>
          <w:tblCellMar>
            <w:top w:w="0" w:type="dxa"/>
            <w:left w:w="108" w:type="dxa"/>
            <w:bottom w:w="0" w:type="dxa"/>
            <w:right w:w="108" w:type="dxa"/>
          </w:tblCellMar>
        </w:tblPrEx>
        <w:tc>
          <w:tcPr>
            <w:tcW w:w="7153" w:type="dxa"/>
            <w:gridSpan w:val="4"/>
          </w:tcPr>
          <w:p>
            <w:pPr>
              <w:spacing w:line="360" w:lineRule="auto"/>
              <w:ind w:firstLine="0" w:firstLineChars="0"/>
              <w:jc w:val="center"/>
              <w:rPr>
                <w:rFonts w:cs="Times New Roman"/>
                <w:color w:val="000000" w:themeColor="text1"/>
                <w:position w:val="-14"/>
                <w:szCs w:val="21"/>
                <w14:textFill>
                  <w14:solidFill>
                    <w14:schemeClr w14:val="tx1"/>
                  </w14:solidFill>
                </w14:textFill>
              </w:rPr>
            </w:pPr>
            <m:oMathPara>
              <m:oMath>
                <m:r>
                  <m:rPr>
                    <m:sty m:val="p"/>
                  </m:rPr>
                  <w:rPr>
                    <w:rFonts w:ascii="Cambria Math" w:hAnsi="Cambria Math"/>
                    <w:color w:val="000000" w:themeColor="text1"/>
                    <w:sz w:val="20"/>
                    <w:szCs w:val="20"/>
                    <w14:textFill>
                      <w14:solidFill>
                        <w14:schemeClr w14:val="tx1"/>
                      </w14:solidFill>
                    </w14:textFill>
                  </w:rPr>
                  <m:t>+</m:t>
                </m:r>
                <m:sSub>
                  <m:sSubPr>
                    <m:ctrlPr>
                      <w:rPr>
                        <w:rFonts w:ascii="Cambria Math" w:hAnsi="Cambria Math"/>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α</m:t>
                    </m:r>
                    <m:ctrlPr>
                      <w:rPr>
                        <w:rFonts w:ascii="Cambria Math" w:hAnsi="Cambria Math"/>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1</m:t>
                    </m:r>
                    <m:ctrlPr>
                      <w:rPr>
                        <w:rFonts w:ascii="Cambria Math" w:hAnsi="Cambria Math"/>
                        <w:color w:val="000000" w:themeColor="text1"/>
                        <w:sz w:val="20"/>
                        <w:szCs w:val="20"/>
                        <w14:textFill>
                          <w14:solidFill>
                            <w14:schemeClr w14:val="tx1"/>
                          </w14:solidFill>
                        </w14:textFill>
                      </w:rPr>
                    </m:ctrlPr>
                  </m:sub>
                </m:sSub>
                <m:sSub>
                  <m:sSubPr>
                    <m:ctrlPr>
                      <w:rPr>
                        <w:rFonts w:ascii="Cambria Math" w:hAnsi="Cambria Math"/>
                        <w:color w:val="000000" w:themeColor="text1"/>
                        <w:sz w:val="20"/>
                        <w:szCs w:val="20"/>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c</m:t>
                    </m:r>
                    <m:ctrlPr>
                      <w:rPr>
                        <w:rFonts w:ascii="Cambria Math" w:hAnsi="Cambria Math"/>
                        <w:color w:val="000000" w:themeColor="text1"/>
                        <w:sz w:val="20"/>
                        <w:szCs w:val="20"/>
                        <w14:textFill>
                          <w14:solidFill>
                            <w14:schemeClr w14:val="tx1"/>
                          </w14:solidFill>
                        </w14:textFill>
                      </w:rPr>
                    </m:ctrlPr>
                  </m:sub>
                </m:sSub>
                <m:d>
                  <m:dPr>
                    <m:ctrlPr>
                      <w:rPr>
                        <w:rFonts w:ascii="Cambria Math" w:hAnsi="Cambria Math"/>
                        <w:i/>
                        <w:color w:val="000000" w:themeColor="text1"/>
                        <w:sz w:val="20"/>
                        <w:szCs w:val="20"/>
                        <w14:textFill>
                          <w14:solidFill>
                            <w14:schemeClr w14:val="tx1"/>
                          </w14:solidFill>
                        </w14:textFill>
                      </w:rPr>
                    </m:ctrlPr>
                  </m:dPr>
                  <m:e>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h</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-2</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t</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ctrlPr>
                      <w:rPr>
                        <w:rFonts w:ascii="Cambria Math" w:hAnsi="Cambria Math"/>
                        <w:i/>
                        <w:color w:val="000000" w:themeColor="text1"/>
                        <w:sz w:val="20"/>
                        <w:szCs w:val="20"/>
                        <w14:textFill>
                          <w14:solidFill>
                            <w14:schemeClr w14:val="tx1"/>
                          </w14:solidFill>
                        </w14:textFill>
                      </w:rPr>
                    </m:ctrlPr>
                  </m:e>
                </m:d>
                <m:sSup>
                  <m:sSupPr>
                    <m:ctrlPr>
                      <w:rPr>
                        <w:rFonts w:ascii="Cambria Math" w:hAnsi="Cambria Math"/>
                        <w:i/>
                        <w:color w:val="000000" w:themeColor="text1"/>
                        <w:sz w:val="20"/>
                        <w:szCs w:val="20"/>
                        <w14:textFill>
                          <w14:solidFill>
                            <w14:schemeClr w14:val="tx1"/>
                          </w14:solidFill>
                        </w14:textFill>
                      </w:rPr>
                    </m:ctrlPr>
                  </m:sSupPr>
                  <m:e>
                    <m:r>
                      <w:rPr>
                        <w:rFonts w:ascii="Cambria Math" w:hAnsi="Cambria Math"/>
                        <w:color w:val="000000" w:themeColor="text1"/>
                        <w:sz w:val="20"/>
                        <w:szCs w:val="20"/>
                        <w14:textFill>
                          <w14:solidFill>
                            <w14:schemeClr w14:val="tx1"/>
                          </w14:solidFill>
                        </w14:textFill>
                      </w:rPr>
                      <m:t>x</m:t>
                    </m:r>
                    <m:ctrlPr>
                      <w:rPr>
                        <w:rFonts w:ascii="Cambria Math" w:hAnsi="Cambria Math"/>
                        <w:i/>
                        <w:color w:val="000000" w:themeColor="text1"/>
                        <w:sz w:val="20"/>
                        <w:szCs w:val="20"/>
                        <w14:textFill>
                          <w14:solidFill>
                            <w14:schemeClr w14:val="tx1"/>
                          </w14:solidFill>
                        </w14:textFill>
                      </w:rPr>
                    </m:ctrlPr>
                  </m:e>
                  <m:sup>
                    <m:r>
                      <w:rPr>
                        <w:rFonts w:ascii="Cambria Math" w:hAnsi="Cambria Math"/>
                        <w:color w:val="000000" w:themeColor="text1"/>
                        <w:sz w:val="20"/>
                        <w:szCs w:val="20"/>
                        <w14:textFill>
                          <w14:solidFill>
                            <w14:schemeClr w14:val="tx1"/>
                          </w14:solidFill>
                        </w14:textFill>
                      </w:rPr>
                      <m:t>2</m:t>
                    </m:r>
                    <m:ctrlPr>
                      <w:rPr>
                        <w:rFonts w:ascii="Cambria Math" w:hAnsi="Cambria Math"/>
                        <w:i/>
                        <w:color w:val="000000" w:themeColor="text1"/>
                        <w:sz w:val="20"/>
                        <w:szCs w:val="20"/>
                        <w14:textFill>
                          <w14:solidFill>
                            <w14:schemeClr w14:val="tx1"/>
                          </w14:solidFill>
                        </w14:textFill>
                      </w:rPr>
                    </m:ctrlPr>
                  </m:sup>
                </m:sSup>
                <m:r>
                  <w:rPr>
                    <w:rFonts w:ascii="Cambria Math" w:hAnsi="Cambria Math"/>
                    <w:color w:val="000000" w:themeColor="text1"/>
                    <w:sz w:val="20"/>
                    <w:szCs w:val="20"/>
                    <w14:textFill>
                      <w14:solidFill>
                        <w14:schemeClr w14:val="tx1"/>
                      </w14:solidFill>
                    </w14:textFill>
                  </w:rPr>
                  <m:t>/2+</m:t>
                </m:r>
                <m:sSub>
                  <m:sSubPr>
                    <m:ctrlPr>
                      <w:rPr>
                        <w:rFonts w:ascii="Cambria Math" w:hAnsi="Cambria Math"/>
                        <w:i/>
                        <w:color w:val="000000" w:themeColor="text1"/>
                        <w:sz w:val="20"/>
                        <w:szCs w:val="20"/>
                        <w14:textFill>
                          <w14:solidFill>
                            <w14:schemeClr w14:val="tx1"/>
                          </w14:solidFill>
                        </w14:textFill>
                      </w:rPr>
                    </m:ctrlPr>
                  </m:sSubPr>
                  <m:e>
                    <m:acc>
                      <m:accPr>
                        <m:chr m:val="́"/>
                        <m:ctrlPr>
                          <w:rPr>
                            <w:rFonts w:ascii="Cambria Math" w:hAnsi="Cambria Math"/>
                            <w:i/>
                            <w:color w:val="000000" w:themeColor="text1"/>
                            <w:sz w:val="20"/>
                            <w:szCs w:val="20"/>
                            <w14:textFill>
                              <w14:solidFill>
                                <w14:schemeClr w14:val="tx1"/>
                              </w14:solidFill>
                            </w14:textFill>
                          </w:rPr>
                        </m:ctrlPr>
                      </m:accPr>
                      <m:e>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e>
                    </m:acc>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s</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acc>
                      <m:accPr>
                        <m:chr m:val="́"/>
                        <m:ctrlPr>
                          <w:rPr>
                            <w:rFonts w:ascii="Cambria Math" w:hAnsi="Cambria Math"/>
                            <w:color w:val="000000" w:themeColor="text1"/>
                            <w:sz w:val="20"/>
                            <w:szCs w:val="20"/>
                            <w14:textFill>
                              <w14:solidFill>
                                <w14:schemeClr w14:val="tx1"/>
                              </w14:solidFill>
                            </w14:textFill>
                          </w:rPr>
                        </m:ctrlPr>
                      </m:acc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acc>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y</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(x-</m:t>
                </m:r>
                <m:sSub>
                  <m:sSubPr>
                    <m:ctrlPr>
                      <w:rPr>
                        <w:rFonts w:ascii="Cambria Math" w:hAnsi="Cambria Math"/>
                        <w:i/>
                        <w:color w:val="000000" w:themeColor="text1"/>
                        <w:sz w:val="20"/>
                        <w:szCs w:val="20"/>
                        <w14:textFill>
                          <w14:solidFill>
                            <w14:schemeClr w14:val="tx1"/>
                          </w14:solidFill>
                        </w14:textFill>
                      </w:rPr>
                    </m:ctrlPr>
                  </m:sSubPr>
                  <m:e>
                    <m:acc>
                      <m:accPr>
                        <m:chr m:val="́"/>
                        <m:ctrlPr>
                          <w:rPr>
                            <w:rFonts w:ascii="Cambria Math" w:hAnsi="Cambria Math"/>
                            <w:i/>
                            <w:color w:val="000000" w:themeColor="text1"/>
                            <w:sz w:val="20"/>
                            <w:szCs w:val="20"/>
                            <w14:textFill>
                              <w14:solidFill>
                                <w14:schemeClr w14:val="tx1"/>
                              </w14:solidFill>
                            </w14:textFill>
                          </w:rPr>
                        </m:ctrlPr>
                      </m:accPr>
                      <m:e>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e>
                    </m:acc>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s</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y</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b</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-x-</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s</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oMath>
            </m:oMathPara>
          </w:p>
        </w:tc>
        <w:tc>
          <w:tcPr>
            <w:tcW w:w="1542" w:type="dxa"/>
          </w:tcPr>
          <w:p>
            <w:pPr>
              <w:tabs>
                <w:tab w:val="left" w:pos="7371"/>
              </w:tabs>
              <w:spacing w:line="360" w:lineRule="auto"/>
              <w:ind w:firstLine="0" w:firstLineChars="0"/>
              <w:jc w:val="center"/>
              <w:rPr>
                <w:rFonts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c>
          <w:tcPr>
            <w:tcW w:w="7153" w:type="dxa"/>
            <w:gridSpan w:val="4"/>
          </w:tcPr>
          <w:p>
            <w:pPr>
              <w:spacing w:line="360" w:lineRule="auto"/>
              <w:ind w:firstLine="0" w:firstLineChars="0"/>
              <w:jc w:val="center"/>
              <w:rPr>
                <w:rFonts w:cs="Times New Roman"/>
                <w:color w:val="000000" w:themeColor="text1"/>
                <w:position w:val="-14"/>
                <w:szCs w:val="21"/>
                <w14:textFill>
                  <w14:solidFill>
                    <w14:schemeClr w14:val="tx1"/>
                  </w14:solidFill>
                </w14:textFill>
              </w:rPr>
            </w:pPr>
            <m:oMathPara>
              <m:oMath>
                <m:sSub>
                  <m:sSubPr>
                    <m:ctrlPr>
                      <w:rPr>
                        <w:rFonts w:ascii="Cambria Math" w:hAnsi="Cambria Math"/>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α</m:t>
                    </m:r>
                    <m:ctrlPr>
                      <w:rPr>
                        <w:rFonts w:ascii="Cambria Math" w:hAnsi="Cambria Math"/>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1</m:t>
                    </m:r>
                    <m:ctrlPr>
                      <w:rPr>
                        <w:rFonts w:ascii="Cambria Math" w:hAnsi="Cambria Math"/>
                        <w:color w:val="000000" w:themeColor="text1"/>
                        <w:sz w:val="20"/>
                        <w:szCs w:val="20"/>
                        <w14:textFill>
                          <w14:solidFill>
                            <w14:schemeClr w14:val="tx1"/>
                          </w14:solidFill>
                        </w14:textFill>
                      </w:rPr>
                    </m:ctrlPr>
                  </m:sub>
                </m:sSub>
                <m:sSub>
                  <m:sSubPr>
                    <m:ctrlPr>
                      <w:rPr>
                        <w:rFonts w:ascii="Cambria Math" w:hAnsi="Cambria Math"/>
                        <w:color w:val="000000" w:themeColor="text1"/>
                        <w:sz w:val="20"/>
                        <w:szCs w:val="20"/>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c</m:t>
                    </m:r>
                    <m:ctrlPr>
                      <w:rPr>
                        <w:rFonts w:ascii="Cambria Math" w:hAnsi="Cambria Math"/>
                        <w:color w:val="000000" w:themeColor="text1"/>
                        <w:sz w:val="20"/>
                        <w:szCs w:val="20"/>
                        <w14:textFill>
                          <w14:solidFill>
                            <w14:schemeClr w14:val="tx1"/>
                          </w14:solidFill>
                        </w14:textFill>
                      </w:rPr>
                    </m:ctrlPr>
                  </m:sub>
                </m:sSub>
                <m:d>
                  <m:dPr>
                    <m:ctrlPr>
                      <w:rPr>
                        <w:rFonts w:ascii="Cambria Math" w:hAnsi="Cambria Math"/>
                        <w:i/>
                        <w:color w:val="000000" w:themeColor="text1"/>
                        <w:sz w:val="20"/>
                        <w:szCs w:val="20"/>
                        <w14:textFill>
                          <w14:solidFill>
                            <w14:schemeClr w14:val="tx1"/>
                          </w14:solidFill>
                        </w14:textFill>
                      </w:rPr>
                    </m:ctrlPr>
                  </m:dPr>
                  <m:e>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h</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-2</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t</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ctrlPr>
                      <w:rPr>
                        <w:rFonts w:ascii="Cambria Math" w:hAnsi="Cambria Math"/>
                        <w:i/>
                        <w:color w:val="000000" w:themeColor="text1"/>
                        <w:sz w:val="20"/>
                        <w:szCs w:val="20"/>
                        <w14:textFill>
                          <w14:solidFill>
                            <w14:schemeClr w14:val="tx1"/>
                          </w14:solidFill>
                        </w14:textFill>
                      </w:rPr>
                    </m:ctrlPr>
                  </m:e>
                </m:d>
                <m:r>
                  <w:rPr>
                    <w:rFonts w:ascii="Cambria Math" w:hAnsi="Cambria Math"/>
                    <w:color w:val="000000" w:themeColor="text1"/>
                    <w:sz w:val="20"/>
                    <w:szCs w:val="20"/>
                    <w14:textFill>
                      <w14:solidFill>
                        <w14:schemeClr w14:val="tx1"/>
                      </w14:solidFill>
                    </w14:textFill>
                  </w:rPr>
                  <m:t>x+</m:t>
                </m:r>
                <m:sSub>
                  <m:sSubPr>
                    <m:ctrlPr>
                      <w:rPr>
                        <w:rFonts w:ascii="Cambria Math" w:hAnsi="Cambria Math"/>
                        <w:i/>
                        <w:color w:val="000000" w:themeColor="text1"/>
                        <w:sz w:val="20"/>
                        <w:szCs w:val="20"/>
                        <w14:textFill>
                          <w14:solidFill>
                            <w14:schemeClr w14:val="tx1"/>
                          </w14:solidFill>
                        </w14:textFill>
                      </w:rPr>
                    </m:ctrlPr>
                  </m:sSubPr>
                  <m:e>
                    <m:acc>
                      <m:accPr>
                        <m:chr m:val="́"/>
                        <m:ctrlPr>
                          <w:rPr>
                            <w:rFonts w:ascii="Cambria Math" w:hAnsi="Cambria Math"/>
                            <w:i/>
                            <w:color w:val="000000" w:themeColor="text1"/>
                            <w:sz w:val="20"/>
                            <w:szCs w:val="20"/>
                            <w14:textFill>
                              <w14:solidFill>
                                <w14:schemeClr w14:val="tx1"/>
                              </w14:solidFill>
                            </w14:textFill>
                          </w:rPr>
                        </m:ctrlPr>
                      </m:accPr>
                      <m:e>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e>
                    </m:acc>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s</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acc>
                      <m:accPr>
                        <m:chr m:val="́"/>
                        <m:ctrlPr>
                          <w:rPr>
                            <w:rFonts w:ascii="Cambria Math" w:hAnsi="Cambria Math"/>
                            <w:color w:val="000000" w:themeColor="text1"/>
                            <w:sz w:val="20"/>
                            <w:szCs w:val="20"/>
                            <w14:textFill>
                              <w14:solidFill>
                                <w14:schemeClr w14:val="tx1"/>
                              </w14:solidFill>
                            </w14:textFill>
                          </w:rPr>
                        </m:ctrlPr>
                      </m:acc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acc>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y</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y</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-4</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s</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m</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t</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t</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w</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(h</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2t</m:t>
                    </m:r>
                    <m:ctrlPr>
                      <w:rPr>
                        <w:rFonts w:ascii="Cambria Math" w:hAnsi="Cambria Math"/>
                        <w:i/>
                        <w:color w:val="000000" w:themeColor="text1"/>
                        <w:sz w:val="20"/>
                        <w:szCs w:val="20"/>
                        <w14:textFill>
                          <w14:solidFill>
                            <w14:schemeClr w14:val="tx1"/>
                          </w14:solidFill>
                        </w14:textFill>
                      </w:rPr>
                    </m:ctrlPr>
                  </m:e>
                  <m:sub>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m:t>
                </m:r>
                <m:sSub>
                  <m:sSubPr>
                    <m:ctrlPr>
                      <w:rPr>
                        <w:rFonts w:ascii="Cambria Math" w:hAnsi="Cambria Math"/>
                        <w:color w:val="000000" w:themeColor="text1"/>
                        <w:sz w:val="20"/>
                        <w:szCs w:val="20"/>
                        <w14:textFill>
                          <w14:solidFill>
                            <w14:schemeClr w14:val="tx1"/>
                          </w14:solidFill>
                        </w14:textFill>
                      </w:rPr>
                    </m:ctrlPr>
                  </m:sSubPr>
                  <m:e>
                    <m:r>
                      <m:rPr>
                        <m:sty m:val="p"/>
                      </m:rPr>
                      <w:rPr>
                        <w:rFonts w:hint="eastAsia" w:ascii="Cambria Math" w:hAnsi="Cambria Math"/>
                        <w:color w:val="000000" w:themeColor="text1"/>
                        <w:sz w:val="20"/>
                        <w:szCs w:val="20"/>
                        <w14:textFill>
                          <w14:solidFill>
                            <w14:schemeClr w14:val="tx1"/>
                          </w14:solidFill>
                        </w14:textFill>
                      </w:rPr>
                      <m:t>ƒ</m:t>
                    </m:r>
                    <m:ctrlPr>
                      <w:rPr>
                        <w:rFonts w:ascii="Cambria Math" w:hAnsi="Cambria Math"/>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=0</m:t>
                </m:r>
              </m:oMath>
            </m:oMathPara>
          </w:p>
        </w:tc>
        <w:tc>
          <w:tcPr>
            <w:tcW w:w="1542" w:type="dxa"/>
          </w:tcPr>
          <w:p>
            <w:pPr>
              <w:tabs>
                <w:tab w:val="left" w:pos="7371"/>
              </w:tabs>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(F.0.7-7)</w:t>
            </w:r>
          </w:p>
        </w:tc>
      </w:tr>
      <w:tr>
        <w:tblPrEx>
          <w:tblCellMar>
            <w:top w:w="0" w:type="dxa"/>
            <w:left w:w="108" w:type="dxa"/>
            <w:bottom w:w="0" w:type="dxa"/>
            <w:right w:w="108" w:type="dxa"/>
          </w:tblCellMar>
        </w:tblPrEx>
        <w:tc>
          <w:tcPr>
            <w:tcW w:w="7153" w:type="dxa"/>
            <w:gridSpan w:val="4"/>
          </w:tcPr>
          <w:p>
            <w:pPr>
              <w:spacing w:line="360" w:lineRule="auto"/>
              <w:ind w:firstLine="0" w:firstLineChars="0"/>
              <w:jc w:val="center"/>
              <w:rPr>
                <w:rFonts w:cs="Times New Roman"/>
                <w:i/>
                <w:color w:val="000000" w:themeColor="text1"/>
                <w:position w:val="-14"/>
                <w:szCs w:val="21"/>
                <w14:textFill>
                  <w14:solidFill>
                    <w14:schemeClr w14:val="tx1"/>
                  </w14:solidFill>
                </w14:textFill>
              </w:rPr>
            </w:pPr>
            <m:oMathPara>
              <m:oMath>
                <m:r>
                  <w:rPr>
                    <w:rFonts w:ascii="Cambria Math" w:hAnsi="Cambria Math"/>
                    <w:color w:val="000000" w:themeColor="text1"/>
                    <w:sz w:val="20"/>
                    <w:szCs w:val="20"/>
                    <w14:textFill>
                      <w14:solidFill>
                        <w14:schemeClr w14:val="tx1"/>
                      </w14:solidFill>
                    </w14:textFill>
                  </w:rPr>
                  <m:t>2</m:t>
                </m:r>
                <m:sSub>
                  <m:sSubPr>
                    <m:ctrlPr>
                      <w:rPr>
                        <w:rFonts w:ascii="Cambria Math" w:hAnsi="Cambria Math"/>
                        <w:i/>
                        <w:color w:val="000000" w:themeColor="text1"/>
                        <w:sz w:val="20"/>
                        <w:szCs w:val="20"/>
                        <w14:textFill>
                          <w14:solidFill>
                            <w14:schemeClr w14:val="tx1"/>
                          </w14:solidFill>
                        </w14:textFill>
                      </w:rPr>
                    </m:ctrlPr>
                  </m:sSubPr>
                  <m:e>
                    <m:acc>
                      <m:accPr>
                        <m:chr m:val="́"/>
                        <m:ctrlPr>
                          <w:rPr>
                            <w:rFonts w:ascii="Cambria Math" w:hAnsi="Cambria Math"/>
                            <w:i/>
                            <w:color w:val="000000" w:themeColor="text1"/>
                            <w:sz w:val="20"/>
                            <w:szCs w:val="20"/>
                            <w14:textFill>
                              <w14:solidFill>
                                <w14:schemeClr w14:val="tx1"/>
                              </w14:solidFill>
                            </w14:textFill>
                          </w:rPr>
                        </m:ctrlPr>
                      </m:accPr>
                      <m:e>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e>
                    </m:acc>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s</m:t>
                    </m:r>
                    <m:ctrlPr>
                      <w:rPr>
                        <w:rFonts w:ascii="Cambria Math" w:hAnsi="Cambria Math"/>
                        <w:i/>
                        <w:color w:val="000000" w:themeColor="text1"/>
                        <w:sz w:val="20"/>
                        <w:szCs w:val="20"/>
                        <w14:textFill>
                          <w14:solidFill>
                            <w14:schemeClr w14:val="tx1"/>
                          </w14:solidFill>
                        </w14:textFill>
                      </w:rPr>
                    </m:ctrlPr>
                  </m:sub>
                </m:sSub>
                <m:r>
                  <w:rPr>
                    <w:rFonts w:ascii="Cambria Math" w:hAnsi="Cambria Math"/>
                    <w:color w:val="000000" w:themeColor="text1"/>
                    <w:sz w:val="20"/>
                    <w:szCs w:val="20"/>
                    <w14:textFill>
                      <w14:solidFill>
                        <w14:schemeClr w14:val="tx1"/>
                      </w14:solidFill>
                    </w14:textFill>
                  </w:rPr>
                  <m:t>≤x≤</m:t>
                </m:r>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ξ</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b</m:t>
                    </m:r>
                    <m:ctrlPr>
                      <w:rPr>
                        <w:rFonts w:ascii="Cambria Math" w:hAnsi="Cambria Math"/>
                        <w:i/>
                        <w:color w:val="000000" w:themeColor="text1"/>
                        <w:sz w:val="20"/>
                        <w:szCs w:val="20"/>
                        <w14:textFill>
                          <w14:solidFill>
                            <w14:schemeClr w14:val="tx1"/>
                          </w14:solidFill>
                        </w14:textFill>
                      </w:rPr>
                    </m:ctrlPr>
                  </m:sub>
                </m:sSub>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h</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0</m:t>
                    </m:r>
                    <m:ctrlPr>
                      <w:rPr>
                        <w:rFonts w:ascii="Cambria Math" w:hAnsi="Cambria Math"/>
                        <w:i/>
                        <w:color w:val="000000" w:themeColor="text1"/>
                        <w:sz w:val="20"/>
                        <w:szCs w:val="20"/>
                        <w14:textFill>
                          <w14:solidFill>
                            <w14:schemeClr w14:val="tx1"/>
                          </w14:solidFill>
                        </w14:textFill>
                      </w:rPr>
                    </m:ctrlPr>
                  </m:sub>
                </m:sSub>
              </m:oMath>
            </m:oMathPara>
          </w:p>
        </w:tc>
        <w:tc>
          <w:tcPr>
            <w:tcW w:w="1542" w:type="dxa"/>
            <w:vAlign w:val="center"/>
          </w:tcPr>
          <w:p>
            <w:pPr>
              <w:tabs>
                <w:tab w:val="left" w:pos="7371"/>
              </w:tabs>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(F.0.7-8)</w:t>
            </w:r>
          </w:p>
        </w:tc>
      </w:tr>
      <w:tr>
        <w:tblPrEx>
          <w:tblCellMar>
            <w:top w:w="0" w:type="dxa"/>
            <w:left w:w="108" w:type="dxa"/>
            <w:bottom w:w="0" w:type="dxa"/>
            <w:right w:w="108" w:type="dxa"/>
          </w:tblCellMar>
        </w:tblPrEx>
        <w:tc>
          <w:tcPr>
            <w:tcW w:w="993" w:type="dxa"/>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式中</w:t>
            </w:r>
            <w:r>
              <w:rPr>
                <w:rFonts w:hint="eastAsia" w:cs="Times New Roman"/>
                <w:color w:val="000000" w:themeColor="text1"/>
                <w:szCs w:val="21"/>
                <w14:textFill>
                  <w14:solidFill>
                    <w14:schemeClr w14:val="tx1"/>
                  </w14:solidFill>
                </w14:textFill>
              </w:rPr>
              <w:t>：</w:t>
            </w:r>
          </w:p>
        </w:tc>
        <w:tc>
          <w:tcPr>
            <w:tcW w:w="1026" w:type="dxa"/>
            <w:vAlign w:val="center"/>
          </w:tcPr>
          <w:p>
            <w:pPr>
              <w:spacing w:line="360" w:lineRule="auto"/>
              <w:ind w:firstLine="0" w:firstLineChars="0"/>
              <w:rPr>
                <w:rFonts w:cs="Times New Roman"/>
                <w:color w:val="000000" w:themeColor="text1"/>
                <w:szCs w:val="21"/>
                <w14:textFill>
                  <w14:solidFill>
                    <w14:schemeClr w14:val="tx1"/>
                  </w14:solidFill>
                </w14:textFill>
              </w:rPr>
            </w:pPr>
          </w:p>
        </w:tc>
        <w:tc>
          <w:tcPr>
            <w:tcW w:w="663" w:type="dxa"/>
            <w:vAlign w:val="center"/>
          </w:tcPr>
          <w:p>
            <w:pPr>
              <w:spacing w:line="360" w:lineRule="auto"/>
              <w:ind w:firstLine="0" w:firstLineChars="0"/>
              <w:jc w:val="center"/>
              <w:rPr>
                <w:rFonts w:ascii="Calibri" w:hAnsi="Calibri" w:eastAsia="Times New Roman"/>
                <w:color w:val="000000" w:themeColor="text1"/>
                <w:kern w:val="0"/>
                <w:sz w:val="20"/>
                <w:szCs w:val="20"/>
                <w14:textFill>
                  <w14:solidFill>
                    <w14:schemeClr w14:val="tx1"/>
                  </w14:solidFill>
                </w14:textFill>
              </w:rPr>
            </w:pPr>
          </w:p>
        </w:tc>
        <w:tc>
          <w:tcPr>
            <w:tcW w:w="6014" w:type="dxa"/>
            <w:gridSpan w:val="2"/>
            <w:vAlign w:val="center"/>
          </w:tcPr>
          <w:p>
            <w:pPr>
              <w:spacing w:line="360" w:lineRule="auto"/>
              <w:ind w:firstLine="0" w:firstLineChars="0"/>
              <w:jc w:val="center"/>
              <w:rPr>
                <w:rFonts w:ascii="Calibri" w:hAnsi="Calibri" w:eastAsia="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993" w:type="dxa"/>
            <w:vAlign w:val="center"/>
          </w:tcPr>
          <w:p>
            <w:pPr>
              <w:spacing w:line="360" w:lineRule="auto"/>
              <w:ind w:firstLine="0" w:firstLineChars="0"/>
              <w:jc w:val="center"/>
              <w:rPr>
                <w:rFonts w:cs="Times New Roman"/>
                <w:color w:val="000000" w:themeColor="text1"/>
                <w:szCs w:val="21"/>
                <w14:textFill>
                  <w14:solidFill>
                    <w14:schemeClr w14:val="tx1"/>
                  </w14:solidFill>
                </w14:textFill>
              </w:rPr>
            </w:pPr>
          </w:p>
        </w:tc>
        <w:tc>
          <w:tcPr>
            <w:tcW w:w="1026" w:type="dxa"/>
            <w:vAlign w:val="center"/>
          </w:tcPr>
          <w:p>
            <w:pPr>
              <w:spacing w:line="360" w:lineRule="auto"/>
              <w:ind w:firstLine="0" w:firstLineChars="0"/>
              <w:jc w:val="center"/>
              <w:rPr>
                <w:rFonts w:cs="Times New Roman"/>
                <w:color w:val="000000" w:themeColor="text1"/>
                <w:position w:val="-12"/>
                <w:szCs w:val="21"/>
                <w14:textFill>
                  <w14:solidFill>
                    <w14:schemeClr w14:val="tx1"/>
                  </w14:solidFill>
                </w14:textFill>
              </w:rPr>
            </w:pPr>
            <m:oMath>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AE</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a</m:t>
                  </m:r>
                  <m:ctrlPr>
                    <w:rPr>
                      <w:rFonts w:ascii="Cambria Math" w:hAnsi="Cambria Math"/>
                      <w:i/>
                      <w:color w:val="000000" w:themeColor="text1"/>
                      <w:sz w:val="20"/>
                      <w:szCs w:val="20"/>
                      <w14:textFill>
                        <w14:solidFill>
                          <w14:schemeClr w14:val="tx1"/>
                        </w14:solidFill>
                      </w14:textFill>
                    </w:rPr>
                  </m:ctrlPr>
                </m:sub>
              </m:sSub>
            </m:oMath>
            <w:r>
              <w:rPr>
                <w:rFonts w:hint="eastAsia" w:cs="Times New Roman"/>
                <w:color w:val="000000" w:themeColor="text1"/>
                <w:position w:val="-12"/>
                <w:szCs w:val="21"/>
                <w14:textFill>
                  <w14:solidFill>
                    <w14:schemeClr w14:val="tx1"/>
                  </w14:solidFill>
                </w14:textFill>
              </w:rPr>
              <w:t>、</w:t>
            </w:r>
            <m:oMath>
              <m:sSub>
                <m:sSubPr>
                  <m:ctrlPr>
                    <w:rPr>
                      <w:rFonts w:ascii="Cambria Math" w:hAnsi="Cambria Math"/>
                      <w:i/>
                      <w:color w:val="000000" w:themeColor="text1"/>
                      <w:sz w:val="20"/>
                      <w:szCs w:val="20"/>
                      <w14:textFill>
                        <w14:solidFill>
                          <w14:schemeClr w14:val="tx1"/>
                        </w14:solidFill>
                      </w14:textFill>
                    </w:rPr>
                  </m:ctrlPr>
                </m:sSubPr>
                <m:e>
                  <m:r>
                    <w:rPr>
                      <w:rFonts w:ascii="Cambria Math" w:hAnsi="Cambria Math"/>
                      <w:color w:val="000000" w:themeColor="text1"/>
                      <w:sz w:val="20"/>
                      <w:szCs w:val="20"/>
                      <w14:textFill>
                        <w14:solidFill>
                          <w14:schemeClr w14:val="tx1"/>
                        </w14:solidFill>
                      </w14:textFill>
                    </w:rPr>
                    <m:t>h</m:t>
                  </m:r>
                  <m:ctrlPr>
                    <w:rPr>
                      <w:rFonts w:ascii="Cambria Math" w:hAnsi="Cambria Math"/>
                      <w:i/>
                      <w:color w:val="000000" w:themeColor="text1"/>
                      <w:sz w:val="20"/>
                      <w:szCs w:val="20"/>
                      <w14:textFill>
                        <w14:solidFill>
                          <w14:schemeClr w14:val="tx1"/>
                        </w14:solidFill>
                      </w14:textFill>
                    </w:rPr>
                  </m:ctrlPr>
                </m:e>
                <m:sub>
                  <m:r>
                    <w:rPr>
                      <w:rFonts w:ascii="Cambria Math" w:hAnsi="Cambria Math"/>
                      <w:color w:val="000000" w:themeColor="text1"/>
                      <w:sz w:val="20"/>
                      <w:szCs w:val="20"/>
                      <w14:textFill>
                        <w14:solidFill>
                          <w14:schemeClr w14:val="tx1"/>
                        </w14:solidFill>
                      </w14:textFill>
                    </w:rPr>
                    <m:t>0</m:t>
                  </m:r>
                  <m:ctrlPr>
                    <w:rPr>
                      <w:rFonts w:ascii="Cambria Math" w:hAnsi="Cambria Math"/>
                      <w:i/>
                      <w:color w:val="000000" w:themeColor="text1"/>
                      <w:sz w:val="20"/>
                      <w:szCs w:val="20"/>
                      <w14:textFill>
                        <w14:solidFill>
                          <w14:schemeClr w14:val="tx1"/>
                        </w14:solidFill>
                      </w14:textFill>
                    </w:rPr>
                  </m:ctrlPr>
                </m:sub>
              </m:sSub>
            </m:oMath>
          </w:p>
        </w:tc>
        <w:tc>
          <w:tcPr>
            <w:tcW w:w="663" w:type="dxa"/>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014" w:type="dxa"/>
            <w:gridSpan w:val="2"/>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钢材弹性模量、受拉钢筋面积重心到受压混凝土边缘的距离</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312" w:hRule="atLeast"/>
        </w:trPr>
        <w:tc>
          <w:tcPr>
            <w:tcW w:w="993" w:type="dxa"/>
            <w:vAlign w:val="center"/>
          </w:tcPr>
          <w:p>
            <w:pPr>
              <w:spacing w:line="360" w:lineRule="auto"/>
              <w:ind w:firstLine="0" w:firstLineChars="0"/>
              <w:jc w:val="center"/>
              <w:rPr>
                <w:rFonts w:cs="Times New Roman"/>
                <w:color w:val="000000" w:themeColor="text1"/>
                <w:szCs w:val="21"/>
                <w14:textFill>
                  <w14:solidFill>
                    <w14:schemeClr w14:val="tx1"/>
                  </w14:solidFill>
                </w14:textFill>
              </w:rPr>
            </w:pPr>
          </w:p>
        </w:tc>
        <w:tc>
          <w:tcPr>
            <w:tcW w:w="1026" w:type="dxa"/>
            <w:vAlign w:val="center"/>
          </w:tcPr>
          <w:p>
            <w:pPr>
              <w:spacing w:line="360" w:lineRule="auto"/>
              <w:ind w:firstLine="0" w:firstLineChars="0"/>
              <w:jc w:val="center"/>
              <w:rPr>
                <w:rFonts w:cs="Times New Roman"/>
                <w:color w:val="000000" w:themeColor="text1"/>
                <w:szCs w:val="21"/>
                <w14:textFill>
                  <w14:solidFill>
                    <w14:schemeClr w14:val="tx1"/>
                  </w14:solidFill>
                </w14:textFill>
              </w:rPr>
            </w:pPr>
            <m:oMathPara>
              <m:oMath>
                <m:sSub>
                  <m:sSubPr>
                    <m:ctrlPr>
                      <w:rPr>
                        <w:rFonts w:ascii="Cambria Math" w:hAnsi="Cambria Math" w:cs="Times New Roman"/>
                        <w:bCs/>
                        <w:i/>
                        <w:snapToGrid w:val="0"/>
                        <w:color w:val="000000" w:themeColor="text1"/>
                        <w:kern w:val="0"/>
                        <w:sz w:val="18"/>
                        <w:szCs w:val="21"/>
                        <w14:textFill>
                          <w14:solidFill>
                            <w14:schemeClr w14:val="tx1"/>
                          </w14:solidFill>
                        </w14:textFill>
                      </w:rPr>
                    </m:ctrlPr>
                  </m:sSubPr>
                  <m:e>
                    <m:r>
                      <w:rPr>
                        <w:rFonts w:ascii="Cambria Math" w:hAnsi="Cambria Math" w:cs="Times New Roman"/>
                        <w:snapToGrid w:val="0"/>
                        <w:color w:val="000000" w:themeColor="text1"/>
                        <w:kern w:val="0"/>
                        <w:sz w:val="18"/>
                        <w:szCs w:val="21"/>
                        <w14:textFill>
                          <w14:solidFill>
                            <w14:schemeClr w14:val="tx1"/>
                          </w14:solidFill>
                        </w14:textFill>
                      </w:rPr>
                      <m:t>ε</m:t>
                    </m:r>
                    <m:ctrlPr>
                      <w:rPr>
                        <w:rFonts w:ascii="Cambria Math" w:hAnsi="Cambria Math" w:cs="Times New Roman"/>
                        <w:bCs/>
                        <w:i/>
                        <w:snapToGrid w:val="0"/>
                        <w:color w:val="000000" w:themeColor="text1"/>
                        <w:kern w:val="0"/>
                        <w:sz w:val="18"/>
                        <w:szCs w:val="21"/>
                        <w14:textFill>
                          <w14:solidFill>
                            <w14:schemeClr w14:val="tx1"/>
                          </w14:solidFill>
                        </w14:textFill>
                      </w:rPr>
                    </m:ctrlPr>
                  </m:e>
                  <m:sub>
                    <m:r>
                      <w:rPr>
                        <w:rFonts w:ascii="Cambria Math" w:hAnsi="Cambria Math" w:cs="Times New Roman"/>
                        <w:snapToGrid w:val="0"/>
                        <w:color w:val="000000" w:themeColor="text1"/>
                        <w:kern w:val="0"/>
                        <w:sz w:val="18"/>
                        <w:szCs w:val="21"/>
                        <w14:textFill>
                          <w14:solidFill>
                            <w14:schemeClr w14:val="tx1"/>
                          </w14:solidFill>
                        </w14:textFill>
                      </w:rPr>
                      <m:t>cu</m:t>
                    </m:r>
                    <m:ctrlPr>
                      <w:rPr>
                        <w:rFonts w:ascii="Cambria Math" w:hAnsi="Cambria Math" w:cs="Times New Roman"/>
                        <w:bCs/>
                        <w:i/>
                        <w:snapToGrid w:val="0"/>
                        <w:color w:val="000000" w:themeColor="text1"/>
                        <w:kern w:val="0"/>
                        <w:sz w:val="18"/>
                        <w:szCs w:val="21"/>
                        <w14:textFill>
                          <w14:solidFill>
                            <w14:schemeClr w14:val="tx1"/>
                          </w14:solidFill>
                        </w14:textFill>
                      </w:rPr>
                    </m:ctrlPr>
                  </m:sub>
                </m:sSub>
              </m:oMath>
            </m:oMathPara>
          </w:p>
        </w:tc>
        <w:tc>
          <w:tcPr>
            <w:tcW w:w="663" w:type="dxa"/>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014" w:type="dxa"/>
            <w:gridSpan w:val="2"/>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混凝土极限压应变，可取</w:t>
            </w:r>
            <w:r>
              <w:rPr>
                <w:rFonts w:cs="Times New Roman"/>
                <w:color w:val="000000" w:themeColor="text1"/>
                <w:szCs w:val="21"/>
                <w14:textFill>
                  <w14:solidFill>
                    <w14:schemeClr w14:val="tx1"/>
                  </w14:solidFill>
                </w14:textFill>
              </w:rPr>
              <w:t>0.0033</w:t>
            </w:r>
            <w:r>
              <w:rPr>
                <w:rFonts w:hint="eastAsia" w:cs="Times New Roman"/>
                <w:color w:val="000000" w:themeColor="text1"/>
                <w:szCs w:val="21"/>
                <w14:textFill>
                  <w14:solidFill>
                    <w14:schemeClr w14:val="tx1"/>
                  </w14:solidFill>
                </w14:textFill>
              </w:rPr>
              <w:t>。</w:t>
            </w:r>
          </w:p>
        </w:tc>
      </w:tr>
    </w:tbl>
    <w:p>
      <w:pPr>
        <w:spacing w:before="156" w:beforeLines="50" w:after="156"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主钢件符合截面分类</w:t>
      </w: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要求的构件，受弯承载力按以下方式计算：</w:t>
      </w:r>
    </w:p>
    <w:p>
      <w:pPr>
        <w:spacing w:line="360" w:lineRule="auto"/>
        <w:ind w:firstLine="42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）截面应变分布符合平截面分布；</w:t>
      </w:r>
    </w:p>
    <w:p>
      <w:pPr>
        <w:spacing w:line="360" w:lineRule="auto"/>
        <w:ind w:firstLine="42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）钢材应力</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应变曲线按线性关系确定且应力不超过钢材强度设计值</w:t>
      </w:r>
    </w:p>
    <w:p>
      <w:pPr>
        <w:spacing w:line="360" w:lineRule="auto"/>
        <w:ind w:firstLine="42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3</w:t>
      </w:r>
      <w:r>
        <w:rPr>
          <w:rFonts w:hint="eastAsia" w:cs="Times New Roman"/>
          <w:color w:val="000000" w:themeColor="text1"/>
          <w14:textFill>
            <w14:solidFill>
              <w14:schemeClr w14:val="tx1"/>
            </w14:solidFill>
          </w14:textFill>
        </w:rPr>
        <w:t>）混凝土应力</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应变曲线参照《混凝土设计规范》</w:t>
      </w:r>
      <w:r>
        <w:rPr>
          <w:rFonts w:cs="Times New Roman"/>
          <w:color w:val="000000" w:themeColor="text1"/>
          <w14:textFill>
            <w14:solidFill>
              <w14:schemeClr w14:val="tx1"/>
            </w14:solidFill>
          </w14:textFill>
        </w:rPr>
        <w:t>GB 50010</w:t>
      </w:r>
      <w:r>
        <w:rPr>
          <w:rFonts w:hint="eastAsia" w:cs="Times New Roman"/>
          <w:color w:val="000000" w:themeColor="text1"/>
          <w14:textFill>
            <w14:solidFill>
              <w14:schemeClr w14:val="tx1"/>
            </w14:solidFill>
          </w14:textFill>
        </w:rPr>
        <w:t>规定执行；</w:t>
      </w:r>
    </w:p>
    <w:p>
      <w:pPr>
        <w:spacing w:line="360" w:lineRule="auto"/>
        <w:ind w:firstLine="42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4</w:t>
      </w:r>
      <w:r>
        <w:rPr>
          <w:rFonts w:hint="eastAsia" w:cs="Times New Roman"/>
          <w:color w:val="000000" w:themeColor="text1"/>
          <w14:textFill>
            <w14:solidFill>
              <w14:schemeClr w14:val="tx1"/>
            </w14:solidFill>
          </w14:textFill>
        </w:rPr>
        <w:t>）钢筋应力</w:t>
      </w:r>
      <w:r>
        <w:rPr>
          <w:rFonts w:cs="Times New Roman"/>
          <w:color w:val="000000" w:themeColor="text1"/>
          <w14:textFill>
            <w14:solidFill>
              <w14:schemeClr w14:val="tx1"/>
            </w14:solidFill>
          </w14:textFill>
        </w:rPr>
        <w:t>-</w:t>
      </w:r>
      <w:r>
        <w:rPr>
          <w:rFonts w:hint="eastAsia" w:cs="Times New Roman"/>
          <w:color w:val="000000" w:themeColor="text1"/>
          <w14:textFill>
            <w14:solidFill>
              <w14:schemeClr w14:val="tx1"/>
            </w14:solidFill>
          </w14:textFill>
        </w:rPr>
        <w:t>应变曲线参照《混凝土设计规范》</w:t>
      </w:r>
      <w:r>
        <w:rPr>
          <w:rFonts w:cs="Times New Roman"/>
          <w:color w:val="000000" w:themeColor="text1"/>
          <w14:textFill>
            <w14:solidFill>
              <w14:schemeClr w14:val="tx1"/>
            </w14:solidFill>
          </w14:textFill>
        </w:rPr>
        <w:t>GB 50010</w:t>
      </w:r>
      <w:r>
        <w:rPr>
          <w:rFonts w:hint="eastAsia" w:cs="Times New Roman"/>
          <w:color w:val="000000" w:themeColor="text1"/>
          <w14:textFill>
            <w14:solidFill>
              <w14:schemeClr w14:val="tx1"/>
            </w14:solidFill>
          </w14:textFill>
        </w:rPr>
        <w:t>规定执行；</w:t>
      </w:r>
    </w:p>
    <w:p>
      <w:pPr>
        <w:spacing w:line="360" w:lineRule="auto"/>
        <w:ind w:firstLine="42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5</w:t>
      </w:r>
      <w:r>
        <w:rPr>
          <w:rFonts w:hint="eastAsia" w:cs="Times New Roman"/>
          <w:color w:val="000000" w:themeColor="text1"/>
          <w14:textFill>
            <w14:solidFill>
              <w14:schemeClr w14:val="tx1"/>
            </w14:solidFill>
          </w14:textFill>
        </w:rPr>
        <w:t>）忽略混凝土抗拉作用。</w:t>
      </w:r>
    </w:p>
    <w:p>
      <w:pPr>
        <w:spacing w:before="156" w:beforeLines="50" w:after="156" w:line="360" w:lineRule="auto"/>
        <w:ind w:firstLine="420"/>
        <w:rPr>
          <w:rFonts w:cs="Times New Roman"/>
          <w:color w:val="000000" w:themeColor="text1"/>
          <w14:textFill>
            <w14:solidFill>
              <w14:schemeClr w14:val="tx1"/>
            </w14:solidFill>
          </w14:textFill>
        </w:rPr>
      </w:pPr>
      <w:r>
        <w:rPr>
          <w:rFonts w:cs="Times New Roman"/>
          <w:color w:val="000000" w:themeColor="text1"/>
          <w:szCs w:val="21"/>
          <w14:textFill>
            <w14:solidFill>
              <w14:schemeClr w14:val="tx1"/>
            </w14:solidFill>
          </w14:textFill>
        </w:rPr>
        <w:t>4</w:t>
      </w:r>
      <w:r>
        <w:rPr>
          <w:rFonts w:hint="eastAsia" w:cs="Times New Roman"/>
          <w:color w:val="000000" w:themeColor="text1"/>
          <w14:textFill>
            <w14:solidFill>
              <w14:schemeClr w14:val="tx1"/>
            </w14:solidFill>
          </w14:textFill>
        </w:rPr>
        <w:t>受剪承载力计算可仅考虑钢组件中平行于剪力方向的板件受力而不考虑内填混凝土，按下列公式计算：</w:t>
      </w:r>
    </w:p>
    <w:tbl>
      <w:tblPr>
        <w:tblStyle w:val="32"/>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5"/>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7" w:type="dxa"/>
            <w:tcBorders>
              <w:top w:val="nil"/>
              <w:left w:val="nil"/>
              <w:bottom w:val="nil"/>
              <w:right w:val="nil"/>
            </w:tcBorders>
            <w:vAlign w:val="center"/>
          </w:tcPr>
          <w:p>
            <w:pPr>
              <w:ind w:firstLine="0" w:firstLineChars="0"/>
              <w:jc w:val="center"/>
              <w:textAlignment w:val="center"/>
              <w:rPr>
                <w:rFonts w:cs="Times New Roman"/>
                <w:color w:val="000000" w:themeColor="text1"/>
                <w:kern w:val="0"/>
                <w:position w:val="-24"/>
                <w14:textFill>
                  <w14:solidFill>
                    <w14:schemeClr w14:val="tx1"/>
                  </w14:solidFill>
                </w14:textFill>
              </w:rPr>
            </w:pPr>
            <m:oMathPara>
              <m:oMath>
                <m:r>
                  <w:rPr>
                    <w:rFonts w:ascii="Cambria Math" w:hAnsi="Cambria Math" w:cs="Times New Roman"/>
                    <w:color w:val="000000" w:themeColor="text1"/>
                    <w14:textFill>
                      <w14:solidFill>
                        <w14:schemeClr w14:val="tx1"/>
                      </w14:solidFill>
                    </w14:textFill>
                  </w:rPr>
                  <m:t>v=</m:t>
                </m:r>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V</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b</m:t>
                    </m:r>
                    <m:ctrlPr>
                      <w:rPr>
                        <w:rFonts w:ascii="Cambria Math" w:hAnsi="Cambria Math" w:cs="Times New Roman"/>
                        <w:i/>
                        <w:color w:val="000000" w:themeColor="text1"/>
                        <w14:textFill>
                          <w14:solidFill>
                            <w14:schemeClr w14:val="tx1"/>
                          </w14:solidFill>
                        </w14:textFill>
                      </w:rPr>
                    </m:ctrlPr>
                  </m:sub>
                </m:sSub>
              </m:oMath>
            </m:oMathPara>
          </w:p>
        </w:tc>
        <w:tc>
          <w:tcPr>
            <w:tcW w:w="1235" w:type="dxa"/>
            <w:tcBorders>
              <w:top w:val="nil"/>
              <w:left w:val="nil"/>
              <w:bottom w:val="nil"/>
              <w:right w:val="nil"/>
            </w:tcBorders>
            <w:vAlign w:val="center"/>
          </w:tcPr>
          <w:p>
            <w:pPr>
              <w:ind w:right="210"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(F.0.7-9)</w:t>
            </w:r>
          </w:p>
        </w:tc>
      </w:tr>
    </w:tbl>
    <w:p>
      <w:pPr>
        <w:spacing w:before="156" w:beforeLines="50" w:after="156"/>
        <w:ind w:firstLine="42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当截面绕強轴受弯时：</w:t>
      </w:r>
    </w:p>
    <w:tbl>
      <w:tblPr>
        <w:tblStyle w:val="32"/>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5"/>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7" w:type="dxa"/>
            <w:tcBorders>
              <w:top w:val="nil"/>
              <w:left w:val="nil"/>
              <w:bottom w:val="nil"/>
              <w:right w:val="nil"/>
            </w:tcBorders>
            <w:vAlign w:val="center"/>
          </w:tcPr>
          <w:p>
            <w:pPr>
              <w:ind w:firstLine="0" w:firstLineChars="0"/>
              <w:jc w:val="center"/>
              <w:textAlignment w:val="center"/>
              <w:rPr>
                <w:rFonts w:cs="Times New Roman"/>
                <w:color w:val="000000" w:themeColor="text1"/>
                <w:kern w:val="0"/>
                <w:position w:val="-24"/>
                <w14:textFill>
                  <w14:solidFill>
                    <w14:schemeClr w14:val="tx1"/>
                  </w14:solidFill>
                </w14:textFill>
              </w:rPr>
            </w:pPr>
            <m:oMathPara>
              <m:oMath>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V</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b</m:t>
                    </m:r>
                    <m:ctrlPr>
                      <w:rPr>
                        <w:rFonts w:ascii="Cambria Math" w:hAnsi="Cambria Math" w:cs="Times New Roman"/>
                        <w:i/>
                        <w:color w:val="000000" w:themeColor="text1"/>
                        <w14:textFill>
                          <w14:solidFill>
                            <w14:schemeClr w14:val="tx1"/>
                          </w14:solidFill>
                        </w14:textFill>
                      </w:rPr>
                    </m:ctrlPr>
                  </m:sub>
                </m:sSub>
                <m: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h</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w</m:t>
                    </m:r>
                    <m:ctrlPr>
                      <w:rPr>
                        <w:rFonts w:ascii="Cambria Math" w:hAnsi="Cambria Math" w:cs="Times New Roman"/>
                        <w:i/>
                        <w:color w:val="000000" w:themeColor="text1"/>
                        <w14:textFill>
                          <w14:solidFill>
                            <w14:schemeClr w14:val="tx1"/>
                          </w14:solidFill>
                        </w14:textFill>
                      </w:rPr>
                    </m:ctrlPr>
                  </m:sub>
                </m:sSub>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t</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fw</m:t>
                    </m:r>
                    <m:ctrlPr>
                      <w:rPr>
                        <w:rFonts w:ascii="Cambria Math" w:hAnsi="Cambria Math" w:cs="Times New Roman"/>
                        <w:i/>
                        <w:color w:val="000000" w:themeColor="text1"/>
                        <w14:textFill>
                          <w14:solidFill>
                            <w14:schemeClr w14:val="tx1"/>
                          </w14:solidFill>
                        </w14:textFill>
                      </w:rPr>
                    </m:ctrlPr>
                  </m:sub>
                </m:sSub>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f</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av</m:t>
                    </m:r>
                    <m:ctrlPr>
                      <w:rPr>
                        <w:rFonts w:ascii="Cambria Math" w:hAnsi="Cambria Math" w:cs="Times New Roman"/>
                        <w:i/>
                        <w:color w:val="000000" w:themeColor="text1"/>
                        <w14:textFill>
                          <w14:solidFill>
                            <w14:schemeClr w14:val="tx1"/>
                          </w14:solidFill>
                        </w14:textFill>
                      </w:rPr>
                    </m:ctrlPr>
                  </m:sub>
                </m:sSub>
              </m:oMath>
            </m:oMathPara>
          </w:p>
        </w:tc>
        <w:tc>
          <w:tcPr>
            <w:tcW w:w="1235" w:type="dxa"/>
            <w:tcBorders>
              <w:top w:val="nil"/>
              <w:left w:val="nil"/>
              <w:bottom w:val="nil"/>
              <w:right w:val="nil"/>
            </w:tcBorders>
            <w:vAlign w:val="center"/>
          </w:tcPr>
          <w:p>
            <w:pPr>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(F.0.7-10)</w:t>
            </w:r>
          </w:p>
        </w:tc>
      </w:tr>
    </w:tbl>
    <w:p>
      <w:pPr>
        <w:spacing w:before="156" w:beforeLines="50" w:after="156"/>
        <w:ind w:firstLine="420"/>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当截面绕弱轴受弯时</w:t>
      </w:r>
    </w:p>
    <w:tbl>
      <w:tblPr>
        <w:tblStyle w:val="32"/>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20"/>
        <w:gridCol w:w="678"/>
        <w:gridCol w:w="4771"/>
        <w:gridCol w:w="1220"/>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gridSpan w:val="4"/>
            <w:tcBorders>
              <w:top w:val="nil"/>
              <w:left w:val="nil"/>
              <w:bottom w:val="nil"/>
              <w:right w:val="nil"/>
            </w:tcBorders>
            <w:vAlign w:val="center"/>
          </w:tcPr>
          <w:p>
            <w:pPr>
              <w:ind w:firstLine="0" w:firstLineChars="0"/>
              <w:jc w:val="center"/>
              <w:textAlignment w:val="center"/>
              <w:rPr>
                <w:rFonts w:cs="Times New Roman"/>
                <w:color w:val="000000" w:themeColor="text1"/>
                <w:kern w:val="0"/>
                <w:position w:val="-24"/>
                <w14:textFill>
                  <w14:solidFill>
                    <w14:schemeClr w14:val="tx1"/>
                  </w14:solidFill>
                </w14:textFill>
              </w:rPr>
            </w:pPr>
            <m:oMathPara>
              <m:oMath>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V</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b</m:t>
                    </m:r>
                    <m:ctrlPr>
                      <w:rPr>
                        <w:rFonts w:ascii="Cambria Math" w:hAnsi="Cambria Math" w:cs="Times New Roman"/>
                        <w:i/>
                        <w:color w:val="000000" w:themeColor="text1"/>
                        <w14:textFill>
                          <w14:solidFill>
                            <w14:schemeClr w14:val="tx1"/>
                          </w14:solidFill>
                        </w14:textFill>
                      </w:rPr>
                    </m:ctrlPr>
                  </m:sub>
                </m:sSub>
                <m:r>
                  <w:rPr>
                    <w:rFonts w:ascii="Cambria Math" w:hAnsi="Cambria Math" w:cs="Times New Roman"/>
                    <w:color w:val="000000" w:themeColor="text1"/>
                    <w14:textFill>
                      <w14:solidFill>
                        <w14:schemeClr w14:val="tx1"/>
                      </w14:solidFill>
                    </w14:textFill>
                  </w:rPr>
                  <m:t>=</m:t>
                </m:r>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2b</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f</m:t>
                    </m:r>
                    <m:ctrlPr>
                      <w:rPr>
                        <w:rFonts w:ascii="Cambria Math" w:hAnsi="Cambria Math" w:cs="Times New Roman"/>
                        <w:i/>
                        <w:color w:val="000000" w:themeColor="text1"/>
                        <w14:textFill>
                          <w14:solidFill>
                            <w14:schemeClr w14:val="tx1"/>
                          </w14:solidFill>
                        </w14:textFill>
                      </w:rPr>
                    </m:ctrlPr>
                  </m:sub>
                </m:sSub>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t</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f</m:t>
                    </m:r>
                    <m:ctrlPr>
                      <w:rPr>
                        <w:rFonts w:ascii="Cambria Math" w:hAnsi="Cambria Math" w:cs="Times New Roman"/>
                        <w:i/>
                        <w:color w:val="000000" w:themeColor="text1"/>
                        <w14:textFill>
                          <w14:solidFill>
                            <w14:schemeClr w14:val="tx1"/>
                          </w14:solidFill>
                        </w14:textFill>
                      </w:rPr>
                    </m:ctrlPr>
                  </m:sub>
                </m:sSub>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f</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av</m:t>
                    </m:r>
                    <m:ctrlPr>
                      <w:rPr>
                        <w:rFonts w:ascii="Cambria Math" w:hAnsi="Cambria Math" w:cs="Times New Roman"/>
                        <w:i/>
                        <w:color w:val="000000" w:themeColor="text1"/>
                        <w14:textFill>
                          <w14:solidFill>
                            <w14:schemeClr w14:val="tx1"/>
                          </w14:solidFill>
                        </w14:textFill>
                      </w:rPr>
                    </m:ctrlPr>
                  </m:sub>
                </m:sSub>
              </m:oMath>
            </m:oMathPara>
          </w:p>
        </w:tc>
        <w:tc>
          <w:tcPr>
            <w:tcW w:w="1235" w:type="dxa"/>
            <w:gridSpan w:val="2"/>
            <w:tcBorders>
              <w:top w:val="nil"/>
              <w:left w:val="nil"/>
              <w:bottom w:val="nil"/>
              <w:right w:val="nil"/>
            </w:tcBorders>
            <w:vAlign w:val="center"/>
          </w:tcPr>
          <w:p>
            <w:pPr>
              <w:ind w:firstLine="0" w:firstLineChars="0"/>
              <w:jc w:val="right"/>
              <w:textAlignment w:val="center"/>
              <w:rPr>
                <w:rFonts w:cs="Times New Roman"/>
                <w:color w:val="000000" w:themeColor="text1"/>
                <w:kern w:val="0"/>
                <w14:textFill>
                  <w14:solidFill>
                    <w14:schemeClr w14:val="tx1"/>
                  </w14:solidFill>
                </w14:textFill>
              </w:rPr>
            </w:pPr>
            <w:r>
              <w:rPr>
                <w:rFonts w:cs="Times New Roman"/>
                <w:color w:val="000000" w:themeColor="text1"/>
                <w:kern w:val="0"/>
                <w14:textFill>
                  <w14:solidFill>
                    <w14:schemeClr w14:val="tx1"/>
                  </w14:solidFill>
                </w14:textFill>
              </w:rPr>
              <w:t>(F.0.7-11)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816" w:type="dxa"/>
            <w:tcBorders>
              <w:top w:val="nil"/>
              <w:left w:val="nil"/>
              <w:bottom w:val="nil"/>
              <w:right w:val="nil"/>
            </w:tcBorders>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式中</w:t>
            </w:r>
            <w:r>
              <w:rPr>
                <w:rFonts w:cs="Times New Roman"/>
                <w:color w:val="000000" w:themeColor="text1"/>
                <w14:textFill>
                  <w14:solidFill>
                    <w14:schemeClr w14:val="tx1"/>
                  </w14:solidFill>
                </w14:textFill>
              </w:rPr>
              <w:t>:</w:t>
            </w:r>
          </w:p>
        </w:tc>
        <w:tc>
          <w:tcPr>
            <w:tcW w:w="1020" w:type="dxa"/>
            <w:tcBorders>
              <w:top w:val="nil"/>
              <w:left w:val="nil"/>
              <w:bottom w:val="nil"/>
              <w:right w:val="nil"/>
            </w:tcBorders>
            <w:vAlign w:val="center"/>
          </w:tcPr>
          <w:p>
            <w:pPr>
              <w:ind w:firstLine="0" w:firstLineChars="0"/>
              <w:jc w:val="right"/>
              <w:textAlignment w:val="center"/>
              <w:rPr>
                <w:rFonts w:cs="Times New Roman"/>
                <w:color w:val="000000" w:themeColor="text1"/>
                <w14:textFill>
                  <w14:solidFill>
                    <w14:schemeClr w14:val="tx1"/>
                  </w14:solidFill>
                </w14:textFill>
              </w:rPr>
            </w:pPr>
            <w:r>
              <w:rPr>
                <w:rFonts w:cs="Times New Roman"/>
                <w:color w:val="000000" w:themeColor="text1"/>
                <w:kern w:val="0"/>
                <w14:textFill>
                  <w14:solidFill>
                    <w14:schemeClr w14:val="tx1"/>
                  </w14:solidFill>
                </w14:textFill>
              </w:rPr>
              <w:t>V</w:t>
            </w:r>
            <w:r>
              <w:rPr>
                <w:rFonts w:hint="eastAsia" w:cs="Times New Roman"/>
                <w:color w:val="000000" w:themeColor="text1"/>
                <w:kern w:val="0"/>
                <w14:textFill>
                  <w14:solidFill>
                    <w14:schemeClr w14:val="tx1"/>
                  </w14:solidFill>
                </w14:textFill>
              </w:rPr>
              <w:t>，</w:t>
            </w:r>
            <w:r>
              <w:rPr>
                <w:rFonts w:cs="Times New Roman"/>
                <w:color w:val="000000" w:themeColor="text1"/>
                <w:kern w:val="0"/>
                <w14:textFill>
                  <w14:solidFill>
                    <w14:schemeClr w14:val="tx1"/>
                  </w14:solidFill>
                </w14:textFill>
              </w:rPr>
              <w:t>V</w:t>
            </w:r>
            <w:r>
              <w:rPr>
                <w:rFonts w:cs="Times New Roman"/>
                <w:color w:val="000000" w:themeColor="text1"/>
                <w:kern w:val="0"/>
                <w:vertAlign w:val="subscript"/>
                <w14:textFill>
                  <w14:solidFill>
                    <w14:schemeClr w14:val="tx1"/>
                  </w14:solidFill>
                </w14:textFill>
              </w:rPr>
              <w:t>b</w:t>
            </w:r>
          </w:p>
        </w:tc>
        <w:tc>
          <w:tcPr>
            <w:tcW w:w="678" w:type="dxa"/>
            <w:tcBorders>
              <w:top w:val="nil"/>
              <w:left w:val="nil"/>
              <w:bottom w:val="nil"/>
              <w:right w:val="nil"/>
            </w:tcBorders>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5991" w:type="dxa"/>
            <w:gridSpan w:val="2"/>
            <w:tcBorders>
              <w:top w:val="nil"/>
              <w:left w:val="nil"/>
              <w:bottom w:val="nil"/>
              <w:right w:val="nil"/>
            </w:tcBorders>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分别为梁剪力设计值和梁受剪承载力设计值；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816" w:type="dxa"/>
            <w:tcBorders>
              <w:top w:val="nil"/>
              <w:left w:val="nil"/>
              <w:bottom w:val="nil"/>
              <w:right w:val="nil"/>
            </w:tcBorders>
            <w:vAlign w:val="center"/>
          </w:tcPr>
          <w:p>
            <w:pPr>
              <w:ind w:firstLine="0" w:firstLineChars="0"/>
              <w:textAlignment w:val="center"/>
              <w:rPr>
                <w:rFonts w:cs="Times New Roman"/>
                <w:color w:val="000000" w:themeColor="text1"/>
                <w14:textFill>
                  <w14:solidFill>
                    <w14:schemeClr w14:val="tx1"/>
                  </w14:solidFill>
                </w14:textFill>
              </w:rPr>
            </w:pPr>
          </w:p>
        </w:tc>
        <w:tc>
          <w:tcPr>
            <w:tcW w:w="1020" w:type="dxa"/>
            <w:tcBorders>
              <w:top w:val="nil"/>
              <w:left w:val="nil"/>
              <w:bottom w:val="nil"/>
              <w:right w:val="nil"/>
            </w:tcBorders>
            <w:vAlign w:val="center"/>
          </w:tcPr>
          <w:p>
            <w:pPr>
              <w:ind w:firstLine="0" w:firstLineChars="0"/>
              <w:jc w:val="right"/>
              <w:textAlignment w:val="center"/>
              <w:rPr>
                <w:rFonts w:cs="Times New Roman"/>
                <w:color w:val="000000" w:themeColor="text1"/>
                <w14:textFill>
                  <w14:solidFill>
                    <w14:schemeClr w14:val="tx1"/>
                  </w14:solidFill>
                </w14:textFill>
              </w:rPr>
            </w:pPr>
            <w:r>
              <w:rPr>
                <w:rFonts w:cs="Times New Roman"/>
                <w:color w:val="000000" w:themeColor="text1"/>
                <w:kern w:val="0"/>
                <w14:textFill>
                  <w14:solidFill>
                    <w14:schemeClr w14:val="tx1"/>
                  </w14:solidFill>
                </w14:textFill>
              </w:rPr>
              <w:t>f</w:t>
            </w:r>
            <w:r>
              <w:rPr>
                <w:rFonts w:cs="Times New Roman"/>
                <w:color w:val="000000" w:themeColor="text1"/>
                <w:kern w:val="0"/>
                <w:vertAlign w:val="subscript"/>
                <w14:textFill>
                  <w14:solidFill>
                    <w14:schemeClr w14:val="tx1"/>
                  </w14:solidFill>
                </w14:textFill>
              </w:rPr>
              <w:t>av</w:t>
            </w:r>
          </w:p>
        </w:tc>
        <w:tc>
          <w:tcPr>
            <w:tcW w:w="678" w:type="dxa"/>
            <w:tcBorders>
              <w:top w:val="nil"/>
              <w:left w:val="nil"/>
              <w:bottom w:val="nil"/>
              <w:right w:val="nil"/>
            </w:tcBorders>
            <w:vAlign w:val="center"/>
          </w:tcPr>
          <w:p>
            <w:pPr>
              <w:ind w:firstLine="0" w:firstLineChars="0"/>
              <w:textAlignment w:val="center"/>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w:t>
            </w:r>
          </w:p>
        </w:tc>
        <w:tc>
          <w:tcPr>
            <w:tcW w:w="5991" w:type="dxa"/>
            <w:gridSpan w:val="2"/>
            <w:tcBorders>
              <w:top w:val="nil"/>
              <w:left w:val="nil"/>
              <w:bottom w:val="nil"/>
              <w:right w:val="nil"/>
            </w:tcBorders>
            <w:vAlign w:val="center"/>
          </w:tcPr>
          <w:p>
            <w:pPr>
              <w:ind w:firstLine="0" w:firstLineChars="0"/>
              <w:textAlignment w:val="center"/>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梁主钢件腹板的抗剪强度设计值。</w:t>
            </w:r>
          </w:p>
        </w:tc>
      </w:tr>
    </w:tbl>
    <w:p>
      <w:pPr>
        <w:spacing w:before="156" w:beforeLines="50" w:after="156" w:line="360" w:lineRule="auto"/>
        <w:ind w:firstLine="42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5</w:t>
      </w:r>
      <w:r>
        <w:rPr>
          <w:rFonts w:hint="eastAsia" w:cs="Times New Roman"/>
          <w:color w:val="000000" w:themeColor="text1"/>
          <w14:textFill>
            <w14:solidFill>
              <w14:schemeClr w14:val="tx1"/>
            </w14:solidFill>
          </w14:textFill>
        </w:rPr>
        <w:t>梁剪力设计值大于</w:t>
      </w:r>
      <w:r>
        <w:rPr>
          <w:rFonts w:cs="Times New Roman"/>
          <w:color w:val="000000" w:themeColor="text1"/>
          <w14:textFill>
            <w14:solidFill>
              <w14:schemeClr w14:val="tx1"/>
            </w14:solidFill>
          </w14:textFill>
        </w:rPr>
        <w:t>0.5</w:t>
      </w:r>
      <w:r>
        <w:rPr>
          <w:rFonts w:hint="eastAsia" w:cs="Times New Roman"/>
          <w:color w:val="000000" w:themeColor="text1"/>
          <w14:textFill>
            <w14:solidFill>
              <w14:schemeClr w14:val="tx1"/>
            </w14:solidFill>
          </w14:textFill>
        </w:rPr>
        <w:t>倍的受剪承载力时，按本条第</w:t>
      </w:r>
      <w:r>
        <w:rPr>
          <w:rFonts w:cs="Times New Roman"/>
          <w:color w:val="000000" w:themeColor="text1"/>
          <w14:textFill>
            <w14:solidFill>
              <w14:schemeClr w14:val="tx1"/>
            </w14:solidFill>
          </w14:textFill>
        </w:rPr>
        <w:t>1</w:t>
      </w:r>
      <w:r>
        <w:rPr>
          <w:rFonts w:hint="eastAsia" w:cs="Times New Roman"/>
          <w:color w:val="000000" w:themeColor="text1"/>
          <w14:textFill>
            <w14:solidFill>
              <w14:schemeClr w14:val="tx1"/>
            </w14:solidFill>
          </w14:textFill>
        </w:rPr>
        <w:t>款、第</w:t>
      </w:r>
      <w:r>
        <w:rPr>
          <w:rFonts w:cs="Times New Roman"/>
          <w:color w:val="000000" w:themeColor="text1"/>
          <w14:textFill>
            <w14:solidFill>
              <w14:schemeClr w14:val="tx1"/>
            </w14:solidFill>
          </w14:textFill>
        </w:rPr>
        <w:t>2</w:t>
      </w:r>
      <w:r>
        <w:rPr>
          <w:rFonts w:hint="eastAsia" w:cs="Times New Roman"/>
          <w:color w:val="000000" w:themeColor="text1"/>
          <w14:textFill>
            <w14:solidFill>
              <w14:schemeClr w14:val="tx1"/>
            </w14:solidFill>
          </w14:textFill>
        </w:rPr>
        <w:t>款计算截面受弯承载力的公式中，对应受剪板件的钢材抗压、抗拉强度设计值应按（</w:t>
      </w:r>
      <w:r>
        <w:rPr>
          <w:rFonts w:cs="Times New Roman"/>
          <w:color w:val="000000" w:themeColor="text1"/>
          <w14:textFill>
            <w14:solidFill>
              <w14:schemeClr w14:val="tx1"/>
            </w14:solidFill>
          </w14:textFill>
        </w:rPr>
        <w:t>1-ρ</w:t>
      </w:r>
      <w:r>
        <w:rPr>
          <w:rFonts w:hint="eastAsia" w:cs="Times New Roman"/>
          <w:color w:val="000000" w:themeColor="text1"/>
          <w14:textFill>
            <w14:solidFill>
              <w14:schemeClr w14:val="tx1"/>
            </w14:solidFill>
          </w14:textFill>
        </w:rPr>
        <w:t>）进行折减，其中</w:t>
      </w:r>
      <w:r>
        <w:rPr>
          <w:rFonts w:cs="Times New Roman"/>
          <w:color w:val="000000" w:themeColor="text1"/>
          <w14:textFill>
            <w14:solidFill>
              <w14:schemeClr w14:val="tx1"/>
            </w14:solidFill>
          </w14:textFill>
        </w:rPr>
        <w:t>ρ</w:t>
      </w:r>
      <w:r>
        <w:rPr>
          <w:rFonts w:hint="eastAsia" w:cs="Times New Roman"/>
          <w:color w:val="000000" w:themeColor="text1"/>
          <w14:textFill>
            <w14:solidFill>
              <w14:schemeClr w14:val="tx1"/>
            </w14:solidFill>
          </w14:textFill>
        </w:rPr>
        <w:t>按下式计算：</w:t>
      </w:r>
    </w:p>
    <w:tbl>
      <w:tblPr>
        <w:tblStyle w:val="32"/>
        <w:tblW w:w="8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3"/>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0" w:type="dxa"/>
            <w:tcBorders>
              <w:top w:val="nil"/>
              <w:left w:val="nil"/>
              <w:bottom w:val="nil"/>
              <w:right w:val="nil"/>
            </w:tcBorders>
            <w:vAlign w:val="center"/>
          </w:tcPr>
          <w:p>
            <w:pPr>
              <w:ind w:firstLine="0" w:firstLineChars="0"/>
              <w:jc w:val="center"/>
              <w:textAlignment w:val="center"/>
              <w:rPr>
                <w:rFonts w:cs="Times New Roman"/>
                <w:color w:val="000000" w:themeColor="text1"/>
                <w:position w:val="-12"/>
                <w14:textFill>
                  <w14:solidFill>
                    <w14:schemeClr w14:val="tx1"/>
                  </w14:solidFill>
                </w14:textFill>
              </w:rPr>
            </w:pPr>
            <m:oMathPara>
              <m:oMath>
                <m:r>
                  <w:rPr>
                    <w:rFonts w:ascii="Cambria Math" w:hAnsi="Cambria Math" w:cs="Times New Roman"/>
                    <w:color w:val="000000" w:themeColor="text1"/>
                    <w14:textFill>
                      <w14:solidFill>
                        <w14:schemeClr w14:val="tx1"/>
                      </w14:solidFill>
                    </w14:textFill>
                  </w:rPr>
                  <m:t>ρ=</m:t>
                </m:r>
                <m:sSup>
                  <m:sSupPr>
                    <m:ctrlPr>
                      <w:rPr>
                        <w:rFonts w:ascii="Cambria Math" w:hAnsi="Cambria Math" w:cs="Times New Roman"/>
                        <w:i/>
                        <w:color w:val="000000" w:themeColor="text1"/>
                        <w14:textFill>
                          <w14:solidFill>
                            <w14:schemeClr w14:val="tx1"/>
                          </w14:solidFill>
                        </w14:textFill>
                      </w:rPr>
                    </m:ctrlPr>
                  </m:sSupPr>
                  <m:e>
                    <m:d>
                      <m:dPr>
                        <m:ctrlPr>
                          <w:rPr>
                            <w:rFonts w:ascii="Cambria Math" w:hAnsi="Cambria Math" w:cs="Times New Roman"/>
                            <w:i/>
                            <w:color w:val="000000" w:themeColor="text1"/>
                            <w14:textFill>
                              <w14:solidFill>
                                <w14:schemeClr w14:val="tx1"/>
                              </w14:solidFill>
                            </w14:textFill>
                          </w:rPr>
                        </m:ctrlPr>
                      </m:dPr>
                      <m:e>
                        <m:r>
                          <w:rPr>
                            <w:rFonts w:ascii="Cambria Math" w:hAnsi="Cambria Math" w:cs="Times New Roman"/>
                            <w:color w:val="000000" w:themeColor="text1"/>
                            <w14:textFill>
                              <w14:solidFill>
                                <w14:schemeClr w14:val="tx1"/>
                              </w14:solidFill>
                            </w14:textFill>
                          </w:rPr>
                          <m:t>2V/</m:t>
                        </m:r>
                        <m:sSub>
                          <m:sSubPr>
                            <m:ctrlPr>
                              <w:rPr>
                                <w:rFonts w:ascii="Cambria Math" w:hAnsi="Cambria Math" w:cs="Times New Roman"/>
                                <w:i/>
                                <w:color w:val="000000" w:themeColor="text1"/>
                                <w14:textFill>
                                  <w14:solidFill>
                                    <w14:schemeClr w14:val="tx1"/>
                                  </w14:solidFill>
                                </w14:textFill>
                              </w:rPr>
                            </m:ctrlPr>
                          </m:sSubPr>
                          <m:e>
                            <m:r>
                              <w:rPr>
                                <w:rFonts w:ascii="Cambria Math" w:hAnsi="Cambria Math" w:cs="Times New Roman"/>
                                <w:color w:val="000000" w:themeColor="text1"/>
                                <w14:textFill>
                                  <w14:solidFill>
                                    <w14:schemeClr w14:val="tx1"/>
                                  </w14:solidFill>
                                </w14:textFill>
                              </w:rPr>
                              <m:t>V</m:t>
                            </m:r>
                            <m:ctrlPr>
                              <w:rPr>
                                <w:rFonts w:ascii="Cambria Math" w:hAnsi="Cambria Math" w:cs="Times New Roman"/>
                                <w:i/>
                                <w:color w:val="000000" w:themeColor="text1"/>
                                <w14:textFill>
                                  <w14:solidFill>
                                    <w14:schemeClr w14:val="tx1"/>
                                  </w14:solidFill>
                                </w14:textFill>
                              </w:rPr>
                            </m:ctrlPr>
                          </m:e>
                          <m:sub>
                            <m:r>
                              <w:rPr>
                                <w:rFonts w:ascii="Cambria Math" w:hAnsi="Cambria Math" w:cs="Times New Roman"/>
                                <w:color w:val="000000" w:themeColor="text1"/>
                                <w14:textFill>
                                  <w14:solidFill>
                                    <w14:schemeClr w14:val="tx1"/>
                                  </w14:solidFill>
                                </w14:textFill>
                              </w:rPr>
                              <m:t>b</m:t>
                            </m:r>
                            <m:ctrlPr>
                              <w:rPr>
                                <w:rFonts w:ascii="Cambria Math" w:hAnsi="Cambria Math" w:cs="Times New Roman"/>
                                <w:i/>
                                <w:color w:val="000000" w:themeColor="text1"/>
                                <w14:textFill>
                                  <w14:solidFill>
                                    <w14:schemeClr w14:val="tx1"/>
                                  </w14:solidFill>
                                </w14:textFill>
                              </w:rPr>
                            </m:ctrlPr>
                          </m:sub>
                        </m:sSub>
                        <m:r>
                          <w:rPr>
                            <w:rFonts w:ascii="Cambria Math" w:hAnsi="Cambria Math" w:cs="Times New Roman"/>
                            <w:color w:val="000000" w:themeColor="text1"/>
                            <w14:textFill>
                              <w14:solidFill>
                                <w14:schemeClr w14:val="tx1"/>
                              </w14:solidFill>
                            </w14:textFill>
                          </w:rPr>
                          <m:t>-1</m:t>
                        </m:r>
                        <m:ctrlPr>
                          <w:rPr>
                            <w:rFonts w:ascii="Cambria Math" w:hAnsi="Cambria Math" w:cs="Times New Roman"/>
                            <w:i/>
                            <w:color w:val="000000" w:themeColor="text1"/>
                            <w14:textFill>
                              <w14:solidFill>
                                <w14:schemeClr w14:val="tx1"/>
                              </w14:solidFill>
                            </w14:textFill>
                          </w:rPr>
                        </m:ctrlPr>
                      </m:e>
                    </m:d>
                    <m:ctrlPr>
                      <w:rPr>
                        <w:rFonts w:ascii="Cambria Math" w:hAnsi="Cambria Math" w:cs="Times New Roman"/>
                        <w:i/>
                        <w:color w:val="000000" w:themeColor="text1"/>
                        <w14:textFill>
                          <w14:solidFill>
                            <w14:schemeClr w14:val="tx1"/>
                          </w14:solidFill>
                        </w14:textFill>
                      </w:rPr>
                    </m:ctrlPr>
                  </m:e>
                  <m:sup>
                    <m:r>
                      <w:rPr>
                        <w:rFonts w:ascii="Cambria Math" w:hAnsi="Cambria Math" w:cs="Times New Roman"/>
                        <w:color w:val="000000" w:themeColor="text1"/>
                        <w14:textFill>
                          <w14:solidFill>
                            <w14:schemeClr w14:val="tx1"/>
                          </w14:solidFill>
                        </w14:textFill>
                      </w:rPr>
                      <m:t>2</m:t>
                    </m:r>
                    <m:ctrlPr>
                      <w:rPr>
                        <w:rFonts w:ascii="Cambria Math" w:hAnsi="Cambria Math" w:cs="Times New Roman"/>
                        <w:i/>
                        <w:color w:val="000000" w:themeColor="text1"/>
                        <w14:textFill>
                          <w14:solidFill>
                            <w14:schemeClr w14:val="tx1"/>
                          </w14:solidFill>
                        </w14:textFill>
                      </w:rPr>
                    </m:ctrlPr>
                  </m:sup>
                </m:sSup>
              </m:oMath>
            </m:oMathPara>
          </w:p>
        </w:tc>
        <w:tc>
          <w:tcPr>
            <w:tcW w:w="1417" w:type="dxa"/>
            <w:tcBorders>
              <w:top w:val="nil"/>
              <w:left w:val="nil"/>
              <w:bottom w:val="nil"/>
              <w:right w:val="nil"/>
            </w:tcBorders>
            <w:vAlign w:val="center"/>
          </w:tcPr>
          <w:p>
            <w:pPr>
              <w:ind w:firstLine="0" w:firstLineChars="0"/>
              <w:textAlignment w:val="center"/>
              <w:rPr>
                <w:rFonts w:cs="Times New Roman"/>
                <w:color w:val="000000" w:themeColor="text1"/>
                <w:kern w:val="0"/>
                <w14:textFill>
                  <w14:solidFill>
                    <w14:schemeClr w14:val="tx1"/>
                  </w14:solidFill>
                </w14:textFill>
              </w:rPr>
            </w:pP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F.0.7-12</w:t>
            </w:r>
            <w:r>
              <w:rPr>
                <w:rFonts w:hint="eastAsia" w:cs="Times New Roman"/>
                <w:color w:val="000000" w:themeColor="text1"/>
                <w14:textFill>
                  <w14:solidFill>
                    <w14:schemeClr w14:val="tx1"/>
                  </w14:solidFill>
                </w14:textFill>
              </w:rPr>
              <w:t>）</w:t>
            </w:r>
          </w:p>
        </w:tc>
      </w:tr>
    </w:tbl>
    <w:p>
      <w:pPr>
        <w:tabs>
          <w:tab w:val="left" w:pos="567"/>
        </w:tabs>
        <w:spacing w:line="360" w:lineRule="auto"/>
        <w:ind w:left="567" w:hanging="567" w:hangingChars="27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F.0.8 </w:t>
      </w:r>
      <w:r>
        <w:rPr>
          <w:rFonts w:hint="eastAsia" w:cs="Times New Roman"/>
          <w:color w:val="000000" w:themeColor="text1"/>
          <w:szCs w:val="21"/>
          <w14:textFill>
            <w14:solidFill>
              <w14:schemeClr w14:val="tx1"/>
            </w14:solidFill>
          </w14:textFill>
        </w:rPr>
        <w:t>单向压弯构件承载力计算</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截面压弯承载力按下列公式计算：</w:t>
      </w:r>
    </w:p>
    <w:p>
      <w:pPr>
        <w:ind w:firstLine="420"/>
        <w:rPr>
          <w:rFonts w:cs="Times New Roman"/>
          <w:color w:val="000000" w:themeColor="text1"/>
          <w:position w:val="-30"/>
          <w:sz w:val="24"/>
          <w:szCs w:val="24"/>
          <w14:textFill>
            <w14:solidFill>
              <w14:schemeClr w14:val="tx1"/>
            </w14:solidFill>
          </w14:textFill>
        </w:rPr>
      </w:pPr>
      <w:r>
        <w:rPr>
          <w:rFonts w:hint="eastAsia" w:cs="Times New Roman"/>
          <w:color w:val="000000" w:themeColor="text1"/>
          <w:szCs w:val="21"/>
          <w14:textFill>
            <w14:solidFill>
              <w14:schemeClr w14:val="tx1"/>
            </w14:solidFill>
          </w14:textFill>
        </w:rPr>
        <w:t>当</w:t>
      </w:r>
      <m:oMath>
        <m:r>
          <w:rPr>
            <w:rFonts w:ascii="Cambria Math" w:hAnsi="Cambria Math" w:cs="Times New Roman"/>
            <w:color w:val="000000" w:themeColor="text1"/>
            <w:sz w:val="24"/>
            <w:szCs w:val="24"/>
            <w14:textFill>
              <w14:solidFill>
                <w14:schemeClr w14:val="tx1"/>
              </w14:solidFill>
            </w14:textFill>
          </w:rPr>
          <m:t>0≤N≤</m:t>
        </m:r>
        <m:sSub>
          <m:sSubPr>
            <m:ctrlPr>
              <w:rPr>
                <w:rFonts w:ascii="Cambria Math" w:hAnsi="Cambria Math" w:cs="Times New Roman"/>
                <w:i/>
                <w:color w:val="000000" w:themeColor="text1"/>
                <w:sz w:val="24"/>
                <w:szCs w:val="24"/>
                <w14:textFill>
                  <w14:solidFill>
                    <w14:schemeClr w14:val="tx1"/>
                  </w14:solidFill>
                </w14:textFill>
              </w:rPr>
            </m:ctrlPr>
          </m:sSubPr>
          <m:e>
            <m:r>
              <w:rPr>
                <w:rFonts w:ascii="Cambria Math" w:hAnsi="Cambria Math" w:cs="Times New Roman"/>
                <w:color w:val="000000" w:themeColor="text1"/>
                <w:sz w:val="24"/>
                <w:szCs w:val="24"/>
                <w14:textFill>
                  <w14:solidFill>
                    <w14:schemeClr w14:val="tx1"/>
                  </w14:solidFill>
                </w14:textFill>
              </w:rPr>
              <m:t>N</m:t>
            </m:r>
            <m:ctrlPr>
              <w:rPr>
                <w:rFonts w:ascii="Cambria Math" w:hAnsi="Cambria Math" w:cs="Times New Roman"/>
                <w:i/>
                <w:color w:val="000000" w:themeColor="text1"/>
                <w:sz w:val="24"/>
                <w:szCs w:val="24"/>
                <w14:textFill>
                  <w14:solidFill>
                    <w14:schemeClr w14:val="tx1"/>
                  </w14:solidFill>
                </w14:textFill>
              </w:rPr>
            </m:ctrlPr>
          </m:e>
          <m:sub>
            <m:r>
              <w:rPr>
                <w:rFonts w:ascii="Cambria Math" w:hAnsi="Cambria Math" w:cs="Times New Roman"/>
                <w:color w:val="000000" w:themeColor="text1"/>
                <w:sz w:val="24"/>
                <w:szCs w:val="24"/>
                <w14:textFill>
                  <w14:solidFill>
                    <w14:schemeClr w14:val="tx1"/>
                  </w14:solidFill>
                </w14:textFill>
              </w:rPr>
              <m:t>m</m:t>
            </m:r>
            <m:ctrlPr>
              <w:rPr>
                <w:rFonts w:ascii="Cambria Math" w:hAnsi="Cambria Math" w:cs="Times New Roman"/>
                <w:i/>
                <w:color w:val="000000" w:themeColor="text1"/>
                <w:sz w:val="24"/>
                <w:szCs w:val="24"/>
                <w14:textFill>
                  <w14:solidFill>
                    <w14:schemeClr w14:val="tx1"/>
                  </w14:solidFill>
                </w14:textFill>
              </w:rPr>
            </m:ctrlPr>
          </m:sub>
        </m:sSub>
      </m:oMath>
    </w:p>
    <w:tbl>
      <w:tblPr>
        <w:tblStyle w:val="32"/>
        <w:tblW w:w="0" w:type="dxa"/>
        <w:tblInd w:w="0" w:type="dxa"/>
        <w:tblLayout w:type="fixed"/>
        <w:tblCellMar>
          <w:top w:w="0" w:type="dxa"/>
          <w:left w:w="108" w:type="dxa"/>
          <w:bottom w:w="0" w:type="dxa"/>
          <w:right w:w="108" w:type="dxa"/>
        </w:tblCellMar>
      </w:tblPr>
      <w:tblGrid>
        <w:gridCol w:w="6973"/>
        <w:gridCol w:w="1549"/>
      </w:tblGrid>
      <w:tr>
        <w:tblPrEx>
          <w:tblCellMar>
            <w:top w:w="0" w:type="dxa"/>
            <w:left w:w="108" w:type="dxa"/>
            <w:bottom w:w="0" w:type="dxa"/>
            <w:right w:w="108" w:type="dxa"/>
          </w:tblCellMar>
        </w:tblPrEx>
        <w:tc>
          <w:tcPr>
            <w:tcW w:w="6973" w:type="dxa"/>
            <w:vAlign w:val="center"/>
          </w:tcPr>
          <w:p>
            <w:pPr>
              <w:spacing w:line="360" w:lineRule="auto"/>
              <w:ind w:firstLine="420"/>
              <w:jc w:val="center"/>
              <w:rPr>
                <w:rFonts w:cs="Times New Roman"/>
                <w:i/>
                <w:color w:val="000000" w:themeColor="text1"/>
                <w:szCs w:val="21"/>
                <w14:textFill>
                  <w14:solidFill>
                    <w14:schemeClr w14:val="tx1"/>
                  </w14:solidFill>
                </w14:textFill>
              </w:rPr>
            </w:pPr>
            <m:oMathPara>
              <m:oMath>
                <m:r>
                  <w:rPr>
                    <w:rFonts w:ascii="Cambria Math" w:hAnsi="Cambria Math" w:cs="Times New Roman"/>
                    <w:color w:val="000000" w:themeColor="text1"/>
                    <w:szCs w:val="21"/>
                    <w14:textFill>
                      <w14:solidFill>
                        <w14:schemeClr w14:val="tx1"/>
                      </w14:solidFill>
                    </w14:textFill>
                  </w:rPr>
                  <m:t>M≤</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cs="Times New Roman"/>
                        <w:i/>
                        <w:color w:val="000000" w:themeColor="text1"/>
                        <w:szCs w:val="21"/>
                        <w14:textFill>
                          <w14:solidFill>
                            <w14:schemeClr w14:val="tx1"/>
                          </w14:solidFill>
                        </w14:textFill>
                      </w:rPr>
                    </m:ctrlPr>
                  </m:sub>
                </m:sSub>
              </m:oMath>
            </m:oMathPara>
          </w:p>
        </w:tc>
        <w:tc>
          <w:tcPr>
            <w:tcW w:w="1549" w:type="dxa"/>
            <w:vAlign w:val="center"/>
          </w:tcPr>
          <w:p>
            <w:pPr>
              <w:tabs>
                <w:tab w:val="left" w:pos="6555"/>
              </w:tabs>
              <w:ind w:firstLine="42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(F.0.8-1)</w:t>
            </w:r>
          </w:p>
        </w:tc>
      </w:tr>
    </w:tbl>
    <w:p>
      <w:pPr>
        <w:ind w:firstLine="420"/>
        <w:rPr>
          <w:rFonts w:cs="Times New Roman"/>
          <w:color w:val="000000" w:themeColor="text1"/>
          <w:position w:val="-30"/>
          <w:szCs w:val="21"/>
          <w14:textFill>
            <w14:solidFill>
              <w14:schemeClr w14:val="tx1"/>
            </w14:solidFill>
          </w14:textFill>
        </w:rPr>
      </w:pPr>
      <w:r>
        <w:rPr>
          <w:rFonts w:hint="eastAsia" w:cs="Times New Roman"/>
          <w:color w:val="000000" w:themeColor="text1"/>
          <w:szCs w:val="21"/>
          <w14:textFill>
            <w14:solidFill>
              <w14:schemeClr w14:val="tx1"/>
            </w14:solidFill>
          </w14:textFill>
        </w:rPr>
        <w:t>当</w:t>
      </w:r>
      <m:oMath>
        <m:sSub>
          <m:sSubPr>
            <m:ctrlPr>
              <w:rPr>
                <w:rFonts w:ascii="Cambria Math" w:hAnsi="Cambria Math" w:cs="Times New Roman"/>
                <w:i/>
                <w:color w:val="000000" w:themeColor="text1"/>
                <w:sz w:val="24"/>
                <w:szCs w:val="24"/>
                <w14:textFill>
                  <w14:solidFill>
                    <w14:schemeClr w14:val="tx1"/>
                  </w14:solidFill>
                </w14:textFill>
              </w:rPr>
            </m:ctrlPr>
          </m:sSubPr>
          <m:e>
            <m:r>
              <w:rPr>
                <w:rFonts w:ascii="Cambria Math" w:hAnsi="Cambria Math" w:cs="Times New Roman"/>
                <w:color w:val="000000" w:themeColor="text1"/>
                <w:sz w:val="24"/>
                <w:szCs w:val="24"/>
                <w14:textFill>
                  <w14:solidFill>
                    <w14:schemeClr w14:val="tx1"/>
                  </w14:solidFill>
                </w14:textFill>
              </w:rPr>
              <m:t>N</m:t>
            </m:r>
            <m:ctrlPr>
              <w:rPr>
                <w:rFonts w:ascii="Cambria Math" w:hAnsi="Cambria Math" w:cs="Times New Roman"/>
                <w:i/>
                <w:color w:val="000000" w:themeColor="text1"/>
                <w:sz w:val="24"/>
                <w:szCs w:val="24"/>
                <w14:textFill>
                  <w14:solidFill>
                    <w14:schemeClr w14:val="tx1"/>
                  </w14:solidFill>
                </w14:textFill>
              </w:rPr>
            </m:ctrlPr>
          </m:e>
          <m:sub>
            <m:r>
              <w:rPr>
                <w:rFonts w:ascii="Cambria Math" w:hAnsi="Cambria Math" w:cs="Times New Roman"/>
                <w:color w:val="000000" w:themeColor="text1"/>
                <w:sz w:val="24"/>
                <w:szCs w:val="24"/>
                <w14:textFill>
                  <w14:solidFill>
                    <w14:schemeClr w14:val="tx1"/>
                  </w14:solidFill>
                </w14:textFill>
              </w:rPr>
              <m:t>m</m:t>
            </m:r>
            <m:ctrlPr>
              <w:rPr>
                <w:rFonts w:ascii="Cambria Math" w:hAnsi="Cambria Math" w:cs="Times New Roman"/>
                <w:i/>
                <w:color w:val="000000" w:themeColor="text1"/>
                <w:sz w:val="24"/>
                <w:szCs w:val="24"/>
                <w14:textFill>
                  <w14:solidFill>
                    <w14:schemeClr w14:val="tx1"/>
                  </w14:solidFill>
                </w14:textFill>
              </w:rPr>
            </m:ctrlPr>
          </m:sub>
        </m:sSub>
        <m:r>
          <w:rPr>
            <w:rFonts w:ascii="Cambria Math" w:hAnsi="Cambria Math" w:cs="Times New Roman"/>
            <w:color w:val="000000" w:themeColor="text1"/>
            <w:sz w:val="24"/>
            <w:szCs w:val="24"/>
            <w14:textFill>
              <w14:solidFill>
                <w14:schemeClr w14:val="tx1"/>
              </w14:solidFill>
            </w14:textFill>
          </w:rPr>
          <m:t>≤N≤</m:t>
        </m:r>
        <m:sSub>
          <m:sSubPr>
            <m:ctrlPr>
              <w:rPr>
                <w:rFonts w:ascii="Cambria Math" w:hAnsi="Cambria Math" w:cs="Times New Roman"/>
                <w:i/>
                <w:color w:val="000000" w:themeColor="text1"/>
                <w:sz w:val="24"/>
                <w:szCs w:val="24"/>
                <w14:textFill>
                  <w14:solidFill>
                    <w14:schemeClr w14:val="tx1"/>
                  </w14:solidFill>
                </w14:textFill>
              </w:rPr>
            </m:ctrlPr>
          </m:sSubPr>
          <m:e>
            <m:r>
              <w:rPr>
                <w:rFonts w:ascii="Cambria Math" w:hAnsi="Cambria Math" w:cs="Times New Roman"/>
                <w:color w:val="000000" w:themeColor="text1"/>
                <w:sz w:val="24"/>
                <w:szCs w:val="24"/>
                <w14:textFill>
                  <w14:solidFill>
                    <w14:schemeClr w14:val="tx1"/>
                  </w14:solidFill>
                </w14:textFill>
              </w:rPr>
              <m:t>N</m:t>
            </m:r>
            <m:ctrlPr>
              <w:rPr>
                <w:rFonts w:ascii="Cambria Math" w:hAnsi="Cambria Math" w:cs="Times New Roman"/>
                <w:i/>
                <w:color w:val="000000" w:themeColor="text1"/>
                <w:sz w:val="24"/>
                <w:szCs w:val="24"/>
                <w14:textFill>
                  <w14:solidFill>
                    <w14:schemeClr w14:val="tx1"/>
                  </w14:solidFill>
                </w14:textFill>
              </w:rPr>
            </m:ctrlPr>
          </m:e>
          <m:sub>
            <m:r>
              <w:rPr>
                <w:rFonts w:ascii="Cambria Math" w:hAnsi="Cambria Math" w:cs="Times New Roman"/>
                <w:color w:val="000000" w:themeColor="text1"/>
                <w:sz w:val="24"/>
                <w:szCs w:val="24"/>
                <w14:textFill>
                  <w14:solidFill>
                    <w14:schemeClr w14:val="tx1"/>
                  </w14:solidFill>
                </w14:textFill>
              </w:rPr>
              <m:t>u</m:t>
            </m:r>
            <m:ctrlPr>
              <w:rPr>
                <w:rFonts w:ascii="Cambria Math" w:hAnsi="Cambria Math" w:cs="Times New Roman"/>
                <w:i/>
                <w:color w:val="000000" w:themeColor="text1"/>
                <w:sz w:val="24"/>
                <w:szCs w:val="24"/>
                <w14:textFill>
                  <w14:solidFill>
                    <w14:schemeClr w14:val="tx1"/>
                  </w14:solidFill>
                </w14:textFill>
              </w:rPr>
            </m:ctrlPr>
          </m:sub>
        </m:sSub>
      </m:oMath>
    </w:p>
    <w:tbl>
      <w:tblPr>
        <w:tblStyle w:val="32"/>
        <w:tblW w:w="8520" w:type="dxa"/>
        <w:tblInd w:w="0" w:type="dxa"/>
        <w:tblLayout w:type="fixed"/>
        <w:tblCellMar>
          <w:top w:w="0" w:type="dxa"/>
          <w:left w:w="108" w:type="dxa"/>
          <w:bottom w:w="0" w:type="dxa"/>
          <w:right w:w="108" w:type="dxa"/>
        </w:tblCellMar>
      </w:tblPr>
      <w:tblGrid>
        <w:gridCol w:w="816"/>
        <w:gridCol w:w="876"/>
        <w:gridCol w:w="688"/>
        <w:gridCol w:w="4516"/>
        <w:gridCol w:w="74"/>
        <w:gridCol w:w="1550"/>
      </w:tblGrid>
      <w:tr>
        <w:tblPrEx>
          <w:tblCellMar>
            <w:top w:w="0" w:type="dxa"/>
            <w:left w:w="108" w:type="dxa"/>
            <w:bottom w:w="0" w:type="dxa"/>
            <w:right w:w="108" w:type="dxa"/>
          </w:tblCellMar>
        </w:tblPrEx>
        <w:tc>
          <w:tcPr>
            <w:tcW w:w="6972" w:type="dxa"/>
            <w:gridSpan w:val="5"/>
            <w:vAlign w:val="center"/>
          </w:tcPr>
          <w:p>
            <w:pPr>
              <w:spacing w:line="360" w:lineRule="auto"/>
              <w:ind w:firstLine="0" w:firstLineChars="0"/>
              <w:jc w:val="center"/>
              <w:rPr>
                <w:rFonts w:cs="Times New Roman"/>
                <w:color w:val="000000" w:themeColor="text1"/>
                <w:szCs w:val="21"/>
                <w14:textFill>
                  <w14:solidFill>
                    <w14:schemeClr w14:val="tx1"/>
                  </w14:solidFill>
                </w14:textFill>
              </w:rPr>
            </w:pPr>
            <m:oMathPara>
              <m:oMath>
                <m:f>
                  <m:fPr>
                    <m:ctrlPr>
                      <w:rPr>
                        <w:rFonts w:ascii="Cambria Math" w:hAnsi="Cambria Math" w:cs="Times New Roman"/>
                        <w:i/>
                        <w:color w:val="000000" w:themeColor="text1"/>
                        <w:szCs w:val="21"/>
                        <w14:textFill>
                          <w14:solidFill>
                            <w14:schemeClr w14:val="tx1"/>
                          </w14:solidFill>
                        </w14:textFill>
                      </w:rPr>
                    </m:ctrlPr>
                  </m:fPr>
                  <m:num>
                    <m:r>
                      <w:rPr>
                        <w:rFonts w:ascii="Cambria Math" w:hAnsi="Cambria Math" w:cs="Times New Roman"/>
                        <w:color w:val="000000" w:themeColor="text1"/>
                        <w:szCs w:val="21"/>
                        <w14:textFill>
                          <w14:solidFill>
                            <w14:schemeClr w14:val="tx1"/>
                          </w14:solidFill>
                        </w14:textFill>
                      </w:rPr>
                      <m:t>N-</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num>
                  <m:den>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cs="Times New Roman"/>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i/>
                        <w:color w:val="000000" w:themeColor="text1"/>
                        <w:szCs w:val="21"/>
                        <w14:textFill>
                          <w14:solidFill>
                            <w14:schemeClr w14:val="tx1"/>
                          </w14:solidFill>
                        </w14:textFill>
                      </w:rPr>
                    </m:ctrlPr>
                  </m:fPr>
                  <m:num>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num>
                  <m:den>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≤1</m:t>
                </m:r>
              </m:oMath>
            </m:oMathPara>
          </w:p>
        </w:tc>
        <w:tc>
          <w:tcPr>
            <w:tcW w:w="1550" w:type="dxa"/>
            <w:vAlign w:val="center"/>
          </w:tcPr>
          <w:p>
            <w:pPr>
              <w:tabs>
                <w:tab w:val="left" w:pos="6555"/>
              </w:tabs>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(F.0.8-2)</w:t>
            </w:r>
          </w:p>
        </w:tc>
      </w:tr>
      <w:tr>
        <w:tblPrEx>
          <w:tblCellMar>
            <w:top w:w="0" w:type="dxa"/>
            <w:left w:w="108" w:type="dxa"/>
            <w:bottom w:w="0" w:type="dxa"/>
            <w:right w:w="108" w:type="dxa"/>
          </w:tblCellMar>
        </w:tblPrEx>
        <w:tc>
          <w:tcPr>
            <w:tcW w:w="817" w:type="dxa"/>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式中</w:t>
            </w:r>
            <w:r>
              <w:rPr>
                <w:rFonts w:hint="eastAsia" w:cs="Times New Roman"/>
                <w:color w:val="000000" w:themeColor="text1"/>
                <w:szCs w:val="21"/>
                <w14:textFill>
                  <w14:solidFill>
                    <w14:schemeClr w14:val="tx1"/>
                  </w14:solidFill>
                </w14:textFill>
              </w:rPr>
              <w:t>：</w:t>
            </w:r>
          </w:p>
        </w:tc>
        <w:tc>
          <w:tcPr>
            <w:tcW w:w="876" w:type="dxa"/>
            <w:vAlign w:val="center"/>
          </w:tcPr>
          <w:p>
            <w:pPr>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N</w:t>
            </w:r>
          </w:p>
        </w:tc>
        <w:tc>
          <w:tcPr>
            <w:tcW w:w="688"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41" w:type="dxa"/>
            <w:gridSpan w:val="3"/>
            <w:vAlign w:val="center"/>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轴力设计值</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c>
          <w:tcPr>
            <w:tcW w:w="817" w:type="dxa"/>
            <w:vAlign w:val="center"/>
          </w:tcPr>
          <w:p>
            <w:pPr>
              <w:ind w:firstLine="0" w:firstLineChars="0"/>
              <w:rPr>
                <w:rFonts w:cs="Times New Roman"/>
                <w:color w:val="000000" w:themeColor="text1"/>
                <w:szCs w:val="21"/>
                <w14:textFill>
                  <w14:solidFill>
                    <w14:schemeClr w14:val="tx1"/>
                  </w14:solidFill>
                </w14:textFill>
              </w:rPr>
            </w:pPr>
          </w:p>
        </w:tc>
        <w:tc>
          <w:tcPr>
            <w:tcW w:w="876" w:type="dxa"/>
            <w:vAlign w:val="center"/>
          </w:tcPr>
          <w:p>
            <w:pPr>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M</w:t>
            </w:r>
          </w:p>
        </w:tc>
        <w:tc>
          <w:tcPr>
            <w:tcW w:w="688"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41" w:type="dxa"/>
            <w:gridSpan w:val="3"/>
            <w:vAlign w:val="center"/>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弯矩设计值，针对不同弯曲轴分别取</w:t>
            </w:r>
            <w:r>
              <w:rPr>
                <w:rFonts w:cs="Times New Roman"/>
                <w:color w:val="000000" w:themeColor="text1"/>
                <w:szCs w:val="21"/>
                <w14:textFill>
                  <w14:solidFill>
                    <w14:schemeClr w14:val="tx1"/>
                  </w14:solidFill>
                </w14:textFill>
              </w:rPr>
              <w:t>M</w:t>
            </w:r>
            <w:r>
              <w:rPr>
                <w:rFonts w:cs="Times New Roman"/>
                <w:color w:val="000000" w:themeColor="text1"/>
                <w:szCs w:val="21"/>
                <w:vertAlign w:val="subscript"/>
                <w14:textFill>
                  <w14:solidFill>
                    <w14:schemeClr w14:val="tx1"/>
                  </w14:solidFill>
                </w14:textFill>
              </w:rPr>
              <w:t>x</w:t>
            </w:r>
            <w:r>
              <w:rPr>
                <w:rFonts w:hint="eastAsia" w:ascii="宋体" w:hAnsi="宋体" w:cs="宋体"/>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M</w:t>
            </w:r>
            <w:r>
              <w:rPr>
                <w:rFonts w:cs="Times New Roman"/>
                <w:color w:val="000000" w:themeColor="text1"/>
                <w:szCs w:val="21"/>
                <w:vertAlign w:val="subscript"/>
                <w14:textFill>
                  <w14:solidFill>
                    <w14:schemeClr w14:val="tx1"/>
                  </w14:solidFill>
                </w14:textFill>
              </w:rPr>
              <w:t>y</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vMerge w:val="restart"/>
            <w:vAlign w:val="center"/>
          </w:tcPr>
          <w:p>
            <w:pPr>
              <w:ind w:firstLine="0" w:firstLineChars="0"/>
              <w:jc w:val="center"/>
              <w:rPr>
                <w:rFonts w:cs="Times New Roman"/>
                <w:color w:val="000000" w:themeColor="text1"/>
                <w:szCs w:val="21"/>
                <w14:textFill>
                  <w14:solidFill>
                    <w14:schemeClr w14:val="tx1"/>
                  </w14:solidFill>
                </w14:textFill>
              </w:rPr>
            </w:pPr>
          </w:p>
        </w:tc>
        <w:tc>
          <w:tcPr>
            <w:tcW w:w="876" w:type="dxa"/>
            <w:vAlign w:val="center"/>
          </w:tcPr>
          <w:p>
            <w:pPr>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N</w:t>
            </w:r>
            <w:r>
              <w:rPr>
                <w:rFonts w:cs="Times New Roman"/>
                <w:color w:val="000000" w:themeColor="text1"/>
                <w:szCs w:val="21"/>
                <w:vertAlign w:val="subscript"/>
                <w14:textFill>
                  <w14:solidFill>
                    <w14:schemeClr w14:val="tx1"/>
                  </w14:solidFill>
                </w14:textFill>
              </w:rPr>
              <w:t>m</w:t>
            </w:r>
          </w:p>
        </w:tc>
        <w:tc>
          <w:tcPr>
            <w:tcW w:w="688"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41" w:type="dxa"/>
            <w:gridSpan w:val="3"/>
            <w:vAlign w:val="center"/>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特征轴力，针对不同弯曲轴分别取</w:t>
            </w:r>
            <w:r>
              <w:rPr>
                <w:rFonts w:cs="Times New Roman"/>
                <w:color w:val="000000" w:themeColor="text1"/>
                <w:szCs w:val="21"/>
                <w14:textFill>
                  <w14:solidFill>
                    <w14:schemeClr w14:val="tx1"/>
                  </w14:solidFill>
                </w14:textFill>
              </w:rPr>
              <w:t>N</w:t>
            </w:r>
            <w:r>
              <w:rPr>
                <w:rFonts w:cs="Times New Roman"/>
                <w:color w:val="000000" w:themeColor="text1"/>
                <w:szCs w:val="21"/>
                <w:vertAlign w:val="subscript"/>
                <w14:textFill>
                  <w14:solidFill>
                    <w14:schemeClr w14:val="tx1"/>
                  </w14:solidFill>
                </w14:textFill>
              </w:rPr>
              <w:t>mx</w:t>
            </w:r>
            <w:r>
              <w:rPr>
                <w:rFonts w:hint="eastAsia" w:ascii="宋体" w:hAnsi="宋体" w:cs="宋体"/>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N</w:t>
            </w:r>
            <w:r>
              <w:rPr>
                <w:rFonts w:cs="Times New Roman"/>
                <w:color w:val="000000" w:themeColor="text1"/>
                <w:szCs w:val="21"/>
                <w:vertAlign w:val="subscript"/>
                <w14:textFill>
                  <w14:solidFill>
                    <w14:schemeClr w14:val="tx1"/>
                  </w14:solidFill>
                </w14:textFill>
              </w:rPr>
              <w:t>my</w:t>
            </w:r>
            <w:r>
              <w:rPr>
                <w:rFonts w:hint="eastAsia" w:ascii="宋体" w:hAnsi="宋体" w:cs="宋体"/>
                <w:color w:val="000000" w:themeColor="text1"/>
                <w:szCs w:val="21"/>
                <w14:textFill>
                  <w14:solidFill>
                    <w14:schemeClr w14:val="tx1"/>
                  </w14:solidFill>
                </w14:textFill>
              </w:rPr>
              <w:t>，按式（</w:t>
            </w:r>
            <w:r>
              <w:rPr>
                <w:rFonts w:cs="Times New Roman"/>
                <w:color w:val="000000" w:themeColor="text1"/>
                <w:szCs w:val="21"/>
                <w14:textFill>
                  <w14:solidFill>
                    <w14:schemeClr w14:val="tx1"/>
                  </w14:solidFill>
                </w14:textFill>
              </w:rPr>
              <w:t>F.0.8-3</w:t>
            </w:r>
            <w:r>
              <w:rPr>
                <w:rFonts w:hint="eastAsia" w:ascii="宋体" w:hAnsi="宋体" w:cs="宋体"/>
                <w:color w:val="000000" w:themeColor="text1"/>
                <w:szCs w:val="21"/>
                <w14:textFill>
                  <w14:solidFill>
                    <w14:schemeClr w14:val="tx1"/>
                  </w14:solidFill>
                </w14:textFill>
              </w:rPr>
              <w:t>）、式（</w:t>
            </w:r>
            <w:r>
              <w:rPr>
                <w:rFonts w:cs="Times New Roman"/>
                <w:color w:val="000000" w:themeColor="text1"/>
                <w:szCs w:val="21"/>
                <w14:textFill>
                  <w14:solidFill>
                    <w14:schemeClr w14:val="tx1"/>
                  </w14:solidFill>
                </w14:textFill>
              </w:rPr>
              <w:t>F.0.8-4</w:t>
            </w:r>
            <w:r>
              <w:rPr>
                <w:rFonts w:hint="eastAsia" w:ascii="宋体" w:hAnsi="宋体" w:cs="宋体"/>
                <w:color w:val="000000" w:themeColor="text1"/>
                <w:szCs w:val="21"/>
                <w14:textFill>
                  <w14:solidFill>
                    <w14:schemeClr w14:val="tx1"/>
                  </w14:solidFill>
                </w14:textFill>
              </w:rPr>
              <w:t>）计</w:t>
            </w:r>
            <w:r>
              <w:rPr>
                <w:rFonts w:hint="eastAsia" w:cs="Times New Roman"/>
                <w:color w:val="000000" w:themeColor="text1"/>
                <w:szCs w:val="21"/>
                <w14:textFill>
                  <w14:solidFill>
                    <w14:schemeClr w14:val="tx1"/>
                  </w14:solidFill>
                </w14:textFill>
              </w:rPr>
              <w:t>算</w:t>
            </w:r>
          </w:p>
        </w:tc>
      </w:tr>
      <w:tr>
        <w:tblPrEx>
          <w:tblCellMar>
            <w:top w:w="0" w:type="dxa"/>
            <w:left w:w="108" w:type="dxa"/>
            <w:bottom w:w="0" w:type="dxa"/>
            <w:right w:w="108" w:type="dxa"/>
          </w:tblCellMar>
        </w:tblPrEx>
        <w:trPr>
          <w:trHeight w:val="512" w:hRule="atLeast"/>
        </w:trPr>
        <w:tc>
          <w:tcPr>
            <w:tcW w:w="6972" w:type="dxa"/>
            <w:vMerge w:val="continue"/>
            <w:vAlign w:val="center"/>
          </w:tcPr>
          <w:p>
            <w:pPr>
              <w:widowControl/>
              <w:spacing w:beforeAutospacing="1"/>
              <w:ind w:firstLine="0" w:firstLineChars="0"/>
              <w:rPr>
                <w:rFonts w:cs="Times New Roman"/>
                <w:color w:val="000000" w:themeColor="text1"/>
                <w:szCs w:val="21"/>
                <w14:textFill>
                  <w14:solidFill>
                    <w14:schemeClr w14:val="tx1"/>
                  </w14:solidFill>
                </w14:textFill>
              </w:rPr>
            </w:pPr>
          </w:p>
        </w:tc>
        <w:tc>
          <w:tcPr>
            <w:tcW w:w="876" w:type="dxa"/>
            <w:vAlign w:val="center"/>
          </w:tcPr>
          <w:p>
            <w:pPr>
              <w:ind w:firstLine="0" w:firstLineChars="0"/>
              <w:jc w:val="right"/>
              <w:rPr>
                <w:rFonts w:cs="Times New Roman"/>
                <w:color w:val="000000" w:themeColor="text1"/>
                <w:position w:val="-12"/>
                <w:szCs w:val="21"/>
                <w14:textFill>
                  <w14:solidFill>
                    <w14:schemeClr w14:val="tx1"/>
                  </w14:solidFill>
                </w14:textFill>
              </w:rPr>
            </w:pPr>
            <w:r>
              <w:rPr>
                <w:rFonts w:cs="Times New Roman"/>
                <w:color w:val="000000" w:themeColor="text1"/>
                <w:szCs w:val="21"/>
                <w14:textFill>
                  <w14:solidFill>
                    <w14:schemeClr w14:val="tx1"/>
                  </w14:solidFill>
                </w14:textFill>
              </w:rPr>
              <w:t>N</w:t>
            </w:r>
            <w:r>
              <w:rPr>
                <w:rFonts w:cs="Times New Roman"/>
                <w:color w:val="000000" w:themeColor="text1"/>
                <w:szCs w:val="21"/>
                <w:vertAlign w:val="subscript"/>
                <w14:textFill>
                  <w14:solidFill>
                    <w14:schemeClr w14:val="tx1"/>
                  </w14:solidFill>
                </w14:textFill>
              </w:rPr>
              <w:t>u</w:t>
            </w:r>
          </w:p>
        </w:tc>
        <w:tc>
          <w:tcPr>
            <w:tcW w:w="688"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41" w:type="dxa"/>
            <w:gridSpan w:val="3"/>
            <w:vAlign w:val="center"/>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截面受压承载力设计值，</w:t>
            </w:r>
            <w:r>
              <w:rPr>
                <w:rFonts w:hint="eastAsia" w:ascii="宋体" w:hAnsi="宋体" w:cs="宋体"/>
                <w:color w:val="000000" w:themeColor="text1"/>
                <w:szCs w:val="21"/>
                <w14:textFill>
                  <w14:solidFill>
                    <w14:schemeClr w14:val="tx1"/>
                  </w14:solidFill>
                </w14:textFill>
              </w:rPr>
              <w:t>按式（</w:t>
            </w:r>
            <w:r>
              <w:rPr>
                <w:rFonts w:cs="Times New Roman"/>
                <w:color w:val="000000" w:themeColor="text1"/>
                <w:szCs w:val="21"/>
                <w14:textFill>
                  <w14:solidFill>
                    <w14:schemeClr w14:val="tx1"/>
                  </w14:solidFill>
                </w14:textFill>
              </w:rPr>
              <w:t>F.0.6-2</w:t>
            </w:r>
            <w:r>
              <w:rPr>
                <w:rFonts w:hint="eastAsia" w:ascii="宋体" w:hAnsi="宋体" w:cs="宋体"/>
                <w:color w:val="000000" w:themeColor="text1"/>
                <w:szCs w:val="21"/>
                <w14:textFill>
                  <w14:solidFill>
                    <w14:schemeClr w14:val="tx1"/>
                  </w14:solidFill>
                </w14:textFill>
              </w:rPr>
              <w:t>）计算</w:t>
            </w:r>
            <w:r>
              <w:rPr>
                <w:rFonts w:hint="eastAsia" w:cs="Times New Roman"/>
                <w:color w:val="000000" w:themeColor="text1"/>
                <w14:textFill>
                  <w14:solidFill>
                    <w14:schemeClr w14:val="tx1"/>
                  </w14:solidFill>
                </w14:textFill>
              </w:rPr>
              <w:t>；</w:t>
            </w:r>
          </w:p>
        </w:tc>
      </w:tr>
      <w:tr>
        <w:trPr>
          <w:trHeight w:val="464" w:hRule="atLeast"/>
        </w:trPr>
        <w:tc>
          <w:tcPr>
            <w:tcW w:w="817" w:type="dxa"/>
            <w:vAlign w:val="center"/>
          </w:tcPr>
          <w:p>
            <w:pPr>
              <w:ind w:firstLine="0" w:firstLineChars="0"/>
              <w:jc w:val="center"/>
              <w:rPr>
                <w:rFonts w:cs="Times New Roman"/>
                <w:color w:val="000000" w:themeColor="text1"/>
                <w:szCs w:val="21"/>
                <w14:textFill>
                  <w14:solidFill>
                    <w14:schemeClr w14:val="tx1"/>
                  </w14:solidFill>
                </w14:textFill>
              </w:rPr>
            </w:pPr>
          </w:p>
        </w:tc>
        <w:tc>
          <w:tcPr>
            <w:tcW w:w="876" w:type="dxa"/>
            <w:vAlign w:val="center"/>
          </w:tcPr>
          <w:p>
            <w:pPr>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M</w:t>
            </w:r>
            <w:r>
              <w:rPr>
                <w:rFonts w:cs="Times New Roman"/>
                <w:color w:val="000000" w:themeColor="text1"/>
                <w:szCs w:val="21"/>
                <w:vertAlign w:val="subscript"/>
                <w14:textFill>
                  <w14:solidFill>
                    <w14:schemeClr w14:val="tx1"/>
                  </w14:solidFill>
                </w14:textFill>
              </w:rPr>
              <w:t>u</w:t>
            </w:r>
          </w:p>
        </w:tc>
        <w:tc>
          <w:tcPr>
            <w:tcW w:w="688"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41" w:type="dxa"/>
            <w:gridSpan w:val="3"/>
            <w:vAlign w:val="center"/>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截面受弯承载力设计值，分别取</w:t>
            </w:r>
            <w:r>
              <w:rPr>
                <w:rFonts w:cs="Times New Roman"/>
                <w:color w:val="000000" w:themeColor="text1"/>
                <w:szCs w:val="21"/>
                <w14:textFill>
                  <w14:solidFill>
                    <w14:schemeClr w14:val="tx1"/>
                  </w14:solidFill>
                </w14:textFill>
              </w:rPr>
              <w:t>M</w:t>
            </w:r>
            <w:r>
              <w:rPr>
                <w:rFonts w:cs="Times New Roman"/>
                <w:color w:val="000000" w:themeColor="text1"/>
                <w:szCs w:val="21"/>
                <w:vertAlign w:val="subscript"/>
                <w14:textFill>
                  <w14:solidFill>
                    <w14:schemeClr w14:val="tx1"/>
                  </w14:solidFill>
                </w14:textFill>
              </w:rPr>
              <w:t>ux</w:t>
            </w:r>
            <w:r>
              <w:rPr>
                <w:rFonts w:hint="eastAsia" w:ascii="宋体" w:hAnsi="宋体" w:cs="宋体"/>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M</w:t>
            </w:r>
            <w:r>
              <w:rPr>
                <w:rFonts w:cs="Times New Roman"/>
                <w:color w:val="000000" w:themeColor="text1"/>
                <w:szCs w:val="21"/>
                <w:vertAlign w:val="subscript"/>
                <w14:textFill>
                  <w14:solidFill>
                    <w14:schemeClr w14:val="tx1"/>
                  </w14:solidFill>
                </w14:textFill>
              </w:rPr>
              <w:t>uy</w:t>
            </w:r>
            <w:r>
              <w:rPr>
                <w:rFonts w:hint="eastAsia" w:ascii="宋体" w:hAnsi="宋体" w:cs="宋体"/>
                <w:color w:val="000000" w:themeColor="text1"/>
                <w:szCs w:val="21"/>
                <w14:textFill>
                  <w14:solidFill>
                    <w14:schemeClr w14:val="tx1"/>
                  </w14:solidFill>
                </w14:textFill>
              </w:rPr>
              <w:t>，按公式（</w:t>
            </w:r>
            <w:r>
              <w:rPr>
                <w:rFonts w:cs="Times New Roman"/>
                <w:color w:val="000000" w:themeColor="text1"/>
                <w:szCs w:val="21"/>
                <w14:textFill>
                  <w14:solidFill>
                    <w14:schemeClr w14:val="tx1"/>
                  </w14:solidFill>
                </w14:textFill>
              </w:rPr>
              <w:t>F.0.7-2</w:t>
            </w:r>
            <w:r>
              <w:rPr>
                <w:rFonts w:hint="eastAsia" w:ascii="宋体" w:hAnsi="宋体" w:cs="宋体"/>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vAlign w:val="center"/>
          </w:tcPr>
          <w:p>
            <w:pPr>
              <w:ind w:firstLine="0" w:firstLineChars="0"/>
              <w:jc w:val="center"/>
              <w:rPr>
                <w:rFonts w:cs="Times New Roman"/>
                <w:color w:val="000000" w:themeColor="text1"/>
                <w:szCs w:val="21"/>
                <w14:textFill>
                  <w14:solidFill>
                    <w14:schemeClr w14:val="tx1"/>
                  </w14:solidFill>
                </w14:textFill>
              </w:rPr>
            </w:pPr>
          </w:p>
        </w:tc>
        <w:tc>
          <w:tcPr>
            <w:tcW w:w="876" w:type="dxa"/>
            <w:vAlign w:val="center"/>
          </w:tcPr>
          <w:p>
            <w:pPr>
              <w:ind w:firstLine="0" w:firstLineChars="0"/>
              <w:jc w:val="right"/>
              <w:rPr>
                <w:rFonts w:cs="Times New Roman"/>
                <w:color w:val="000000" w:themeColor="text1"/>
                <w:szCs w:val="21"/>
                <w14:textFill>
                  <w14:solidFill>
                    <w14:schemeClr w14:val="tx1"/>
                  </w14:solidFill>
                </w14:textFill>
              </w:rPr>
            </w:pPr>
          </w:p>
        </w:tc>
        <w:tc>
          <w:tcPr>
            <w:tcW w:w="688" w:type="dxa"/>
            <w:vAlign w:val="center"/>
          </w:tcPr>
          <w:p>
            <w:pPr>
              <w:ind w:firstLine="0" w:firstLineChars="0"/>
              <w:jc w:val="left"/>
              <w:rPr>
                <w:rFonts w:cs="Times New Roman"/>
                <w:color w:val="000000" w:themeColor="text1"/>
                <w:szCs w:val="21"/>
                <w14:textFill>
                  <w14:solidFill>
                    <w14:schemeClr w14:val="tx1"/>
                  </w14:solidFill>
                </w14:textFill>
              </w:rPr>
            </w:pPr>
          </w:p>
        </w:tc>
        <w:tc>
          <w:tcPr>
            <w:tcW w:w="6141" w:type="dxa"/>
            <w:gridSpan w:val="3"/>
            <w:vAlign w:val="center"/>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F.0.7-6</w:t>
            </w:r>
            <w:r>
              <w:rPr>
                <w:rFonts w:hint="eastAsia" w:ascii="宋体" w:hAnsi="宋体" w:cs="宋体"/>
                <w:color w:val="000000" w:themeColor="text1"/>
                <w:szCs w:val="21"/>
                <w14:textFill>
                  <w14:solidFill>
                    <w14:schemeClr w14:val="tx1"/>
                  </w14:solidFill>
                </w14:textFill>
              </w:rPr>
              <w:t>）计算</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vAlign w:val="center"/>
          </w:tcPr>
          <w:p>
            <w:pPr>
              <w:ind w:firstLine="0" w:firstLineChars="0"/>
              <w:jc w:val="center"/>
              <w:rPr>
                <w:rFonts w:cs="Times New Roman"/>
                <w:color w:val="000000" w:themeColor="text1"/>
                <w:szCs w:val="21"/>
                <w14:textFill>
                  <w14:solidFill>
                    <w14:schemeClr w14:val="tx1"/>
                  </w14:solidFill>
                </w14:textFill>
              </w:rPr>
            </w:pPr>
          </w:p>
        </w:tc>
        <w:tc>
          <w:tcPr>
            <w:tcW w:w="876" w:type="dxa"/>
            <w:vAlign w:val="center"/>
          </w:tcPr>
          <w:p>
            <w:pPr>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N</w:t>
            </w:r>
            <w:r>
              <w:rPr>
                <w:rFonts w:cs="Times New Roman"/>
                <w:color w:val="000000" w:themeColor="text1"/>
                <w:szCs w:val="21"/>
                <w:vertAlign w:val="subscript"/>
                <w14:textFill>
                  <w14:solidFill>
                    <w14:schemeClr w14:val="tx1"/>
                  </w14:solidFill>
                </w14:textFill>
              </w:rPr>
              <w:t>m</w:t>
            </w:r>
          </w:p>
        </w:tc>
        <w:tc>
          <w:tcPr>
            <w:tcW w:w="688"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41" w:type="dxa"/>
            <w:gridSpan w:val="3"/>
            <w:vAlign w:val="center"/>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特征力轴力，区分为绕强轴（</w:t>
            </w:r>
            <w:r>
              <w:rPr>
                <w:rFonts w:cs="Times New Roman"/>
                <w:color w:val="000000" w:themeColor="text1"/>
                <w:szCs w:val="21"/>
                <w14:textFill>
                  <w14:solidFill>
                    <w14:schemeClr w14:val="tx1"/>
                  </w14:solidFill>
                </w14:textFill>
              </w:rPr>
              <w:t>x</w:t>
            </w:r>
            <w:r>
              <w:rPr>
                <w:rFonts w:hint="eastAsia" w:ascii="宋体" w:hAnsi="宋体" w:cs="宋体"/>
                <w:color w:val="000000" w:themeColor="text1"/>
                <w:szCs w:val="21"/>
                <w14:textFill>
                  <w14:solidFill>
                    <w14:schemeClr w14:val="tx1"/>
                  </w14:solidFill>
                </w14:textFill>
              </w:rPr>
              <w:t>轴）</w:t>
            </w:r>
            <w:r>
              <w:rPr>
                <w:rFonts w:cs="Times New Roman"/>
                <w:color w:val="000000" w:themeColor="text1"/>
                <w:szCs w:val="21"/>
                <w14:textFill>
                  <w14:solidFill>
                    <w14:schemeClr w14:val="tx1"/>
                  </w14:solidFill>
                </w14:textFill>
              </w:rPr>
              <w:t>N</w:t>
            </w:r>
            <w:r>
              <w:rPr>
                <w:rFonts w:cs="Times New Roman"/>
                <w:color w:val="000000" w:themeColor="text1"/>
                <w:szCs w:val="21"/>
                <w:vertAlign w:val="subscript"/>
                <w14:textFill>
                  <w14:solidFill>
                    <w14:schemeClr w14:val="tx1"/>
                  </w14:solidFill>
                </w14:textFill>
              </w:rPr>
              <w:t>mx</w:t>
            </w:r>
            <w:r>
              <w:rPr>
                <w:rFonts w:hint="eastAsia" w:ascii="宋体" w:hAnsi="宋体" w:cs="宋体"/>
                <w:color w:val="000000" w:themeColor="text1"/>
                <w:szCs w:val="21"/>
                <w14:textFill>
                  <w14:solidFill>
                    <w14:schemeClr w14:val="tx1"/>
                  </w14:solidFill>
                </w14:textFill>
              </w:rPr>
              <w:t>和绕弱轴（</w:t>
            </w:r>
            <w:r>
              <w:rPr>
                <w:rFonts w:cs="Times New Roman"/>
                <w:color w:val="000000" w:themeColor="text1"/>
                <w:szCs w:val="21"/>
                <w14:textFill>
                  <w14:solidFill>
                    <w14:schemeClr w14:val="tx1"/>
                  </w14:solidFill>
                </w14:textFill>
              </w:rPr>
              <w:t>y</w:t>
            </w:r>
            <w:r>
              <w:rPr>
                <w:rFonts w:hint="eastAsia" w:ascii="宋体" w:hAnsi="宋体" w:cs="宋体"/>
                <w:color w:val="000000" w:themeColor="text1"/>
                <w:szCs w:val="21"/>
                <w14:textFill>
                  <w14:solidFill>
                    <w14:schemeClr w14:val="tx1"/>
                  </w14:solidFill>
                </w14:textFill>
              </w:rPr>
              <w:t>轴）</w:t>
            </w:r>
            <w:r>
              <w:rPr>
                <w:rFonts w:cs="Times New Roman"/>
                <w:color w:val="000000" w:themeColor="text1"/>
                <w:szCs w:val="21"/>
                <w14:textFill>
                  <w14:solidFill>
                    <w14:schemeClr w14:val="tx1"/>
                  </w14:solidFill>
                </w14:textFill>
              </w:rPr>
              <w:t>N</w:t>
            </w:r>
            <w:r>
              <w:rPr>
                <w:rFonts w:cs="Times New Roman"/>
                <w:color w:val="000000" w:themeColor="text1"/>
                <w:szCs w:val="21"/>
                <w:vertAlign w:val="subscript"/>
                <w14:textFill>
                  <w14:solidFill>
                    <w14:schemeClr w14:val="tx1"/>
                  </w14:solidFill>
                </w14:textFill>
              </w:rPr>
              <w:t>my</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tcPr>
          <w:p>
            <w:pPr>
              <w:ind w:firstLine="0" w:firstLineChars="0"/>
              <w:jc w:val="center"/>
              <w:rPr>
                <w:rFonts w:cs="Times New Roman"/>
                <w:color w:val="000000" w:themeColor="text1"/>
                <w:szCs w:val="21"/>
                <w14:textFill>
                  <w14:solidFill>
                    <w14:schemeClr w14:val="tx1"/>
                  </w14:solidFill>
                </w14:textFill>
              </w:rPr>
            </w:pPr>
          </w:p>
        </w:tc>
        <w:tc>
          <w:tcPr>
            <w:tcW w:w="876" w:type="dxa"/>
          </w:tcPr>
          <w:p>
            <w:pPr>
              <w:ind w:firstLine="0" w:firstLineChars="0"/>
              <w:jc w:val="right"/>
              <w:rPr>
                <w:rFonts w:cs="Times New Roman"/>
                <w:color w:val="000000" w:themeColor="text1"/>
                <w:szCs w:val="21"/>
                <w14:textFill>
                  <w14:solidFill>
                    <w14:schemeClr w14:val="tx1"/>
                  </w14:solidFill>
                </w14:textFill>
              </w:rPr>
            </w:pPr>
          </w:p>
        </w:tc>
        <w:tc>
          <w:tcPr>
            <w:tcW w:w="688" w:type="dxa"/>
          </w:tcPr>
          <w:p>
            <w:pPr>
              <w:ind w:firstLine="0" w:firstLineChars="0"/>
              <w:jc w:val="left"/>
              <w:rPr>
                <w:rFonts w:cs="Times New Roman"/>
                <w:color w:val="000000" w:themeColor="text1"/>
                <w:szCs w:val="21"/>
                <w14:textFill>
                  <w14:solidFill>
                    <w14:schemeClr w14:val="tx1"/>
                  </w14:solidFill>
                </w14:textFill>
              </w:rPr>
            </w:pPr>
          </w:p>
        </w:tc>
        <w:tc>
          <w:tcPr>
            <w:tcW w:w="6141" w:type="dxa"/>
            <w:gridSpan w:val="3"/>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按下列规定计算</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c>
          <w:tcPr>
            <w:tcW w:w="817" w:type="dxa"/>
            <w:vAlign w:val="center"/>
          </w:tcPr>
          <w:p>
            <w:pPr>
              <w:widowControl/>
              <w:spacing w:before="240" w:beforeAutospacing="1" w:after="240"/>
              <w:ind w:firstLine="0" w:firstLineChars="0"/>
              <w:jc w:val="left"/>
              <w:rPr>
                <w:rFonts w:ascii="宋体" w:hAnsi="宋体" w:cs="宋体"/>
                <w:color w:val="000000" w:themeColor="text1"/>
                <w14:textFill>
                  <w14:solidFill>
                    <w14:schemeClr w14:val="tx1"/>
                  </w14:solidFill>
                </w14:textFill>
              </w:rPr>
            </w:pPr>
          </w:p>
        </w:tc>
        <w:tc>
          <w:tcPr>
            <w:tcW w:w="6081" w:type="dxa"/>
            <w:gridSpan w:val="3"/>
            <w:vAlign w:val="center"/>
          </w:tcPr>
          <w:p>
            <w:pPr>
              <w:spacing w:before="240" w:after="240"/>
              <w:ind w:firstLine="0" w:firstLineChars="0"/>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绕强轴</w:t>
            </w:r>
            <w:r>
              <w:rPr>
                <w:rFonts w:hint="eastAsia"/>
                <w:color w:val="000000" w:themeColor="text1"/>
                <w:szCs w:val="21"/>
                <w14:textFill>
                  <w14:solidFill>
                    <w14:schemeClr w14:val="tx1"/>
                  </w14:solidFill>
                </w14:textFill>
              </w:rPr>
              <w:t>：</w:t>
            </w:r>
            <m:oMath>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N</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mx</m:t>
                  </m:r>
                  <m:ctrlPr>
                    <w:rPr>
                      <w:rFonts w:ascii="Cambria Math" w:hAnsi="Cambria Math"/>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α</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1</m:t>
                  </m:r>
                  <m:ctrlPr>
                    <w:rPr>
                      <w:rFonts w:ascii="Cambria Math" w:hAnsi="Cambria Math"/>
                      <w:i/>
                      <w:color w:val="000000" w:themeColor="text1"/>
                      <w:szCs w:val="21"/>
                      <w14:textFill>
                        <w14:solidFill>
                          <w14:schemeClr w14:val="tx1"/>
                        </w14:solidFill>
                      </w14:textFill>
                    </w:rPr>
                  </m:ctrlPr>
                </m:sub>
              </m:sSub>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c</m:t>
                  </m:r>
                  <m:ctrlPr>
                    <w:rPr>
                      <w:rFonts w:ascii="Cambria Math" w:hAnsi="Cambria Math"/>
                      <w:i/>
                      <w:color w:val="000000" w:themeColor="text1"/>
                      <w:szCs w:val="21"/>
                      <w14:textFill>
                        <w14:solidFill>
                          <w14:schemeClr w14:val="tx1"/>
                        </w14:solidFill>
                      </w14:textFill>
                    </w:rPr>
                  </m:ctrlPr>
                </m:sub>
              </m:sSub>
              <m:d>
                <m:dPr>
                  <m:ctrlPr>
                    <w:rPr>
                      <w:rFonts w:ascii="Cambria Math" w:hAnsi="Cambria Math"/>
                      <w:i/>
                      <w:color w:val="000000" w:themeColor="text1"/>
                      <w:szCs w:val="21"/>
                      <w14:textFill>
                        <w14:solidFill>
                          <w14:schemeClr w14:val="tx1"/>
                        </w14:solidFill>
                      </w14:textFill>
                    </w:rPr>
                  </m:ctrlPr>
                </m:dPr>
                <m:e>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b</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t</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w</m:t>
                      </m:r>
                      <m:ctrlPr>
                        <w:rPr>
                          <w:rFonts w:ascii="Cambria Math" w:hAnsi="Cambria Math"/>
                          <w:i/>
                          <w:color w:val="000000" w:themeColor="text1"/>
                          <w:szCs w:val="21"/>
                          <w14:textFill>
                            <w14:solidFill>
                              <w14:schemeClr w14:val="tx1"/>
                            </w14:solidFill>
                          </w14:textFill>
                        </w:rPr>
                      </m:ctrlPr>
                    </m:sub>
                  </m:sSub>
                  <m:ctrlPr>
                    <w:rPr>
                      <w:rFonts w:ascii="Cambria Math" w:hAnsi="Cambria Math"/>
                      <w:i/>
                      <w:color w:val="000000" w:themeColor="text1"/>
                      <w:szCs w:val="21"/>
                      <w14:textFill>
                        <w14:solidFill>
                          <w14:schemeClr w14:val="tx1"/>
                        </w14:solidFill>
                      </w14:textFill>
                    </w:rPr>
                  </m:ctrlPr>
                </m:e>
              </m:d>
              <m:r>
                <w:rPr>
                  <w:rFonts w:ascii="Cambria Math" w:hAnsi="Cambria Math"/>
                  <w:color w:val="000000" w:themeColor="text1"/>
                  <w:szCs w:val="21"/>
                  <w14:textFill>
                    <w14:solidFill>
                      <w14:schemeClr w14:val="tx1"/>
                    </w14:solidFill>
                  </w14:textFill>
                </w:rPr>
                <m:t>x+</m:t>
              </m:r>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2s</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m</m:t>
                  </m:r>
                  <m:ctrlPr>
                    <w:rPr>
                      <w:rFonts w:ascii="Cambria Math" w:hAnsi="Cambria Math"/>
                      <w:i/>
                      <w:color w:val="000000" w:themeColor="text1"/>
                      <w:szCs w:val="21"/>
                      <w14:textFill>
                        <w14:solidFill>
                          <w14:schemeClr w14:val="tx1"/>
                        </w14:solidFill>
                      </w14:textFill>
                    </w:rPr>
                  </m:ctrlPr>
                </m:sub>
              </m:sSub>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t</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sub>
              </m:sSub>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a</m:t>
                  </m:r>
                  <m:ctrlPr>
                    <w:rPr>
                      <w:rFonts w:ascii="Cambria Math" w:hAnsi="Cambria Math"/>
                      <w:i/>
                      <w:color w:val="000000" w:themeColor="text1"/>
                      <w:szCs w:val="21"/>
                      <w14:textFill>
                        <w14:solidFill>
                          <w14:schemeClr w14:val="tx1"/>
                        </w14:solidFill>
                      </w14:textFill>
                    </w:rPr>
                  </m:ctrlPr>
                </m:sub>
              </m:sSub>
            </m:oMath>
          </w:p>
        </w:tc>
        <w:tc>
          <w:tcPr>
            <w:tcW w:w="1624" w:type="dxa"/>
            <w:gridSpan w:val="2"/>
            <w:vAlign w:val="center"/>
          </w:tcPr>
          <w:p>
            <w:pPr>
              <w:tabs>
                <w:tab w:val="left" w:pos="6555"/>
              </w:tabs>
              <w:spacing w:before="240" w:after="240"/>
              <w:ind w:firstLine="0" w:firstLineChars="0"/>
              <w:jc w:val="right"/>
              <w:rPr>
                <w:color w:val="000000" w:themeColor="text1"/>
                <w:szCs w:val="21"/>
                <w14:textFill>
                  <w14:solidFill>
                    <w14:schemeClr w14:val="tx1"/>
                  </w14:solidFill>
                </w14:textFill>
              </w:rPr>
            </w:pPr>
            <w:r>
              <w:rPr>
                <w:color w:val="000000" w:themeColor="text1"/>
                <w:szCs w:val="21"/>
                <w14:textFill>
                  <w14:solidFill>
                    <w14:schemeClr w14:val="tx1"/>
                  </w14:solidFill>
                </w14:textFill>
              </w:rPr>
              <w:t>(F.0.8-3)</w:t>
            </w:r>
          </w:p>
        </w:tc>
      </w:tr>
      <w:tr>
        <w:tblPrEx>
          <w:tblCellMar>
            <w:top w:w="0" w:type="dxa"/>
            <w:left w:w="108" w:type="dxa"/>
            <w:bottom w:w="0" w:type="dxa"/>
            <w:right w:w="108" w:type="dxa"/>
          </w:tblCellMar>
        </w:tblPrEx>
        <w:tc>
          <w:tcPr>
            <w:tcW w:w="817" w:type="dxa"/>
            <w:vAlign w:val="center"/>
          </w:tcPr>
          <w:p>
            <w:pPr>
              <w:spacing w:before="240" w:after="240"/>
              <w:ind w:firstLine="0" w:firstLineChars="0"/>
              <w:rPr>
                <w:color w:val="000000" w:themeColor="text1"/>
                <w:szCs w:val="21"/>
                <w14:textFill>
                  <w14:solidFill>
                    <w14:schemeClr w14:val="tx1"/>
                  </w14:solidFill>
                </w14:textFill>
              </w:rPr>
            </w:pPr>
          </w:p>
        </w:tc>
        <w:tc>
          <w:tcPr>
            <w:tcW w:w="6081" w:type="dxa"/>
            <w:gridSpan w:val="3"/>
            <w:vAlign w:val="center"/>
          </w:tcPr>
          <w:p>
            <w:pPr>
              <w:spacing w:before="240" w:after="240"/>
              <w:ind w:firstLine="0" w:firstLineChars="0"/>
              <w:jc w:val="left"/>
              <w:rPr>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绕弱轴</w:t>
            </w:r>
            <w:r>
              <w:rPr>
                <w:rFonts w:hint="eastAsia"/>
                <w:color w:val="000000" w:themeColor="text1"/>
                <w:szCs w:val="21"/>
                <w14:textFill>
                  <w14:solidFill>
                    <w14:schemeClr w14:val="tx1"/>
                  </w14:solidFill>
                </w14:textFill>
              </w:rPr>
              <w:t>：</w:t>
            </w:r>
          </w:p>
          <w:p>
            <w:pPr>
              <w:spacing w:before="240" w:after="240"/>
              <w:ind w:firstLine="0" w:firstLineChars="0"/>
              <w:jc w:val="left"/>
              <w:rPr>
                <w:color w:val="000000" w:themeColor="text1"/>
                <w:szCs w:val="21"/>
                <w14:textFill>
                  <w14:solidFill>
                    <w14:schemeClr w14:val="tx1"/>
                  </w14:solidFill>
                </w14:textFill>
              </w:rPr>
            </w:pPr>
            <m:oMathPara>
              <m:oMath>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N</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my</m:t>
                    </m:r>
                    <m:ctrlPr>
                      <w:rPr>
                        <w:rFonts w:ascii="Cambria Math" w:hAnsi="Cambria Math"/>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α</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1</m:t>
                    </m:r>
                    <m:ctrlPr>
                      <w:rPr>
                        <w:rFonts w:ascii="Cambria Math" w:hAnsi="Cambria Math"/>
                        <w:i/>
                        <w:color w:val="000000" w:themeColor="text1"/>
                        <w:szCs w:val="21"/>
                        <w14:textFill>
                          <w14:solidFill>
                            <w14:schemeClr w14:val="tx1"/>
                          </w14:solidFill>
                        </w14:textFill>
                      </w:rPr>
                    </m:ctrlPr>
                  </m:sub>
                </m:sSub>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c</m:t>
                    </m:r>
                    <m:ctrlPr>
                      <w:rPr>
                        <w:rFonts w:ascii="Cambria Math" w:hAnsi="Cambria Math"/>
                        <w:i/>
                        <w:color w:val="000000" w:themeColor="text1"/>
                        <w:szCs w:val="21"/>
                        <w14:textFill>
                          <w14:solidFill>
                            <w14:schemeClr w14:val="tx1"/>
                          </w14:solidFill>
                        </w14:textFill>
                      </w:rPr>
                    </m:ctrlPr>
                  </m:sub>
                </m:sSub>
                <m:d>
                  <m:dPr>
                    <m:ctrlPr>
                      <w:rPr>
                        <w:rFonts w:ascii="Cambria Math" w:hAnsi="Cambria Math"/>
                        <w:i/>
                        <w:color w:val="000000" w:themeColor="text1"/>
                        <w:szCs w:val="21"/>
                        <w14:textFill>
                          <w14:solidFill>
                            <w14:schemeClr w14:val="tx1"/>
                          </w14:solidFill>
                        </w14:textFill>
                      </w:rPr>
                    </m:ctrlPr>
                  </m:dPr>
                  <m:e>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h</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a</m:t>
                        </m:r>
                        <m:ctrlPr>
                          <w:rPr>
                            <w:rFonts w:ascii="Cambria Math" w:hAnsi="Cambria Math"/>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2t</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sub>
                    </m:sSub>
                    <m:ctrlPr>
                      <w:rPr>
                        <w:rFonts w:ascii="Cambria Math" w:hAnsi="Cambria Math"/>
                        <w:i/>
                        <w:color w:val="000000" w:themeColor="text1"/>
                        <w:szCs w:val="21"/>
                        <w14:textFill>
                          <w14:solidFill>
                            <w14:schemeClr w14:val="tx1"/>
                          </w14:solidFill>
                        </w14:textFill>
                      </w:rPr>
                    </m:ctrlPr>
                  </m:e>
                </m:d>
                <m:d>
                  <m:dPr>
                    <m:ctrlPr>
                      <w:rPr>
                        <w:rFonts w:ascii="Cambria Math" w:hAnsi="Cambria Math"/>
                        <w:i/>
                        <w:color w:val="000000" w:themeColor="text1"/>
                        <w:szCs w:val="21"/>
                        <w14:textFill>
                          <w14:solidFill>
                            <w14:schemeClr w14:val="tx1"/>
                          </w14:solidFill>
                        </w14:textFill>
                      </w:rPr>
                    </m:ctrlPr>
                  </m:dPr>
                  <m:e>
                    <m:r>
                      <w:rPr>
                        <w:rFonts w:ascii="Cambria Math" w:hAnsi="Cambria Math"/>
                        <w:color w:val="000000" w:themeColor="text1"/>
                        <w:szCs w:val="21"/>
                        <w14:textFill>
                          <w14:solidFill>
                            <w14:schemeClr w14:val="tx1"/>
                          </w14:solidFill>
                        </w14:textFill>
                      </w:rPr>
                      <m:t>x-</m:t>
                    </m:r>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t</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w</m:t>
                        </m:r>
                        <m:ctrlPr>
                          <w:rPr>
                            <w:rFonts w:ascii="Cambria Math" w:hAnsi="Cambria Math"/>
                            <w:i/>
                            <w:color w:val="000000" w:themeColor="text1"/>
                            <w:szCs w:val="21"/>
                            <w14:textFill>
                              <w14:solidFill>
                                <w14:schemeClr w14:val="tx1"/>
                              </w14:solidFill>
                            </w14:textFill>
                          </w:rPr>
                        </m:ctrlPr>
                      </m:sub>
                    </m:sSub>
                    <m:ctrlPr>
                      <w:rPr>
                        <w:rFonts w:ascii="Cambria Math" w:hAnsi="Cambria Math"/>
                        <w:i/>
                        <w:color w:val="000000" w:themeColor="text1"/>
                        <w:szCs w:val="21"/>
                        <w14:textFill>
                          <w14:solidFill>
                            <w14:schemeClr w14:val="tx1"/>
                          </w14:solidFill>
                        </w14:textFill>
                      </w:rPr>
                    </m:ctrlPr>
                  </m:e>
                </m:d>
                <m:r>
                  <w:rPr>
                    <w:rFonts w:ascii="Cambria Math" w:hAnsi="Cambria Math"/>
                    <w:color w:val="000000" w:themeColor="text1"/>
                    <w:szCs w:val="21"/>
                    <w14:textFill>
                      <w14:solidFill>
                        <w14:schemeClr w14:val="tx1"/>
                      </w14:solidFill>
                    </w14:textFill>
                  </w:rPr>
                  <m:t>+</m:t>
                </m:r>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2s</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m</m:t>
                    </m:r>
                    <m:ctrlPr>
                      <w:rPr>
                        <w:rFonts w:ascii="Cambria Math" w:hAnsi="Cambria Math"/>
                        <w:i/>
                        <w:color w:val="000000" w:themeColor="text1"/>
                        <w:szCs w:val="21"/>
                        <w14:textFill>
                          <w14:solidFill>
                            <w14:schemeClr w14:val="tx1"/>
                          </w14:solidFill>
                        </w14:textFill>
                      </w:rPr>
                    </m:ctrlPr>
                  </m:sub>
                </m:sSub>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t</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sub>
                </m:sSub>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a</m:t>
                    </m:r>
                    <m:ctrlPr>
                      <w:rPr>
                        <w:rFonts w:ascii="Cambria Math" w:hAnsi="Cambria Math"/>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d>
                  <m:dPr>
                    <m:ctrlPr>
                      <w:rPr>
                        <w:rFonts w:ascii="Cambria Math" w:hAnsi="Cambria Math"/>
                        <w:i/>
                        <w:color w:val="000000" w:themeColor="text1"/>
                        <w:szCs w:val="21"/>
                        <w14:textFill>
                          <w14:solidFill>
                            <w14:schemeClr w14:val="tx1"/>
                          </w14:solidFill>
                        </w14:textFill>
                      </w:rPr>
                    </m:ctrlPr>
                  </m:dPr>
                  <m:e>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h</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a</m:t>
                        </m:r>
                        <m:ctrlPr>
                          <w:rPr>
                            <w:rFonts w:ascii="Cambria Math" w:hAnsi="Cambria Math"/>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2t</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sub>
                    </m:sSub>
                    <m:ctrlPr>
                      <w:rPr>
                        <w:rFonts w:ascii="Cambria Math" w:hAnsi="Cambria Math"/>
                        <w:i/>
                        <w:color w:val="000000" w:themeColor="text1"/>
                        <w:szCs w:val="21"/>
                        <w14:textFill>
                          <w14:solidFill>
                            <w14:schemeClr w14:val="tx1"/>
                          </w14:solidFill>
                        </w14:textFill>
                      </w:rPr>
                    </m:ctrlPr>
                  </m:e>
                </m:d>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t</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w</m:t>
                    </m:r>
                    <m:ctrlPr>
                      <w:rPr>
                        <w:rFonts w:ascii="Cambria Math" w:hAnsi="Cambria Math"/>
                        <w:i/>
                        <w:color w:val="000000" w:themeColor="text1"/>
                        <w:szCs w:val="21"/>
                        <w14:textFill>
                          <w14:solidFill>
                            <w14:schemeClr w14:val="tx1"/>
                          </w14:solidFill>
                        </w14:textFill>
                      </w:rPr>
                    </m:ctrlPr>
                  </m:sub>
                </m:sSub>
                <m:sSub>
                  <m:sSubPr>
                    <m:ctrlPr>
                      <w:rPr>
                        <w:rFonts w:ascii="Cambria Math" w:hAnsi="Cambria Math"/>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f</m:t>
                    </m:r>
                    <m:ctrlPr>
                      <w:rPr>
                        <w:rFonts w:ascii="Cambria Math" w:hAnsi="Cambria Math"/>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a</m:t>
                    </m:r>
                    <m:ctrlPr>
                      <w:rPr>
                        <w:rFonts w:ascii="Cambria Math" w:hAnsi="Cambria Math"/>
                        <w:i/>
                        <w:color w:val="000000" w:themeColor="text1"/>
                        <w:szCs w:val="21"/>
                        <w14:textFill>
                          <w14:solidFill>
                            <w14:schemeClr w14:val="tx1"/>
                          </w14:solidFill>
                        </w14:textFill>
                      </w:rPr>
                    </m:ctrlPr>
                  </m:sub>
                </m:sSub>
              </m:oMath>
            </m:oMathPara>
          </w:p>
        </w:tc>
        <w:tc>
          <w:tcPr>
            <w:tcW w:w="1624" w:type="dxa"/>
            <w:gridSpan w:val="2"/>
            <w:vAlign w:val="center"/>
          </w:tcPr>
          <w:p>
            <w:pPr>
              <w:tabs>
                <w:tab w:val="left" w:pos="6555"/>
              </w:tabs>
              <w:spacing w:before="240" w:after="240"/>
              <w:ind w:firstLine="0" w:firstLineChars="0"/>
              <w:jc w:val="right"/>
              <w:rPr>
                <w:color w:val="000000" w:themeColor="text1"/>
                <w:szCs w:val="21"/>
                <w14:textFill>
                  <w14:solidFill>
                    <w14:schemeClr w14:val="tx1"/>
                  </w14:solidFill>
                </w14:textFill>
              </w:rPr>
            </w:pPr>
            <w:r>
              <w:rPr>
                <w:color w:val="000000" w:themeColor="text1"/>
                <w:szCs w:val="21"/>
                <w14:textFill>
                  <w14:solidFill>
                    <w14:schemeClr w14:val="tx1"/>
                  </w14:solidFill>
                </w14:textFill>
              </w:rPr>
              <w:t>(F.0.8-4)</w:t>
            </w:r>
          </w:p>
        </w:tc>
      </w:tr>
    </w:tbl>
    <w:p>
      <w:pPr>
        <w:tabs>
          <w:tab w:val="left" w:pos="567"/>
        </w:tabs>
        <w:ind w:left="567" w:hanging="567" w:hangingChars="270"/>
        <w:jc w:val="center"/>
        <w:rPr>
          <w:rFonts w:cs="Times New Roman"/>
          <w:color w:val="000000" w:themeColor="text1"/>
          <w:szCs w:val="21"/>
          <w14:textFill>
            <w14:solidFill>
              <w14:schemeClr w14:val="tx1"/>
            </w14:solidFill>
          </w14:textFill>
        </w:rPr>
      </w:pPr>
    </w:p>
    <w:p>
      <w:pPr>
        <w:tabs>
          <w:tab w:val="left" w:pos="567"/>
        </w:tabs>
        <w:ind w:left="567" w:hanging="567" w:hangingChars="270"/>
        <w:jc w:val="center"/>
        <w:rPr>
          <w:rFonts w:cs="Times New Roman"/>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70528" behindDoc="0" locked="0" layoutInCell="1" allowOverlap="1">
            <wp:simplePos x="0" y="0"/>
            <wp:positionH relativeFrom="column">
              <wp:posOffset>482600</wp:posOffset>
            </wp:positionH>
            <wp:positionV relativeFrom="paragraph">
              <wp:posOffset>6350</wp:posOffset>
            </wp:positionV>
            <wp:extent cx="4104005" cy="1158875"/>
            <wp:effectExtent l="0" t="0" r="0" b="3175"/>
            <wp:wrapNone/>
            <wp:docPr id="116" name="图片 116" descr="qiangzhouw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qiangzhouwanju"/>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a:xfrm>
                      <a:off x="0" y="0"/>
                      <a:ext cx="4104005" cy="1158875"/>
                    </a:xfrm>
                    <a:prstGeom prst="rect">
                      <a:avLst/>
                    </a:prstGeom>
                    <a:noFill/>
                  </pic:spPr>
                </pic:pic>
              </a:graphicData>
            </a:graphic>
          </wp:anchor>
        </w:drawing>
      </w:r>
    </w:p>
    <w:p>
      <w:pPr>
        <w:tabs>
          <w:tab w:val="left" w:pos="567"/>
        </w:tabs>
        <w:ind w:left="567" w:hanging="567" w:hangingChars="270"/>
        <w:jc w:val="center"/>
        <w:rPr>
          <w:rFonts w:cs="Times New Roman"/>
          <w:color w:val="000000" w:themeColor="text1"/>
          <w:szCs w:val="21"/>
          <w14:textFill>
            <w14:solidFill>
              <w14:schemeClr w14:val="tx1"/>
            </w14:solidFill>
          </w14:textFill>
        </w:rPr>
      </w:pPr>
    </w:p>
    <w:p>
      <w:pPr>
        <w:tabs>
          <w:tab w:val="left" w:pos="567"/>
        </w:tabs>
        <w:ind w:left="567" w:hanging="567" w:hangingChars="270"/>
        <w:jc w:val="center"/>
        <w:rPr>
          <w:rFonts w:cs="Times New Roman"/>
          <w:color w:val="000000" w:themeColor="text1"/>
          <w:szCs w:val="21"/>
          <w14:textFill>
            <w14:solidFill>
              <w14:schemeClr w14:val="tx1"/>
            </w14:solidFill>
          </w14:textFill>
        </w:rPr>
      </w:pPr>
    </w:p>
    <w:p>
      <w:pPr>
        <w:tabs>
          <w:tab w:val="left" w:pos="567"/>
        </w:tabs>
        <w:ind w:left="567" w:hanging="567" w:hangingChars="270"/>
        <w:jc w:val="center"/>
        <w:rPr>
          <w:rFonts w:cs="Times New Roman"/>
          <w:color w:val="000000" w:themeColor="text1"/>
          <w:szCs w:val="21"/>
          <w14:textFill>
            <w14:solidFill>
              <w14:schemeClr w14:val="tx1"/>
            </w14:solidFill>
          </w14:textFill>
        </w:rPr>
      </w:pPr>
    </w:p>
    <w:p>
      <w:pPr>
        <w:widowControl/>
        <w:ind w:left="486" w:hanging="486" w:hangingChars="27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sz w:val="18"/>
          <w:szCs w:val="18"/>
          <w14:textFill>
            <w14:solidFill>
              <w14:schemeClr w14:val="tx1"/>
            </w14:solidFill>
          </w14:textFill>
        </w:rPr>
        <w:t>图</w:t>
      </w:r>
      <w:r>
        <w:rPr>
          <w:rFonts w:cs="Times New Roman"/>
          <w:color w:val="000000" w:themeColor="text1"/>
          <w:sz w:val="18"/>
          <w:szCs w:val="18"/>
          <w14:textFill>
            <w14:solidFill>
              <w14:schemeClr w14:val="tx1"/>
            </w14:solidFill>
          </w14:textFill>
        </w:rPr>
        <w:t xml:space="preserve">F.0.8-1 </w:t>
      </w:r>
      <w:r>
        <w:rPr>
          <w:rFonts w:hint="eastAsia" w:cs="Times New Roman"/>
          <w:color w:val="000000" w:themeColor="text1"/>
          <w:sz w:val="18"/>
          <w:szCs w:val="18"/>
          <w14:textFill>
            <w14:solidFill>
              <w14:schemeClr w14:val="tx1"/>
            </w14:solidFill>
          </w14:textFill>
        </w:rPr>
        <w:t>强轴截面特征轴力</w:t>
      </w:r>
      <w:r>
        <w:rPr>
          <w:rFonts w:cs="Times New Roman"/>
          <w:color w:val="000000" w:themeColor="text1"/>
          <w:sz w:val="18"/>
          <w:szCs w:val="18"/>
          <w14:textFill>
            <w14:solidFill>
              <w14:schemeClr w14:val="tx1"/>
            </w14:solidFill>
          </w14:textFill>
        </w:rPr>
        <w:t>N</w:t>
      </w:r>
      <w:r>
        <w:rPr>
          <w:rFonts w:cs="Times New Roman"/>
          <w:color w:val="000000" w:themeColor="text1"/>
          <w:sz w:val="18"/>
          <w:szCs w:val="18"/>
          <w:vertAlign w:val="subscript"/>
          <w14:textFill>
            <w14:solidFill>
              <w14:schemeClr w14:val="tx1"/>
            </w14:solidFill>
          </w14:textFill>
        </w:rPr>
        <w:t>mx</w:t>
      </w:r>
      <w:r>
        <w:rPr>
          <w:rFonts w:hint="eastAsia" w:cs="Times New Roman"/>
          <w:color w:val="000000" w:themeColor="text1"/>
          <w:sz w:val="18"/>
          <w:szCs w:val="18"/>
          <w14:textFill>
            <w14:solidFill>
              <w14:schemeClr w14:val="tx1"/>
            </w14:solidFill>
          </w14:textFill>
        </w:rPr>
        <w:t>计算应力图式</w:t>
      </w:r>
    </w:p>
    <w:p>
      <w:pPr>
        <w:tabs>
          <w:tab w:val="left" w:pos="567"/>
        </w:tabs>
        <w:ind w:left="567" w:hanging="567" w:hangingChars="270"/>
        <w:jc w:val="center"/>
        <w:rPr>
          <w:rFonts w:cs="Times New Roman"/>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71552" behindDoc="0" locked="0" layoutInCell="1" allowOverlap="1">
            <wp:simplePos x="0" y="0"/>
            <wp:positionH relativeFrom="column">
              <wp:posOffset>482600</wp:posOffset>
            </wp:positionH>
            <wp:positionV relativeFrom="paragraph">
              <wp:posOffset>6350</wp:posOffset>
            </wp:positionV>
            <wp:extent cx="4104005" cy="1095375"/>
            <wp:effectExtent l="0" t="0" r="0" b="9525"/>
            <wp:wrapNone/>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a:xfrm>
                      <a:off x="0" y="0"/>
                      <a:ext cx="4104005" cy="1095375"/>
                    </a:xfrm>
                    <a:prstGeom prst="rect">
                      <a:avLst/>
                    </a:prstGeom>
                    <a:noFill/>
                  </pic:spPr>
                </pic:pic>
              </a:graphicData>
            </a:graphic>
          </wp:anchor>
        </w:drawing>
      </w:r>
    </w:p>
    <w:p>
      <w:pPr>
        <w:tabs>
          <w:tab w:val="left" w:pos="567"/>
        </w:tabs>
        <w:ind w:left="567" w:hanging="567" w:hangingChars="270"/>
        <w:jc w:val="center"/>
        <w:rPr>
          <w:rFonts w:cs="Times New Roman"/>
          <w:color w:val="000000" w:themeColor="text1"/>
          <w:szCs w:val="21"/>
          <w14:textFill>
            <w14:solidFill>
              <w14:schemeClr w14:val="tx1"/>
            </w14:solidFill>
          </w14:textFill>
        </w:rPr>
      </w:pPr>
    </w:p>
    <w:p>
      <w:pPr>
        <w:tabs>
          <w:tab w:val="left" w:pos="567"/>
        </w:tabs>
        <w:ind w:left="567" w:hanging="567" w:hangingChars="270"/>
        <w:jc w:val="center"/>
        <w:rPr>
          <w:rFonts w:cs="Times New Roman"/>
          <w:color w:val="000000" w:themeColor="text1"/>
          <w:szCs w:val="21"/>
          <w14:textFill>
            <w14:solidFill>
              <w14:schemeClr w14:val="tx1"/>
            </w14:solidFill>
          </w14:textFill>
        </w:rPr>
      </w:pPr>
    </w:p>
    <w:p>
      <w:pPr>
        <w:tabs>
          <w:tab w:val="left" w:pos="567"/>
        </w:tabs>
        <w:ind w:left="567" w:hanging="567" w:hangingChars="270"/>
        <w:jc w:val="center"/>
        <w:rPr>
          <w:rFonts w:cs="Times New Roman"/>
          <w:color w:val="000000" w:themeColor="text1"/>
          <w:szCs w:val="21"/>
          <w14:textFill>
            <w14:solidFill>
              <w14:schemeClr w14:val="tx1"/>
            </w14:solidFill>
          </w14:textFill>
        </w:rPr>
      </w:pPr>
    </w:p>
    <w:p>
      <w:pPr>
        <w:tabs>
          <w:tab w:val="left" w:pos="567"/>
        </w:tabs>
        <w:ind w:left="567" w:hanging="567" w:hangingChars="270"/>
        <w:jc w:val="center"/>
        <w:rPr>
          <w:rFonts w:cs="Times New Roman"/>
          <w:color w:val="000000" w:themeColor="text1"/>
          <w:szCs w:val="21"/>
          <w14:textFill>
            <w14:solidFill>
              <w14:schemeClr w14:val="tx1"/>
            </w14:solidFill>
          </w14:textFill>
        </w:rPr>
      </w:pPr>
    </w:p>
    <w:p>
      <w:pPr>
        <w:tabs>
          <w:tab w:val="left" w:pos="567"/>
        </w:tabs>
        <w:ind w:left="567" w:hanging="567" w:hangingChars="270"/>
        <w:jc w:val="center"/>
        <w:rPr>
          <w:rFonts w:cs="Times New Roman"/>
          <w:color w:val="000000" w:themeColor="text1"/>
          <w:szCs w:val="21"/>
          <w14:textFill>
            <w14:solidFill>
              <w14:schemeClr w14:val="tx1"/>
            </w14:solidFill>
          </w14:textFill>
        </w:rPr>
      </w:pPr>
    </w:p>
    <w:p>
      <w:pPr>
        <w:tabs>
          <w:tab w:val="left" w:pos="567"/>
        </w:tabs>
        <w:ind w:left="567" w:hanging="567" w:hangingChars="27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ab/>
      </w:r>
      <w:r>
        <w:rPr>
          <w:rFonts w:cs="Times New Roman"/>
          <w:color w:val="000000" w:themeColor="text1"/>
          <w:szCs w:val="21"/>
          <w14:textFill>
            <w14:solidFill>
              <w14:schemeClr w14:val="tx1"/>
            </w14:solidFill>
          </w14:textFill>
        </w:rPr>
        <w:tab/>
      </w:r>
      <w:r>
        <w:rPr>
          <w:rFonts w:cs="Times New Roman"/>
          <w:color w:val="000000" w:themeColor="text1"/>
          <w:szCs w:val="21"/>
          <w14:textFill>
            <w14:solidFill>
              <w14:schemeClr w14:val="tx1"/>
            </w14:solidFill>
          </w14:textFill>
        </w:rPr>
        <w:t xml:space="preserve">  </w:t>
      </w:r>
    </w:p>
    <w:p>
      <w:pPr>
        <w:widowControl/>
        <w:ind w:left="486" w:hanging="486" w:hangingChars="27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sz w:val="18"/>
          <w:szCs w:val="18"/>
          <w14:textFill>
            <w14:solidFill>
              <w14:schemeClr w14:val="tx1"/>
            </w14:solidFill>
          </w14:textFill>
        </w:rPr>
        <w:t>图</w:t>
      </w:r>
      <w:r>
        <w:rPr>
          <w:rFonts w:cs="Times New Roman"/>
          <w:color w:val="000000" w:themeColor="text1"/>
          <w:sz w:val="18"/>
          <w:szCs w:val="18"/>
          <w14:textFill>
            <w14:solidFill>
              <w14:schemeClr w14:val="tx1"/>
            </w14:solidFill>
          </w14:textFill>
        </w:rPr>
        <w:t xml:space="preserve">F.0.8-2 </w:t>
      </w:r>
      <w:r>
        <w:rPr>
          <w:rFonts w:hint="eastAsia" w:cs="Times New Roman"/>
          <w:color w:val="000000" w:themeColor="text1"/>
          <w:sz w:val="18"/>
          <w:szCs w:val="18"/>
          <w14:textFill>
            <w14:solidFill>
              <w14:schemeClr w14:val="tx1"/>
            </w14:solidFill>
          </w14:textFill>
        </w:rPr>
        <w:t>弱轴截面特征轴力</w:t>
      </w:r>
      <w:r>
        <w:rPr>
          <w:rFonts w:cs="Times New Roman"/>
          <w:color w:val="000000" w:themeColor="text1"/>
          <w:sz w:val="18"/>
          <w:szCs w:val="18"/>
          <w14:textFill>
            <w14:solidFill>
              <w14:schemeClr w14:val="tx1"/>
            </w14:solidFill>
          </w14:textFill>
        </w:rPr>
        <w:t>N</w:t>
      </w:r>
      <w:r>
        <w:rPr>
          <w:rFonts w:cs="Times New Roman"/>
          <w:color w:val="000000" w:themeColor="text1"/>
          <w:sz w:val="18"/>
          <w:szCs w:val="18"/>
          <w:vertAlign w:val="subscript"/>
          <w14:textFill>
            <w14:solidFill>
              <w14:schemeClr w14:val="tx1"/>
            </w14:solidFill>
          </w14:textFill>
        </w:rPr>
        <w:t>my</w:t>
      </w:r>
      <w:r>
        <w:rPr>
          <w:rFonts w:hint="eastAsia" w:cs="Times New Roman"/>
          <w:color w:val="000000" w:themeColor="text1"/>
          <w:sz w:val="18"/>
          <w:szCs w:val="18"/>
          <w14:textFill>
            <w14:solidFill>
              <w14:schemeClr w14:val="tx1"/>
            </w14:solidFill>
          </w14:textFill>
        </w:rPr>
        <w:t>计算应力图式</w:t>
      </w:r>
    </w:p>
    <w:p>
      <w:pPr>
        <w:spacing w:line="360" w:lineRule="auto"/>
        <w:ind w:firstLine="42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构件整体稳定承载力按下列规定计算：</w:t>
      </w:r>
    </w:p>
    <w:p>
      <w:pPr>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）平面内整体稳定可采用下式进行计算：</w:t>
      </w:r>
    </w:p>
    <w:tbl>
      <w:tblPr>
        <w:tblStyle w:val="32"/>
        <w:tblW w:w="0" w:type="dxa"/>
        <w:tblInd w:w="0" w:type="dxa"/>
        <w:tblLayout w:type="fixed"/>
        <w:tblCellMar>
          <w:top w:w="0" w:type="dxa"/>
          <w:left w:w="108" w:type="dxa"/>
          <w:bottom w:w="0" w:type="dxa"/>
          <w:right w:w="108" w:type="dxa"/>
        </w:tblCellMar>
      </w:tblPr>
      <w:tblGrid>
        <w:gridCol w:w="817"/>
        <w:gridCol w:w="725"/>
        <w:gridCol w:w="789"/>
        <w:gridCol w:w="4812"/>
        <w:gridCol w:w="1380"/>
      </w:tblGrid>
      <w:tr>
        <w:tblPrEx>
          <w:tblCellMar>
            <w:top w:w="0" w:type="dxa"/>
            <w:left w:w="108" w:type="dxa"/>
            <w:bottom w:w="0" w:type="dxa"/>
            <w:right w:w="108" w:type="dxa"/>
          </w:tblCellMar>
        </w:tblPrEx>
        <w:tc>
          <w:tcPr>
            <w:tcW w:w="7143" w:type="dxa"/>
            <w:gridSpan w:val="4"/>
            <w:vAlign w:val="center"/>
          </w:tcPr>
          <w:p>
            <w:pPr>
              <w:spacing w:line="360" w:lineRule="auto"/>
              <w:ind w:firstLine="0" w:firstLineChars="0"/>
              <w:jc w:val="center"/>
              <w:rPr>
                <w:rFonts w:cs="Times New Roman"/>
                <w:i/>
                <w:color w:val="000000" w:themeColor="text1"/>
                <w:position w:val="-30"/>
                <w:szCs w:val="21"/>
                <w14:textFill>
                  <w14:solidFill>
                    <w14:schemeClr w14:val="tx1"/>
                  </w14:solidFill>
                </w14:textFill>
              </w:rPr>
            </w:pPr>
            <m:oMathPara>
              <m:oMath>
                <m:f>
                  <m:fPr>
                    <m:ctrlPr>
                      <w:rPr>
                        <w:rFonts w:ascii="Cambria Math" w:hAnsi="Cambria Math" w:cs="Times New Roman"/>
                        <w:i/>
                        <w:color w:val="000000" w:themeColor="text1"/>
                        <w:szCs w:val="21"/>
                        <w14:textFill>
                          <w14:solidFill>
                            <w14:schemeClr w14:val="tx1"/>
                          </w14:solidFill>
                        </w14:textFill>
                      </w:rPr>
                    </m:ctrlPr>
                  </m:fPr>
                  <m:num>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num>
                  <m:den>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φ</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x</m:t>
                        </m:r>
                        <m:ctrlPr>
                          <w:rPr>
                            <w:rFonts w:ascii="Cambria Math" w:hAnsi="Cambria Math" w:cs="Times New Roman"/>
                            <w:i/>
                            <w:color w:val="000000" w:themeColor="text1"/>
                            <w:szCs w:val="21"/>
                            <w14:textFill>
                              <w14:solidFill>
                                <w14:schemeClr w14:val="tx1"/>
                              </w14:solidFill>
                            </w14:textFill>
                          </w:rPr>
                        </m:ctrlPr>
                      </m:sub>
                    </m:sSub>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i/>
                        <w:color w:val="000000" w:themeColor="text1"/>
                        <w:szCs w:val="21"/>
                        <w14:textFill>
                          <w14:solidFill>
                            <w14:schemeClr w14:val="tx1"/>
                          </w14:solidFill>
                        </w14:textFill>
                      </w:rPr>
                    </m:ctrlPr>
                  </m:fPr>
                  <m:num>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β</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mx</m:t>
                        </m:r>
                        <m:ctrlPr>
                          <w:rPr>
                            <w:rFonts w:ascii="Cambria Math" w:hAnsi="Cambria Math" w:cs="Times New Roman"/>
                            <w:i/>
                            <w:color w:val="000000" w:themeColor="text1"/>
                            <w:szCs w:val="21"/>
                            <w14:textFill>
                              <w14:solidFill>
                                <w14:schemeClr w14:val="tx1"/>
                              </w14:solidFill>
                            </w14:textFill>
                          </w:rPr>
                        </m:ctrlPr>
                      </m:sub>
                    </m:sSub>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x</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num>
                  <m:den>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ux</m:t>
                        </m:r>
                        <m:ctrlPr>
                          <w:rPr>
                            <w:rFonts w:ascii="Cambria Math" w:hAnsi="Cambria Math" w:cs="Times New Roman"/>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1-</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φ</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x</m:t>
                        </m:r>
                        <m:ctrlPr>
                          <w:rPr>
                            <w:rFonts w:ascii="Cambria Math" w:hAnsi="Cambria Math" w:cs="Times New Roman"/>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N/</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Ex</m:t>
                        </m:r>
                        <m:ctrlPr>
                          <w:rPr>
                            <w:rFonts w:ascii="Cambria Math" w:hAnsi="Cambria Math" w:cs="Times New Roman"/>
                            <w:i/>
                            <w:color w:val="000000" w:themeColor="text1"/>
                            <w:szCs w:val="21"/>
                            <w14:textFill>
                              <w14:solidFill>
                                <w14:schemeClr w14:val="tx1"/>
                              </w14:solidFill>
                            </w14:textFill>
                          </w:rPr>
                        </m:ctrlPr>
                      </m:sub>
                    </m:sSub>
                    <m:r>
                      <w:rPr>
                        <w:rFonts w:hint="eastAsia" w:ascii="Cambria Math" w:hAnsi="Cambria Math" w:cs="Times New Roman"/>
                        <w:color w:val="000000" w:themeColor="text1"/>
                        <w:szCs w:val="21"/>
                        <w14:textFill>
                          <w14:solidFill>
                            <w14:schemeClr w14:val="tx1"/>
                          </w14:solidFill>
                        </w14:textFill>
                      </w:rPr>
                      <m:t>）</m:t>
                    </m:r>
                    <m:ctrlPr>
                      <w:rPr>
                        <w:rFonts w:ascii="Cambria Math" w:hAnsi="Cambria Math" w:cs="Times New Roman"/>
                        <w:i/>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≤1</m:t>
                </m:r>
              </m:oMath>
            </m:oMathPara>
          </w:p>
        </w:tc>
        <w:tc>
          <w:tcPr>
            <w:tcW w:w="1380" w:type="dxa"/>
            <w:vAlign w:val="center"/>
          </w:tcPr>
          <w:p>
            <w:pPr>
              <w:tabs>
                <w:tab w:val="left" w:pos="6555"/>
              </w:tabs>
              <w:spacing w:line="360" w:lineRule="auto"/>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(F.0.8-5)</w:t>
            </w:r>
          </w:p>
        </w:tc>
      </w:tr>
      <w:tr>
        <w:tblPrEx>
          <w:tblCellMar>
            <w:top w:w="0" w:type="dxa"/>
            <w:left w:w="108" w:type="dxa"/>
            <w:bottom w:w="0" w:type="dxa"/>
            <w:right w:w="108" w:type="dxa"/>
          </w:tblCellMar>
        </w:tblPrEx>
        <w:tc>
          <w:tcPr>
            <w:tcW w:w="817" w:type="dxa"/>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式中</w:t>
            </w:r>
            <w:r>
              <w:rPr>
                <w:rFonts w:hint="eastAsia" w:cs="Times New Roman"/>
                <w:color w:val="000000" w:themeColor="text1"/>
                <w:szCs w:val="21"/>
                <w14:textFill>
                  <w14:solidFill>
                    <w14:schemeClr w14:val="tx1"/>
                  </w14:solidFill>
                </w14:textFill>
              </w:rPr>
              <w:t>：</w:t>
            </w:r>
          </w:p>
        </w:tc>
        <w:tc>
          <w:tcPr>
            <w:tcW w:w="725"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cs="Times New Roman"/>
                <w:color w:val="000000" w:themeColor="text1"/>
                <w:szCs w:val="21"/>
                <w:vertAlign w:val="subscript"/>
                <w14:textFill>
                  <w14:solidFill>
                    <w14:schemeClr w14:val="tx1"/>
                  </w14:solidFill>
                </w14:textFill>
              </w:rPr>
              <w:t>x</w:t>
            </w:r>
          </w:p>
        </w:tc>
        <w:tc>
          <w:tcPr>
            <w:tcW w:w="789"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92" w:type="dxa"/>
            <w:gridSpan w:val="2"/>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轴心受压构件绕弯曲轴</w:t>
            </w:r>
            <w:r>
              <w:rPr>
                <w:rFonts w:cs="Times New Roman"/>
                <w:color w:val="000000" w:themeColor="text1"/>
                <w:szCs w:val="21"/>
                <w14:textFill>
                  <w14:solidFill>
                    <w14:schemeClr w14:val="tx1"/>
                  </w14:solidFill>
                </w14:textFill>
              </w:rPr>
              <w:t>x</w:t>
            </w:r>
            <w:r>
              <w:rPr>
                <w:rFonts w:hint="eastAsia" w:ascii="宋体" w:hAnsi="宋体" w:cs="宋体"/>
                <w:color w:val="000000" w:themeColor="text1"/>
                <w:szCs w:val="21"/>
                <w14:textFill>
                  <w14:solidFill>
                    <w14:schemeClr w14:val="tx1"/>
                  </w14:solidFill>
                </w14:textFill>
              </w:rPr>
              <w:t>轴的整体稳定系数</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vMerge w:val="restart"/>
            <w:vAlign w:val="center"/>
          </w:tcPr>
          <w:p>
            <w:pPr>
              <w:ind w:firstLine="0" w:firstLineChars="0"/>
              <w:jc w:val="center"/>
              <w:rPr>
                <w:rFonts w:cs="Times New Roman"/>
                <w:color w:val="000000" w:themeColor="text1"/>
                <w:szCs w:val="21"/>
                <w14:textFill>
                  <w14:solidFill>
                    <w14:schemeClr w14:val="tx1"/>
                  </w14:solidFill>
                </w14:textFill>
              </w:rPr>
            </w:pPr>
          </w:p>
        </w:tc>
        <w:tc>
          <w:tcPr>
            <w:tcW w:w="725"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N</w:t>
            </w:r>
            <w:r>
              <w:rPr>
                <w:rFonts w:cs="Times New Roman"/>
                <w:color w:val="000000" w:themeColor="text1"/>
                <w:szCs w:val="21"/>
                <w:vertAlign w:val="subscript"/>
                <w14:textFill>
                  <w14:solidFill>
                    <w14:schemeClr w14:val="tx1"/>
                  </w14:solidFill>
                </w14:textFill>
              </w:rPr>
              <w:t>Ex</w:t>
            </w:r>
          </w:p>
        </w:tc>
        <w:tc>
          <w:tcPr>
            <w:tcW w:w="789"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92" w:type="dxa"/>
            <w:gridSpan w:val="2"/>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轴心受压构件绕</w:t>
            </w:r>
            <w:r>
              <w:rPr>
                <w:rFonts w:cs="Times New Roman"/>
                <w:color w:val="000000" w:themeColor="text1"/>
                <w:szCs w:val="21"/>
                <w14:textFill>
                  <w14:solidFill>
                    <w14:schemeClr w14:val="tx1"/>
                  </w14:solidFill>
                </w14:textFill>
              </w:rPr>
              <w:t>x</w:t>
            </w:r>
            <w:r>
              <w:rPr>
                <w:rFonts w:hint="eastAsia" w:ascii="宋体" w:hAnsi="宋体" w:cs="宋体"/>
                <w:color w:val="000000" w:themeColor="text1"/>
                <w:szCs w:val="21"/>
                <w14:textFill>
                  <w14:solidFill>
                    <w14:schemeClr w14:val="tx1"/>
                  </w14:solidFill>
                </w14:textFill>
              </w:rPr>
              <w:t>轴的弹性稳定临界力，按式</w:t>
            </w:r>
            <w:r>
              <w:rPr>
                <w:rFonts w:cs="Times New Roman"/>
                <w:color w:val="000000" w:themeColor="text1"/>
                <w:szCs w:val="21"/>
                <w14:textFill>
                  <w14:solidFill>
                    <w14:schemeClr w14:val="tx1"/>
                  </w14:solidFill>
                </w14:textFill>
              </w:rPr>
              <w:t>6.4.2-2</w:t>
            </w:r>
            <w:r>
              <w:rPr>
                <w:rFonts w:hint="eastAsia" w:ascii="宋体" w:hAnsi="宋体" w:cs="宋体"/>
                <w:color w:val="000000" w:themeColor="text1"/>
                <w:szCs w:val="21"/>
                <w14:textFill>
                  <w14:solidFill>
                    <w14:schemeClr w14:val="tx1"/>
                  </w14:solidFill>
                </w14:textFill>
              </w:rPr>
              <w:t>计算</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7143" w:type="dxa"/>
            <w:vMerge w:val="continue"/>
            <w:vAlign w:val="center"/>
          </w:tcPr>
          <w:p>
            <w:pPr>
              <w:widowControl/>
              <w:ind w:firstLine="0" w:firstLineChars="0"/>
              <w:rPr>
                <w:rFonts w:cs="Times New Roman"/>
                <w:color w:val="000000" w:themeColor="text1"/>
                <w:szCs w:val="21"/>
                <w14:textFill>
                  <w14:solidFill>
                    <w14:schemeClr w14:val="tx1"/>
                  </w14:solidFill>
                </w14:textFill>
              </w:rPr>
            </w:pPr>
          </w:p>
        </w:tc>
        <w:tc>
          <w:tcPr>
            <w:tcW w:w="725" w:type="dxa"/>
            <w:vAlign w:val="center"/>
          </w:tcPr>
          <w:p>
            <w:pPr>
              <w:ind w:firstLine="0" w:firstLineChars="0"/>
              <w:jc w:val="left"/>
              <w:rPr>
                <w:rFonts w:cs="Times New Roman"/>
                <w:color w:val="000000" w:themeColor="text1"/>
                <w:position w:val="-12"/>
                <w:szCs w:val="21"/>
                <w14:textFill>
                  <w14:solidFill>
                    <w14:schemeClr w14:val="tx1"/>
                  </w14:solidFill>
                </w14:textFill>
              </w:rPr>
            </w:pPr>
            <w:r>
              <w:rPr>
                <w:rFonts w:cs="Times New Roman"/>
                <w:color w:val="000000" w:themeColor="text1"/>
                <w:szCs w:val="21"/>
                <w14:textFill>
                  <w14:solidFill>
                    <w14:schemeClr w14:val="tx1"/>
                  </w14:solidFill>
                </w14:textFill>
              </w:rPr>
              <w:t>β</w:t>
            </w:r>
            <w:r>
              <w:rPr>
                <w:rFonts w:cs="Times New Roman"/>
                <w:color w:val="000000" w:themeColor="text1"/>
                <w:szCs w:val="21"/>
                <w:vertAlign w:val="subscript"/>
                <w14:textFill>
                  <w14:solidFill>
                    <w14:schemeClr w14:val="tx1"/>
                  </w14:solidFill>
                </w14:textFill>
              </w:rPr>
              <w:t>mx</w:t>
            </w:r>
          </w:p>
        </w:tc>
        <w:tc>
          <w:tcPr>
            <w:tcW w:w="789"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192" w:type="dxa"/>
            <w:gridSpan w:val="2"/>
            <w:vAlign w:val="center"/>
          </w:tcPr>
          <w:p>
            <w:pPr>
              <w:spacing w:after="156"/>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等效弯矩系数，按国家现行标准《钢结构设计标准》</w:t>
            </w:r>
            <w:r>
              <w:rPr>
                <w:rFonts w:cs="Times New Roman"/>
                <w:color w:val="000000" w:themeColor="text1"/>
                <w:szCs w:val="21"/>
                <w14:textFill>
                  <w14:solidFill>
                    <w14:schemeClr w14:val="tx1"/>
                  </w14:solidFill>
                </w14:textFill>
              </w:rPr>
              <w:t>GB 50017</w:t>
            </w:r>
            <w:r>
              <w:rPr>
                <w:rFonts w:hint="eastAsia" w:ascii="宋体" w:hAnsi="宋体" w:cs="宋体"/>
                <w:color w:val="000000" w:themeColor="text1"/>
                <w:szCs w:val="21"/>
                <w14:textFill>
                  <w14:solidFill>
                    <w14:schemeClr w14:val="tx1"/>
                  </w14:solidFill>
                </w14:textFill>
              </w:rPr>
              <w:t>执行</w:t>
            </w:r>
            <w:r>
              <w:rPr>
                <w:rFonts w:hint="eastAsia" w:cs="Times New Roman"/>
                <w:color w:val="000000" w:themeColor="text1"/>
                <w:szCs w:val="21"/>
                <w14:textFill>
                  <w14:solidFill>
                    <w14:schemeClr w14:val="tx1"/>
                  </w14:solidFill>
                </w14:textFill>
              </w:rPr>
              <w:t>。</w:t>
            </w:r>
          </w:p>
        </w:tc>
      </w:tr>
    </w:tbl>
    <w:p>
      <w:pPr>
        <w:tabs>
          <w:tab w:val="left" w:pos="567"/>
        </w:tabs>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轴心受压构件弹性稳定临界力按下式计算：</w:t>
      </w:r>
    </w:p>
    <w:tbl>
      <w:tblPr>
        <w:tblStyle w:val="32"/>
        <w:tblW w:w="0" w:type="dxa"/>
        <w:tblInd w:w="0" w:type="dxa"/>
        <w:tblLayout w:type="fixed"/>
        <w:tblCellMar>
          <w:top w:w="0" w:type="dxa"/>
          <w:left w:w="108" w:type="dxa"/>
          <w:bottom w:w="0" w:type="dxa"/>
          <w:right w:w="108" w:type="dxa"/>
        </w:tblCellMar>
      </w:tblPr>
      <w:tblGrid>
        <w:gridCol w:w="817"/>
        <w:gridCol w:w="1000"/>
        <w:gridCol w:w="672"/>
        <w:gridCol w:w="4639"/>
        <w:gridCol w:w="1395"/>
      </w:tblGrid>
      <w:tr>
        <w:tblPrEx>
          <w:tblCellMar>
            <w:top w:w="0" w:type="dxa"/>
            <w:left w:w="108" w:type="dxa"/>
            <w:bottom w:w="0" w:type="dxa"/>
            <w:right w:w="108" w:type="dxa"/>
          </w:tblCellMar>
        </w:tblPrEx>
        <w:tc>
          <w:tcPr>
            <w:tcW w:w="7128" w:type="dxa"/>
            <w:gridSpan w:val="4"/>
            <w:vAlign w:val="center"/>
          </w:tcPr>
          <w:p>
            <w:pPr>
              <w:spacing w:line="360" w:lineRule="auto"/>
              <w:ind w:firstLine="0" w:firstLineChars="0"/>
              <w:jc w:val="center"/>
              <w:rPr>
                <w:rFonts w:cs="Times New Roman"/>
                <w:color w:val="000000" w:themeColor="text1"/>
                <w:position w:val="-30"/>
                <w:szCs w:val="21"/>
                <w14:textFill>
                  <w14:solidFill>
                    <w14:schemeClr w14:val="tx1"/>
                  </w14:solidFill>
                </w14:textFill>
              </w:rPr>
            </w:pPr>
            <m:oMathPara>
              <m:oMath>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Ex</m:t>
                    </m:r>
                    <m:ctrlPr>
                      <w:rPr>
                        <w:rFonts w:ascii="Cambria Math" w:hAnsi="Cambria Math" w:cs="Times New Roman"/>
                        <w:i/>
                        <w:color w:val="000000" w:themeColor="text1"/>
                        <w:szCs w:val="21"/>
                        <w14:textFill>
                          <w14:solidFill>
                            <w14:schemeClr w14:val="tx1"/>
                          </w14:solidFill>
                        </w14:textFill>
                      </w:rPr>
                    </m:ctrlPr>
                  </m:sub>
                </m:sSub>
                <m: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i/>
                        <w:color w:val="000000" w:themeColor="text1"/>
                        <w:szCs w:val="21"/>
                        <w14:textFill>
                          <w14:solidFill>
                            <w14:schemeClr w14:val="tx1"/>
                          </w14:solidFill>
                        </w14:textFill>
                      </w:rPr>
                    </m:ctrlPr>
                  </m:fPr>
                  <m:num>
                    <m:sSup>
                      <m:sSupPr>
                        <m:ctrlPr>
                          <w:rPr>
                            <w:rFonts w:ascii="Cambria Math" w:hAnsi="Cambria Math" w:cs="Times New Roman"/>
                            <w:i/>
                            <w:color w:val="000000" w:themeColor="text1"/>
                            <w:szCs w:val="21"/>
                            <w14:textFill>
                              <w14:solidFill>
                                <w14:schemeClr w14:val="tx1"/>
                              </w14:solidFill>
                            </w14:textFill>
                          </w:rPr>
                        </m:ctrlPr>
                      </m:sSupPr>
                      <m:e>
                        <m:r>
                          <w:rPr>
                            <w:rFonts w:ascii="Cambria Math" w:hAnsi="Cambria Math" w:cs="Times New Roman"/>
                            <w:color w:val="000000" w:themeColor="text1"/>
                            <w:szCs w:val="21"/>
                            <w14:textFill>
                              <w14:solidFill>
                                <w14:schemeClr w14:val="tx1"/>
                              </w14:solidFill>
                            </w14:textFill>
                          </w:rPr>
                          <m:t>π</m:t>
                        </m:r>
                        <m:ctrlPr>
                          <w:rPr>
                            <w:rFonts w:ascii="Cambria Math" w:hAnsi="Cambria Math" w:cs="Times New Roman"/>
                            <w:i/>
                            <w:color w:val="000000" w:themeColor="text1"/>
                            <w:szCs w:val="21"/>
                            <w14:textFill>
                              <w14:solidFill>
                                <w14:schemeClr w14:val="tx1"/>
                              </w14:solidFill>
                            </w14:textFill>
                          </w:rPr>
                        </m:ctrlPr>
                      </m:e>
                      <m:sup>
                        <m:r>
                          <w:rPr>
                            <w:rFonts w:ascii="Cambria Math" w:hAnsi="Cambria Math" w:cs="Times New Roman"/>
                            <w:color w:val="000000" w:themeColor="text1"/>
                            <w:szCs w:val="21"/>
                            <w14:textFill>
                              <w14:solidFill>
                                <w14:schemeClr w14:val="tx1"/>
                              </w14:solidFill>
                            </w14:textFill>
                          </w:rPr>
                          <m:t>2</m:t>
                        </m:r>
                        <m:ctrlPr>
                          <w:rPr>
                            <w:rFonts w:ascii="Cambria Math" w:hAnsi="Cambria Math" w:cs="Times New Roman"/>
                            <w:i/>
                            <w:color w:val="000000" w:themeColor="text1"/>
                            <w:szCs w:val="21"/>
                            <w14:textFill>
                              <w14:solidFill>
                                <w14:schemeClr w14:val="tx1"/>
                              </w14:solidFill>
                            </w14:textFill>
                          </w:rPr>
                        </m:ctrlPr>
                      </m:sup>
                    </m:sSup>
                    <m:sSub>
                      <m:sSubPr>
                        <m:ctrlPr>
                          <w:rPr>
                            <w:rFonts w:ascii="Cambria Math" w:hAnsi="Cambria Math" w:cs="Times New Roman"/>
                            <w:i/>
                            <w:color w:val="000000" w:themeColor="text1"/>
                            <w:szCs w:val="21"/>
                            <w14:textFill>
                              <w14:solidFill>
                                <w14:schemeClr w14:val="tx1"/>
                              </w14:solidFill>
                            </w14:textFill>
                          </w:rPr>
                        </m:ctrlPr>
                      </m:sSubPr>
                      <m:e>
                        <m:d>
                          <m:dPr>
                            <m:ctrlPr>
                              <w:rPr>
                                <w:rFonts w:ascii="Cambria Math" w:hAnsi="Cambria Math" w:cs="Times New Roman"/>
                                <w:i/>
                                <w:color w:val="000000" w:themeColor="text1"/>
                                <w:szCs w:val="21"/>
                                <w14:textFill>
                                  <w14:solidFill>
                                    <w14:schemeClr w14:val="tx1"/>
                                  </w14:solidFill>
                                </w14:textFill>
                              </w:rPr>
                            </m:ctrlPr>
                          </m:dPr>
                          <m:e>
                            <m:r>
                              <w:rPr>
                                <w:rFonts w:ascii="Cambria Math" w:hAnsi="Cambria Math" w:cs="Times New Roman"/>
                                <w:color w:val="000000" w:themeColor="text1"/>
                                <w:szCs w:val="21"/>
                                <w14:textFill>
                                  <w14:solidFill>
                                    <w14:schemeClr w14:val="tx1"/>
                                  </w14:solidFill>
                                </w14:textFill>
                              </w:rPr>
                              <m:t>EI</m:t>
                            </m:r>
                            <m:ctrlPr>
                              <w:rPr>
                                <w:rFonts w:ascii="Cambria Math" w:hAnsi="Cambria Math" w:cs="Times New Roman"/>
                                <w:i/>
                                <w:color w:val="000000" w:themeColor="text1"/>
                                <w:szCs w:val="21"/>
                                <w14:textFill>
                                  <w14:solidFill>
                                    <w14:schemeClr w14:val="tx1"/>
                                  </w14:solidFill>
                                </w14:textFill>
                              </w:rPr>
                            </m:ctrlPr>
                          </m:e>
                        </m:d>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num>
                  <m:den>
                    <m:sSubSup>
                      <m:sSubSupPr>
                        <m:ctrlPr>
                          <w:rPr>
                            <w:rFonts w:ascii="Cambria Math" w:hAnsi="Cambria Math" w:cs="Times New Roman"/>
                            <w:i/>
                            <w:color w:val="000000" w:themeColor="text1"/>
                            <w:szCs w:val="21"/>
                            <w14:textFill>
                              <w14:solidFill>
                                <w14:schemeClr w14:val="tx1"/>
                              </w14:solidFill>
                            </w14:textFill>
                          </w:rPr>
                        </m:ctrlPr>
                      </m:sSubSupPr>
                      <m:e>
                        <m:r>
                          <w:rPr>
                            <w:rFonts w:ascii="Cambria Math" w:hAnsi="Cambria Math" w:cs="Times New Roman"/>
                            <w:color w:val="000000" w:themeColor="text1"/>
                            <w:szCs w:val="21"/>
                            <w14:textFill>
                              <w14:solidFill>
                                <w14:schemeClr w14:val="tx1"/>
                              </w14:solidFill>
                            </w14:textFill>
                          </w:rPr>
                          <m:t>l</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0</m:t>
                        </m:r>
                        <m:ctrlPr>
                          <w:rPr>
                            <w:rFonts w:ascii="Cambria Math" w:hAnsi="Cambria Math" w:cs="Times New Roman"/>
                            <w:i/>
                            <w:color w:val="000000" w:themeColor="text1"/>
                            <w:szCs w:val="21"/>
                            <w14:textFill>
                              <w14:solidFill>
                                <w14:schemeClr w14:val="tx1"/>
                              </w14:solidFill>
                            </w14:textFill>
                          </w:rPr>
                        </m:ctrlPr>
                      </m:sub>
                      <m:sup>
                        <m:r>
                          <w:rPr>
                            <w:rFonts w:ascii="Cambria Math" w:hAnsi="Cambria Math" w:cs="Times New Roman"/>
                            <w:color w:val="000000" w:themeColor="text1"/>
                            <w:szCs w:val="21"/>
                            <w14:textFill>
                              <w14:solidFill>
                                <w14:schemeClr w14:val="tx1"/>
                              </w14:solidFill>
                            </w14:textFill>
                          </w:rPr>
                          <m:t>2</m:t>
                        </m:r>
                        <m:ctrlPr>
                          <w:rPr>
                            <w:rFonts w:ascii="Cambria Math" w:hAnsi="Cambria Math" w:cs="Times New Roman"/>
                            <w:i/>
                            <w:color w:val="000000" w:themeColor="text1"/>
                            <w:szCs w:val="21"/>
                            <w14:textFill>
                              <w14:solidFill>
                                <w14:schemeClr w14:val="tx1"/>
                              </w14:solidFill>
                            </w14:textFill>
                          </w:rPr>
                        </m:ctrlPr>
                      </m:sup>
                    </m:sSubSup>
                    <m:ctrlPr>
                      <w:rPr>
                        <w:rFonts w:ascii="Cambria Math" w:hAnsi="Cambria Math" w:cs="Times New Roman"/>
                        <w:i/>
                        <w:color w:val="000000" w:themeColor="text1"/>
                        <w:szCs w:val="21"/>
                        <w14:textFill>
                          <w14:solidFill>
                            <w14:schemeClr w14:val="tx1"/>
                          </w14:solidFill>
                        </w14:textFill>
                      </w:rPr>
                    </m:ctrlPr>
                  </m:den>
                </m:f>
              </m:oMath>
            </m:oMathPara>
          </w:p>
        </w:tc>
        <w:tc>
          <w:tcPr>
            <w:tcW w:w="1395" w:type="dxa"/>
            <w:vAlign w:val="center"/>
          </w:tcPr>
          <w:p>
            <w:pPr>
              <w:tabs>
                <w:tab w:val="left" w:pos="6555"/>
              </w:tabs>
              <w:spacing w:line="360" w:lineRule="auto"/>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(F.0.8-6)</w:t>
            </w:r>
          </w:p>
        </w:tc>
      </w:tr>
      <w:tr>
        <w:tblPrEx>
          <w:tblCellMar>
            <w:top w:w="0" w:type="dxa"/>
            <w:left w:w="108" w:type="dxa"/>
            <w:bottom w:w="0" w:type="dxa"/>
            <w:right w:w="108" w:type="dxa"/>
          </w:tblCellMar>
        </w:tblPrEx>
        <w:tc>
          <w:tcPr>
            <w:tcW w:w="817" w:type="dxa"/>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式中</w:t>
            </w:r>
            <w:r>
              <w:rPr>
                <w:rFonts w:hint="eastAsia" w:cs="Times New Roman"/>
                <w:color w:val="000000" w:themeColor="text1"/>
                <w:szCs w:val="21"/>
                <w14:textFill>
                  <w14:solidFill>
                    <w14:schemeClr w14:val="tx1"/>
                  </w14:solidFill>
                </w14:textFill>
              </w:rPr>
              <w:t>：</w:t>
            </w:r>
          </w:p>
        </w:tc>
        <w:tc>
          <w:tcPr>
            <w:tcW w:w="1000" w:type="dxa"/>
            <w:vAlign w:val="center"/>
          </w:tcPr>
          <w:p>
            <w:pPr>
              <w:ind w:firstLine="0" w:firstLineChars="0"/>
              <w:jc w:val="center"/>
              <w:rPr>
                <w:rFonts w:cs="Times New Roman"/>
                <w:color w:val="000000" w:themeColor="text1"/>
                <w:szCs w:val="21"/>
                <w:vertAlign w:val="subscript"/>
                <w14:textFill>
                  <w14:solidFill>
                    <w14:schemeClr w14:val="tx1"/>
                  </w14:solidFill>
                </w14:textFill>
              </w:rPr>
            </w:pPr>
            <w:r>
              <w:rPr>
                <w:rFonts w:cs="Times New Roman"/>
                <w:color w:val="000000" w:themeColor="text1"/>
                <w:szCs w:val="21"/>
                <w14:textFill>
                  <w14:solidFill>
                    <w14:schemeClr w14:val="tx1"/>
                  </w14:solidFill>
                </w14:textFill>
              </w:rPr>
              <w:t>l</w:t>
            </w:r>
            <w:r>
              <w:rPr>
                <w:rFonts w:cs="Times New Roman"/>
                <w:color w:val="000000" w:themeColor="text1"/>
                <w:szCs w:val="21"/>
                <w:vertAlign w:val="subscript"/>
                <w14:textFill>
                  <w14:solidFill>
                    <w14:schemeClr w14:val="tx1"/>
                  </w14:solidFill>
                </w14:textFill>
              </w:rPr>
              <w:t>0</w:t>
            </w:r>
          </w:p>
        </w:tc>
        <w:tc>
          <w:tcPr>
            <w:tcW w:w="672"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034" w:type="dxa"/>
            <w:gridSpan w:val="2"/>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轴心受压构件计算长度</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vAlign w:val="center"/>
          </w:tcPr>
          <w:p>
            <w:pPr>
              <w:ind w:firstLine="0" w:firstLineChars="0"/>
              <w:jc w:val="center"/>
              <w:rPr>
                <w:rFonts w:cs="Times New Roman"/>
                <w:color w:val="000000" w:themeColor="text1"/>
                <w:szCs w:val="21"/>
                <w14:textFill>
                  <w14:solidFill>
                    <w14:schemeClr w14:val="tx1"/>
                  </w14:solidFill>
                </w14:textFill>
              </w:rPr>
            </w:pPr>
          </w:p>
        </w:tc>
        <w:tc>
          <w:tcPr>
            <w:tcW w:w="1000" w:type="dxa"/>
            <w:vAlign w:val="center"/>
          </w:tcPr>
          <w:p>
            <w:pPr>
              <w:ind w:firstLine="0" w:firstLineChars="0"/>
              <w:jc w:val="center"/>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EI</w:t>
            </w:r>
            <w:r>
              <w:rPr>
                <w:rFonts w:hint="eastAsia" w:ascii="宋体" w:hAnsi="宋体" w:cs="宋体"/>
                <w:color w:val="000000" w:themeColor="text1"/>
                <w:szCs w:val="21"/>
                <w14:textFill>
                  <w14:solidFill>
                    <w14:schemeClr w14:val="tx1"/>
                  </w14:solidFill>
                </w14:textFill>
              </w:rPr>
              <w:t>）</w:t>
            </w:r>
            <w:r>
              <w:rPr>
                <w:rFonts w:cs="Times New Roman"/>
                <w:color w:val="000000" w:themeColor="text1"/>
                <w:szCs w:val="21"/>
                <w:vertAlign w:val="subscript"/>
                <w14:textFill>
                  <w14:solidFill>
                    <w14:schemeClr w14:val="tx1"/>
                  </w14:solidFill>
                </w14:textFill>
              </w:rPr>
              <w:t>e</w:t>
            </w:r>
          </w:p>
        </w:tc>
        <w:tc>
          <w:tcPr>
            <w:tcW w:w="672"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034" w:type="dxa"/>
            <w:gridSpan w:val="2"/>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构件等效弯曲刚度</w:t>
            </w:r>
            <w:r>
              <w:rPr>
                <w:rFonts w:hint="eastAsia" w:cs="Times New Roman"/>
                <w:color w:val="000000" w:themeColor="text1"/>
                <w:szCs w:val="21"/>
                <w14:textFill>
                  <w14:solidFill>
                    <w14:schemeClr w14:val="tx1"/>
                  </w14:solidFill>
                </w14:textFill>
              </w:rPr>
              <w:t>。</w:t>
            </w:r>
          </w:p>
        </w:tc>
      </w:tr>
    </w:tbl>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）平面外整体稳定可采用下式计算：</w:t>
      </w:r>
    </w:p>
    <w:tbl>
      <w:tblPr>
        <w:tblStyle w:val="32"/>
        <w:tblW w:w="0" w:type="dxa"/>
        <w:tblInd w:w="0" w:type="dxa"/>
        <w:tblLayout w:type="fixed"/>
        <w:tblCellMar>
          <w:top w:w="0" w:type="dxa"/>
          <w:left w:w="108" w:type="dxa"/>
          <w:bottom w:w="0" w:type="dxa"/>
          <w:right w:w="108" w:type="dxa"/>
        </w:tblCellMar>
      </w:tblPr>
      <w:tblGrid>
        <w:gridCol w:w="817"/>
        <w:gridCol w:w="652"/>
        <w:gridCol w:w="774"/>
        <w:gridCol w:w="4875"/>
        <w:gridCol w:w="1405"/>
      </w:tblGrid>
      <w:tr>
        <w:tblPrEx>
          <w:tblCellMar>
            <w:top w:w="0" w:type="dxa"/>
            <w:left w:w="108" w:type="dxa"/>
            <w:bottom w:w="0" w:type="dxa"/>
            <w:right w:w="108" w:type="dxa"/>
          </w:tblCellMar>
        </w:tblPrEx>
        <w:tc>
          <w:tcPr>
            <w:tcW w:w="7118" w:type="dxa"/>
            <w:gridSpan w:val="4"/>
            <w:vAlign w:val="center"/>
          </w:tcPr>
          <w:p>
            <w:pPr>
              <w:spacing w:line="360" w:lineRule="auto"/>
              <w:ind w:firstLine="0" w:firstLineChars="0"/>
              <w:jc w:val="center"/>
              <w:rPr>
                <w:rFonts w:cs="Times New Roman"/>
                <w:i/>
                <w:color w:val="000000" w:themeColor="text1"/>
                <w:position w:val="-30"/>
                <w:szCs w:val="21"/>
                <w14:textFill>
                  <w14:solidFill>
                    <w14:schemeClr w14:val="tx1"/>
                  </w14:solidFill>
                </w14:textFill>
              </w:rPr>
            </w:pPr>
            <m:oMathPara>
              <m:oMath>
                <m:f>
                  <m:fPr>
                    <m:ctrlPr>
                      <w:rPr>
                        <w:rFonts w:ascii="Cambria Math" w:hAnsi="Cambria Math" w:cs="Times New Roman"/>
                        <w:i/>
                        <w:color w:val="000000" w:themeColor="text1"/>
                        <w:szCs w:val="21"/>
                        <w14:textFill>
                          <w14:solidFill>
                            <w14:schemeClr w14:val="tx1"/>
                          </w14:solidFill>
                        </w14:textFill>
                      </w:rPr>
                    </m:ctrlPr>
                  </m:fPr>
                  <m:num>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num>
                  <m:den>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φ</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i/>
                            <w:color w:val="000000" w:themeColor="text1"/>
                            <w:szCs w:val="21"/>
                            <w14:textFill>
                              <w14:solidFill>
                                <w14:schemeClr w14:val="tx1"/>
                              </w14:solidFill>
                            </w14:textFill>
                          </w:rPr>
                        </m:ctrlPr>
                      </m:sub>
                    </m:sSub>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i/>
                        <w:color w:val="000000" w:themeColor="text1"/>
                        <w:szCs w:val="21"/>
                        <w14:textFill>
                          <w14:solidFill>
                            <w14:schemeClr w14:val="tx1"/>
                          </w14:solidFill>
                        </w14:textFill>
                      </w:rPr>
                    </m:ctrlPr>
                  </m:fPr>
                  <m:num>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β</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tx</m:t>
                        </m:r>
                        <m:ctrlPr>
                          <w:rPr>
                            <w:rFonts w:ascii="Cambria Math" w:hAnsi="Cambria Math" w:cs="Times New Roman"/>
                            <w:i/>
                            <w:color w:val="000000" w:themeColor="text1"/>
                            <w:szCs w:val="21"/>
                            <w14:textFill>
                              <w14:solidFill>
                                <w14:schemeClr w14:val="tx1"/>
                              </w14:solidFill>
                            </w14:textFill>
                          </w:rPr>
                        </m:ctrlPr>
                      </m:sub>
                    </m:sSub>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x</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num>
                  <m:den>
                    <m:r>
                      <w:rPr>
                        <w:rFonts w:ascii="Cambria Math" w:hAnsi="Cambria Math" w:cs="Times New Roman"/>
                        <w:color w:val="000000" w:themeColor="text1"/>
                        <w:szCs w:val="21"/>
                        <w14:textFill>
                          <w14:solidFill>
                            <w14:schemeClr w14:val="tx1"/>
                          </w14:solidFill>
                        </w14:textFill>
                      </w:rPr>
                      <m:t>0.85</m:t>
                    </m:r>
                    <m:sSub>
                      <m:sSubPr>
                        <m:ctrlPr>
                          <w:rPr>
                            <w:rFonts w:ascii="Cambria Math" w:hAnsi="Cambria Math" w:cs="Times New Roman"/>
                            <w:i/>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i/>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ux</m:t>
                        </m:r>
                        <m:ctrlPr>
                          <w:rPr>
                            <w:rFonts w:ascii="Cambria Math" w:hAnsi="Cambria Math" w:cs="Times New Roman"/>
                            <w:i/>
                            <w:color w:val="000000" w:themeColor="text1"/>
                            <w:szCs w:val="21"/>
                            <w14:textFill>
                              <w14:solidFill>
                                <w14:schemeClr w14:val="tx1"/>
                              </w14:solidFill>
                            </w14:textFill>
                          </w:rPr>
                        </m:ctrlPr>
                      </m:sub>
                    </m:sSub>
                    <m:ctrlPr>
                      <w:rPr>
                        <w:rFonts w:ascii="Cambria Math" w:hAnsi="Cambria Math" w:cs="Times New Roman"/>
                        <w:i/>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≤1</m:t>
                </m:r>
              </m:oMath>
            </m:oMathPara>
          </w:p>
        </w:tc>
        <w:tc>
          <w:tcPr>
            <w:tcW w:w="1405" w:type="dxa"/>
            <w:vAlign w:val="center"/>
          </w:tcPr>
          <w:p>
            <w:pPr>
              <w:tabs>
                <w:tab w:val="left" w:pos="6555"/>
              </w:tabs>
              <w:spacing w:line="360" w:lineRule="auto"/>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(F.0.8-7)</w:t>
            </w:r>
          </w:p>
        </w:tc>
      </w:tr>
      <w:tr>
        <w:tblPrEx>
          <w:tblCellMar>
            <w:top w:w="0" w:type="dxa"/>
            <w:left w:w="108" w:type="dxa"/>
            <w:bottom w:w="0" w:type="dxa"/>
            <w:right w:w="108" w:type="dxa"/>
          </w:tblCellMar>
        </w:tblPrEx>
        <w:tc>
          <w:tcPr>
            <w:tcW w:w="817" w:type="dxa"/>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式中</w:t>
            </w:r>
            <w:r>
              <w:rPr>
                <w:rFonts w:hint="eastAsia" w:cs="Times New Roman"/>
                <w:color w:val="000000" w:themeColor="text1"/>
                <w:szCs w:val="21"/>
                <w14:textFill>
                  <w14:solidFill>
                    <w14:schemeClr w14:val="tx1"/>
                  </w14:solidFill>
                </w14:textFill>
              </w:rPr>
              <w:t>：</w:t>
            </w:r>
          </w:p>
        </w:tc>
        <w:tc>
          <w:tcPr>
            <w:tcW w:w="652" w:type="dxa"/>
            <w:vAlign w:val="center"/>
          </w:tcPr>
          <w:p>
            <w:pPr>
              <w:ind w:firstLine="0" w:firstLineChars="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φ</w:t>
            </w:r>
            <w:r>
              <w:rPr>
                <w:rFonts w:cs="Times New Roman"/>
                <w:color w:val="000000" w:themeColor="text1"/>
                <w:szCs w:val="21"/>
                <w:vertAlign w:val="subscript"/>
                <w14:textFill>
                  <w14:solidFill>
                    <w14:schemeClr w14:val="tx1"/>
                  </w14:solidFill>
                </w14:textFill>
              </w:rPr>
              <w:t>y</w:t>
            </w:r>
          </w:p>
        </w:tc>
        <w:tc>
          <w:tcPr>
            <w:tcW w:w="774" w:type="dxa"/>
            <w:vAlign w:val="center"/>
          </w:tcPr>
          <w:p>
            <w:pPr>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280" w:type="dxa"/>
            <w:gridSpan w:val="2"/>
            <w:vAlign w:val="center"/>
          </w:tcPr>
          <w:p>
            <w:pPr>
              <w:ind w:firstLine="0" w:firstLineChars="0"/>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轴心受压构件绕</w:t>
            </w:r>
            <w:r>
              <w:rPr>
                <w:rFonts w:cs="Times New Roman"/>
                <w:color w:val="000000" w:themeColor="text1"/>
                <w:szCs w:val="21"/>
                <w14:textFill>
                  <w14:solidFill>
                    <w14:schemeClr w14:val="tx1"/>
                  </w14:solidFill>
                </w14:textFill>
              </w:rPr>
              <w:t>y</w:t>
            </w:r>
            <w:r>
              <w:rPr>
                <w:rFonts w:hint="eastAsia" w:ascii="宋体" w:hAnsi="宋体" w:cs="宋体"/>
                <w:color w:val="000000" w:themeColor="text1"/>
                <w:szCs w:val="21"/>
                <w14:textFill>
                  <w14:solidFill>
                    <w14:schemeClr w14:val="tx1"/>
                  </w14:solidFill>
                </w14:textFill>
              </w:rPr>
              <w:t>轴整体稳定系数</w:t>
            </w:r>
            <w:r>
              <w:rPr>
                <w:rFonts w:hint="eastAsia" w:cs="Times New Roman"/>
                <w:color w:val="000000" w:themeColor="text1"/>
                <w:szCs w:val="21"/>
                <w14:textFill>
                  <w14:solidFill>
                    <w14:schemeClr w14:val="tx1"/>
                  </w14:solidFill>
                </w14:textFill>
              </w:rPr>
              <w:t>；</w:t>
            </w:r>
          </w:p>
        </w:tc>
      </w:tr>
      <w:tr>
        <w:tblPrEx>
          <w:tblCellMar>
            <w:top w:w="0" w:type="dxa"/>
            <w:left w:w="108" w:type="dxa"/>
            <w:bottom w:w="0" w:type="dxa"/>
            <w:right w:w="108" w:type="dxa"/>
          </w:tblCellMar>
        </w:tblPrEx>
        <w:trPr>
          <w:trHeight w:val="464" w:hRule="atLeast"/>
        </w:trPr>
        <w:tc>
          <w:tcPr>
            <w:tcW w:w="817" w:type="dxa"/>
            <w:vAlign w:val="center"/>
          </w:tcPr>
          <w:p>
            <w:pPr>
              <w:ind w:firstLine="0" w:firstLineChars="0"/>
              <w:jc w:val="center"/>
              <w:rPr>
                <w:rFonts w:cs="Times New Roman"/>
                <w:color w:val="000000" w:themeColor="text1"/>
                <w:szCs w:val="21"/>
                <w14:textFill>
                  <w14:solidFill>
                    <w14:schemeClr w14:val="tx1"/>
                  </w14:solidFill>
                </w14:textFill>
              </w:rPr>
            </w:pPr>
          </w:p>
        </w:tc>
        <w:tc>
          <w:tcPr>
            <w:tcW w:w="652" w:type="dxa"/>
            <w:vAlign w:val="center"/>
          </w:tcPr>
          <w:p>
            <w:pPr>
              <w:ind w:firstLine="0" w:firstLineChars="0"/>
              <w:jc w:val="right"/>
              <w:rPr>
                <w:rFonts w:cs="Times New Roman"/>
                <w:color w:val="000000" w:themeColor="text1"/>
                <w:position w:val="-12"/>
                <w:szCs w:val="21"/>
                <w14:textFill>
                  <w14:solidFill>
                    <w14:schemeClr w14:val="tx1"/>
                  </w14:solidFill>
                </w14:textFill>
              </w:rPr>
            </w:pPr>
            <w:r>
              <w:rPr>
                <w:rFonts w:cs="Times New Roman"/>
                <w:color w:val="000000" w:themeColor="text1"/>
                <w:szCs w:val="21"/>
                <w14:textFill>
                  <w14:solidFill>
                    <w14:schemeClr w14:val="tx1"/>
                  </w14:solidFill>
                </w14:textFill>
              </w:rPr>
              <w:t>β</w:t>
            </w:r>
            <w:r>
              <w:rPr>
                <w:rFonts w:cs="Times New Roman"/>
                <w:color w:val="000000" w:themeColor="text1"/>
                <w:szCs w:val="21"/>
                <w:vertAlign w:val="subscript"/>
                <w14:textFill>
                  <w14:solidFill>
                    <w14:schemeClr w14:val="tx1"/>
                  </w14:solidFill>
                </w14:textFill>
              </w:rPr>
              <w:t>tx</w:t>
            </w:r>
          </w:p>
        </w:tc>
        <w:tc>
          <w:tcPr>
            <w:tcW w:w="774" w:type="dxa"/>
            <w:vAlign w:val="center"/>
          </w:tcPr>
          <w:p>
            <w:pPr>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p>
        </w:tc>
        <w:tc>
          <w:tcPr>
            <w:tcW w:w="6280" w:type="dxa"/>
            <w:gridSpan w:val="2"/>
            <w:vAlign w:val="center"/>
          </w:tcPr>
          <w:p>
            <w:pPr>
              <w:ind w:firstLine="0" w:firstLineChars="0"/>
              <w:jc w:val="left"/>
              <w:rPr>
                <w:rFonts w:cs="Times New Roman"/>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等效弯矩系数，按国家现行标准《钢结构设计标准》</w:t>
            </w:r>
            <w:r>
              <w:rPr>
                <w:rFonts w:cs="Times New Roman"/>
                <w:color w:val="000000" w:themeColor="text1"/>
                <w:szCs w:val="21"/>
                <w14:textFill>
                  <w14:solidFill>
                    <w14:schemeClr w14:val="tx1"/>
                  </w14:solidFill>
                </w14:textFill>
              </w:rPr>
              <w:t>GB 50017</w:t>
            </w:r>
            <w:r>
              <w:rPr>
                <w:rFonts w:hint="eastAsia" w:ascii="宋体" w:hAnsi="宋体" w:cs="宋体"/>
                <w:color w:val="000000" w:themeColor="text1"/>
                <w:szCs w:val="21"/>
                <w14:textFill>
                  <w14:solidFill>
                    <w14:schemeClr w14:val="tx1"/>
                  </w14:solidFill>
                </w14:textFill>
              </w:rPr>
              <w:t>执行</w:t>
            </w:r>
            <w:r>
              <w:rPr>
                <w:rFonts w:hint="eastAsia" w:cs="Times New Roman"/>
                <w:color w:val="000000" w:themeColor="text1"/>
                <w:szCs w:val="21"/>
                <w14:textFill>
                  <w14:solidFill>
                    <w14:schemeClr w14:val="tx1"/>
                  </w14:solidFill>
                </w14:textFill>
              </w:rPr>
              <w:t>。</w:t>
            </w:r>
          </w:p>
        </w:tc>
      </w:tr>
    </w:tbl>
    <w:p>
      <w:pPr>
        <w:tabs>
          <w:tab w:val="left" w:pos="567"/>
        </w:tabs>
        <w:ind w:left="567" w:hanging="567" w:hangingChars="270"/>
        <w:rPr>
          <w:rFonts w:cs="Times New Roman"/>
          <w:color w:val="000000" w:themeColor="text1"/>
          <w:szCs w:val="21"/>
          <w14:textFill>
            <w14:solidFill>
              <w14:schemeClr w14:val="tx1"/>
            </w14:solidFill>
          </w14:textFill>
        </w:rPr>
      </w:pPr>
    </w:p>
    <w:p>
      <w:pPr>
        <w:tabs>
          <w:tab w:val="left" w:pos="567"/>
        </w:tabs>
        <w:spacing w:line="360" w:lineRule="auto"/>
        <w:ind w:left="567" w:hanging="567" w:hangingChars="27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F.0.9 </w:t>
      </w:r>
      <w:r>
        <w:rPr>
          <w:rFonts w:hint="eastAsia" w:cs="Times New Roman"/>
          <w:color w:val="000000" w:themeColor="text1"/>
          <w:szCs w:val="21"/>
          <w14:textFill>
            <w14:solidFill>
              <w14:schemeClr w14:val="tx1"/>
            </w14:solidFill>
          </w14:textFill>
        </w:rPr>
        <w:t>既有钢构件采用补填混凝土改造时的设计</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既有钢结构构件改为部分包覆钢</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混凝土组合构件时，应对既有钢结构进行检测、鉴定和评定。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既有钢结构构件改为部分包覆钢</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混凝土组合构件时，其设计应符合下列规定：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）应保证结构的整体性能，包括良好的抗震性；</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）荷载标准值可取实测数据。但不能小于国家现行标准《建筑结构荷载规范》</w:t>
      </w:r>
      <w:r>
        <w:rPr>
          <w:rFonts w:cs="Times New Roman"/>
          <w:color w:val="000000" w:themeColor="text1"/>
          <w:szCs w:val="21"/>
          <w14:textFill>
            <w14:solidFill>
              <w14:schemeClr w14:val="tx1"/>
            </w14:solidFill>
          </w14:textFill>
        </w:rPr>
        <w:t>GB 50009</w:t>
      </w:r>
      <w:r>
        <w:rPr>
          <w:rFonts w:hint="eastAsia" w:cs="Times New Roman"/>
          <w:color w:val="000000" w:themeColor="text1"/>
          <w:szCs w:val="21"/>
          <w14:textFill>
            <w14:solidFill>
              <w14:schemeClr w14:val="tx1"/>
            </w14:solidFill>
          </w14:textFill>
        </w:rPr>
        <w:t>规定的数值；</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既有钢结构材料强度应根据实测值确定。当材料性能符合原设计要求时，可按原设计的规定取值；设计时应考虑既有钢结构实际几何尺寸差异、截面锈蚀、连接构造偏差和已有缺陷的影响。当尺寸、构造和质量符合原设计要求时，可按原设计的规定取值；</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应考虑既有钢结构承载历史和施工卸载程度对构件两次受力的影响，对后浇混凝土及相应配置</w:t>
      </w:r>
      <w:r>
        <w:rPr>
          <w:rFonts w:hint="eastAsia" w:cs="Times New Roman"/>
          <w:color w:val="000000" w:themeColor="text1"/>
          <w:szCs w:val="21"/>
          <w14:textFill>
            <w14:solidFill>
              <w14:schemeClr w14:val="tx1"/>
            </w14:solidFill>
          </w14:textFill>
        </w:rPr>
        <w:t>的钢筋需考虑应变滞后对材料极限强度的折减，对原钢结构部分应考虑应力超前的影响。</w:t>
      </w:r>
    </w:p>
    <w:p>
      <w:pPr>
        <w:tabs>
          <w:tab w:val="left" w:pos="567"/>
        </w:tabs>
        <w:spacing w:line="360" w:lineRule="auto"/>
        <w:ind w:left="567" w:hanging="567" w:hangingChars="27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F.0.10 </w:t>
      </w:r>
      <w:r>
        <w:rPr>
          <w:rFonts w:hint="eastAsia" w:cs="Times New Roman"/>
          <w:color w:val="000000" w:themeColor="text1"/>
          <w:szCs w:val="21"/>
          <w14:textFill>
            <w14:solidFill>
              <w14:schemeClr w14:val="tx1"/>
            </w14:solidFill>
          </w14:textFill>
        </w:rPr>
        <w:t>结构抗震计算时的阻尼比</w:t>
      </w:r>
    </w:p>
    <w:p>
      <w:pPr>
        <w:tabs>
          <w:tab w:val="left" w:pos="0"/>
        </w:tabs>
        <w:spacing w:after="156" w:line="360" w:lineRule="auto"/>
        <w:ind w:left="-2" w:leftChars="-1"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ab/>
      </w:r>
      <w:r>
        <w:rPr>
          <w:rFonts w:cs="Times New Roman"/>
          <w:color w:val="000000" w:themeColor="text1"/>
          <w:szCs w:val="21"/>
          <w14:textFill>
            <w14:solidFill>
              <w14:schemeClr w14:val="tx1"/>
            </w14:solidFill>
          </w14:textFill>
        </w:rPr>
        <w:tab/>
      </w:r>
      <w:r>
        <w:rPr>
          <w:rFonts w:hint="eastAsia" w:cs="Times New Roman"/>
          <w:color w:val="000000" w:themeColor="text1"/>
          <w:szCs w:val="21"/>
          <w14:textFill>
            <w14:solidFill>
              <w14:schemeClr w14:val="tx1"/>
            </w14:solidFill>
          </w14:textFill>
        </w:rPr>
        <w:t>框架结构采用部分包覆钢</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混凝土组合柱与组合梁时，多遇地震作用下的阻尼比可取为</w:t>
      </w:r>
      <w:r>
        <w:rPr>
          <w:rFonts w:cs="Times New Roman"/>
          <w:color w:val="000000" w:themeColor="text1"/>
          <w:szCs w:val="21"/>
          <w14:textFill>
            <w14:solidFill>
              <w14:schemeClr w14:val="tx1"/>
            </w14:solidFill>
          </w14:textFill>
        </w:rPr>
        <w:t>0.04</w:t>
      </w:r>
      <w:r>
        <w:rPr>
          <w:rFonts w:hint="eastAsia" w:cs="Times New Roman"/>
          <w:color w:val="000000" w:themeColor="text1"/>
          <w:szCs w:val="21"/>
          <w14:textFill>
            <w14:solidFill>
              <w14:schemeClr w14:val="tx1"/>
            </w14:solidFill>
          </w14:textFill>
        </w:rPr>
        <w:t>，在罕遇地震作用下的阻尼比可取</w:t>
      </w:r>
      <w:r>
        <w:rPr>
          <w:rFonts w:cs="Times New Roman"/>
          <w:color w:val="000000" w:themeColor="text1"/>
          <w:szCs w:val="21"/>
          <w14:textFill>
            <w14:solidFill>
              <w14:schemeClr w14:val="tx1"/>
            </w14:solidFill>
          </w14:textFill>
        </w:rPr>
        <w:t>0.05</w:t>
      </w:r>
      <w:r>
        <w:rPr>
          <w:rFonts w:hint="eastAsia" w:cs="Times New Roman"/>
          <w:color w:val="000000" w:themeColor="text1"/>
          <w:szCs w:val="21"/>
          <w14:textFill>
            <w14:solidFill>
              <w14:schemeClr w14:val="tx1"/>
            </w14:solidFill>
          </w14:textFill>
        </w:rPr>
        <w:t>。</w:t>
      </w:r>
    </w:p>
    <w:p>
      <w:pPr>
        <w:spacing w:line="300" w:lineRule="auto"/>
        <w:ind w:firstLine="420"/>
        <w:rPr>
          <w:color w:val="000000" w:themeColor="text1"/>
          <w:szCs w:val="21"/>
          <w14:textFill>
            <w14:solidFill>
              <w14:schemeClr w14:val="tx1"/>
            </w14:solidFill>
          </w14:textFill>
        </w:rPr>
      </w:pPr>
    </w:p>
    <w:p>
      <w:pPr>
        <w:spacing w:line="300" w:lineRule="auto"/>
        <w:ind w:firstLine="420"/>
        <w:rPr>
          <w:color w:val="000000" w:themeColor="text1"/>
          <w:szCs w:val="21"/>
          <w14:textFill>
            <w14:solidFill>
              <w14:schemeClr w14:val="tx1"/>
            </w14:solidFill>
          </w14:textFill>
        </w:rPr>
      </w:pPr>
    </w:p>
    <w:p>
      <w:pPr>
        <w:spacing w:line="300" w:lineRule="auto"/>
        <w:ind w:firstLine="420"/>
        <w:rPr>
          <w:color w:val="000000" w:themeColor="text1"/>
          <w:szCs w:val="21"/>
          <w14:textFill>
            <w14:solidFill>
              <w14:schemeClr w14:val="tx1"/>
            </w14:solidFill>
          </w14:textFill>
        </w:rPr>
      </w:pPr>
    </w:p>
    <w:p>
      <w:pPr>
        <w:spacing w:line="300" w:lineRule="auto"/>
        <w:ind w:firstLine="420"/>
        <w:rPr>
          <w:color w:val="000000" w:themeColor="text1"/>
          <w:szCs w:val="21"/>
          <w14:textFill>
            <w14:solidFill>
              <w14:schemeClr w14:val="tx1"/>
            </w14:solidFill>
          </w14:textFill>
        </w:rPr>
      </w:pPr>
    </w:p>
    <w:p>
      <w:pPr>
        <w:spacing w:line="300" w:lineRule="auto"/>
        <w:ind w:firstLine="420"/>
        <w:rPr>
          <w:color w:val="000000" w:themeColor="text1"/>
          <w:szCs w:val="21"/>
          <w14:textFill>
            <w14:solidFill>
              <w14:schemeClr w14:val="tx1"/>
            </w14:solidFill>
          </w14:textFill>
        </w:rPr>
      </w:pPr>
    </w:p>
    <w:p>
      <w:pPr>
        <w:spacing w:line="300" w:lineRule="auto"/>
        <w:ind w:firstLine="420"/>
        <w:rPr>
          <w:color w:val="000000" w:themeColor="text1"/>
          <w:szCs w:val="21"/>
          <w14:textFill>
            <w14:solidFill>
              <w14:schemeClr w14:val="tx1"/>
            </w14:solidFill>
          </w14:textFill>
        </w:rPr>
      </w:pPr>
    </w:p>
    <w:p>
      <w:pPr>
        <w:widowControl/>
        <w:adjustRightInd/>
        <w:snapToGrid/>
        <w:ind w:firstLine="0" w:firstLineChars="0"/>
        <w:jc w:val="left"/>
        <w:rPr>
          <w:rFonts w:hAnsi="Times"/>
          <w:color w:val="000000" w:themeColor="text1"/>
          <w14:textFill>
            <w14:solidFill>
              <w14:schemeClr w14:val="tx1"/>
            </w14:solidFill>
          </w14:textFill>
        </w:rPr>
      </w:pPr>
      <w:r>
        <w:rPr>
          <w:rFonts w:hint="eastAsia" w:hAnsi="Times" w:eastAsia="黑体" w:cs="Times New Roman"/>
          <w:color w:val="000000" w:themeColor="text1"/>
          <w:szCs w:val="21"/>
          <w:lang w:val="zh-CN"/>
          <w14:textFill>
            <w14:solidFill>
              <w14:schemeClr w14:val="tx1"/>
            </w14:solidFill>
          </w14:textFill>
        </w:rPr>
        <w:t xml:space="preserve"> </w:t>
      </w:r>
    </w:p>
    <w:p>
      <w:pPr>
        <w:widowControl/>
        <w:adjustRightInd/>
        <w:snapToGrid/>
        <w:ind w:firstLine="0" w:firstLineChars="0"/>
        <w:jc w:val="left"/>
        <w:rPr>
          <w:rFonts w:hAnsi="Times"/>
          <w:color w:val="000000" w:themeColor="text1"/>
          <w14:textFill>
            <w14:solidFill>
              <w14:schemeClr w14:val="tx1"/>
            </w14:solidFill>
          </w14:textFill>
        </w:rPr>
      </w:pPr>
    </w:p>
    <w:p>
      <w:pPr>
        <w:widowControl/>
        <w:adjustRightInd/>
        <w:snapToGrid/>
        <w:ind w:firstLine="0" w:firstLineChars="0"/>
        <w:jc w:val="left"/>
        <w:rPr>
          <w:rFonts w:hAnsi="Times"/>
          <w:color w:val="000000" w:themeColor="text1"/>
          <w14:textFill>
            <w14:solidFill>
              <w14:schemeClr w14:val="tx1"/>
            </w14:solidFill>
          </w14:textFill>
        </w:rPr>
      </w:pPr>
    </w:p>
    <w:p>
      <w:pPr>
        <w:widowControl/>
        <w:adjustRightInd/>
        <w:snapToGrid/>
        <w:ind w:firstLine="0" w:firstLineChars="0"/>
        <w:jc w:val="left"/>
        <w:rPr>
          <w:rFonts w:hAnsi="Times"/>
          <w:color w:val="000000" w:themeColor="text1"/>
          <w14:textFill>
            <w14:solidFill>
              <w14:schemeClr w14:val="tx1"/>
            </w14:solidFill>
          </w14:textFill>
        </w:rPr>
      </w:pPr>
    </w:p>
    <w:p>
      <w:pPr>
        <w:widowControl/>
        <w:adjustRightInd/>
        <w:snapToGrid/>
        <w:ind w:firstLine="0" w:firstLineChars="0"/>
        <w:jc w:val="left"/>
        <w:rPr>
          <w:rFonts w:hAnsi="Times"/>
          <w:color w:val="000000" w:themeColor="text1"/>
          <w14:textFill>
            <w14:solidFill>
              <w14:schemeClr w14:val="tx1"/>
            </w14:solidFill>
          </w14:textFill>
        </w:rPr>
      </w:pPr>
    </w:p>
    <w:p>
      <w:pPr>
        <w:widowControl/>
        <w:adjustRightInd/>
        <w:snapToGrid/>
        <w:ind w:firstLine="0" w:firstLineChars="0"/>
        <w:jc w:val="left"/>
        <w:rPr>
          <w:rFonts w:hAnsi="Times"/>
          <w:color w:val="000000" w:themeColor="text1"/>
          <w14:textFill>
            <w14:solidFill>
              <w14:schemeClr w14:val="tx1"/>
            </w14:solidFill>
          </w14:textFill>
        </w:rPr>
      </w:pPr>
    </w:p>
    <w:p>
      <w:pPr>
        <w:widowControl/>
        <w:adjustRightInd/>
        <w:snapToGrid/>
        <w:ind w:firstLine="0" w:firstLineChars="0"/>
        <w:jc w:val="left"/>
        <w:rPr>
          <w:b/>
          <w:color w:val="000000" w:themeColor="text1"/>
          <w:sz w:val="30"/>
          <w14:textFill>
            <w14:solidFill>
              <w14:schemeClr w14:val="tx1"/>
            </w14:solidFill>
          </w14:textFill>
        </w:rPr>
      </w:pPr>
      <w:r>
        <w:rPr>
          <w:color w:val="000000" w:themeColor="text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53" w:name="_Toc48841071"/>
      <w:r>
        <w:rPr>
          <w:rFonts w:hint="eastAsia"/>
          <w:color w:val="000000" w:themeColor="text1"/>
          <w14:textFill>
            <w14:solidFill>
              <w14:schemeClr w14:val="tx1"/>
            </w14:solidFill>
          </w14:textFill>
        </w:rPr>
        <w:t>附录G 隔震和消能减震结构</w:t>
      </w:r>
      <w:bookmarkEnd w:id="253"/>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G.1  一般规定</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G.1.1  本附录适用于钢筋混凝土结构和钢结构的隔震和消能减震设计。</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G.1.2  隔震在工业建筑中的应用范围为：建筑结构主体隔震、屋盖隔震、工业设备隔震。</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G.1.3  消能减震在工业建筑中的应用范围为：建筑结构主体的消能减震设计，工业设备减震（与隔震组合使用）。</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G.1.4  主体结构采用隔震设计时应符合下列各项要求：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结构高宽比宜小于4，且不应大于相关规范规程对非隔震结构的具体规定，其变形特征接近剪切变形；高宽比大于4的结构采用隔震设计时，应进行专门研究。</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建筑场地宜为I、II、III类，并应选用稳定性较好的基础类型。</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风荷载和其他非地震作用的水平荷载标准值产生的总水平力不宜超过结构总重力的10%。</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隔震层应提供必要的竖向承载力、侧向刚度和阻尼；穿过隔震层的设备配管、配线，应采用柔性连接或其他有效措施以适应隔震层的罕遇地震水平位移。</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G.1.5  隔震和消能减震设计时，隔震装置和消能部件应符合下列要求：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隔震装置和消能部件的性能参数应经试验确定。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隔震装置和消能部件的设置部位，应采取便于检查和替换的措施。</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设计文件上应注明对隔震装置和消能部件的性能要求，安装前应按规定进行检测，确保性能符合要求。</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G.1.6  结构的隔震设计和消能减震设计，尚应符合相关专门标准的规定；也可按抗震性能目标的要求进行性能化设计。</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G.2  主体隔震</w:t>
      </w:r>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p>
    <w:p>
      <w:pPr>
        <w:adjustRightInd/>
        <w:snapToGrid/>
        <w:spacing w:line="300" w:lineRule="auto"/>
        <w:ind w:firstLine="0" w:firstLineChars="0"/>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G.2.1  </w:t>
      </w:r>
      <w:r>
        <w:rPr>
          <w:rFonts w:hint="eastAsia" w:ascii="宋体" w:hAnsi="宋体" w:cs="Times New Roman"/>
          <w:color w:val="000000" w:themeColor="text1"/>
          <w:kern w:val="0"/>
          <w:szCs w:val="21"/>
          <w14:textFill>
            <w14:solidFill>
              <w14:schemeClr w14:val="tx1"/>
            </w14:solidFill>
          </w14:textFill>
        </w:rPr>
        <w:t>本章适用于多高层钢筋混凝土结构、钢结构和钢-混凝土混合结构的隔震设计</w:t>
      </w:r>
      <w:r>
        <w:rPr>
          <w:rFonts w:hint="eastAsia" w:ascii="宋体" w:hAnsi="宋体" w:cs="Times New Roman"/>
          <w:color w:val="000000" w:themeColor="text1"/>
          <w:szCs w:val="21"/>
          <w:shd w:val="clear" w:color="auto" w:fill="FFFFFF"/>
          <w14:textFill>
            <w14:solidFill>
              <w14:schemeClr w14:val="tx1"/>
            </w14:solidFill>
          </w14:textFill>
        </w:rPr>
        <w:t>，</w:t>
      </w:r>
      <w:r>
        <w:rPr>
          <w:rFonts w:hint="eastAsia" w:ascii="宋体" w:hAnsi="宋体" w:cs="Times New Roman"/>
          <w:color w:val="000000" w:themeColor="text1"/>
          <w:szCs w:val="21"/>
          <w14:textFill>
            <w14:solidFill>
              <w14:schemeClr w14:val="tx1"/>
            </w14:solidFill>
          </w14:textFill>
        </w:rPr>
        <w:t>主体结构中的隔震支座宜采用橡胶隔震支座和摩擦摆隔震支座。</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G.2.2  隔震层的布置，应符合下列要求：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隔震层宜设置在结构的底部或中下部，其隔震支座应设置在受力较大的位置，隔震支座的规格、数量和分布应根据竖向承载力、侧向刚度和阻尼的要求由计算确定。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隔震层刚度中心与质量中心宜重合，偏心率宜小于3%。</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隔震支座的平面布置宜与上部结构和下部结构中竖向受力构件的平面位置相对应，否则，应采用可靠的结构转换措施。</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隔震支座底面宜布置在相同标高位置上；当隔震层的隔震装置处于不同标高时，应采取有效措施保证隔震装置共同工作；在罕遇地震作用下，不同标高的相邻隔震层的层间剪切位移角不应大于1/1000。</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 同一支承处采用多个隔震支座时，隔震支座之间的净距不应小于安装和更换所需的空间尺寸。</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6 隔震层的阻尼装置或抗风装置应在建筑中合理布置。</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G.2.3  隔震层的橡胶隔震支座的压应力和水平位移，应符合下列要求：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橡胶隔震支座在重力荷载代表值作用下的竖向压应力设计值，不应超过表G2.3-1的规定。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橡胶隔震支座在表G2.3-1所列的压应力下的设计极限水平位移，不应大于其有效直径的0.55倍和支座内部橡胶总厚度3.0倍二者的较小值；支座的破坏极限水平位移不应小于支座内部橡胶总厚度4.0倍。在罕遇地震下，若有必要，宜采用限位措施。</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在经历相应设计基准期的耐久性试验后，橡胶隔震支座刚度、阻尼特性变化不应超过初期值的±20％；徐变量不应超过支座内部橡胶总厚度的5%。</w:t>
      </w:r>
    </w:p>
    <w:p>
      <w:pPr>
        <w:spacing w:line="300" w:lineRule="auto"/>
        <w:ind w:firstLine="415" w:firstLineChars="198"/>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表G2.3-1 橡胶隔震支座在重力荷载代表值下的压应力限值</w:t>
      </w:r>
    </w:p>
    <w:tbl>
      <w:tblPr>
        <w:tblStyle w:val="32"/>
        <w:tblW w:w="83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65"/>
        <w:gridCol w:w="1987"/>
        <w:gridCol w:w="1987"/>
        <w:gridCol w:w="1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36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建筑类别</w:t>
            </w:r>
          </w:p>
        </w:tc>
        <w:tc>
          <w:tcPr>
            <w:tcW w:w="1987" w:type="dxa"/>
            <w:tcBorders>
              <w:top w:val="single" w:color="000000" w:sz="4" w:space="0"/>
              <w:left w:val="nil"/>
              <w:bottom w:val="single" w:color="000000" w:sz="4" w:space="0"/>
              <w:right w:val="single" w:color="000000" w:sz="4" w:space="0"/>
            </w:tcBorders>
            <w:vAlign w:val="center"/>
          </w:tcPr>
          <w:p>
            <w:pPr>
              <w:autoSpaceDE w:val="0"/>
              <w:autoSpaceDN w:val="0"/>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甲类建筑</w:t>
            </w:r>
          </w:p>
        </w:tc>
        <w:tc>
          <w:tcPr>
            <w:tcW w:w="1987" w:type="dxa"/>
            <w:tcBorders>
              <w:top w:val="single" w:color="000000" w:sz="4" w:space="0"/>
              <w:left w:val="nil"/>
              <w:bottom w:val="single" w:color="000000" w:sz="4" w:space="0"/>
              <w:right w:val="single" w:color="000000" w:sz="4" w:space="0"/>
            </w:tcBorders>
            <w:vAlign w:val="center"/>
          </w:tcPr>
          <w:p>
            <w:pPr>
              <w:autoSpaceDE w:val="0"/>
              <w:autoSpaceDN w:val="0"/>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乙类建筑</w:t>
            </w:r>
          </w:p>
        </w:tc>
        <w:tc>
          <w:tcPr>
            <w:tcW w:w="1986" w:type="dxa"/>
            <w:tcBorders>
              <w:top w:val="single" w:color="000000" w:sz="4" w:space="0"/>
              <w:left w:val="nil"/>
              <w:bottom w:val="single" w:color="000000" w:sz="4" w:space="0"/>
              <w:right w:val="single" w:color="000000" w:sz="4" w:space="0"/>
            </w:tcBorders>
            <w:vAlign w:val="center"/>
          </w:tcPr>
          <w:p>
            <w:pPr>
              <w:autoSpaceDE w:val="0"/>
              <w:autoSpaceDN w:val="0"/>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丙类建筑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36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压应力限值(MPa)</w:t>
            </w:r>
          </w:p>
        </w:tc>
        <w:tc>
          <w:tcPr>
            <w:tcW w:w="1987" w:type="dxa"/>
            <w:tcBorders>
              <w:top w:val="single" w:color="000000" w:sz="4" w:space="0"/>
              <w:left w:val="nil"/>
              <w:bottom w:val="single" w:color="000000" w:sz="4" w:space="0"/>
              <w:right w:val="single" w:color="000000" w:sz="4" w:space="0"/>
            </w:tcBorders>
            <w:vAlign w:val="center"/>
          </w:tcPr>
          <w:p>
            <w:pPr>
              <w:autoSpaceDE w:val="0"/>
              <w:autoSpaceDN w:val="0"/>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10</w:t>
            </w:r>
          </w:p>
        </w:tc>
        <w:tc>
          <w:tcPr>
            <w:tcW w:w="1987" w:type="dxa"/>
            <w:tcBorders>
              <w:top w:val="single" w:color="000000" w:sz="4" w:space="0"/>
              <w:left w:val="nil"/>
              <w:bottom w:val="single" w:color="000000" w:sz="4" w:space="0"/>
              <w:right w:val="single" w:color="000000" w:sz="4" w:space="0"/>
            </w:tcBorders>
            <w:vAlign w:val="center"/>
          </w:tcPr>
          <w:p>
            <w:pPr>
              <w:autoSpaceDE w:val="0"/>
              <w:autoSpaceDN w:val="0"/>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w:t>
            </w:r>
          </w:p>
        </w:tc>
        <w:tc>
          <w:tcPr>
            <w:tcW w:w="1986" w:type="dxa"/>
            <w:tcBorders>
              <w:top w:val="single" w:color="000000" w:sz="4" w:space="0"/>
              <w:left w:val="nil"/>
              <w:bottom w:val="single" w:color="000000" w:sz="4" w:space="0"/>
              <w:right w:val="single" w:color="000000" w:sz="4" w:space="0"/>
            </w:tcBorders>
            <w:vAlign w:val="center"/>
          </w:tcPr>
          <w:p>
            <w:pPr>
              <w:autoSpaceDE w:val="0"/>
              <w:autoSpaceDN w:val="0"/>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15</w:t>
            </w:r>
          </w:p>
        </w:tc>
      </w:tr>
    </w:tbl>
    <w:p>
      <w:pPr>
        <w:adjustRightInd/>
        <w:spacing w:line="300" w:lineRule="auto"/>
        <w:ind w:left="960" w:leftChars="200" w:hanging="540" w:hangingChars="300"/>
        <w:rPr>
          <w:rFonts w:ascii="宋体" w:hAnsi="宋体" w:cs="Times New Roman"/>
          <w:color w:val="000000" w:themeColor="text1"/>
          <w:kern w:val="0"/>
          <w:sz w:val="18"/>
          <w:szCs w:val="18"/>
          <w14:textFill>
            <w14:solidFill>
              <w14:schemeClr w14:val="tx1"/>
            </w14:solidFill>
          </w14:textFill>
        </w:rPr>
      </w:pPr>
      <w:r>
        <w:rPr>
          <w:rFonts w:hint="eastAsia" w:ascii="宋体" w:hAnsi="宋体" w:cs="Times New Roman"/>
          <w:color w:val="000000" w:themeColor="text1"/>
          <w:kern w:val="0"/>
          <w:sz w:val="18"/>
          <w:szCs w:val="18"/>
          <w14:textFill>
            <w14:solidFill>
              <w14:schemeClr w14:val="tx1"/>
            </w14:solidFill>
          </w14:textFill>
        </w:rPr>
        <w:t>注：1 竖向压应力设计值应按永久荷载和可变荷载的组合计算，楼面活荷载应按《建筑结构荷载规范》GB 50009的规定乘以折减系数；</w:t>
      </w:r>
    </w:p>
    <w:p>
      <w:pPr>
        <w:adjustRightInd/>
        <w:spacing w:line="300" w:lineRule="auto"/>
        <w:ind w:firstLine="720" w:firstLineChars="400"/>
        <w:rPr>
          <w:rFonts w:ascii="宋体" w:hAnsi="宋体" w:cs="Times New Roman"/>
          <w:color w:val="000000" w:themeColor="text1"/>
          <w:kern w:val="0"/>
          <w:sz w:val="18"/>
          <w:szCs w:val="18"/>
          <w14:textFill>
            <w14:solidFill>
              <w14:schemeClr w14:val="tx1"/>
            </w14:solidFill>
          </w14:textFill>
        </w:rPr>
      </w:pPr>
      <w:r>
        <w:rPr>
          <w:rFonts w:hint="eastAsia" w:ascii="宋体" w:hAnsi="宋体" w:cs="Times New Roman"/>
          <w:color w:val="000000" w:themeColor="text1"/>
          <w:kern w:val="0"/>
          <w:sz w:val="18"/>
          <w:szCs w:val="18"/>
          <w14:textFill>
            <w14:solidFill>
              <w14:schemeClr w14:val="tx1"/>
            </w14:solidFill>
          </w14:textFill>
        </w:rPr>
        <w:t>2 当橡胶隔震支座的第二形状系数(有效直径与橡胶层总厚度之比)小于5.0时，应降低平均压应力限值；小于5.0不小于4.0时降低20%，小于4不小于3时降低40%；</w:t>
      </w:r>
    </w:p>
    <w:p>
      <w:pPr>
        <w:adjustRightInd/>
        <w:spacing w:line="300" w:lineRule="auto"/>
        <w:ind w:left="420" w:firstLine="360"/>
        <w:rPr>
          <w:rFonts w:ascii="宋体" w:hAnsi="宋体" w:cs="Times New Roman"/>
          <w:color w:val="000000" w:themeColor="text1"/>
          <w:kern w:val="0"/>
          <w:sz w:val="18"/>
          <w:szCs w:val="18"/>
          <w14:textFill>
            <w14:solidFill>
              <w14:schemeClr w14:val="tx1"/>
            </w14:solidFill>
          </w14:textFill>
        </w:rPr>
      </w:pPr>
      <w:r>
        <w:rPr>
          <w:rFonts w:hint="eastAsia" w:ascii="宋体" w:hAnsi="宋体" w:cs="Times New Roman"/>
          <w:color w:val="000000" w:themeColor="text1"/>
          <w:kern w:val="0"/>
          <w:sz w:val="18"/>
          <w:szCs w:val="18"/>
          <w14:textFill>
            <w14:solidFill>
              <w14:schemeClr w14:val="tx1"/>
            </w14:solidFill>
          </w14:textFill>
        </w:rPr>
        <w:t>3 外径小于300mm的橡胶隔震支座，乙类和丙类建筑的压应力限值为10MPa。</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隔震层的橡胶隔震支座在罕遇地震作用下的最大竖向压应力，不应超过表G2.3-2所规定的限值；</w:t>
      </w:r>
    </w:p>
    <w:p>
      <w:pPr>
        <w:spacing w:before="156" w:beforeLines="50" w:line="300" w:lineRule="auto"/>
        <w:ind w:firstLine="0" w:firstLineChars="0"/>
        <w:jc w:val="center"/>
        <w:rPr>
          <w:rFonts w:ascii="宋体" w:hAnsi="宋体" w:cs="Times New Roman"/>
          <w:b/>
          <w:bCs/>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表G2.3-2 橡胶隔震支座在罕遇地震下的压应力限值</w:t>
      </w:r>
    </w:p>
    <w:tbl>
      <w:tblPr>
        <w:tblStyle w:val="32"/>
        <w:tblW w:w="8325" w:type="dxa"/>
        <w:jc w:val="center"/>
        <w:tblLayout w:type="fixed"/>
        <w:tblCellMar>
          <w:top w:w="0" w:type="dxa"/>
          <w:left w:w="108" w:type="dxa"/>
          <w:bottom w:w="0" w:type="dxa"/>
          <w:right w:w="108" w:type="dxa"/>
        </w:tblCellMar>
      </w:tblPr>
      <w:tblGrid>
        <w:gridCol w:w="2397"/>
        <w:gridCol w:w="1976"/>
        <w:gridCol w:w="1976"/>
        <w:gridCol w:w="1976"/>
      </w:tblGrid>
      <w:tr>
        <w:tblPrEx>
          <w:tblCellMar>
            <w:top w:w="0" w:type="dxa"/>
            <w:left w:w="108" w:type="dxa"/>
            <w:bottom w:w="0" w:type="dxa"/>
            <w:right w:w="108" w:type="dxa"/>
          </w:tblCellMar>
        </w:tblPrEx>
        <w:trPr>
          <w:trHeight w:val="340" w:hRule="atLeast"/>
          <w:jc w:val="center"/>
        </w:trPr>
        <w:tc>
          <w:tcPr>
            <w:tcW w:w="2397"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建筑类别</w:t>
            </w:r>
          </w:p>
        </w:tc>
        <w:tc>
          <w:tcPr>
            <w:tcW w:w="1976" w:type="dxa"/>
            <w:tcBorders>
              <w:top w:val="single" w:color="auto" w:sz="4"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甲类建筑</w:t>
            </w:r>
          </w:p>
        </w:tc>
        <w:tc>
          <w:tcPr>
            <w:tcW w:w="1976" w:type="dxa"/>
            <w:tcBorders>
              <w:top w:val="single" w:color="auto" w:sz="4"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乙类建筑</w:t>
            </w:r>
          </w:p>
        </w:tc>
        <w:tc>
          <w:tcPr>
            <w:tcW w:w="1976" w:type="dxa"/>
            <w:tcBorders>
              <w:top w:val="single" w:color="auto" w:sz="4"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丙类建筑</w:t>
            </w:r>
          </w:p>
        </w:tc>
      </w:tr>
      <w:tr>
        <w:tblPrEx>
          <w:tblCellMar>
            <w:top w:w="0" w:type="dxa"/>
            <w:left w:w="108" w:type="dxa"/>
            <w:bottom w:w="0" w:type="dxa"/>
            <w:right w:w="108" w:type="dxa"/>
          </w:tblCellMar>
        </w:tblPrEx>
        <w:trPr>
          <w:trHeight w:val="340" w:hRule="atLeast"/>
          <w:jc w:val="center"/>
        </w:trPr>
        <w:tc>
          <w:tcPr>
            <w:tcW w:w="2397" w:type="dxa"/>
            <w:tcBorders>
              <w:top w:val="single" w:color="auto" w:sz="4" w:space="0"/>
              <w:left w:val="single" w:color="auto" w:sz="4" w:space="0"/>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压应力限值（MPa）</w:t>
            </w:r>
          </w:p>
        </w:tc>
        <w:tc>
          <w:tcPr>
            <w:tcW w:w="1976" w:type="dxa"/>
            <w:tcBorders>
              <w:top w:val="single" w:color="auto" w:sz="4"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20</w:t>
            </w:r>
          </w:p>
        </w:tc>
        <w:tc>
          <w:tcPr>
            <w:tcW w:w="1976" w:type="dxa"/>
            <w:tcBorders>
              <w:top w:val="single" w:color="auto" w:sz="4"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25</w:t>
            </w:r>
          </w:p>
        </w:tc>
        <w:tc>
          <w:tcPr>
            <w:tcW w:w="1976" w:type="dxa"/>
            <w:tcBorders>
              <w:top w:val="single" w:color="auto" w:sz="4"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30</w:t>
            </w:r>
          </w:p>
        </w:tc>
      </w:tr>
    </w:tbl>
    <w:p>
      <w:pPr>
        <w:spacing w:before="156" w:beforeLines="50" w:line="300" w:lineRule="auto"/>
        <w:ind w:firstLine="360"/>
        <w:rPr>
          <w:rFonts w:ascii="宋体" w:hAnsi="宋体" w:cs="Times New Roman"/>
          <w:b/>
          <w:bCs/>
          <w:color w:val="000000" w:themeColor="text1"/>
          <w:kern w:val="0"/>
          <w:sz w:val="18"/>
          <w:szCs w:val="18"/>
          <w14:textFill>
            <w14:solidFill>
              <w14:schemeClr w14:val="tx1"/>
            </w14:solidFill>
          </w14:textFill>
        </w:rPr>
      </w:pPr>
      <w:r>
        <w:rPr>
          <w:rFonts w:ascii="宋体" w:hAnsi="宋体" w:cs="Times New Roman"/>
          <w:color w:val="000000" w:themeColor="text1"/>
          <w:sz w:val="18"/>
          <w:szCs w:val="18"/>
          <w14:textFill>
            <w14:solidFill>
              <w14:schemeClr w14:val="tx1"/>
            </w14:solidFill>
          </w14:textFill>
        </w:rPr>
        <w:t xml:space="preserve"> 注：1 </w:t>
      </w:r>
      <w:r>
        <w:rPr>
          <w:rFonts w:hint="eastAsia" w:ascii="宋体" w:hAnsi="宋体" w:cs="Times New Roman"/>
          <w:color w:val="000000" w:themeColor="text1"/>
          <w:kern w:val="0"/>
          <w:sz w:val="18"/>
          <w:szCs w:val="18"/>
          <w14:textFill>
            <w14:solidFill>
              <w14:schemeClr w14:val="tx1"/>
            </w14:solidFill>
          </w14:textFill>
        </w:rPr>
        <w:t>橡胶隔震支座的直径小于300mm时其压应力限值可适当降低。</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 橡胶隔震支座在罕遇地震下不宜出现竖向拉应力，当不可避免受拉时，其竖向拉应力不应超过表G2.3-3所规定限值。出现拉应力的支座数量不宜超过支座总数的30%.</w:t>
      </w:r>
    </w:p>
    <w:p>
      <w:pPr>
        <w:spacing w:before="156" w:beforeLines="50"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表G2.3-3 橡胶隔震支座在罕遇地震下的拉应力限值</w:t>
      </w:r>
    </w:p>
    <w:tbl>
      <w:tblPr>
        <w:tblStyle w:val="32"/>
        <w:tblW w:w="8325" w:type="dxa"/>
        <w:jc w:val="center"/>
        <w:tblLayout w:type="fixed"/>
        <w:tblCellMar>
          <w:top w:w="0" w:type="dxa"/>
          <w:left w:w="108" w:type="dxa"/>
          <w:bottom w:w="0" w:type="dxa"/>
          <w:right w:w="108" w:type="dxa"/>
        </w:tblCellMar>
      </w:tblPr>
      <w:tblGrid>
        <w:gridCol w:w="2397"/>
        <w:gridCol w:w="1976"/>
        <w:gridCol w:w="1976"/>
        <w:gridCol w:w="1976"/>
      </w:tblGrid>
      <w:tr>
        <w:tblPrEx>
          <w:tblCellMar>
            <w:top w:w="0" w:type="dxa"/>
            <w:left w:w="108" w:type="dxa"/>
            <w:bottom w:w="0" w:type="dxa"/>
            <w:right w:w="108" w:type="dxa"/>
          </w:tblCellMar>
        </w:tblPrEx>
        <w:trPr>
          <w:trHeight w:val="340" w:hRule="atLeast"/>
          <w:jc w:val="center"/>
        </w:trPr>
        <w:tc>
          <w:tcPr>
            <w:tcW w:w="2397" w:type="dxa"/>
            <w:tcBorders>
              <w:top w:val="single" w:color="auto" w:sz="8" w:space="0"/>
              <w:left w:val="single" w:color="auto" w:sz="8" w:space="0"/>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建筑类别</w:t>
            </w:r>
          </w:p>
        </w:tc>
        <w:tc>
          <w:tcPr>
            <w:tcW w:w="1976" w:type="dxa"/>
            <w:tcBorders>
              <w:top w:val="single" w:color="auto" w:sz="8"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甲类建筑</w:t>
            </w:r>
          </w:p>
        </w:tc>
        <w:tc>
          <w:tcPr>
            <w:tcW w:w="1976" w:type="dxa"/>
            <w:tcBorders>
              <w:top w:val="single" w:color="auto" w:sz="8"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乙类建筑</w:t>
            </w:r>
          </w:p>
        </w:tc>
        <w:tc>
          <w:tcPr>
            <w:tcW w:w="1976" w:type="dxa"/>
            <w:tcBorders>
              <w:top w:val="single" w:color="auto" w:sz="8" w:space="0"/>
              <w:left w:val="nil"/>
              <w:bottom w:val="single" w:color="auto" w:sz="4" w:space="0"/>
              <w:right w:val="single" w:color="auto" w:sz="8"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丙类建筑</w:t>
            </w:r>
          </w:p>
        </w:tc>
      </w:tr>
      <w:tr>
        <w:tblPrEx>
          <w:tblCellMar>
            <w:top w:w="0" w:type="dxa"/>
            <w:left w:w="108" w:type="dxa"/>
            <w:bottom w:w="0" w:type="dxa"/>
            <w:right w:w="108" w:type="dxa"/>
          </w:tblCellMar>
        </w:tblPrEx>
        <w:trPr>
          <w:trHeight w:val="340" w:hRule="atLeast"/>
          <w:jc w:val="center"/>
        </w:trPr>
        <w:tc>
          <w:tcPr>
            <w:tcW w:w="2397" w:type="dxa"/>
            <w:tcBorders>
              <w:top w:val="single" w:color="auto" w:sz="4" w:space="0"/>
              <w:left w:val="single" w:color="auto" w:sz="8" w:space="0"/>
              <w:bottom w:val="single" w:color="auto" w:sz="8"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拉应力限值（MPa）</w:t>
            </w:r>
          </w:p>
        </w:tc>
        <w:tc>
          <w:tcPr>
            <w:tcW w:w="1976" w:type="dxa"/>
            <w:tcBorders>
              <w:top w:val="single" w:color="auto" w:sz="4" w:space="0"/>
              <w:left w:val="nil"/>
              <w:bottom w:val="single" w:color="auto" w:sz="8"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0</w:t>
            </w:r>
          </w:p>
        </w:tc>
        <w:tc>
          <w:tcPr>
            <w:tcW w:w="1976" w:type="dxa"/>
            <w:tcBorders>
              <w:top w:val="single" w:color="auto" w:sz="4" w:space="0"/>
              <w:left w:val="nil"/>
              <w:bottom w:val="single" w:color="auto" w:sz="8" w:space="0"/>
              <w:right w:val="single" w:color="auto" w:sz="4"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1.0</w:t>
            </w:r>
          </w:p>
        </w:tc>
        <w:tc>
          <w:tcPr>
            <w:tcW w:w="1976" w:type="dxa"/>
            <w:tcBorders>
              <w:top w:val="single" w:color="auto" w:sz="4" w:space="0"/>
              <w:left w:val="nil"/>
              <w:bottom w:val="single" w:color="auto" w:sz="8" w:space="0"/>
              <w:right w:val="single" w:color="auto" w:sz="8" w:space="0"/>
            </w:tcBorders>
            <w:vAlign w:val="center"/>
          </w:tcPr>
          <w:p>
            <w:pPr>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1.0</w:t>
            </w:r>
          </w:p>
        </w:tc>
      </w:tr>
    </w:tbl>
    <w:p>
      <w:pPr>
        <w:adjustRightInd/>
        <w:spacing w:line="300" w:lineRule="auto"/>
        <w:ind w:left="960" w:leftChars="200" w:hanging="540" w:hangingChars="300"/>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 w:val="18"/>
          <w:szCs w:val="18"/>
          <w14:textFill>
            <w14:solidFill>
              <w14:schemeClr w14:val="tx1"/>
            </w14:solidFill>
          </w14:textFill>
        </w:rPr>
        <w:t>注：1 隔震支座验算罕遇地震作用下最大压应力和最小压应力时，应考虑三向地震作用产生的最不利轴力；其中水平和竖向地震作用产生的应力应取标准值。</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G.2.4  隔震层的摩擦摆隔震支座的压应力和水平位移，应符合下列要求：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摩擦摆隔震支座在重力荷载代表值作用下的竖向压应力应不超过摩擦摆隔震支座的基准竖向承载力。</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摩擦摆隔震支座的设计极限水平位移应不大于摩擦摆隔震支座的水平极限变形能力。</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隔震层的摩擦摆隔震支座在罕遇地震作用下的最大竖向压应力，应不超过摩擦摆隔震支座的极限竖向承载力。</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橡胶隔震支座在罕遇地震下不宜出现上下摩擦面分离的情形；若上下摩擦面分离，分离的距离不应超过2mm。</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G.2.5  隔震的计算分析方法应符合以下规定：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隔震建筑的地震作用，应符合下列规定：</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1）一般情况下，应在建筑结构的不少于两个主轴方向分别计算水平地震作用，各方向的水平地震作用应由该方向抗侧力构件承担。</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2）有斜交抗侧力构件的结构，当相交角度大于15°时，应分别计算各抗侧力构件方向的水平地震作用。</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3）对平面不规则建筑，应计入双向水平地震作用下的扭转影响；其他情况，可采用调整地震作用效应的方法计入扭转影响。</w:t>
      </w:r>
    </w:p>
    <w:p>
      <w:pPr>
        <w:adjustRightInd/>
        <w:spacing w:line="300" w:lineRule="auto"/>
        <w:ind w:firstLine="630" w:firstLineChars="3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）8度和9度时的长悬臂和大跨结构，9度时的高层建筑应计算竖向地震作用。</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隔震结构分析模型，应符合下列规定：</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1）所选取的分析模型应能准确反映结构中构件的实际受力状况。</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2）隔震层上部和下部结构可选多质点系、空间杆系、空间杆－墙板元（壳元）、连续体及其它组合有限元等计算模型。</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3）隔震层的隔震支座和阻尼器应选择能正确反映其特性的计算单元。</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隔震结构地震作用计算，除特殊要求外，可采用下列方法：</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1）房屋高度不超过24米、上部结构以剪切变形为主、质量和刚度沿高度分布比较均匀且隔震支座类型单一的隔震建筑，可采用底部剪力法。</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2）除1款外的隔震结构应采用振型分解反应谱法；对于橡胶支座隔震结构，应根据地震烈度确定隔震层参数，对于摩擦摆隔震结构，应采用迭代计算确定隔震层参数。</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对于高度大于60米，体型不规则，隔震层隔震支座、阻尼装置及其他装置的组合比较复杂的隔震建筑，尚应采用时程分析法进行补充计算。每条时程曲线计算所得结构底部剪力不应小于振型分解反应谱法计算结果的65%，多条时程曲线计算所得结构底部剪力的平均值不应小于振型分解反应谱法计算结果的80%。</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当隔震结构处于发震断层5km以内时，其水平地震作用计算应考虑近场影响，乘以增大系数。对设防烈度8度及以上时，2km以内宜取1.5，2km以外可取不小于1.25；对设防烈度8度以下时，宜取不大于1.25并不低于1.1。</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 根据隔震层中隔震装置及阻尼装置经试验所得滞回曲线，计算对应不同地震烈度作用时的隔震层水平位移值后，求得隔震层的等效刚度、等效阻尼比和隔震结构自振周期等隔震结构的隔震层参数，应符合以下要求：</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1）对容许采用底部剪力法计算并仅采用橡胶隔震支座的建筑隔震结构，隔震层橡胶隔震支座水平剪切位移可按下述取值：设防地震作用时可取100%，罕遇地震作用时可取250%；</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2）1）以外的建筑隔震结构，可按对应不同地震烈度作用时的设计反应谱进行迭代确定。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6 隔震结构采用时程分析方法时，地震动加速度时程曲线的选择合成，应符合下列规定：</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实际强震记录地震动加速度时程曲线，应根据地震环境（烈度和设计地震分组）、场地类别进行归类，并依据相似原则进行选择。人工模拟地震动加速度时程曲线，应满足设计反应谱的基本要求。设计地震加速度峰值按《建筑抗震设计规范》GB50011采用。</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一般情况下，多组时程曲线的平均地震影响系数曲线应与振型分解反应谱所采用的地震影响系数曲线在统计意义上相符。实际强震记录地震动加速度时程曲线在对应于隔震结构主要振型对应周期点附近时，每条实际强震记录对应的反应谱与设计反应谱的谱值最大偏差不超过20%; 所合成的人工模拟加速度时程曲线对应的反应谱与设计反应谱在对应于隔震结构主要振型对应周期点的偏差平均值不宜大于5%，最大偏差不宜大于10%。在人工模拟地震动加速度合成时，宜考虑不同阻尼比对反应谱的影响和天然相位信息的非平稳特征对结构响应的影响。</w:t>
      </w:r>
    </w:p>
    <w:p>
      <w:pPr>
        <w:adjustRightInd/>
        <w:snapToGrid/>
        <w:spacing w:line="300" w:lineRule="auto"/>
        <w:ind w:firstLine="422"/>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7 当采用时程分析法时，计算模型的确定应满足下列条件：</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对甲类、乙类或丙类不规则隔震建筑，隔震体系的计算模型宜考虑结构杆件的空间分布、隔震支座的位置、隔震房屋的质量偏心、在两个水平方向的平移和扭转、隔震层的非线性阻尼特性以及荷载－位移关系特性。</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2）对丙类规则隔震建筑，可采用层间模型。</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在设防地震作用下，隔震房屋上部和下部结构的荷载—位移关系特性可采用线弹性力学模型；隔震层应采用隔震产品试验提供的滞回模型，按非线性阻尼特性以及非线性荷载－位移关系特性进行分析。在罕遇地震作用下，隔震房屋上部和下部结构应采用弹塑性分析模型。</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4）隔震支座单元要能够模拟隔震支座水平非线性和竖向非线性特性；计算分析时，按实际荷载工况顺序依次加载，即采用非线性组合法。</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8 采用时程分析法时，应选用足够数量的实际强震记录加速度时程曲线和人工模拟地震动加速度时程曲线进行输入。宜选取不少于2组人工模拟加速度时程曲线和不少于5组实际强震记录加速度时程曲线。可采用3组实际强震记录加速度时程曲线和2组具有实际强震记录加速度相位信息的人工模拟时程曲线以及2组考虑实际强震记录加速度时程相位统计信息和目标反应谱的人工模拟加速度时程曲线。地震作用取7组加速度时程曲线计算结果的平均值。</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G.2.5  隔震层设计应符合下列要求：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阻尼装置和抗风装置可与隔震支座合为一体，亦可单独设置。必要时可设置限位装置。</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同一建筑隔震层选用多种类型、规格的隔震装置时，每个隔震装置的承载力和水平变形能力应能充分发挥。所有隔震装置的竖向变形应保持基本一致，在重力荷载代表值作用下的竖向变形值与平均变形值的偏差不宜大于30%。</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当隔震层采用隔震支座和阻尼器时，应确保隔震层在地震后基本恢复原位，在罕遇地震作用下其总水平弹性恢复力与总水平摩阻力之比不应小于1.2。</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隔震层的水平刚度和阻尼，应符合下列要求：</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1）隔震层的水平等效刚度和等效阻尼比，可按下列公式计算：</w:t>
      </w:r>
    </w:p>
    <w:p>
      <w:pPr>
        <w:spacing w:line="300" w:lineRule="auto"/>
        <w:ind w:left="1050" w:hanging="420" w:firstLineChars="0"/>
        <w:jc w:val="right"/>
        <w:rPr>
          <w:rFonts w:ascii="宋体" w:hAnsi="宋体" w:cs="Times New Roman"/>
          <w:color w:val="000000" w:themeColor="text1"/>
          <w:szCs w:val="21"/>
          <w14:textFill>
            <w14:solidFill>
              <w14:schemeClr w14:val="tx1"/>
            </w14:solidFill>
          </w14:textFill>
        </w:rPr>
      </w:pPr>
      <w:r>
        <w:rPr>
          <w:rFonts w:ascii="宋体" w:hAnsi="Courier New" w:cs="Times New Roman"/>
          <w:color w:val="000000" w:themeColor="text1"/>
          <w:szCs w:val="21"/>
          <w14:textFill>
            <w14:solidFill>
              <w14:schemeClr w14:val="tx1"/>
            </w14:solidFill>
          </w14:textFill>
        </w:rPr>
        <w:drawing>
          <wp:inline distT="0" distB="0" distL="0" distR="0">
            <wp:extent cx="603250" cy="228600"/>
            <wp:effectExtent l="0" t="0" r="635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a:xfrm>
                      <a:off x="0" y="0"/>
                      <a:ext cx="620012" cy="235447"/>
                    </a:xfrm>
                    <a:prstGeom prst="rect">
                      <a:avLst/>
                    </a:prstGeom>
                    <a:noFill/>
                    <a:ln>
                      <a:noFill/>
                    </a:ln>
                  </pic:spPr>
                </pic:pic>
              </a:graphicData>
            </a:graphic>
          </wp:inline>
        </w:drawing>
      </w:r>
      <w:r>
        <w:rPr>
          <w:rFonts w:hint="eastAsia" w:ascii="宋体" w:hAnsi="宋体" w:cs="Times New Roman"/>
          <w:color w:val="000000" w:themeColor="text1"/>
          <w:position w:val="-14"/>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(G2.5-1)</w:t>
      </w:r>
    </w:p>
    <w:p>
      <w:pPr>
        <w:spacing w:line="300" w:lineRule="auto"/>
        <w:ind w:left="1050" w:hanging="420" w:firstLineChars="0"/>
        <w:jc w:val="right"/>
        <w:rPr>
          <w:rFonts w:ascii="宋体" w:hAnsi="宋体" w:cs="Times New Roman"/>
          <w:color w:val="000000" w:themeColor="text1"/>
          <w:szCs w:val="21"/>
          <w14:textFill>
            <w14:solidFill>
              <w14:schemeClr w14:val="tx1"/>
            </w14:solidFill>
          </w14:textFill>
        </w:rPr>
      </w:pPr>
      <w:r>
        <w:rPr>
          <w:rFonts w:ascii="宋体" w:hAnsi="Courier New" w:cs="Times New Roman"/>
          <w:color w:val="000000" w:themeColor="text1"/>
          <w:szCs w:val="21"/>
          <w14:textFill>
            <w14:solidFill>
              <w14:schemeClr w14:val="tx1"/>
            </w14:solidFill>
          </w14:textFill>
        </w:rPr>
        <w:drawing>
          <wp:inline distT="0" distB="0" distL="0" distR="0">
            <wp:extent cx="1066800" cy="240030"/>
            <wp:effectExtent l="0" t="0" r="0" b="762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a:xfrm>
                      <a:off x="0" y="0"/>
                      <a:ext cx="1117004" cy="251956"/>
                    </a:xfrm>
                    <a:prstGeom prst="rect">
                      <a:avLst/>
                    </a:prstGeom>
                    <a:noFill/>
                    <a:ln>
                      <a:noFill/>
                    </a:ln>
                  </pic:spPr>
                </pic:pic>
              </a:graphicData>
            </a:graphic>
          </wp:inline>
        </w:drawing>
      </w:r>
      <w:r>
        <w:rPr>
          <w:rFonts w:hint="eastAsia" w:ascii="宋体" w:hAnsi="宋体" w:cs="Times New Roman"/>
          <w:color w:val="000000" w:themeColor="text1"/>
          <w:position w:val="-14"/>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(G2.5-2)</w:t>
      </w:r>
    </w:p>
    <w:p>
      <w:pPr>
        <w:adjustRightIn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宋体" w:hAnsi="宋体" w:cs="Times New Roman"/>
          <w:color w:val="000000" w:themeColor="text1"/>
          <w:szCs w:val="21"/>
          <w14:textFill>
            <w14:solidFill>
              <w14:schemeClr w14:val="tx1"/>
            </w14:solidFill>
          </w14:textFill>
        </w:rPr>
        <w:drawing>
          <wp:inline distT="0" distB="0" distL="0" distR="0">
            <wp:extent cx="152400" cy="207645"/>
            <wp:effectExtent l="0" t="0" r="0" b="190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a:xfrm>
                      <a:off x="0" y="0"/>
                      <a:ext cx="160191" cy="218442"/>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——隔震层等效阻尼比；</w:t>
      </w:r>
    </w:p>
    <w:p>
      <w:pPr>
        <w:adjustRightIn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宋体" w:hAnsi="宋体" w:cs="Times New Roman"/>
          <w:color w:val="000000" w:themeColor="text1"/>
          <w:szCs w:val="21"/>
          <w14:textFill>
            <w14:solidFill>
              <w14:schemeClr w14:val="tx1"/>
            </w14:solidFill>
          </w14:textFill>
        </w:rPr>
        <w:drawing>
          <wp:inline distT="0" distB="0" distL="0" distR="0">
            <wp:extent cx="241300" cy="212725"/>
            <wp:effectExtent l="0" t="0" r="635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a:xfrm>
                      <a:off x="0" y="0"/>
                      <a:ext cx="244630" cy="21609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——隔震层水平等效刚度；</w:t>
      </w:r>
    </w:p>
    <w:p>
      <w:pPr>
        <w:adjustRightIn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宋体" w:hAnsi="宋体" w:cs="Times New Roman"/>
          <w:color w:val="000000" w:themeColor="text1"/>
          <w:szCs w:val="21"/>
          <w14:textFill>
            <w14:solidFill>
              <w14:schemeClr w14:val="tx1"/>
            </w14:solidFill>
          </w14:textFill>
        </w:rPr>
        <w:drawing>
          <wp:inline distT="0" distB="0" distL="0" distR="0">
            <wp:extent cx="196850" cy="222250"/>
            <wp:effectExtent l="0" t="0" r="0" b="635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a:xfrm>
                      <a:off x="0" y="0"/>
                      <a:ext cx="206845" cy="234164"/>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——j隔震支座由试验确定的等效阻尼比；隔震层设置阻尼装置时，应包括相应的阻尼比；</w:t>
      </w:r>
    </w:p>
    <w:p>
      <w:pPr>
        <w:adjustRightInd/>
        <w:spacing w:line="300" w:lineRule="auto"/>
        <w:ind w:firstLine="735" w:firstLineChars="350"/>
        <w:rPr>
          <w:rFonts w:ascii="宋体" w:hAnsi="宋体" w:cs="Times New Roman"/>
          <w:color w:val="000000" w:themeColor="text1"/>
          <w:szCs w:val="21"/>
          <w14:textFill>
            <w14:solidFill>
              <w14:schemeClr w14:val="tx1"/>
            </w14:solidFill>
          </w14:textFill>
        </w:rPr>
      </w:pPr>
      <w:r>
        <w:rPr>
          <w:rFonts w:ascii="宋体" w:hAnsi="宋体" w:cs="Times New Roman"/>
          <w:color w:val="000000" w:themeColor="text1"/>
          <w:szCs w:val="21"/>
          <w14:textFill>
            <w14:solidFill>
              <w14:schemeClr w14:val="tx1"/>
            </w14:solidFill>
          </w14:textFill>
        </w:rPr>
        <w:drawing>
          <wp:inline distT="0" distB="0" distL="0" distR="0">
            <wp:extent cx="171450" cy="233680"/>
            <wp:effectExtent l="0" t="0" r="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75746" cy="239653"/>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——隔震支座j（含阻尼器）由试验确定的水平等效刚度。</w:t>
      </w:r>
    </w:p>
    <w:p>
      <w:pPr>
        <w:adjustRightInd/>
        <w:spacing w:line="300" w:lineRule="auto"/>
        <w:ind w:left="1050" w:leftChars="300" w:hanging="420" w:hangingChars="2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由试验确定隔震支座设计参数，滞回曲线应按隔震层中全部隔震装置经试验得到。计算对应不同地震烈度作用时的隔震层水平位移值后，求得隔震层的等效刚度和等效阻尼比。</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 罕遇地震作用下隔震支座的水平位移可根据以下原则确定：</w:t>
      </w:r>
    </w:p>
    <w:p>
      <w:pPr>
        <w:adjustRightIn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1）一般情况下按基于振型分解法和时程分析法对隔震体系整体分析得到的隔震层实际位移幅值确定;</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2）采用底部剪力法确定地震作用的隔震结构，其隔震层位移（当上部结构的质心与刚心重合时，   </w:t>
      </w:r>
    </w:p>
    <w:p>
      <w:pPr>
        <w:adjustRightInd/>
        <w:spacing w:line="300" w:lineRule="auto"/>
        <w:ind w:left="630" w:leftChars="300" w:firstLine="210" w:firstLine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各支座位移等于隔震层位移）可采用如下简化方法：</w:t>
      </w:r>
    </w:p>
    <w:p>
      <w:pPr>
        <w:adjustRightInd/>
        <w:spacing w:line="300" w:lineRule="auto"/>
        <w:ind w:firstLine="316" w:firstLineChars="0"/>
        <w:jc w:val="righ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666750" cy="222250"/>
            <wp:effectExtent l="0" t="0" r="0" b="635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a:xfrm>
                      <a:off x="0" y="0"/>
                      <a:ext cx="691626" cy="230542"/>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（G2.5-3）</w:t>
      </w:r>
    </w:p>
    <w:p>
      <w:pPr>
        <w:adjustRightInd/>
        <w:spacing w:line="300" w:lineRule="auto"/>
        <w:ind w:left="840" w:leftChars="4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当隔震支座的平面布置为矩形或接近矩形，但上部结构的质心与刚心不重合时，隔震支座位移可按下式计算：</w:t>
      </w:r>
    </w:p>
    <w:p>
      <w:pPr>
        <w:adjustRightInd/>
        <w:spacing w:line="300" w:lineRule="auto"/>
        <w:ind w:firstLine="316" w:firstLineChars="0"/>
        <w:jc w:val="righ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666750" cy="279400"/>
            <wp:effectExtent l="0" t="0" r="0" b="635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a:xfrm>
                      <a:off x="0" y="0"/>
                      <a:ext cx="676262" cy="283746"/>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（G2.5-4）</w:t>
      </w:r>
    </w:p>
    <w:p>
      <w:pPr>
        <w:adjustRightInd/>
        <w:spacing w:line="300" w:lineRule="auto"/>
        <w:ind w:firstLine="0" w:firstLineChars="0"/>
        <w:jc w:val="righ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339850" cy="262255"/>
            <wp:effectExtent l="0" t="0" r="0" b="4445"/>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a:xfrm>
                      <a:off x="0" y="0"/>
                      <a:ext cx="1393550" cy="273245"/>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（G2.5-5）</w:t>
      </w:r>
    </w:p>
    <w:p>
      <w:pPr>
        <w:adjustRightInd/>
        <w:spacing w:line="300" w:lineRule="auto"/>
        <w:ind w:firstLine="2625"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314450" cy="306070"/>
            <wp:effectExtent l="0" t="0" r="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a:xfrm>
                      <a:off x="0" y="0"/>
                      <a:ext cx="1331109" cy="310435"/>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w:t>
      </w:r>
      <w:r>
        <w:rPr>
          <w:rFonts w:ascii="宋体" w:hAnsi="宋体" w:cs="Times New Roman"/>
          <w:color w:val="000000" w:themeColor="text1"/>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（G2.5-6）</w:t>
      </w:r>
    </w:p>
    <w:p>
      <w:pPr>
        <w:adjustRightInd/>
        <w:spacing w:line="300" w:lineRule="auto"/>
        <w:ind w:firstLine="2625"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282700" cy="299085"/>
            <wp:effectExtent l="0" t="0" r="0" b="5715"/>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a:xfrm>
                      <a:off x="0" y="0"/>
                      <a:ext cx="1317272" cy="307209"/>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w:t>
      </w:r>
      <w:r>
        <w:rPr>
          <w:rFonts w:ascii="宋体" w:hAnsi="宋体" w:cs="Times New Roman"/>
          <w:color w:val="000000" w:themeColor="text1"/>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（G2.5-7）</w:t>
      </w:r>
    </w:p>
    <w:p>
      <w:pPr>
        <w:adjustRightInd/>
        <w:spacing w:line="30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190500" cy="242570"/>
            <wp:effectExtent l="0" t="0" r="0" b="508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a:xfrm>
                      <a:off x="0" y="0"/>
                      <a:ext cx="194636" cy="24847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——第i个隔震支座的水平位移；</w:t>
      </w:r>
    </w:p>
    <w:p>
      <w:pPr>
        <w:adjustRightInd/>
        <w:spacing w:line="300" w:lineRule="auto"/>
        <w:ind w:firstLine="630" w:firstLineChars="300"/>
        <w:jc w:val="lef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48590" cy="247650"/>
            <wp:effectExtent l="0" t="0" r="381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a:xfrm>
                      <a:off x="0" y="0"/>
                      <a:ext cx="148590" cy="2476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——隔震层的水平位移；</w:t>
      </w:r>
    </w:p>
    <w:p>
      <w:pPr>
        <w:adjustRightInd/>
        <w:spacing w:line="300" w:lineRule="auto"/>
        <w:ind w:firstLine="630" w:firstLineChars="300"/>
        <w:jc w:val="lef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77800" cy="241935"/>
            <wp:effectExtent l="0" t="0" r="0" b="571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a:xfrm>
                      <a:off x="0" y="0"/>
                      <a:ext cx="182756" cy="249213"/>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——隔震层的水平剪力；</w:t>
      </w:r>
    </w:p>
    <w:p>
      <w:pPr>
        <w:adjustRightInd/>
        <w:spacing w:line="300" w:lineRule="auto"/>
        <w:ind w:firstLine="630" w:firstLineChars="300"/>
        <w:jc w:val="lef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90500" cy="215265"/>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a:xfrm>
                      <a:off x="0" y="0"/>
                      <a:ext cx="196373" cy="222309"/>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——隔震层的水平等效刚度；</w:t>
      </w:r>
    </w:p>
    <w:p>
      <w:pPr>
        <w:adjustRightInd/>
        <w:spacing w:line="300" w:lineRule="auto"/>
        <w:ind w:left="1260" w:leftChars="300" w:hanging="630" w:hangingChars="300"/>
        <w:jc w:val="lef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60655" cy="24765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0" y="0"/>
                      <a:ext cx="162252" cy="249617"/>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第i个隔震支座的扭转影响系数，取考虑扭转和未考虑扭转时i支座计算位移的比值；当采用三维模型进行计算时，扭转影响系数取1；当隔震层以上结构的质心与隔震层刚度中心在两个主轴方向均无偏心时，隔震层边端支座的扭转影响系数不应小于1.15；</w:t>
      </w:r>
    </w:p>
    <w:p>
      <w:pPr>
        <w:adjustRightInd/>
        <w:spacing w:line="300" w:lineRule="auto"/>
        <w:ind w:left="1260" w:leftChars="300" w:hanging="630" w:hanging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46050" cy="175260"/>
            <wp:effectExtent l="0" t="0" r="635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a:xfrm>
                      <a:off x="0" y="0"/>
                      <a:ext cx="146050" cy="17526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——偏心率，为静偏心距与偶然偏心距之和；静偏心距为隔震房屋上部结构质心与隔震层刚心之间距离在计算主轴法线方向的投影，偶然偏心距取计算主轴法线方向结构平面边长的2%，对边支座，</w:t>
      </w:r>
      <w:r>
        <w:rPr>
          <w:rFonts w:ascii="Calibri" w:hAnsi="Calibri" w:cs="Times New Roman"/>
          <w:color w:val="000000" w:themeColor="text1"/>
          <w:szCs w:val="21"/>
          <w14:textFill>
            <w14:solidFill>
              <w14:schemeClr w14:val="tx1"/>
            </w14:solidFill>
          </w14:textFill>
        </w:rPr>
        <w:drawing>
          <wp:inline distT="0" distB="0" distL="0" distR="0">
            <wp:extent cx="488950" cy="188595"/>
            <wp:effectExtent l="0" t="0" r="635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a:xfrm>
                      <a:off x="0" y="0"/>
                      <a:ext cx="504975" cy="194903"/>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；同时考虑双向地震作用的扭转时，e应取下式中的较大值且</w:t>
      </w:r>
      <w:r>
        <w:rPr>
          <w:rFonts w:ascii="Calibri" w:hAnsi="Calibri" w:cs="Times New Roman"/>
          <w:color w:val="000000" w:themeColor="text1"/>
          <w:szCs w:val="21"/>
          <w14:textFill>
            <w14:solidFill>
              <w14:schemeClr w14:val="tx1"/>
            </w14:solidFill>
          </w14:textFill>
        </w:rPr>
        <w:drawing>
          <wp:inline distT="0" distB="0" distL="0" distR="0">
            <wp:extent cx="463550" cy="183515"/>
            <wp:effectExtent l="0" t="0" r="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a:xfrm>
                      <a:off x="0" y="0"/>
                      <a:ext cx="471327" cy="186833"/>
                    </a:xfrm>
                    <a:prstGeom prst="rect">
                      <a:avLst/>
                    </a:prstGeom>
                    <a:noFill/>
                    <a:ln>
                      <a:noFill/>
                    </a:ln>
                  </pic:spPr>
                </pic:pic>
              </a:graphicData>
            </a:graphic>
          </wp:inline>
        </w:drawing>
      </w:r>
      <w:r>
        <w:rPr>
          <w:rFonts w:hint="eastAsia" w:ascii="宋体" w:hAnsi="宋体" w:cs="Times New Roman"/>
          <w:color w:val="000000" w:themeColor="text1"/>
          <w:position w:val="-6"/>
          <w:szCs w:val="21"/>
          <w14:textFill>
            <w14:solidFill>
              <w14:schemeClr w14:val="tx1"/>
            </w14:solidFill>
          </w14:textFill>
        </w:rPr>
        <w:t>；</w:t>
      </w:r>
    </w:p>
    <w:p>
      <w:pPr>
        <w:adjustRightInd/>
        <w:spacing w:line="300" w:lineRule="auto"/>
        <w:ind w:firstLine="630" w:firstLineChars="300"/>
        <w:jc w:val="lef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96850" cy="26797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a:xfrm>
                      <a:off x="0" y="0"/>
                      <a:ext cx="199044" cy="271424"/>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——第i个隔震支座与隔震层刚心之间在计算主轴法线方向的投影；  </w:t>
      </w:r>
    </w:p>
    <w:p>
      <w:pPr>
        <w:adjustRightInd/>
        <w:spacing w:line="300" w:lineRule="auto"/>
        <w:ind w:firstLine="630" w:firstLineChars="300"/>
        <w:rPr>
          <w:rFonts w:ascii="宋体" w:hAnsi="宋体" w:cs="Times New Roman"/>
          <w:color w:val="000000" w:themeColor="text1"/>
          <w:kern w:val="0"/>
          <w:szCs w:val="21"/>
          <w14:textFill>
            <w14:solidFill>
              <w14:schemeClr w14:val="tx1"/>
            </w14:solidFill>
          </w14:textFill>
        </w:rPr>
      </w:pPr>
      <w:r>
        <w:rPr>
          <w:rFonts w:ascii="宋体" w:hAnsi="宋体" w:cs="Times New Roman"/>
          <w:color w:val="000000" w:themeColor="text1"/>
          <w:szCs w:val="21"/>
          <w14:textFill>
            <w14:solidFill>
              <w14:schemeClr w14:val="tx1"/>
            </w14:solidFill>
          </w14:textFill>
        </w:rPr>
        <w:drawing>
          <wp:inline distT="0" distB="0" distL="0" distR="0">
            <wp:extent cx="298450" cy="142875"/>
            <wp:effectExtent l="0" t="0" r="635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a:xfrm>
                      <a:off x="0" y="0"/>
                      <a:ext cx="307681" cy="147687"/>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——分别为结构平面两正交方向的边长。</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6 罕遇地震作用下隔震支座的水平位移，应符合下列要求：</w:t>
      </w:r>
    </w:p>
    <w:p>
      <w:pPr>
        <w:adjustRightInd/>
        <w:spacing w:line="300" w:lineRule="auto"/>
        <w:ind w:firstLine="0" w:firstLineChars="0"/>
        <w:jc w:val="right"/>
        <w:rPr>
          <w:rFonts w:ascii="宋体" w:hAnsi="宋体" w:cs="Times New Roman"/>
          <w:color w:val="000000" w:themeColor="text1"/>
          <w:szCs w:val="21"/>
          <w14:textFill>
            <w14:solidFill>
              <w14:schemeClr w14:val="tx1"/>
            </w14:solidFill>
          </w14:textFill>
        </w:rPr>
      </w:pPr>
      <w:r>
        <w:rPr>
          <w:rFonts w:ascii="宋体" w:hAnsi="宋体" w:cs="Times New Roman"/>
          <w:color w:val="000000" w:themeColor="text1"/>
          <w:szCs w:val="21"/>
          <w14:textFill>
            <w14:solidFill>
              <w14:schemeClr w14:val="tx1"/>
            </w14:solidFill>
          </w14:textFill>
        </w:rPr>
        <w:drawing>
          <wp:inline distT="0" distB="0" distL="0" distR="0">
            <wp:extent cx="596900" cy="222250"/>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a:xfrm>
                      <a:off x="0" y="0"/>
                      <a:ext cx="615877" cy="229732"/>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(G2.5-8)</w:t>
      </w:r>
    </w:p>
    <w:p>
      <w:pPr>
        <w:adjustRightInd/>
        <w:spacing w:line="300" w:lineRule="auto"/>
        <w:ind w:left="1470" w:hanging="1470" w:hangingChars="7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宋体" w:hAnsi="宋体" w:cs="Times New Roman"/>
          <w:color w:val="000000" w:themeColor="text1"/>
          <w:szCs w:val="21"/>
          <w14:textFill>
            <w14:solidFill>
              <w14:schemeClr w14:val="tx1"/>
            </w14:solidFill>
          </w14:textFill>
        </w:rPr>
        <w:drawing>
          <wp:inline distT="0" distB="0" distL="0" distR="0">
            <wp:extent cx="146050" cy="190500"/>
            <wp:effectExtent l="0" t="0" r="635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a:xfrm>
                      <a:off x="0" y="0"/>
                      <a:ext cx="148258" cy="193559"/>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——罕遇地震作用下，第i个隔震支座考虑扭转的水平位移；</w:t>
      </w:r>
    </w:p>
    <w:p>
      <w:pPr>
        <w:adjustRightInd/>
        <w:spacing w:line="300" w:lineRule="auto"/>
        <w:ind w:left="1445" w:leftChars="288" w:hanging="840" w:hangingChars="400"/>
        <w:rPr>
          <w:rFonts w:ascii="宋体" w:hAnsi="宋体" w:cs="Times New Roman"/>
          <w:color w:val="000000" w:themeColor="text1"/>
          <w:szCs w:val="21"/>
          <w14:textFill>
            <w14:solidFill>
              <w14:schemeClr w14:val="tx1"/>
            </w14:solidFill>
          </w14:textFill>
        </w:rPr>
      </w:pPr>
      <w:r>
        <w:rPr>
          <w:rFonts w:ascii="宋体" w:hAnsi="宋体" w:cs="Times New Roman"/>
          <w:color w:val="000000" w:themeColor="text1"/>
          <w:szCs w:val="21"/>
          <w14:textFill>
            <w14:solidFill>
              <w14:schemeClr w14:val="tx1"/>
            </w14:solidFill>
          </w14:textFill>
        </w:rPr>
        <w:drawing>
          <wp:inline distT="0" distB="0" distL="0" distR="0">
            <wp:extent cx="234950" cy="2349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a:xfrm>
                      <a:off x="0" y="0"/>
                      <a:ext cx="234950" cy="2349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——第i个隔震支座的水平位移限值；对橡胶隔震支座，应满足本规范4.6.3的要求；对于摩擦摆隔震支座，应满足本规范4.6.4的要求。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7 隔震层抗风装置，应符合下式要求：</w:t>
      </w:r>
    </w:p>
    <w:p>
      <w:pPr>
        <w:adjustRightInd/>
        <w:spacing w:line="300" w:lineRule="auto"/>
        <w:ind w:firstLine="0" w:firstLineChars="0"/>
        <w:jc w:val="righ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679450" cy="257810"/>
            <wp:effectExtent l="0" t="0" r="6350"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a:xfrm>
                      <a:off x="0" y="0"/>
                      <a:ext cx="699585" cy="265665"/>
                    </a:xfrm>
                    <a:prstGeom prst="rect">
                      <a:avLst/>
                    </a:prstGeom>
                    <a:noFill/>
                    <a:ln>
                      <a:noFill/>
                    </a:ln>
                  </pic:spPr>
                </pic:pic>
              </a:graphicData>
            </a:graphic>
          </wp:inline>
        </w:drawing>
      </w:r>
      <w:r>
        <w:rPr>
          <w:rFonts w:hint="eastAsia" w:ascii="宋体" w:hAnsi="宋体" w:cs="Times New Roman"/>
          <w:color w:val="000000" w:themeColor="text1"/>
          <w:position w:val="-12"/>
          <w:szCs w:val="21"/>
          <w14:textFill>
            <w14:solidFill>
              <w14:schemeClr w14:val="tx1"/>
            </w14:solidFill>
          </w14:textFill>
        </w:rPr>
        <w:t xml:space="preserve">                             </w:t>
      </w:r>
      <w:r>
        <w:rPr>
          <w:rFonts w:ascii="宋体" w:hAnsi="宋体" w:cs="Times New Roman"/>
          <w:color w:val="000000" w:themeColor="text1"/>
          <w:szCs w:val="21"/>
          <w14:textFill>
            <w14:solidFill>
              <w14:schemeClr w14:val="tx1"/>
            </w14:solidFill>
          </w14:textFill>
        </w:rPr>
        <w:t>(G2.5-9)</w:t>
      </w:r>
    </w:p>
    <w:p>
      <w:pPr>
        <w:adjustRightInd/>
        <w:spacing w:line="300" w:lineRule="auto"/>
        <w:ind w:left="1785" w:hanging="1785" w:hangingChars="85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宋体" w:hAnsi="宋体" w:cs="Times New Roman"/>
          <w:color w:val="000000" w:themeColor="text1"/>
          <w:szCs w:val="21"/>
          <w14:textFill>
            <w14:solidFill>
              <w14:schemeClr w14:val="tx1"/>
            </w14:solidFill>
          </w14:textFill>
        </w:rPr>
        <w:drawing>
          <wp:inline distT="0" distB="0" distL="0" distR="0">
            <wp:extent cx="209550" cy="2095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a:xfrm>
                      <a:off x="0" y="0"/>
                      <a:ext cx="209550" cy="2095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 xml:space="preserve"> ——抗风装置的水平承载力设计值。当抗风装置是隔震支座的组成部分时，可取隔震支座</w:t>
      </w:r>
    </w:p>
    <w:p>
      <w:pPr>
        <w:adjustRightInd/>
        <w:spacing w:line="300" w:lineRule="auto"/>
        <w:ind w:left="1785" w:leftChars="700" w:hanging="315" w:hangingChars="15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的水平屈服荷载设计值；当抗风装置单独设置时，可取抗风装置的水平承载力，按材</w:t>
      </w:r>
    </w:p>
    <w:p>
      <w:pPr>
        <w:adjustRightInd/>
        <w:spacing w:line="300" w:lineRule="auto"/>
        <w:ind w:left="1785" w:leftChars="700" w:hanging="315" w:hangingChars="15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料屈服强度设计值确定；</w:t>
      </w:r>
    </w:p>
    <w:p>
      <w:pPr>
        <w:adjustRightIn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218440" cy="279400"/>
            <wp:effectExtent l="0" t="0" r="0" b="635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a:xfrm>
                      <a:off x="0" y="0"/>
                      <a:ext cx="223699" cy="285574"/>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w:t>
      </w:r>
      <w:r>
        <w:rPr>
          <w:rFonts w:ascii="宋体" w:hAnsi="宋体" w:cs="Times New Roman"/>
          <w:color w:val="000000" w:themeColor="text1"/>
          <w:szCs w:val="21"/>
          <w14:textFill>
            <w14:solidFill>
              <w14:schemeClr w14:val="tx1"/>
            </w14:solidFill>
          </w14:textFill>
        </w:rPr>
        <w:t>风荷载分项系数，可取1.</w:t>
      </w:r>
      <w:r>
        <w:rPr>
          <w:rFonts w:hint="eastAsia" w:ascii="宋体" w:hAnsi="宋体" w:cs="Times New Roman"/>
          <w:color w:val="000000" w:themeColor="text1"/>
          <w:szCs w:val="21"/>
          <w14:textFill>
            <w14:solidFill>
              <w14:schemeClr w14:val="tx1"/>
            </w14:solidFill>
          </w14:textFill>
        </w:rPr>
        <w:t>5</w:t>
      </w:r>
      <w:r>
        <w:rPr>
          <w:rFonts w:ascii="宋体" w:hAnsi="宋体" w:cs="Times New Roman"/>
          <w:color w:val="000000" w:themeColor="text1"/>
          <w:szCs w:val="21"/>
          <w14:textFill>
            <w14:solidFill>
              <w14:schemeClr w14:val="tx1"/>
            </w14:solidFill>
          </w14:textFill>
        </w:rPr>
        <w:t>；</w:t>
      </w:r>
    </w:p>
    <w:p>
      <w:pPr>
        <w:adjustRightIn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79070" cy="2159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a:xfrm>
                      <a:off x="0" y="0"/>
                      <a:ext cx="185448" cy="22338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w:t>
      </w:r>
      <w:r>
        <w:rPr>
          <w:rFonts w:ascii="宋体" w:hAnsi="宋体" w:cs="Times New Roman"/>
          <w:color w:val="000000" w:themeColor="text1"/>
          <w:szCs w:val="21"/>
          <w14:textFill>
            <w14:solidFill>
              <w14:schemeClr w14:val="tx1"/>
            </w14:solidFill>
          </w14:textFill>
        </w:rPr>
        <w:t>风荷载作用下隔震层的水平剪力标准值。</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8 隔震房屋抗倾覆验算，应符合下列要求：</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w:t>
      </w:r>
      <w:r>
        <w:rPr>
          <w:rFonts w:ascii="宋体" w:hAnsi="宋体" w:cs="Times New Roman"/>
          <w:color w:val="000000" w:themeColor="text1"/>
          <w:szCs w:val="21"/>
          <w14:textFill>
            <w14:solidFill>
              <w14:schemeClr w14:val="tx1"/>
            </w14:solidFill>
          </w14:textFill>
        </w:rPr>
        <w:t>隔震房屋抗倾覆验算应进行结构整体抗倾覆验算和隔震支座拉压承载能力验算；</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w:t>
      </w:r>
      <w:r>
        <w:rPr>
          <w:rFonts w:ascii="宋体" w:hAnsi="宋体" w:cs="Times New Roman"/>
          <w:color w:val="000000" w:themeColor="text1"/>
          <w:szCs w:val="21"/>
          <w14:textFill>
            <w14:solidFill>
              <w14:schemeClr w14:val="tx1"/>
            </w14:solidFill>
          </w14:textFill>
        </w:rPr>
        <w:t>结构整体抗倾覆验算时，应按罕遇地震作用计算倾覆力矩，并按上部结构重力代表值计算抗倾覆力矩，抗倾覆力矩与倾覆力矩之比不应小于1.2；</w:t>
      </w:r>
    </w:p>
    <w:p>
      <w:pPr>
        <w:adjustRightInd/>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w:t>
      </w:r>
      <w:r>
        <w:rPr>
          <w:rFonts w:ascii="宋体" w:hAnsi="宋体" w:cs="Times New Roman"/>
          <w:color w:val="000000" w:themeColor="text1"/>
          <w:szCs w:val="21"/>
          <w14:textFill>
            <w14:solidFill>
              <w14:schemeClr w14:val="tx1"/>
            </w14:solidFill>
          </w14:textFill>
        </w:rPr>
        <w:t>隔震层在罕遇地震下应保持稳定，不宜出现不可恢复的变形。橡胶隔震支座在罕遇水平和竖向地震共同作用下，其最大拉</w:t>
      </w:r>
      <w:r>
        <w:rPr>
          <w:rFonts w:hint="eastAsia" w:ascii="宋体" w:hAnsi="宋体" w:cs="Times New Roman"/>
          <w:color w:val="000000" w:themeColor="text1"/>
          <w:szCs w:val="21"/>
          <w14:textFill>
            <w14:solidFill>
              <w14:schemeClr w14:val="tx1"/>
            </w14:solidFill>
          </w14:textFill>
        </w:rPr>
        <w:t>、压应力应满足本规范第2.3-2、2.3-3条的要求</w:t>
      </w:r>
      <w:r>
        <w:rPr>
          <w:rFonts w:ascii="宋体" w:hAnsi="宋体" w:cs="Times New Roman"/>
          <w:color w:val="000000" w:themeColor="text1"/>
          <w:szCs w:val="21"/>
          <w14:textFill>
            <w14:solidFill>
              <w14:schemeClr w14:val="tx1"/>
            </w14:solidFill>
          </w14:textFill>
        </w:rPr>
        <w:t>。摩擦摆隔震支座在罕遇水平和竖向地震共同作用下，其最大压应力应不超过基准设计面压的2倍且应不出现拉应力。</w:t>
      </w:r>
    </w:p>
    <w:p>
      <w:pPr>
        <w:adjustRightInd/>
        <w:snapToGrid/>
        <w:spacing w:line="300" w:lineRule="auto"/>
        <w:ind w:firstLine="420"/>
        <w:rPr>
          <w:rFonts w:ascii="Calibri" w:hAnsi="Calibri"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 隔震支座连接预埋件和连接螺栓的验算，应考虑罕遇地震支座在轴向压（拉）力、水平剪力和弯矩共同作用下的受力状态。</w:t>
      </w:r>
    </w:p>
    <w:p>
      <w:pPr>
        <w:adjustRightInd/>
        <w:snapToGrid/>
        <w:spacing w:line="30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G.2.6  隔震层上部结构和下部结构的要求。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隔震建筑的高度宜满足相应地震烈度适用的最大高度，可按非隔震结构取值,见表G2.6-1、</w:t>
      </w:r>
      <w:bookmarkStart w:id="254" w:name="OLE_LINK13"/>
      <w:bookmarkEnd w:id="254"/>
      <w:r>
        <w:rPr>
          <w:rFonts w:hint="eastAsia" w:ascii="宋体" w:hAnsi="宋体" w:cs="Times New Roman"/>
          <w:color w:val="000000" w:themeColor="text1"/>
          <w:szCs w:val="21"/>
          <w14:textFill>
            <w14:solidFill>
              <w14:schemeClr w14:val="tx1"/>
            </w14:solidFill>
          </w14:textFill>
        </w:rPr>
        <w:t>G2.6-2和表G2.6-3的要求。上部结构平面和竖向均不规则的结构，适用高度宜适当降低。</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表G2.6-1 现浇钢筋混凝土结构隔震建筑的最大适用高度（m）</w:t>
      </w:r>
    </w:p>
    <w:tbl>
      <w:tblPr>
        <w:tblStyle w:val="32"/>
        <w:tblW w:w="83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50"/>
        <w:gridCol w:w="1407"/>
        <w:gridCol w:w="1290"/>
        <w:gridCol w:w="1292"/>
        <w:gridCol w:w="1292"/>
        <w:gridCol w:w="12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50" w:type="dxa"/>
            <w:vMerge w:val="restart"/>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结构类型</w:t>
            </w:r>
          </w:p>
        </w:tc>
        <w:tc>
          <w:tcPr>
            <w:tcW w:w="6575" w:type="dxa"/>
            <w:gridSpan w:val="5"/>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烈度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tcW w:w="175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snapToGrid/>
              <w:ind w:firstLine="0" w:firstLineChars="0"/>
              <w:jc w:val="left"/>
              <w:rPr>
                <w:rFonts w:ascii="宋体" w:hAnsi="宋体" w:cs="Times New Roman"/>
                <w:color w:val="000000" w:themeColor="text1"/>
                <w:kern w:val="0"/>
                <w:szCs w:val="21"/>
                <w14:textFill>
                  <w14:solidFill>
                    <w14:schemeClr w14:val="tx1"/>
                  </w14:solidFill>
                </w14:textFill>
              </w:rPr>
            </w:pPr>
          </w:p>
        </w:tc>
        <w:tc>
          <w:tcPr>
            <w:tcW w:w="140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6</w:t>
            </w:r>
          </w:p>
        </w:tc>
        <w:tc>
          <w:tcPr>
            <w:tcW w:w="1290"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7</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（0.2g）</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(0.3g)</w:t>
            </w:r>
          </w:p>
        </w:tc>
        <w:tc>
          <w:tcPr>
            <w:tcW w:w="129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5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框架</w:t>
            </w:r>
          </w:p>
        </w:tc>
        <w:tc>
          <w:tcPr>
            <w:tcW w:w="140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60</w:t>
            </w:r>
          </w:p>
        </w:tc>
        <w:tc>
          <w:tcPr>
            <w:tcW w:w="1290"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50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40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35</w:t>
            </w:r>
          </w:p>
        </w:tc>
        <w:tc>
          <w:tcPr>
            <w:tcW w:w="129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5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框架－抗震墙</w:t>
            </w:r>
          </w:p>
        </w:tc>
        <w:tc>
          <w:tcPr>
            <w:tcW w:w="140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130</w:t>
            </w:r>
          </w:p>
        </w:tc>
        <w:tc>
          <w:tcPr>
            <w:tcW w:w="1290"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100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80</w:t>
            </w:r>
          </w:p>
        </w:tc>
        <w:tc>
          <w:tcPr>
            <w:tcW w:w="129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5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抗震墙</w:t>
            </w:r>
          </w:p>
        </w:tc>
        <w:tc>
          <w:tcPr>
            <w:tcW w:w="140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140</w:t>
            </w:r>
          </w:p>
        </w:tc>
        <w:tc>
          <w:tcPr>
            <w:tcW w:w="1290"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100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80</w:t>
            </w:r>
          </w:p>
        </w:tc>
        <w:tc>
          <w:tcPr>
            <w:tcW w:w="129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5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部分框支抗震墙</w:t>
            </w:r>
          </w:p>
        </w:tc>
        <w:tc>
          <w:tcPr>
            <w:tcW w:w="140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120</w:t>
            </w:r>
          </w:p>
        </w:tc>
        <w:tc>
          <w:tcPr>
            <w:tcW w:w="1290"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100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50</w:t>
            </w:r>
          </w:p>
        </w:tc>
        <w:tc>
          <w:tcPr>
            <w:tcW w:w="129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5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框架－核心筒</w:t>
            </w:r>
          </w:p>
        </w:tc>
        <w:tc>
          <w:tcPr>
            <w:tcW w:w="140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150</w:t>
            </w:r>
          </w:p>
        </w:tc>
        <w:tc>
          <w:tcPr>
            <w:tcW w:w="1290"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130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100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90</w:t>
            </w:r>
          </w:p>
        </w:tc>
        <w:tc>
          <w:tcPr>
            <w:tcW w:w="129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5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筒中筒</w:t>
            </w:r>
          </w:p>
        </w:tc>
        <w:tc>
          <w:tcPr>
            <w:tcW w:w="140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180</w:t>
            </w:r>
          </w:p>
        </w:tc>
        <w:tc>
          <w:tcPr>
            <w:tcW w:w="1290"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150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100</w:t>
            </w:r>
          </w:p>
        </w:tc>
        <w:tc>
          <w:tcPr>
            <w:tcW w:w="129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5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板柱－抗震墙</w:t>
            </w:r>
          </w:p>
        </w:tc>
        <w:tc>
          <w:tcPr>
            <w:tcW w:w="140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80</w:t>
            </w:r>
          </w:p>
        </w:tc>
        <w:tc>
          <w:tcPr>
            <w:tcW w:w="1290"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70</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55</w:t>
            </w:r>
          </w:p>
        </w:tc>
        <w:tc>
          <w:tcPr>
            <w:tcW w:w="12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40</w:t>
            </w:r>
          </w:p>
        </w:tc>
        <w:tc>
          <w:tcPr>
            <w:tcW w:w="129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w:t>
            </w:r>
          </w:p>
        </w:tc>
      </w:tr>
    </w:tbl>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 xml:space="preserve"> </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表G2.6-2 钢结构隔震建筑的最大适用高度（m）</w:t>
      </w:r>
    </w:p>
    <w:tbl>
      <w:tblPr>
        <w:tblStyle w:val="32"/>
        <w:tblW w:w="83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30"/>
        <w:gridCol w:w="1276"/>
        <w:gridCol w:w="992"/>
        <w:gridCol w:w="1244"/>
        <w:gridCol w:w="1166"/>
        <w:gridCol w:w="8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830" w:type="dxa"/>
            <w:vMerge w:val="restart"/>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结构类型</w:t>
            </w:r>
          </w:p>
        </w:tc>
        <w:tc>
          <w:tcPr>
            <w:tcW w:w="5495" w:type="dxa"/>
            <w:gridSpan w:val="5"/>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烈度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83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snapToGrid/>
              <w:ind w:firstLine="0" w:firstLineChars="0"/>
              <w:jc w:val="left"/>
              <w:rPr>
                <w:rFonts w:ascii="宋体" w:hAnsi="宋体" w:cs="Times New Roman"/>
                <w:color w:val="000000" w:themeColor="text1"/>
                <w:kern w:val="0"/>
                <w:szCs w:val="21"/>
                <w14:textFill>
                  <w14:solidFill>
                    <w14:schemeClr w14:val="tx1"/>
                  </w14:solidFill>
                </w14:textFill>
              </w:rPr>
            </w:pPr>
          </w:p>
        </w:tc>
        <w:tc>
          <w:tcPr>
            <w:tcW w:w="127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6</w:t>
            </w:r>
          </w:p>
        </w:tc>
        <w:tc>
          <w:tcPr>
            <w:tcW w:w="9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7</w:t>
            </w:r>
          </w:p>
        </w:tc>
        <w:tc>
          <w:tcPr>
            <w:tcW w:w="124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（0.2g）</w:t>
            </w:r>
          </w:p>
        </w:tc>
        <w:tc>
          <w:tcPr>
            <w:tcW w:w="116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(0.3g)</w:t>
            </w:r>
          </w:p>
        </w:tc>
        <w:tc>
          <w:tcPr>
            <w:tcW w:w="81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83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框架</w:t>
            </w:r>
          </w:p>
        </w:tc>
        <w:tc>
          <w:tcPr>
            <w:tcW w:w="127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110</w:t>
            </w:r>
          </w:p>
        </w:tc>
        <w:tc>
          <w:tcPr>
            <w:tcW w:w="9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90</w:t>
            </w:r>
          </w:p>
        </w:tc>
        <w:tc>
          <w:tcPr>
            <w:tcW w:w="124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90</w:t>
            </w:r>
          </w:p>
        </w:tc>
        <w:tc>
          <w:tcPr>
            <w:tcW w:w="116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70</w:t>
            </w:r>
          </w:p>
        </w:tc>
        <w:tc>
          <w:tcPr>
            <w:tcW w:w="81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tcW w:w="283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框架-中心支撑</w:t>
            </w:r>
          </w:p>
        </w:tc>
        <w:tc>
          <w:tcPr>
            <w:tcW w:w="127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220</w:t>
            </w:r>
          </w:p>
        </w:tc>
        <w:tc>
          <w:tcPr>
            <w:tcW w:w="9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200</w:t>
            </w:r>
          </w:p>
        </w:tc>
        <w:tc>
          <w:tcPr>
            <w:tcW w:w="124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180</w:t>
            </w:r>
          </w:p>
        </w:tc>
        <w:tc>
          <w:tcPr>
            <w:tcW w:w="116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150</w:t>
            </w:r>
          </w:p>
        </w:tc>
        <w:tc>
          <w:tcPr>
            <w:tcW w:w="81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83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框架-偏心支撑，框架-屈曲约束支撑</w:t>
            </w:r>
          </w:p>
        </w:tc>
        <w:tc>
          <w:tcPr>
            <w:tcW w:w="127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240</w:t>
            </w:r>
          </w:p>
        </w:tc>
        <w:tc>
          <w:tcPr>
            <w:tcW w:w="9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220</w:t>
            </w:r>
          </w:p>
        </w:tc>
        <w:tc>
          <w:tcPr>
            <w:tcW w:w="124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200</w:t>
            </w:r>
          </w:p>
        </w:tc>
        <w:tc>
          <w:tcPr>
            <w:tcW w:w="116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180</w:t>
            </w:r>
          </w:p>
        </w:tc>
        <w:tc>
          <w:tcPr>
            <w:tcW w:w="81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830" w:type="dxa"/>
            <w:tcBorders>
              <w:top w:val="single" w:color="000000" w:sz="4" w:space="0"/>
              <w:left w:val="single" w:color="000000" w:sz="4" w:space="0"/>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筒体</w:t>
            </w:r>
          </w:p>
        </w:tc>
        <w:tc>
          <w:tcPr>
            <w:tcW w:w="127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300</w:t>
            </w:r>
          </w:p>
        </w:tc>
        <w:tc>
          <w:tcPr>
            <w:tcW w:w="992"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280</w:t>
            </w:r>
          </w:p>
        </w:tc>
        <w:tc>
          <w:tcPr>
            <w:tcW w:w="1244"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260</w:t>
            </w:r>
          </w:p>
        </w:tc>
        <w:tc>
          <w:tcPr>
            <w:tcW w:w="1166"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240</w:t>
            </w:r>
          </w:p>
        </w:tc>
        <w:tc>
          <w:tcPr>
            <w:tcW w:w="817" w:type="dxa"/>
            <w:tcBorders>
              <w:top w:val="single" w:color="000000" w:sz="4" w:space="0"/>
              <w:left w:val="nil"/>
              <w:bottom w:val="single" w:color="000000" w:sz="4" w:space="0"/>
              <w:right w:val="single" w:color="000000"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180</w:t>
            </w:r>
          </w:p>
        </w:tc>
      </w:tr>
    </w:tbl>
    <w:p>
      <w:pPr>
        <w:spacing w:line="300" w:lineRule="auto"/>
        <w:ind w:firstLine="0" w:firstLineChars="0"/>
        <w:jc w:val="center"/>
        <w:rPr>
          <w:rFonts w:ascii="宋体" w:hAnsi="宋体" w:cs="Times New Roman"/>
          <w:b/>
          <w:bCs/>
          <w:color w:val="000000" w:themeColor="text1"/>
          <w:kern w:val="0"/>
          <w:szCs w:val="21"/>
          <w14:textFill>
            <w14:solidFill>
              <w14:schemeClr w14:val="tx1"/>
            </w14:solidFill>
          </w14:textFill>
        </w:rPr>
      </w:pPr>
      <w:r>
        <w:rPr>
          <w:rFonts w:hint="eastAsia" w:ascii="宋体" w:hAnsi="宋体" w:cs="Times New Roman"/>
          <w:b/>
          <w:bCs/>
          <w:color w:val="000000" w:themeColor="text1"/>
          <w:kern w:val="0"/>
          <w:szCs w:val="21"/>
          <w14:textFill>
            <w14:solidFill>
              <w14:schemeClr w14:val="tx1"/>
            </w14:solidFill>
          </w14:textFill>
        </w:rPr>
        <w:t xml:space="preserve"> </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表G2.6-3 钢-混凝土混合结构隔震建筑的最大适用高度（m）</w:t>
      </w:r>
    </w:p>
    <w:tbl>
      <w:tblPr>
        <w:tblStyle w:val="130"/>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1898"/>
        <w:gridCol w:w="992"/>
        <w:gridCol w:w="1139"/>
        <w:gridCol w:w="1271"/>
        <w:gridCol w:w="1134"/>
        <w:gridCol w:w="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72" w:type="dxa"/>
            <w:gridSpan w:val="2"/>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结构体系</w:t>
            </w:r>
          </w:p>
        </w:tc>
        <w:tc>
          <w:tcPr>
            <w:tcW w:w="5353" w:type="dxa"/>
            <w:gridSpan w:val="5"/>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8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adjustRightInd/>
              <w:snapToGrid/>
              <w:ind w:firstLine="0" w:firstLineChars="0"/>
              <w:jc w:val="left"/>
              <w:rPr>
                <w:rFonts w:ascii="宋体" w:hAnsi="宋体" w:cs="Times New Roman"/>
                <w:color w:val="000000" w:themeColor="text1"/>
                <w:kern w:val="0"/>
                <w:szCs w:val="21"/>
                <w14:textFill>
                  <w14:solidFill>
                    <w14:schemeClr w14:val="tx1"/>
                  </w14:solidFill>
                </w14:textFill>
              </w:rPr>
            </w:pPr>
          </w:p>
        </w:tc>
        <w:tc>
          <w:tcPr>
            <w:tcW w:w="992"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6度</w:t>
            </w:r>
          </w:p>
        </w:tc>
        <w:tc>
          <w:tcPr>
            <w:tcW w:w="1139"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7度</w:t>
            </w:r>
          </w:p>
        </w:tc>
        <w:tc>
          <w:tcPr>
            <w:tcW w:w="1271" w:type="dxa"/>
            <w:tcBorders>
              <w:top w:val="single" w:color="auto" w:sz="4"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（0.2g）</w:t>
            </w:r>
          </w:p>
        </w:tc>
        <w:tc>
          <w:tcPr>
            <w:tcW w:w="1134" w:type="dxa"/>
            <w:tcBorders>
              <w:top w:val="single" w:color="auto" w:sz="4" w:space="0"/>
              <w:left w:val="nil"/>
              <w:bottom w:val="single" w:color="auto" w:sz="4" w:space="0"/>
              <w:right w:val="single" w:color="auto" w:sz="4" w:space="0"/>
            </w:tcBorders>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w:t>
            </w:r>
          </w:p>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(0.3g)</w:t>
            </w:r>
          </w:p>
        </w:tc>
        <w:tc>
          <w:tcPr>
            <w:tcW w:w="817"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9度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restart"/>
            <w:tcBorders>
              <w:top w:val="nil"/>
              <w:left w:val="single" w:color="auto" w:sz="4" w:space="0"/>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框架-核心筒</w:t>
            </w:r>
          </w:p>
        </w:tc>
        <w:tc>
          <w:tcPr>
            <w:tcW w:w="1898"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钢框架-钢筋混凝土核心筒</w:t>
            </w:r>
          </w:p>
        </w:tc>
        <w:tc>
          <w:tcPr>
            <w:tcW w:w="992"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200</w:t>
            </w:r>
          </w:p>
        </w:tc>
        <w:tc>
          <w:tcPr>
            <w:tcW w:w="1139"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160</w:t>
            </w:r>
          </w:p>
        </w:tc>
        <w:tc>
          <w:tcPr>
            <w:tcW w:w="1271"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120</w:t>
            </w:r>
          </w:p>
        </w:tc>
        <w:tc>
          <w:tcPr>
            <w:tcW w:w="1134"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100</w:t>
            </w:r>
          </w:p>
        </w:tc>
        <w:tc>
          <w:tcPr>
            <w:tcW w:w="817"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72" w:type="dxa"/>
            <w:vMerge w:val="continue"/>
            <w:tcBorders>
              <w:top w:val="nil"/>
              <w:left w:val="single" w:color="auto" w:sz="4" w:space="0"/>
              <w:bottom w:val="single" w:color="auto" w:sz="4" w:space="0"/>
              <w:right w:val="single" w:color="auto" w:sz="4" w:space="0"/>
            </w:tcBorders>
            <w:vAlign w:val="center"/>
          </w:tcPr>
          <w:p>
            <w:pPr>
              <w:widowControl/>
              <w:adjustRightInd/>
              <w:snapToGrid/>
              <w:ind w:firstLine="0" w:firstLineChars="0"/>
              <w:jc w:val="left"/>
              <w:rPr>
                <w:rFonts w:ascii="宋体" w:hAnsi="宋体" w:cs="Times New Roman"/>
                <w:color w:val="000000" w:themeColor="text1"/>
                <w:kern w:val="0"/>
                <w:szCs w:val="21"/>
                <w14:textFill>
                  <w14:solidFill>
                    <w14:schemeClr w14:val="tx1"/>
                  </w14:solidFill>
                </w14:textFill>
              </w:rPr>
            </w:pPr>
          </w:p>
        </w:tc>
        <w:tc>
          <w:tcPr>
            <w:tcW w:w="1898"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型钢（钢管）混凝土框架-钢筋混凝土核心筒</w:t>
            </w:r>
          </w:p>
        </w:tc>
        <w:tc>
          <w:tcPr>
            <w:tcW w:w="992"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220</w:t>
            </w:r>
          </w:p>
        </w:tc>
        <w:tc>
          <w:tcPr>
            <w:tcW w:w="1139"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190</w:t>
            </w:r>
          </w:p>
        </w:tc>
        <w:tc>
          <w:tcPr>
            <w:tcW w:w="1271"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150</w:t>
            </w:r>
          </w:p>
        </w:tc>
        <w:tc>
          <w:tcPr>
            <w:tcW w:w="1134"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130</w:t>
            </w:r>
          </w:p>
        </w:tc>
        <w:tc>
          <w:tcPr>
            <w:tcW w:w="817"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4" w:type="dxa"/>
            <w:vMerge w:val="restart"/>
            <w:tcBorders>
              <w:top w:val="nil"/>
              <w:left w:val="single" w:color="auto" w:sz="4" w:space="0"/>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筒中筒</w:t>
            </w:r>
          </w:p>
        </w:tc>
        <w:tc>
          <w:tcPr>
            <w:tcW w:w="1898"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钢外筒-钢筋混凝土核心筒</w:t>
            </w:r>
          </w:p>
        </w:tc>
        <w:tc>
          <w:tcPr>
            <w:tcW w:w="992"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260</w:t>
            </w:r>
          </w:p>
        </w:tc>
        <w:tc>
          <w:tcPr>
            <w:tcW w:w="1139"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210</w:t>
            </w:r>
          </w:p>
        </w:tc>
        <w:tc>
          <w:tcPr>
            <w:tcW w:w="1271"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160</w:t>
            </w:r>
          </w:p>
        </w:tc>
        <w:tc>
          <w:tcPr>
            <w:tcW w:w="1134"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140</w:t>
            </w:r>
          </w:p>
        </w:tc>
        <w:tc>
          <w:tcPr>
            <w:tcW w:w="817"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72" w:type="dxa"/>
            <w:vMerge w:val="continue"/>
            <w:tcBorders>
              <w:top w:val="nil"/>
              <w:left w:val="single" w:color="auto" w:sz="4" w:space="0"/>
              <w:bottom w:val="single" w:color="auto" w:sz="4" w:space="0"/>
              <w:right w:val="single" w:color="auto" w:sz="4" w:space="0"/>
            </w:tcBorders>
            <w:vAlign w:val="center"/>
          </w:tcPr>
          <w:p>
            <w:pPr>
              <w:widowControl/>
              <w:adjustRightInd/>
              <w:snapToGrid/>
              <w:ind w:firstLine="0" w:firstLineChars="0"/>
              <w:jc w:val="left"/>
              <w:rPr>
                <w:rFonts w:ascii="宋体" w:hAnsi="宋体" w:cs="Times New Roman"/>
                <w:color w:val="000000" w:themeColor="text1"/>
                <w:kern w:val="0"/>
                <w:szCs w:val="21"/>
                <w14:textFill>
                  <w14:solidFill>
                    <w14:schemeClr w14:val="tx1"/>
                  </w14:solidFill>
                </w14:textFill>
              </w:rPr>
            </w:pPr>
          </w:p>
        </w:tc>
        <w:tc>
          <w:tcPr>
            <w:tcW w:w="1898"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型钢（钢管）混凝土外筒-钢筋混凝土核心筒</w:t>
            </w:r>
          </w:p>
        </w:tc>
        <w:tc>
          <w:tcPr>
            <w:tcW w:w="992"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280</w:t>
            </w:r>
          </w:p>
        </w:tc>
        <w:tc>
          <w:tcPr>
            <w:tcW w:w="1139"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230</w:t>
            </w:r>
          </w:p>
        </w:tc>
        <w:tc>
          <w:tcPr>
            <w:tcW w:w="1271"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170</w:t>
            </w:r>
          </w:p>
        </w:tc>
        <w:tc>
          <w:tcPr>
            <w:tcW w:w="1134"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150</w:t>
            </w:r>
          </w:p>
        </w:tc>
        <w:tc>
          <w:tcPr>
            <w:tcW w:w="817" w:type="dxa"/>
            <w:tcBorders>
              <w:top w:val="single" w:color="auto" w:sz="4" w:space="0"/>
              <w:left w:val="nil"/>
              <w:bottom w:val="single" w:color="auto" w:sz="4" w:space="0"/>
              <w:right w:val="single" w:color="auto" w:sz="4" w:space="0"/>
            </w:tcBorders>
            <w:shd w:val="clear" w:color="auto" w:fill="FFFFFF"/>
            <w:vAlign w:val="center"/>
          </w:tcPr>
          <w:p>
            <w:pPr>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90</w:t>
            </w:r>
          </w:p>
        </w:tc>
      </w:tr>
    </w:tbl>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隔震建筑的高宽比宜满足相应抗震结构类型的要求。隔震结构高宽比计算时，其高度取隔震层以上结构的高度。</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上部结构在设防地震作用下，结构楼层内最大的弹性层间位移，应符合下式要求</w:t>
      </w:r>
    </w:p>
    <w:p>
      <w:pPr>
        <w:adjustRightInd/>
        <w:spacing w:line="300" w:lineRule="auto"/>
        <w:ind w:firstLine="1575" w:firstLineChars="750"/>
        <w:jc w:val="right"/>
        <w:rPr>
          <w:rFonts w:ascii="宋体" w:hAnsi="宋体" w:cs="Times New Roman"/>
          <w:color w:val="000000" w:themeColor="text1"/>
          <w:position w:val="-12"/>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723900" cy="278130"/>
            <wp:effectExtent l="0" t="0" r="0" b="762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a:xfrm>
                      <a:off x="0" y="0"/>
                      <a:ext cx="751606" cy="289411"/>
                    </a:xfrm>
                    <a:prstGeom prst="rect">
                      <a:avLst/>
                    </a:prstGeom>
                    <a:noFill/>
                    <a:ln>
                      <a:noFill/>
                    </a:ln>
                  </pic:spPr>
                </pic:pic>
              </a:graphicData>
            </a:graphic>
          </wp:inline>
        </w:drawing>
      </w:r>
      <w:r>
        <w:rPr>
          <w:rFonts w:hint="eastAsia" w:ascii="宋体" w:hAnsi="宋体" w:cs="Times New Roman"/>
          <w:color w:val="000000" w:themeColor="text1"/>
          <w:position w:val="-14"/>
          <w:szCs w:val="21"/>
          <w14:textFill>
            <w14:solidFill>
              <w14:schemeClr w14:val="tx1"/>
            </w14:solidFill>
          </w14:textFill>
        </w:rPr>
        <w:t xml:space="preserve">                         </w:t>
      </w:r>
      <w:r>
        <w:rPr>
          <w:rFonts w:hint="eastAsia" w:ascii="宋体" w:hAnsi="宋体" w:cs="Times New Roman"/>
          <w:color w:val="000000" w:themeColor="text1"/>
          <w:position w:val="-12"/>
          <w:szCs w:val="21"/>
          <w14:textFill>
            <w14:solidFill>
              <w14:schemeClr w14:val="tx1"/>
            </w14:solidFill>
          </w14:textFill>
        </w:rPr>
        <w:t>（G2.6.1-1）</w:t>
      </w:r>
    </w:p>
    <w:p>
      <w:pPr>
        <w:adjustRightInd/>
        <w:spacing w:line="30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222250" cy="222250"/>
            <wp:effectExtent l="0" t="0" r="6350" b="635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a:xfrm>
                      <a:off x="0" y="0"/>
                      <a:ext cx="222250" cy="2222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——设防地震作用标准值产生的楼层内最大的弹性层间位移；</w:t>
      </w:r>
    </w:p>
    <w:p>
      <w:pPr>
        <w:adjustRightInd/>
        <w:spacing w:line="300" w:lineRule="auto"/>
        <w:ind w:firstLine="630" w:firstLineChars="300"/>
        <w:jc w:val="lef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215900" cy="21590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a:xfrm>
                      <a:off x="0" y="0"/>
                      <a:ext cx="215900" cy="21590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——弹性层间位移角限值，应符合表2.6-4的要求；</w:t>
      </w:r>
    </w:p>
    <w:p>
      <w:pPr>
        <w:adjustRightInd/>
        <w:spacing w:line="300" w:lineRule="auto"/>
        <w:ind w:firstLine="630" w:firstLineChars="30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h——计算楼层层高。</w:t>
      </w:r>
    </w:p>
    <w:p>
      <w:pPr>
        <w:adjustRightInd/>
        <w:spacing w:before="6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表2.6-4  隔震层以上结构层间弹性位移角限值</w:t>
      </w:r>
    </w:p>
    <w:tbl>
      <w:tblPr>
        <w:tblStyle w:val="32"/>
        <w:tblW w:w="80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4"/>
        <w:gridCol w:w="1191"/>
        <w:gridCol w:w="1191"/>
        <w:gridCol w:w="11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12"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抗震设防类别</w:t>
            </w:r>
          </w:p>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结构类型</w:t>
            </w:r>
          </w:p>
        </w:tc>
        <w:tc>
          <w:tcPr>
            <w:tcW w:w="1191" w:type="dxa"/>
            <w:tcBorders>
              <w:top w:val="single" w:color="auto" w:sz="12" w:space="0"/>
              <w:left w:val="single" w:color="auto" w:sz="6" w:space="0"/>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甲类</w:t>
            </w:r>
          </w:p>
        </w:tc>
        <w:tc>
          <w:tcPr>
            <w:tcW w:w="1191" w:type="dxa"/>
            <w:tcBorders>
              <w:top w:val="single" w:color="auto" w:sz="12" w:space="0"/>
              <w:left w:val="nil"/>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乙类</w:t>
            </w:r>
          </w:p>
        </w:tc>
        <w:tc>
          <w:tcPr>
            <w:tcW w:w="1189" w:type="dxa"/>
            <w:tcBorders>
              <w:top w:val="single" w:color="auto" w:sz="12" w:space="0"/>
              <w:left w:val="nil"/>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丙类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钢筋混凝土框架结构</w:t>
            </w:r>
          </w:p>
        </w:tc>
        <w:tc>
          <w:tcPr>
            <w:tcW w:w="1191" w:type="dxa"/>
            <w:tcBorders>
              <w:top w:val="single" w:color="auto" w:sz="6" w:space="0"/>
              <w:left w:val="single" w:color="auto" w:sz="6" w:space="0"/>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1/550</w:t>
            </w:r>
          </w:p>
        </w:tc>
        <w:tc>
          <w:tcPr>
            <w:tcW w:w="1191" w:type="dxa"/>
            <w:tcBorders>
              <w:top w:val="single" w:color="auto" w:sz="6" w:space="0"/>
              <w:left w:val="nil"/>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1/450</w:t>
            </w:r>
          </w:p>
        </w:tc>
        <w:tc>
          <w:tcPr>
            <w:tcW w:w="1189" w:type="dxa"/>
            <w:tcBorders>
              <w:top w:val="single" w:color="auto" w:sz="6" w:space="0"/>
              <w:left w:val="nil"/>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钢筋混凝土框架-抗震墙、板柱-抗震墙、框架-核心筒</w:t>
            </w:r>
          </w:p>
        </w:tc>
        <w:tc>
          <w:tcPr>
            <w:tcW w:w="1191" w:type="dxa"/>
            <w:tcBorders>
              <w:top w:val="single" w:color="auto" w:sz="6" w:space="0"/>
              <w:left w:val="single" w:color="auto" w:sz="6" w:space="0"/>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1/800</w:t>
            </w:r>
          </w:p>
        </w:tc>
        <w:tc>
          <w:tcPr>
            <w:tcW w:w="1191" w:type="dxa"/>
            <w:tcBorders>
              <w:top w:val="single" w:color="auto" w:sz="6" w:space="0"/>
              <w:left w:val="nil"/>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1/600</w:t>
            </w:r>
          </w:p>
        </w:tc>
        <w:tc>
          <w:tcPr>
            <w:tcW w:w="1189" w:type="dxa"/>
            <w:tcBorders>
              <w:top w:val="single" w:color="auto" w:sz="6" w:space="0"/>
              <w:left w:val="nil"/>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1/550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钢筋混凝土抗震墙结构</w:t>
            </w:r>
          </w:p>
        </w:tc>
        <w:tc>
          <w:tcPr>
            <w:tcW w:w="1191" w:type="dxa"/>
            <w:tcBorders>
              <w:top w:val="single" w:color="auto" w:sz="6" w:space="0"/>
              <w:left w:val="single" w:color="auto" w:sz="6" w:space="0"/>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1/1000</w:t>
            </w:r>
          </w:p>
        </w:tc>
        <w:tc>
          <w:tcPr>
            <w:tcW w:w="1191" w:type="dxa"/>
            <w:tcBorders>
              <w:top w:val="single" w:color="auto" w:sz="6" w:space="0"/>
              <w:left w:val="nil"/>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1/800</w:t>
            </w:r>
          </w:p>
        </w:tc>
        <w:tc>
          <w:tcPr>
            <w:tcW w:w="1189" w:type="dxa"/>
            <w:tcBorders>
              <w:top w:val="single" w:color="auto" w:sz="6" w:space="0"/>
              <w:left w:val="nil"/>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1/750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6" w:space="0"/>
              <w:left w:val="single" w:color="auto" w:sz="12" w:space="0"/>
              <w:bottom w:val="single" w:color="auto" w:sz="12"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钢结构</w:t>
            </w:r>
          </w:p>
        </w:tc>
        <w:tc>
          <w:tcPr>
            <w:tcW w:w="1191" w:type="dxa"/>
            <w:tcBorders>
              <w:top w:val="single" w:color="auto" w:sz="6" w:space="0"/>
              <w:left w:val="single" w:color="auto" w:sz="6" w:space="0"/>
              <w:bottom w:val="single" w:color="auto" w:sz="12"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1/300</w:t>
            </w:r>
          </w:p>
        </w:tc>
        <w:tc>
          <w:tcPr>
            <w:tcW w:w="1191" w:type="dxa"/>
            <w:tcBorders>
              <w:top w:val="single" w:color="auto" w:sz="6" w:space="0"/>
              <w:left w:val="nil"/>
              <w:bottom w:val="single" w:color="auto" w:sz="12"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1/250</w:t>
            </w:r>
          </w:p>
        </w:tc>
        <w:tc>
          <w:tcPr>
            <w:tcW w:w="1189" w:type="dxa"/>
            <w:tcBorders>
              <w:top w:val="single" w:color="auto" w:sz="6" w:space="0"/>
              <w:left w:val="nil"/>
              <w:bottom w:val="single" w:color="auto" w:sz="12"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1/200</w:t>
            </w:r>
          </w:p>
        </w:tc>
      </w:tr>
    </w:tbl>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4上部结构在罕遇地震地震作用下，结构楼层内最大的弹塑性层间位移，应符合下式要求：</w:t>
      </w:r>
    </w:p>
    <w:p>
      <w:pPr>
        <w:adjustRightInd/>
        <w:spacing w:line="300" w:lineRule="auto"/>
        <w:ind w:right="105" w:firstLine="0" w:firstLineChars="0"/>
        <w:jc w:val="right"/>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685800" cy="263525"/>
            <wp:effectExtent l="0" t="0" r="0" b="317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0" y="0"/>
                      <a:ext cx="709310" cy="273125"/>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ab/>
      </w:r>
      <w:r>
        <w:rPr>
          <w:rFonts w:hint="eastAsia" w:ascii="宋体" w:hAnsi="宋体" w:cs="Times New Roman"/>
          <w:color w:val="000000" w:themeColor="text1"/>
          <w:szCs w:val="21"/>
          <w14:textFill>
            <w14:solidFill>
              <w14:schemeClr w14:val="tx1"/>
            </w14:solidFill>
          </w14:textFill>
        </w:rPr>
        <w:tab/>
      </w:r>
      <w:r>
        <w:rPr>
          <w:rFonts w:hint="eastAsia" w:ascii="宋体" w:hAnsi="宋体" w:cs="Times New Roman"/>
          <w:color w:val="000000" w:themeColor="text1"/>
          <w:szCs w:val="21"/>
          <w14:textFill>
            <w14:solidFill>
              <w14:schemeClr w14:val="tx1"/>
            </w14:solidFill>
          </w14:textFill>
        </w:rPr>
        <w:tab/>
      </w:r>
      <w:r>
        <w:rPr>
          <w:rFonts w:hint="eastAsia" w:ascii="宋体" w:hAnsi="宋体" w:cs="Times New Roman"/>
          <w:color w:val="000000" w:themeColor="text1"/>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ab/>
      </w:r>
      <w:r>
        <w:rPr>
          <w:rFonts w:hint="eastAsia" w:ascii="宋体" w:hAnsi="宋体" w:cs="Times New Roman"/>
          <w:color w:val="000000" w:themeColor="text1"/>
          <w:position w:val="-12"/>
          <w:szCs w:val="21"/>
          <w14:textFill>
            <w14:solidFill>
              <w14:schemeClr w14:val="tx1"/>
            </w14:solidFill>
          </w14:textFill>
        </w:rPr>
        <w:t>（2.6.2）</w:t>
      </w:r>
    </w:p>
    <w:p>
      <w:pPr>
        <w:adjustRightInd/>
        <w:spacing w:line="300" w:lineRule="auto"/>
        <w:ind w:firstLine="420" w:firstLineChars="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279400" cy="250190"/>
            <wp:effectExtent l="0" t="0" r="635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a:xfrm>
                      <a:off x="0" y="0"/>
                      <a:ext cx="287776" cy="25771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——在罕遇地震地震作用下弹塑性层间位移，宜采用动力弹塑性时程分析方法；对规则建筑，也可采用静力弹塑性分析方法或等效线性化方法。</w:t>
      </w:r>
    </w:p>
    <w:p>
      <w:pPr>
        <w:adjustRightInd/>
        <w:spacing w:line="300" w:lineRule="auto"/>
        <w:ind w:firstLine="420" w:firstLineChars="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260350" cy="260350"/>
            <wp:effectExtent l="0" t="0" r="6350" b="635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a:xfrm>
                      <a:off x="0" y="0"/>
                      <a:ext cx="260350" cy="2603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——弹塑性位移角限值，应符合表2.6-5的规定。</w:t>
      </w:r>
    </w:p>
    <w:p>
      <w:pPr>
        <w:adjustRightInd/>
        <w:spacing w:before="6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表2.6-5  隔震层以上结构层间罕遇地震作用下弹塑性位移角限值</w:t>
      </w:r>
    </w:p>
    <w:tbl>
      <w:tblPr>
        <w:tblStyle w:val="32"/>
        <w:tblW w:w="832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75"/>
        <w:gridCol w:w="17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575" w:type="dxa"/>
            <w:tcBorders>
              <w:top w:val="single" w:color="auto" w:sz="12"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结构类型</w:t>
            </w:r>
          </w:p>
        </w:tc>
        <w:tc>
          <w:tcPr>
            <w:tcW w:w="1750" w:type="dxa"/>
            <w:tcBorders>
              <w:top w:val="single" w:color="auto" w:sz="12" w:space="0"/>
              <w:left w:val="single" w:color="auto" w:sz="6" w:space="0"/>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罕遇地震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575"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钢筋混凝土框架结构</w:t>
            </w:r>
          </w:p>
        </w:tc>
        <w:tc>
          <w:tcPr>
            <w:tcW w:w="1750" w:type="dxa"/>
            <w:tcBorders>
              <w:top w:val="single" w:color="auto" w:sz="6" w:space="0"/>
              <w:left w:val="single" w:color="auto" w:sz="6" w:space="0"/>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1/150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575"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钢筋混凝土框架-抗震墙、板柱-抗震墙、框架-核心筒</w:t>
            </w:r>
          </w:p>
        </w:tc>
        <w:tc>
          <w:tcPr>
            <w:tcW w:w="1750" w:type="dxa"/>
            <w:tcBorders>
              <w:top w:val="single" w:color="auto" w:sz="6" w:space="0"/>
              <w:left w:val="single" w:color="auto" w:sz="6" w:space="0"/>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1/250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575"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钢筋混凝土抗震墙结构</w:t>
            </w:r>
          </w:p>
        </w:tc>
        <w:tc>
          <w:tcPr>
            <w:tcW w:w="1750" w:type="dxa"/>
            <w:tcBorders>
              <w:top w:val="single" w:color="auto" w:sz="6" w:space="0"/>
              <w:left w:val="single" w:color="auto" w:sz="6" w:space="0"/>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1/300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575" w:type="dxa"/>
            <w:tcBorders>
              <w:top w:val="single" w:color="auto" w:sz="6" w:space="0"/>
              <w:left w:val="single" w:color="auto" w:sz="12" w:space="0"/>
              <w:bottom w:val="single" w:color="auto" w:sz="12"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钢结构</w:t>
            </w:r>
          </w:p>
        </w:tc>
        <w:tc>
          <w:tcPr>
            <w:tcW w:w="1750" w:type="dxa"/>
            <w:tcBorders>
              <w:top w:val="single" w:color="auto" w:sz="6" w:space="0"/>
              <w:left w:val="single" w:color="auto" w:sz="6" w:space="0"/>
              <w:bottom w:val="single" w:color="auto" w:sz="12"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1/120</w:t>
            </w:r>
          </w:p>
        </w:tc>
      </w:tr>
    </w:tbl>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5隔震层下部结构的承载力验算，应考虑上部结构传来的轴力、弯矩、水平剪力以及由隔震层水平变形产生的附加弯矩。</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6 隔震层支墩、支柱及相连构件，应采用在罕遇地震下隔震支座底部的竖向力、水平力和弯矩进行承载力验算。</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7 隔震层以下的地下室或隔震塔楼下的底盘中直接支撑塔楼结构及其相邻一跨的相关构件，应满足设防地震烈度下的抗震承载力要求，设防地震下层间位移角限值应满足表2.6-6的要求。隔震层以下地面以上的结构在罕遇地震下的层间位移角限值应满足表2.6-7的要求。</w:t>
      </w:r>
    </w:p>
    <w:p>
      <w:pPr>
        <w:adjustRightInd/>
        <w:spacing w:before="6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表2.6-6  隔震层以下结构弹性层间位移角限值</w:t>
      </w:r>
    </w:p>
    <w:tbl>
      <w:tblPr>
        <w:tblStyle w:val="32"/>
        <w:tblW w:w="62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791"/>
        <w:gridCol w:w="14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3" w:hRule="atLeast"/>
          <w:jc w:val="center"/>
        </w:trPr>
        <w:tc>
          <w:tcPr>
            <w:tcW w:w="4791" w:type="dxa"/>
            <w:tcBorders>
              <w:top w:val="single" w:color="auto" w:sz="12"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下部结构类型</w:t>
            </w:r>
          </w:p>
        </w:tc>
        <w:tc>
          <w:tcPr>
            <w:tcW w:w="1449" w:type="dxa"/>
            <w:tcBorders>
              <w:top w:val="single" w:color="auto" w:sz="12" w:space="0"/>
              <w:left w:val="nil"/>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设防地震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jc w:val="center"/>
        </w:trPr>
        <w:tc>
          <w:tcPr>
            <w:tcW w:w="4791"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钢筋混凝土框架结构</w:t>
            </w:r>
          </w:p>
        </w:tc>
        <w:tc>
          <w:tcPr>
            <w:tcW w:w="1449" w:type="dxa"/>
            <w:tcBorders>
              <w:top w:val="single" w:color="auto" w:sz="6" w:space="0"/>
              <w:left w:val="nil"/>
              <w:bottom w:val="single" w:color="auto" w:sz="6" w:space="0"/>
              <w:right w:val="single" w:color="auto" w:sz="6" w:space="0"/>
            </w:tcBorders>
            <w:vAlign w:val="center"/>
          </w:tcPr>
          <w:p>
            <w:pPr>
              <w:adjustRightInd/>
              <w:spacing w:line="300" w:lineRule="auto"/>
              <w:ind w:left="105" w:leftChars="50"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1/550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4791"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底部框架砌体房屋中的框架-抗震墙、钢筋混凝土框架-抗震墙、板柱-抗震墙、框架-核心筒</w:t>
            </w:r>
          </w:p>
        </w:tc>
        <w:tc>
          <w:tcPr>
            <w:tcW w:w="1449" w:type="dxa"/>
            <w:tcBorders>
              <w:top w:val="single" w:color="auto" w:sz="6" w:space="0"/>
              <w:left w:val="nil"/>
              <w:bottom w:val="single" w:color="auto" w:sz="6" w:space="0"/>
              <w:right w:val="single" w:color="auto" w:sz="6" w:space="0"/>
            </w:tcBorders>
            <w:vAlign w:val="center"/>
          </w:tcPr>
          <w:p>
            <w:pPr>
              <w:adjustRightInd/>
              <w:spacing w:line="300" w:lineRule="auto"/>
              <w:ind w:left="105" w:leftChars="50"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1/800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jc w:val="center"/>
        </w:trPr>
        <w:tc>
          <w:tcPr>
            <w:tcW w:w="4791"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钢筋混凝土抗震墙结构</w:t>
            </w:r>
          </w:p>
        </w:tc>
        <w:tc>
          <w:tcPr>
            <w:tcW w:w="1449" w:type="dxa"/>
            <w:tcBorders>
              <w:top w:val="single" w:color="auto" w:sz="6" w:space="0"/>
              <w:left w:val="nil"/>
              <w:bottom w:val="single" w:color="auto" w:sz="6" w:space="0"/>
              <w:right w:val="single" w:color="auto" w:sz="6" w:space="0"/>
            </w:tcBorders>
            <w:vAlign w:val="center"/>
          </w:tcPr>
          <w:p>
            <w:pPr>
              <w:adjustRightInd/>
              <w:spacing w:line="300" w:lineRule="auto"/>
              <w:ind w:left="105" w:leftChars="50"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4791" w:type="dxa"/>
            <w:tcBorders>
              <w:top w:val="single" w:color="auto" w:sz="6" w:space="0"/>
              <w:left w:val="single" w:color="auto" w:sz="12" w:space="0"/>
              <w:bottom w:val="single" w:color="auto" w:sz="12"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钢结构</w:t>
            </w:r>
          </w:p>
        </w:tc>
        <w:tc>
          <w:tcPr>
            <w:tcW w:w="1449" w:type="dxa"/>
            <w:tcBorders>
              <w:top w:val="single" w:color="auto" w:sz="6" w:space="0"/>
              <w:left w:val="nil"/>
              <w:bottom w:val="single" w:color="auto" w:sz="12" w:space="0"/>
              <w:right w:val="single" w:color="auto" w:sz="6" w:space="0"/>
            </w:tcBorders>
            <w:vAlign w:val="center"/>
          </w:tcPr>
          <w:p>
            <w:pPr>
              <w:adjustRightInd/>
              <w:spacing w:line="300" w:lineRule="auto"/>
              <w:ind w:left="105" w:leftChars="50"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1/250</w:t>
            </w:r>
          </w:p>
        </w:tc>
      </w:tr>
    </w:tbl>
    <w:p>
      <w:pPr>
        <w:adjustRightIn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w:t>
      </w:r>
    </w:p>
    <w:p>
      <w:pPr>
        <w:adjustRightInd/>
        <w:spacing w:before="6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表2.6-7 隔震层以下结构弹塑性层间位移角限值</w:t>
      </w:r>
    </w:p>
    <w:tbl>
      <w:tblPr>
        <w:tblStyle w:val="32"/>
        <w:tblW w:w="64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68"/>
        <w:gridCol w:w="12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5" w:hRule="atLeast"/>
          <w:jc w:val="center"/>
        </w:trPr>
        <w:tc>
          <w:tcPr>
            <w:tcW w:w="5268" w:type="dxa"/>
            <w:tcBorders>
              <w:top w:val="single" w:color="auto" w:sz="12"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下部结构类型</w:t>
            </w:r>
          </w:p>
        </w:tc>
        <w:tc>
          <w:tcPr>
            <w:tcW w:w="1212" w:type="dxa"/>
            <w:tcBorders>
              <w:top w:val="single" w:color="auto" w:sz="12" w:space="0"/>
              <w:left w:val="nil"/>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罕遇地震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5268"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钢筋混凝土框架结构</w:t>
            </w:r>
          </w:p>
        </w:tc>
        <w:tc>
          <w:tcPr>
            <w:tcW w:w="1212" w:type="dxa"/>
            <w:tcBorders>
              <w:top w:val="single" w:color="auto" w:sz="6" w:space="0"/>
              <w:left w:val="nil"/>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1/250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5268"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底部框架砌体房屋中的框架-抗震墙、钢筋混凝土框架-抗震墙、板柱-抗震墙、框架-核心筒</w:t>
            </w:r>
          </w:p>
        </w:tc>
        <w:tc>
          <w:tcPr>
            <w:tcW w:w="1212" w:type="dxa"/>
            <w:tcBorders>
              <w:top w:val="single" w:color="auto" w:sz="6" w:space="0"/>
              <w:left w:val="nil"/>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1/300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5268"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钢筋混凝土抗震墙结构</w:t>
            </w:r>
          </w:p>
        </w:tc>
        <w:tc>
          <w:tcPr>
            <w:tcW w:w="1212" w:type="dxa"/>
            <w:tcBorders>
              <w:top w:val="single" w:color="auto" w:sz="6" w:space="0"/>
              <w:left w:val="nil"/>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5268" w:type="dxa"/>
            <w:tcBorders>
              <w:top w:val="single" w:color="auto" w:sz="6" w:space="0"/>
              <w:left w:val="single" w:color="auto" w:sz="12" w:space="0"/>
              <w:bottom w:val="single" w:color="auto" w:sz="12"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钢结构</w:t>
            </w:r>
          </w:p>
        </w:tc>
        <w:tc>
          <w:tcPr>
            <w:tcW w:w="1212" w:type="dxa"/>
            <w:tcBorders>
              <w:top w:val="single" w:color="auto" w:sz="6" w:space="0"/>
              <w:left w:val="nil"/>
              <w:bottom w:val="single" w:color="auto" w:sz="12"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1/150</w:t>
            </w:r>
          </w:p>
        </w:tc>
      </w:tr>
    </w:tbl>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9 隔震层以下结构抗震措施按下列要求采用：</w:t>
      </w:r>
    </w:p>
    <w:p>
      <w:pPr>
        <w:adjustRightInd/>
        <w:snapToGrid/>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1）地面以上结构抗震措施，隔震建筑投影并向外延一跨范围内，6、7度抗震等级框架二级、抗震墙一级，8、9度抗震等级框架一级、抗震墙一级。投影范围以外结构抗震等级按非隔震建筑采用；</w:t>
      </w:r>
    </w:p>
    <w:p>
      <w:pPr>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2）地下室、地下一层抗震等级应与地面上一层相同，以下各层结构构造措施可逐渐降低。地下室顶为隔震层时，地下室抗震等级应与隔震层上一层抗震等级相同。</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G.2.7  </w:t>
      </w:r>
      <w:r>
        <w:rPr>
          <w:rFonts w:ascii="宋体" w:hAnsi="宋体" w:cs="Times New Roman"/>
          <w:color w:val="000000" w:themeColor="text1"/>
          <w:szCs w:val="21"/>
          <w14:textFill>
            <w14:solidFill>
              <w14:schemeClr w14:val="tx1"/>
            </w14:solidFill>
          </w14:textFill>
        </w:rPr>
        <w:t xml:space="preserve">隔震支座应符合下列要求： </w:t>
      </w:r>
    </w:p>
    <w:p>
      <w:pPr>
        <w:adjustRightInd/>
        <w:snapToGrid/>
        <w:spacing w:line="300" w:lineRule="auto"/>
        <w:ind w:firstLine="420"/>
        <w:rPr>
          <w:rFonts w:ascii="Calibri" w:hAnsi="Calibri"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隔震支座的性能参数及滞回曲线应经对所用产品试验确定。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隔震支座的设置部位，除按计算确定外，尚应便于检查和替换。</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设计文件上应注明对支座的性能要求，安装前应具有相关产品的第三方型式检验报告及按规定进行第三方出厂检测。</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隔震支座整体设计使用年限不应低于隔震结构的设计使用年限，一般应大于50年。</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 隔震支座的产品要求除满足本规范相关要求外，尚须符合相关的产品标准。</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6 隔震层中的隔震支座的产品应进行型式检验、出厂检验和进场检验，出厂检验可由生产厂家的质监系统自行完成，型式检验和进场检验应由独立于生产厂家的第三方完成。除满足相关的产品要求外，使用产品的型式检验报告有效期不得超过5年。进场检验报告只对采用该产品的工程项目有效，不得重复使用。</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7 进场检验的检测试件应由第三方采用随机抽样的方式抽取。当任一件抽样试件的任一项性能不合格时，该次抽样检验为不合格。不合格产品不得用于实际工程。进场检验数量应符合下列要求：</w:t>
      </w:r>
    </w:p>
    <w:p>
      <w:pPr>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1）甲建筑，每种规格产品抽样数量应为100%。</w:t>
      </w:r>
    </w:p>
    <w:p>
      <w:pPr>
        <w:spacing w:line="300" w:lineRule="auto"/>
        <w:ind w:left="630" w:leftChars="300"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2）乙类建筑，每种规格产品抽样数量应为50%；若有不合格试件时，则应100%检测。</w:t>
      </w:r>
    </w:p>
    <w:p>
      <w:pPr>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3）丙类建筑，每种规格产品抽样数量不应少于总数的20%；若有不合格试件时，应重新抽取总数的30%，若仍有不合格试件时，则应100%检测。</w:t>
      </w:r>
    </w:p>
    <w:p>
      <w:pPr>
        <w:spacing w:line="300" w:lineRule="auto"/>
        <w:ind w:left="840" w:leftChars="300" w:hanging="210" w:hangingChars="10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3）一般情况下，每项工程抽样总数不应少于20件，每种规格的产品抽样数量不应少于4件，当产品少于4件时，应全部进行检测。</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8 隔震支座检验时，剪切性能应考虑温度修正和加载频率修正。</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G.2.8  隔震支座的连接构造应符合以下规定：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隔震结构在罕遇地震作用发生最大变形时，应采取有效措施不阻碍隔震层的变形。</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当门厅入口、室外踏步、室内楼梯、电梯、地下室坡道、车道入口处等穿越隔震层时，在上部结构周边预留足够的变形空间，不得有任何固定物对上部结构的水平和竖向移动形成阻挡，防止产生可能的碰撞。预留变形空间时，应分别考虑隔震层在罕遇地震作用下水平和竖向最大位移的1.2倍。</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隔震层设置在有耐火要求的使用空间时，隔震支座和其它部件应根据使用空间的耐火等级采取相应的防火措施。</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隔震支座应留有便于观测和维修更换隔震支座的空间，并设置必要的照明，通风等设施。</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 竖向电梯井穿过隔震层时，可采用悬吊式方案，在罕遇地震作用下，电梯井悬吊部分上下端的层间位移角对于混凝土结构不应大于1/500，对于钢结构不应大于1/200。</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6 电梯井周边应留有足够空间以满足上部结构水平位移、检修及清理的要求，在电梯井出入口与外部地面之间应设置滑动盖板。</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7 穿越隔震层的楼梯及楼梯扶手在适当部位应断开，并采取有效措施防止断开部分发生碰撞。</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w:t>
      </w:r>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G.3  屋盖隔震</w:t>
      </w:r>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G.3.1  </w:t>
      </w:r>
      <w:r>
        <w:rPr>
          <w:rFonts w:hint="eastAsia" w:ascii="宋体" w:hAnsi="宋体" w:cs="Times New Roman"/>
          <w:color w:val="000000" w:themeColor="text1"/>
          <w:szCs w:val="21"/>
          <w:shd w:val="clear" w:color="auto" w:fill="FFFFFF"/>
          <w14:textFill>
            <w14:solidFill>
              <w14:schemeClr w14:val="tx1"/>
            </w14:solidFill>
          </w14:textFill>
        </w:rPr>
        <w:t>本章适用于采用网架结构、网壳结构、立体桁架、弦支穹顶等空间网格结构或索膜等作为屋盖结构的大跨屋盖建筑，</w:t>
      </w:r>
      <w:r>
        <w:rPr>
          <w:rFonts w:hint="eastAsia" w:ascii="宋体" w:hAnsi="宋体" w:cs="Times New Roman"/>
          <w:color w:val="000000" w:themeColor="text1"/>
          <w:szCs w:val="21"/>
          <w14:textFill>
            <w14:solidFill>
              <w14:schemeClr w14:val="tx1"/>
            </w14:solidFill>
          </w14:textFill>
        </w:rPr>
        <w:t>大跨屋盖建筑中的隔震支座宜采用摩擦摆隔震支座。</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G.3.2  屋盖隔震时隔震层的布置要求。</w:t>
      </w:r>
    </w:p>
    <w:p>
      <w:pPr>
        <w:shd w:val="clear" w:color="auto" w:fill="FFFFFF"/>
        <w:adjustRightInd/>
        <w:spacing w:line="300" w:lineRule="auto"/>
        <w:ind w:firstLine="420"/>
        <w:rPr>
          <w:rFonts w:ascii="宋体" w:hAnsi="宋体" w:cs="Times New Roman"/>
          <w:color w:val="000000" w:themeColor="text1"/>
          <w:szCs w:val="21"/>
          <w:shd w:val="clear" w:color="auto" w:fill="FFFFFF"/>
          <w14:textFill>
            <w14:solidFill>
              <w14:schemeClr w14:val="tx1"/>
            </w14:solidFill>
          </w14:textFill>
        </w:rPr>
      </w:pPr>
      <w:r>
        <w:rPr>
          <w:rFonts w:hint="eastAsia" w:ascii="宋体" w:hAnsi="宋体" w:cs="Times New Roman"/>
          <w:color w:val="000000" w:themeColor="text1"/>
          <w:szCs w:val="21"/>
          <w:shd w:val="clear" w:color="auto" w:fill="FFFFFF"/>
          <w14:textFill>
            <w14:solidFill>
              <w14:schemeClr w14:val="tx1"/>
            </w14:solidFill>
          </w14:textFill>
        </w:rPr>
        <w:t>隔震层宜设置在大跨屋盖结构支座位置（屋盖隔震）。</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G.3.3  隔震支座的选型应满足以下要求：</w:t>
      </w:r>
    </w:p>
    <w:p>
      <w:pPr>
        <w:spacing w:before="156" w:beforeLines="50" w:line="300" w:lineRule="auto"/>
        <w:ind w:firstLine="420"/>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隔震层的</w:t>
      </w:r>
      <w:r>
        <w:rPr>
          <w:rFonts w:ascii="宋体" w:hAnsi="宋体" w:cs="Times New Roman"/>
          <w:color w:val="000000" w:themeColor="text1"/>
          <w:szCs w:val="21"/>
          <w14:textFill>
            <w14:solidFill>
              <w14:schemeClr w14:val="tx1"/>
            </w14:solidFill>
          </w14:textFill>
        </w:rPr>
        <w:t>摩擦摆隔震支座</w:t>
      </w:r>
      <w:r>
        <w:rPr>
          <w:rFonts w:hint="eastAsia" w:ascii="宋体" w:hAnsi="宋体" w:cs="Times New Roman"/>
          <w:color w:val="000000" w:themeColor="text1"/>
          <w:kern w:val="0"/>
          <w:szCs w:val="21"/>
          <w14:textFill>
            <w14:solidFill>
              <w14:schemeClr w14:val="tx1"/>
            </w14:solidFill>
          </w14:textFill>
        </w:rPr>
        <w:t>在罕遇地震</w:t>
      </w:r>
      <w:r>
        <w:rPr>
          <w:rFonts w:hint="eastAsia" w:ascii="宋体" w:hAnsi="宋体" w:cs="Times New Roman"/>
          <w:color w:val="000000" w:themeColor="text1"/>
          <w:szCs w:val="21"/>
          <w14:textFill>
            <w14:solidFill>
              <w14:schemeClr w14:val="tx1"/>
            </w14:solidFill>
          </w14:textFill>
        </w:rPr>
        <w:t>作用</w:t>
      </w:r>
      <w:r>
        <w:rPr>
          <w:rFonts w:hint="eastAsia" w:ascii="宋体" w:hAnsi="宋体" w:cs="Times New Roman"/>
          <w:color w:val="000000" w:themeColor="text1"/>
          <w:kern w:val="0"/>
          <w:szCs w:val="21"/>
          <w14:textFill>
            <w14:solidFill>
              <w14:schemeClr w14:val="tx1"/>
            </w14:solidFill>
          </w14:textFill>
        </w:rPr>
        <w:t>下的最大竖向压应力，应不超过摩擦摆隔震支座基准设计面压的两倍，且应</w:t>
      </w:r>
      <w:r>
        <w:rPr>
          <w:rFonts w:hint="eastAsia" w:ascii="宋体" w:hAnsi="宋体" w:cs="Times New Roman"/>
          <w:color w:val="000000" w:themeColor="text1"/>
          <w:szCs w:val="21"/>
          <w14:textFill>
            <w14:solidFill>
              <w14:schemeClr w14:val="tx1"/>
            </w14:solidFill>
          </w14:textFill>
        </w:rPr>
        <w:t>保持受压状态。</w:t>
      </w:r>
    </w:p>
    <w:p>
      <w:pPr>
        <w:spacing w:before="156" w:beforeLines="50"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隔震层的总屈服力应符合下式要求：</w:t>
      </w:r>
    </w:p>
    <w:p>
      <w:pPr>
        <w:adjustRightInd/>
        <w:snapToGrid/>
        <w:spacing w:line="300" w:lineRule="auto"/>
        <w:ind w:firstLine="0" w:firstLineChars="0"/>
        <w:jc w:val="right"/>
        <w:rPr>
          <w:rFonts w:ascii="宋体" w:hAnsi="宋体" w:cs="Times New Roman"/>
          <w:color w:val="000000" w:themeColor="text1"/>
          <w:szCs w:val="21"/>
          <w14:textFill>
            <w14:solidFill>
              <w14:schemeClr w14:val="tx1"/>
            </w14:solidFill>
          </w14:textFill>
        </w:rPr>
      </w:pPr>
      <w:r>
        <w:rPr>
          <w:rFonts w:cs="宋体"/>
          <w:color w:val="000000" w:themeColor="text1"/>
          <w:szCs w:val="21"/>
          <w14:textFill>
            <w14:solidFill>
              <w14:schemeClr w14:val="tx1"/>
            </w14:solidFill>
          </w14:textFill>
        </w:rPr>
        <w:drawing>
          <wp:inline distT="0" distB="0" distL="0" distR="0">
            <wp:extent cx="603250" cy="228600"/>
            <wp:effectExtent l="0" t="0" r="635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a:xfrm>
                      <a:off x="0" y="0"/>
                      <a:ext cx="643451" cy="244348"/>
                    </a:xfrm>
                    <a:prstGeom prst="rect">
                      <a:avLst/>
                    </a:prstGeom>
                    <a:noFill/>
                    <a:ln>
                      <a:noFill/>
                    </a:ln>
                  </pic:spPr>
                </pic:pic>
              </a:graphicData>
            </a:graphic>
          </wp:inline>
        </w:drawing>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Times New Roman"/>
          <w:color w:val="000000" w:themeColor="text1"/>
          <w:szCs w:val="21"/>
          <w14:textFill>
            <w14:solidFill>
              <w14:schemeClr w14:val="tx1"/>
            </w14:solidFill>
          </w14:textFill>
        </w:rPr>
        <w:t>（G.3.3-1）</w:t>
      </w:r>
    </w:p>
    <w:p>
      <w:pPr>
        <w:adjustRightInd/>
        <w:snapToGrid/>
        <w:spacing w:line="300" w:lineRule="auto"/>
        <w:ind w:firstLine="315" w:firstLineChars="15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式中：</w:t>
      </w:r>
      <w:r>
        <w:rPr>
          <w:rFonts w:cs="宋体"/>
          <w:color w:val="000000" w:themeColor="text1"/>
          <w:szCs w:val="21"/>
          <w14:textFill>
            <w14:solidFill>
              <w14:schemeClr w14:val="tx1"/>
            </w14:solidFill>
          </w14:textFill>
        </w:rPr>
        <w:drawing>
          <wp:inline distT="0" distB="0" distL="0" distR="0">
            <wp:extent cx="163830" cy="273050"/>
            <wp:effectExtent l="0" t="0" r="762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a:xfrm>
                      <a:off x="0" y="0"/>
                      <a:ext cx="164338" cy="273897"/>
                    </a:xfrm>
                    <a:prstGeom prst="rect">
                      <a:avLst/>
                    </a:prstGeom>
                    <a:noFill/>
                    <a:ln>
                      <a:noFill/>
                    </a:ln>
                  </pic:spPr>
                </pic:pic>
              </a:graphicData>
            </a:graphic>
          </wp:inline>
        </w:drawing>
      </w:r>
      <w:r>
        <w:rPr>
          <w:rFonts w:hint="eastAsia" w:ascii="宋体" w:hAnsi="宋体" w:cs="宋体"/>
          <w:color w:val="000000" w:themeColor="text1"/>
          <w:szCs w:val="21"/>
          <w14:textFill>
            <w14:solidFill>
              <w14:schemeClr w14:val="tx1"/>
            </w14:solidFill>
          </w14:textFill>
        </w:rPr>
        <w:t>—风荷载分项系数，取1.4。</w:t>
      </w:r>
    </w:p>
    <w:p>
      <w:pPr>
        <w:adjustRightInd/>
        <w:snapToGrid/>
        <w:spacing w:before="100" w:beforeAutospacing="1" w:after="100" w:afterAutospacing="1" w:line="300" w:lineRule="auto"/>
        <w:ind w:left="1050" w:leftChars="450" w:hanging="105" w:hangingChars="50"/>
        <w:rPr>
          <w:rFonts w:ascii="宋体" w:hAnsi="宋体" w:cs="宋体"/>
          <w:color w:val="000000" w:themeColor="text1"/>
          <w:szCs w:val="21"/>
          <w14:textFill>
            <w14:solidFill>
              <w14:schemeClr w14:val="tx1"/>
            </w14:solidFill>
          </w14:textFill>
        </w:rPr>
      </w:pPr>
      <w:r>
        <w:rPr>
          <w:rFonts w:cs="宋体"/>
          <w:color w:val="000000" w:themeColor="text1"/>
          <w:szCs w:val="21"/>
          <w14:textFill>
            <w14:solidFill>
              <w14:schemeClr w14:val="tx1"/>
            </w14:solidFill>
          </w14:textFill>
        </w:rPr>
        <w:drawing>
          <wp:inline distT="0" distB="0" distL="0" distR="0">
            <wp:extent cx="209550" cy="20955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a:xfrm>
                      <a:off x="0" y="0"/>
                      <a:ext cx="209550" cy="209550"/>
                    </a:xfrm>
                    <a:prstGeom prst="rect">
                      <a:avLst/>
                    </a:prstGeom>
                    <a:noFill/>
                    <a:ln>
                      <a:noFill/>
                    </a:ln>
                  </pic:spPr>
                </pic:pic>
              </a:graphicData>
            </a:graphic>
          </wp:inline>
        </w:drawing>
      </w:r>
      <w:r>
        <w:rPr>
          <w:rFonts w:hint="eastAsia" w:ascii="宋体" w:hAnsi="宋体" w:cs="宋体"/>
          <w:color w:val="000000" w:themeColor="text1"/>
          <w:szCs w:val="21"/>
          <w14:textFill>
            <w14:solidFill>
              <w14:schemeClr w14:val="tx1"/>
            </w14:solidFill>
          </w14:textFill>
        </w:rPr>
        <w:t>—风荷载作用下隔震层水平剪力标准值。</w:t>
      </w:r>
    </w:p>
    <w:p>
      <w:pPr>
        <w:adjustRightInd/>
        <w:snapToGrid/>
        <w:spacing w:before="100" w:beforeAutospacing="1" w:after="100" w:afterAutospacing="1" w:line="300" w:lineRule="auto"/>
        <w:ind w:left="1050" w:leftChars="450" w:hanging="105" w:hangingChars="50"/>
        <w:rPr>
          <w:rFonts w:ascii="宋体" w:hAnsi="宋体" w:cs="宋体"/>
          <w:color w:val="000000" w:themeColor="text1"/>
          <w:szCs w:val="21"/>
          <w14:textFill>
            <w14:solidFill>
              <w14:schemeClr w14:val="tx1"/>
            </w14:solidFill>
          </w14:textFill>
        </w:rPr>
      </w:pPr>
      <w:r>
        <w:rPr>
          <w:rFonts w:cs="宋体"/>
          <w:color w:val="000000" w:themeColor="text1"/>
          <w:szCs w:val="21"/>
          <w14:textFill>
            <w14:solidFill>
              <w14:schemeClr w14:val="tx1"/>
            </w14:solidFill>
          </w14:textFill>
        </w:rPr>
        <w:drawing>
          <wp:inline distT="0" distB="0" distL="0" distR="0">
            <wp:extent cx="222250" cy="222250"/>
            <wp:effectExtent l="0" t="0" r="6350"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a:xfrm>
                      <a:off x="0" y="0"/>
                      <a:ext cx="222250" cy="222250"/>
                    </a:xfrm>
                    <a:prstGeom prst="rect">
                      <a:avLst/>
                    </a:prstGeom>
                    <a:noFill/>
                    <a:ln>
                      <a:noFill/>
                    </a:ln>
                  </pic:spPr>
                </pic:pic>
              </a:graphicData>
            </a:graphic>
          </wp:inline>
        </w:drawing>
      </w:r>
      <w:r>
        <w:rPr>
          <w:rFonts w:hint="eastAsia" w:ascii="宋体" w:hAnsi="宋体" w:cs="宋体"/>
          <w:color w:val="000000" w:themeColor="text1"/>
          <w:szCs w:val="21"/>
          <w14:textFill>
            <w14:solidFill>
              <w14:schemeClr w14:val="tx1"/>
            </w14:solidFill>
          </w14:textFill>
        </w:rPr>
        <w:t>—隔震层水平屈服力的设计值。</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G.3.4  隔震的计算分析方法：</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大跨屋盖隔震建筑的地震效应宜采用空间结构有限元模型进行时程分析，分析模型宜采用包含隔震层下部支承结构的整体分析模型，宜充分考虑支承结构的影响；对于体型规则及跨度较小的平板网架结构、网壳结构、立体管桁架结构，也可采用考虑竖向地震作用的随机振动分析方法或振型分解反应谱法。</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当体型复杂的大跨屋盖隔震建筑进行风效应计算时，风荷载宜由风洞试验确定；对于风敏感型的大跨屋盖隔震建筑，应开展专门的风振效应分析。</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采用非常用结构形式以及跨度大于120m、结构单元长度大于300m或悬挑长度大于40m的大跨屋盖隔震建筑，宜开展结构模型的模拟地震振动台试验，对隔震方案进行专门的研究和论证。结构模型宜考虑屋面系统、大型设备、吊挂重物、填充墙等非结构构件的影响。</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G.3.5  隔震层的技术要求：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采用屋盖隔震的大跨屋盖建筑，摩擦摆隔震支座应满足罕遇地震下传递最大竖向力、水平剪力和弯矩的要求。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抗风装置应在建筑平面内的合理位置布置，采取方便更换的措施，抗拉装置不应妨碍隔震支座的水平变形；当隔震层变形较大时，宜设置限位装置。抗风装置的布置应考虑温度作用引起的结构变形。</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同一支承处宜采用单个摩擦摆隔震支座，摩擦摆隔震支座的平面布置宜与上部结构和下部结构中竖向受力构件的平面位置相对应</w:t>
      </w:r>
      <w:bookmarkStart w:id="255" w:name="OLE_LINK11"/>
      <w:r>
        <w:rPr>
          <w:rFonts w:hint="eastAsia" w:ascii="宋体" w:hAnsi="宋体" w:cs="Times New Roman"/>
          <w:color w:val="000000" w:themeColor="text1"/>
          <w:szCs w:val="21"/>
          <w14:textFill>
            <w14:solidFill>
              <w14:schemeClr w14:val="tx1"/>
            </w14:solidFill>
          </w14:textFill>
        </w:rPr>
        <w:t>。</w:t>
      </w:r>
      <w:bookmarkEnd w:id="255"/>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应验算摩擦摆隔震支座在温度作用下所产生的水平变形，水平刚度宜取其非线性参数，计算方法可采用静力方法进行。</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 摩擦摆隔震支座的构造应满足变形后支座斜腹杆与柱或边梁不相碰的要求。</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G.3.6  隔震层上部屋盖结构和下部主体结构的要求：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1采用隔震设计的大跨屋盖结构选型和截面验算应符合《空间网格结构技术规程》JGJ7的要求；空间网格结构形式的大跨屋盖结构在设防烈度地震作用下的最大挠度值不宜超过表3.6-1中的容许挠度值。</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p>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表G3.6-1 设防烈度地震作用下空间网格结构的容许挠度值</w:t>
      </w:r>
    </w:p>
    <w:tbl>
      <w:tblPr>
        <w:tblStyle w:val="130"/>
        <w:tblW w:w="6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81"/>
        <w:gridCol w:w="2081"/>
        <w:gridCol w:w="20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81" w:type="dxa"/>
            <w:tcBorders>
              <w:top w:val="single" w:color="000000" w:sz="4" w:space="0"/>
              <w:left w:val="single" w:color="000000" w:sz="4" w:space="0"/>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结构体系</w:t>
            </w:r>
          </w:p>
        </w:tc>
        <w:tc>
          <w:tcPr>
            <w:tcW w:w="2081" w:type="dxa"/>
            <w:tcBorders>
              <w:top w:val="single" w:color="000000" w:sz="4" w:space="0"/>
              <w:left w:val="nil"/>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屋盖结构（短向跨度）</w:t>
            </w:r>
          </w:p>
        </w:tc>
        <w:tc>
          <w:tcPr>
            <w:tcW w:w="2081" w:type="dxa"/>
            <w:tcBorders>
              <w:top w:val="single" w:color="000000" w:sz="4" w:space="0"/>
              <w:left w:val="nil"/>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悬挑结构(悬挑跨度）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81" w:type="dxa"/>
            <w:tcBorders>
              <w:top w:val="single" w:color="000000" w:sz="4" w:space="0"/>
              <w:left w:val="single" w:color="000000" w:sz="4" w:space="0"/>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网架</w:t>
            </w:r>
          </w:p>
        </w:tc>
        <w:tc>
          <w:tcPr>
            <w:tcW w:w="2081" w:type="dxa"/>
            <w:tcBorders>
              <w:top w:val="single" w:color="000000" w:sz="4" w:space="0"/>
              <w:left w:val="nil"/>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1/250</w:t>
            </w:r>
          </w:p>
        </w:tc>
        <w:tc>
          <w:tcPr>
            <w:tcW w:w="2081" w:type="dxa"/>
            <w:tcBorders>
              <w:top w:val="single" w:color="000000" w:sz="4" w:space="0"/>
              <w:left w:val="nil"/>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81" w:type="dxa"/>
            <w:tcBorders>
              <w:top w:val="single" w:color="000000" w:sz="4" w:space="0"/>
              <w:left w:val="single" w:color="000000" w:sz="4" w:space="0"/>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单层网壳</w:t>
            </w:r>
          </w:p>
        </w:tc>
        <w:tc>
          <w:tcPr>
            <w:tcW w:w="2081" w:type="dxa"/>
            <w:tcBorders>
              <w:top w:val="single" w:color="000000" w:sz="4" w:space="0"/>
              <w:left w:val="nil"/>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1/400</w:t>
            </w:r>
          </w:p>
        </w:tc>
        <w:tc>
          <w:tcPr>
            <w:tcW w:w="2081" w:type="dxa"/>
            <w:tcBorders>
              <w:top w:val="single" w:color="000000" w:sz="4" w:space="0"/>
              <w:left w:val="nil"/>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2081" w:type="dxa"/>
            <w:tcBorders>
              <w:top w:val="single" w:color="000000" w:sz="4" w:space="0"/>
              <w:left w:val="single" w:color="000000" w:sz="4" w:space="0"/>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双层网壳</w:t>
            </w:r>
          </w:p>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立体桁架</w:t>
            </w:r>
          </w:p>
        </w:tc>
        <w:tc>
          <w:tcPr>
            <w:tcW w:w="2081" w:type="dxa"/>
            <w:tcBorders>
              <w:top w:val="single" w:color="000000" w:sz="4" w:space="0"/>
              <w:left w:val="nil"/>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1/250</w:t>
            </w:r>
          </w:p>
        </w:tc>
        <w:tc>
          <w:tcPr>
            <w:tcW w:w="2081" w:type="dxa"/>
            <w:tcBorders>
              <w:top w:val="single" w:color="000000" w:sz="4" w:space="0"/>
              <w:left w:val="nil"/>
              <w:bottom w:val="single" w:color="000000" w:sz="4" w:space="0"/>
              <w:right w:val="single" w:color="000000" w:sz="4" w:space="0"/>
            </w:tcBorders>
            <w:vAlign w:val="center"/>
          </w:tcPr>
          <w:p>
            <w:pPr>
              <w:adjustRightInd/>
              <w:spacing w:line="300" w:lineRule="auto"/>
              <w:ind w:firstLine="0" w:firstLineChars="0"/>
              <w:jc w:val="center"/>
              <w:rPr>
                <w:rFonts w:ascii="宋体" w:hAnsi="宋体" w:cs="Times New Roman"/>
                <w:color w:val="000000" w:themeColor="text1"/>
                <w:kern w:val="0"/>
                <w:szCs w:val="21"/>
                <w14:textFill>
                  <w14:solidFill>
                    <w14:schemeClr w14:val="tx1"/>
                  </w14:solidFill>
                </w14:textFill>
              </w:rPr>
            </w:pPr>
            <w:r>
              <w:rPr>
                <w:rFonts w:hint="eastAsia" w:ascii="宋体" w:hAnsi="宋体" w:cs="Times New Roman"/>
                <w:color w:val="000000" w:themeColor="text1"/>
                <w:kern w:val="0"/>
                <w:szCs w:val="21"/>
                <w14:textFill>
                  <w14:solidFill>
                    <w14:schemeClr w14:val="tx1"/>
                  </w14:solidFill>
                </w14:textFill>
              </w:rPr>
              <w:t>1/125</w:t>
            </w:r>
          </w:p>
        </w:tc>
      </w:tr>
    </w:tbl>
    <w:p>
      <w:pPr>
        <w:adjustRightInd/>
        <w:spacing w:line="300" w:lineRule="auto"/>
        <w:ind w:firstLine="1440" w:firstLineChars="80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 w:val="18"/>
          <w:szCs w:val="18"/>
          <w14:textFill>
            <w14:solidFill>
              <w14:schemeClr w14:val="tx1"/>
            </w14:solidFill>
          </w14:textFill>
        </w:rPr>
        <w:t>注：1 对于设有悬挂起重设备的屋盖结构，其最大挠度值不宜大于结构跨度的1/400。</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大跨屋盖结构应进行考虑下部支承结构的静力稳定性验算，静力稳定性应符合《空间网格结构技术规程》JGJ7的相关规定。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在进行结构地震效应分析时，大跨屋盖结构的阻尼比值宜按照位能加权平均法确定或开展专门的研究确定。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对于大跨度屋盖结构中的构件承载力计算，根据现行国家标准《建筑结构荷载规范》GB50009的相关规定，地震作用的荷载效应组合应计入环境温度的影响。</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G.3.7  隔震中的摩擦摆隔震支座的检测应符合本规范G.2.7条第7款的规定。</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G.3.8  大跨屋盖结构中隔震支座的连接构造措施应满足以下要求：</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隔震装置（隔震支座和阻尼器）与大跨屋盖结构之间的连接件，应能传递罕遇地震下支座的最大竖向力、水平剪力和弯矩。</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外露的预埋件应有可靠的防锈措施。预埋件的锚固钢筋应与钢板牢固连接。</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重要大跨屋盖结构的支座节点，宜进行考虑地震组合的有限元分析验算。</w:t>
      </w:r>
    </w:p>
    <w:p>
      <w:pPr>
        <w:pStyle w:val="53"/>
        <w:numPr>
          <w:ilvl w:val="0"/>
          <w:numId w:val="9"/>
        </w:numPr>
        <w:adjustRightInd/>
        <w:snapToGrid/>
        <w:spacing w:line="300" w:lineRule="auto"/>
        <w:ind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大跨屋盖结构的设计和抗震验算尚应符合《建筑抗震设计规范》GB 50011、《钢结构设计规范》GB 50017、《空间网格结构技术规程》JGJ7等现行国家标准的要求。</w:t>
      </w:r>
    </w:p>
    <w:p>
      <w:pPr>
        <w:pStyle w:val="53"/>
        <w:numPr>
          <w:ilvl w:val="0"/>
          <w:numId w:val="9"/>
        </w:numPr>
        <w:adjustRightInd/>
        <w:snapToGrid/>
        <w:spacing w:line="300" w:lineRule="auto"/>
        <w:ind w:firstLineChars="0"/>
        <w:rPr>
          <w:rFonts w:ascii="宋体" w:hAnsi="宋体" w:cs="Times New Roman"/>
          <w:color w:val="000000" w:themeColor="text1"/>
          <w:szCs w:val="21"/>
          <w14:textFill>
            <w14:solidFill>
              <w14:schemeClr w14:val="tx1"/>
            </w14:solidFill>
          </w14:textFill>
        </w:rPr>
      </w:pPr>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  主体结构消能减震</w:t>
      </w:r>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G.4.1</w:t>
      </w:r>
      <w:r>
        <w:rPr>
          <w:rFonts w:hint="eastAsia" w:ascii="宋体" w:hAnsi="宋体" w:cs="Times New Roman"/>
          <w:color w:val="000000" w:themeColor="text1"/>
          <w:szCs w:val="21"/>
          <w14:textFill>
            <w14:solidFill>
              <w14:schemeClr w14:val="tx1"/>
            </w14:solidFill>
          </w14:textFill>
        </w:rPr>
        <w:t xml:space="preserve">  消能减震设计可采用位移相关型消能器或速度相关型消能器。</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G.4.2</w:t>
      </w:r>
      <w:r>
        <w:rPr>
          <w:rFonts w:hint="eastAsia" w:ascii="宋体" w:hAnsi="宋体" w:cs="Times New Roman"/>
          <w:color w:val="000000" w:themeColor="text1"/>
          <w:szCs w:val="21"/>
          <w14:textFill>
            <w14:solidFill>
              <w14:schemeClr w14:val="tx1"/>
            </w14:solidFill>
          </w14:textFill>
        </w:rPr>
        <w:t xml:space="preserve">  速度相关型消能器可选用粘滞流体消能器、粘滞阻尼墙或粘弹性消能器。筒式粘滞流体消能器可采用人字形支撑、V字形支撑或一字形支撑与结构连接，不宜采用短墙进行连接。粘滞阻尼墙或粘弹性消能器可采用短墙和结构进行连接。</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G.4.3</w:t>
      </w:r>
      <w:r>
        <w:rPr>
          <w:rFonts w:hint="eastAsia" w:ascii="宋体" w:hAnsi="宋体" w:cs="Times New Roman"/>
          <w:color w:val="000000" w:themeColor="text1"/>
          <w:szCs w:val="21"/>
          <w14:textFill>
            <w14:solidFill>
              <w14:schemeClr w14:val="tx1"/>
            </w14:solidFill>
          </w14:textFill>
        </w:rPr>
        <w:t xml:space="preserve">  位移相关型消能器可选用金属消能器、摩擦消能器或屈曲约束支撑。金属消能器、摩擦消能器可采用人字形支撑、V字形支撑或短墙与结构连接；屈曲约束支撑可采用人字形、V字形或一字形与结构连接，屈曲约束支撑与水平面的夹角应在35~55度。</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G.4.4</w:t>
      </w:r>
      <w:r>
        <w:rPr>
          <w:rFonts w:hint="eastAsia" w:ascii="宋体" w:hAnsi="宋体" w:cs="Times New Roman"/>
          <w:color w:val="000000" w:themeColor="text1"/>
          <w:szCs w:val="21"/>
          <w14:textFill>
            <w14:solidFill>
              <w14:schemeClr w14:val="tx1"/>
            </w14:solidFill>
          </w14:textFill>
        </w:rPr>
        <w:t xml:space="preserve">  消能部件宜根据需要沿结构的两个方向分别设置。消能部件宜设置在变形较大的位置，其数量和分布应通过综合分析合理确定，并有利于提高整个结构的消能减震能力，形成均匀合理的受力体系。对于排架和刚架结构，可在面外方向单向布置，此时排架或刚架结构间应设置地梁且有足够的面外整体性。</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G.4.5</w:t>
      </w:r>
      <w:r>
        <w:rPr>
          <w:rFonts w:hint="eastAsia" w:ascii="宋体" w:hAnsi="宋体" w:cs="Times New Roman"/>
          <w:color w:val="000000" w:themeColor="text1"/>
          <w:szCs w:val="21"/>
          <w14:textFill>
            <w14:solidFill>
              <w14:schemeClr w14:val="tx1"/>
            </w14:solidFill>
          </w14:textFill>
        </w:rPr>
        <w:t xml:space="preserve">  当框架结构中设置屈曲约束支撑，且支撑部分的抗倾覆力矩大于总抗倾覆力矩的50%，结构的最大适用高度可以按框架结构和框架-剪力墙结构的最大适用高度内插。</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G.4.6</w:t>
      </w:r>
      <w:r>
        <w:rPr>
          <w:rFonts w:hint="eastAsia" w:ascii="宋体" w:hAnsi="宋体" w:cs="Times New Roman"/>
          <w:color w:val="000000" w:themeColor="text1"/>
          <w:szCs w:val="21"/>
          <w14:textFill>
            <w14:solidFill>
              <w14:schemeClr w14:val="tx1"/>
            </w14:solidFill>
          </w14:textFill>
        </w:rPr>
        <w:t xml:space="preserve">  消能减震结构设防地震作用下的最大的弹性层间位移角应符合下式要求：</w:t>
      </w:r>
    </w:p>
    <w:p>
      <w:pPr>
        <w:adjustRightInd/>
        <w:snapToGri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755650" cy="290830"/>
            <wp:effectExtent l="0" t="0" r="635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a:xfrm>
                      <a:off x="0" y="0"/>
                      <a:ext cx="778179" cy="299644"/>
                    </a:xfrm>
                    <a:prstGeom prst="rect">
                      <a:avLst/>
                    </a:prstGeom>
                    <a:noFill/>
                    <a:ln>
                      <a:noFill/>
                    </a:ln>
                  </pic:spPr>
                </pic:pic>
              </a:graphicData>
            </a:graphic>
          </wp:inline>
        </w:drawing>
      </w:r>
      <w:r>
        <w:rPr>
          <w:rFonts w:hint="eastAsia" w:ascii="宋体" w:hAnsi="宋体" w:cs="Times New Roman"/>
          <w:color w:val="000000" w:themeColor="text1"/>
          <w:position w:val="-14"/>
          <w:szCs w:val="21"/>
          <w14:textFill>
            <w14:solidFill>
              <w14:schemeClr w14:val="tx1"/>
            </w14:solidFill>
          </w14:textFill>
        </w:rPr>
        <w:t xml:space="preserve">                             (G.4.6-1)</w:t>
      </w:r>
    </w:p>
    <w:p>
      <w:pPr>
        <w:adjustRightInd/>
        <w:spacing w:line="30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222250" cy="222250"/>
            <wp:effectExtent l="0" t="0" r="6350"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a:xfrm>
                      <a:off x="0" y="0"/>
                      <a:ext cx="222250" cy="2222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——弹性层间位移角限值，应符合表G4.6-1的要求；</w:t>
      </w:r>
    </w:p>
    <w:p>
      <w:pPr>
        <w:adjustRightInd/>
        <w:spacing w:before="6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表G4.6-1  消能减震结构层间弹性位移角限值</w:t>
      </w:r>
    </w:p>
    <w:tbl>
      <w:tblPr>
        <w:tblStyle w:val="32"/>
        <w:tblW w:w="804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4"/>
        <w:gridCol w:w="1191"/>
        <w:gridCol w:w="1191"/>
        <w:gridCol w:w="11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12"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抗震设防类别</w:t>
            </w:r>
          </w:p>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结构类型</w:t>
            </w:r>
          </w:p>
        </w:tc>
        <w:tc>
          <w:tcPr>
            <w:tcW w:w="1191" w:type="dxa"/>
            <w:tcBorders>
              <w:top w:val="single" w:color="auto" w:sz="12" w:space="0"/>
              <w:left w:val="single" w:color="auto" w:sz="6" w:space="0"/>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甲类</w:t>
            </w:r>
          </w:p>
        </w:tc>
        <w:tc>
          <w:tcPr>
            <w:tcW w:w="1191" w:type="dxa"/>
            <w:tcBorders>
              <w:top w:val="single" w:color="auto" w:sz="12" w:space="0"/>
              <w:left w:val="nil"/>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乙类</w:t>
            </w:r>
          </w:p>
        </w:tc>
        <w:tc>
          <w:tcPr>
            <w:tcW w:w="1189" w:type="dxa"/>
            <w:tcBorders>
              <w:top w:val="single" w:color="auto" w:sz="12" w:space="0"/>
              <w:left w:val="nil"/>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丙类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钢筋混凝土框架结构</w:t>
            </w:r>
          </w:p>
        </w:tc>
        <w:tc>
          <w:tcPr>
            <w:tcW w:w="1191" w:type="dxa"/>
            <w:tcBorders>
              <w:top w:val="single" w:color="auto" w:sz="6" w:space="0"/>
              <w:left w:val="single" w:color="auto" w:sz="6" w:space="0"/>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1/550</w:t>
            </w:r>
          </w:p>
        </w:tc>
        <w:tc>
          <w:tcPr>
            <w:tcW w:w="1191" w:type="dxa"/>
            <w:tcBorders>
              <w:top w:val="single" w:color="auto" w:sz="6" w:space="0"/>
              <w:left w:val="nil"/>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1/450</w:t>
            </w:r>
          </w:p>
        </w:tc>
        <w:tc>
          <w:tcPr>
            <w:tcW w:w="1189" w:type="dxa"/>
            <w:tcBorders>
              <w:top w:val="single" w:color="auto" w:sz="6" w:space="0"/>
              <w:left w:val="nil"/>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钢筋混凝土框架-抗震墙、板柱-抗震墙、框架-核心筒</w:t>
            </w:r>
          </w:p>
        </w:tc>
        <w:tc>
          <w:tcPr>
            <w:tcW w:w="1191" w:type="dxa"/>
            <w:tcBorders>
              <w:top w:val="single" w:color="auto" w:sz="6" w:space="0"/>
              <w:left w:val="single" w:color="auto" w:sz="6" w:space="0"/>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1/800</w:t>
            </w:r>
          </w:p>
        </w:tc>
        <w:tc>
          <w:tcPr>
            <w:tcW w:w="1191" w:type="dxa"/>
            <w:tcBorders>
              <w:top w:val="single" w:color="auto" w:sz="6" w:space="0"/>
              <w:left w:val="nil"/>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1/600</w:t>
            </w:r>
          </w:p>
        </w:tc>
        <w:tc>
          <w:tcPr>
            <w:tcW w:w="1189" w:type="dxa"/>
            <w:tcBorders>
              <w:top w:val="single" w:color="auto" w:sz="6" w:space="0"/>
              <w:left w:val="nil"/>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1/550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6" w:space="0"/>
              <w:left w:val="single" w:color="auto" w:sz="12" w:space="0"/>
              <w:bottom w:val="single" w:color="auto" w:sz="6"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钢筋混凝土抗震墙结构</w:t>
            </w:r>
          </w:p>
        </w:tc>
        <w:tc>
          <w:tcPr>
            <w:tcW w:w="1191" w:type="dxa"/>
            <w:tcBorders>
              <w:top w:val="single" w:color="auto" w:sz="6" w:space="0"/>
              <w:left w:val="single" w:color="auto" w:sz="6" w:space="0"/>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1/1000</w:t>
            </w:r>
          </w:p>
        </w:tc>
        <w:tc>
          <w:tcPr>
            <w:tcW w:w="1191" w:type="dxa"/>
            <w:tcBorders>
              <w:top w:val="single" w:color="auto" w:sz="6" w:space="0"/>
              <w:left w:val="nil"/>
              <w:bottom w:val="single" w:color="auto" w:sz="6"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1/800</w:t>
            </w:r>
          </w:p>
        </w:tc>
        <w:tc>
          <w:tcPr>
            <w:tcW w:w="1189" w:type="dxa"/>
            <w:tcBorders>
              <w:top w:val="single" w:color="auto" w:sz="6" w:space="0"/>
              <w:left w:val="nil"/>
              <w:bottom w:val="single" w:color="auto" w:sz="6"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1/750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74" w:type="dxa"/>
            <w:tcBorders>
              <w:top w:val="single" w:color="auto" w:sz="6" w:space="0"/>
              <w:left w:val="single" w:color="auto" w:sz="12" w:space="0"/>
              <w:bottom w:val="single" w:color="auto" w:sz="12" w:space="0"/>
              <w:right w:val="single" w:color="auto" w:sz="6"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钢结构</w:t>
            </w:r>
          </w:p>
        </w:tc>
        <w:tc>
          <w:tcPr>
            <w:tcW w:w="1191" w:type="dxa"/>
            <w:tcBorders>
              <w:top w:val="single" w:color="auto" w:sz="6" w:space="0"/>
              <w:left w:val="single" w:color="auto" w:sz="6" w:space="0"/>
              <w:bottom w:val="single" w:color="auto" w:sz="12"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1/300</w:t>
            </w:r>
          </w:p>
        </w:tc>
        <w:tc>
          <w:tcPr>
            <w:tcW w:w="1191" w:type="dxa"/>
            <w:tcBorders>
              <w:top w:val="single" w:color="auto" w:sz="6" w:space="0"/>
              <w:left w:val="nil"/>
              <w:bottom w:val="single" w:color="auto" w:sz="12" w:space="0"/>
              <w:right w:val="single" w:color="auto" w:sz="4"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1/250</w:t>
            </w:r>
          </w:p>
        </w:tc>
        <w:tc>
          <w:tcPr>
            <w:tcW w:w="1189" w:type="dxa"/>
            <w:tcBorders>
              <w:top w:val="single" w:color="auto" w:sz="6" w:space="0"/>
              <w:left w:val="nil"/>
              <w:bottom w:val="single" w:color="auto" w:sz="12" w:space="0"/>
              <w:right w:val="single" w:color="auto" w:sz="12" w:space="0"/>
            </w:tcBorders>
            <w:vAlign w:val="center"/>
          </w:tcPr>
          <w:p>
            <w:pPr>
              <w:adjustRightIn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1/200</w:t>
            </w:r>
          </w:p>
        </w:tc>
      </w:tr>
    </w:tbl>
    <w:p>
      <w:pPr>
        <w:adjustRightInd/>
        <w:snapToGri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G.4.7</w:t>
      </w:r>
      <w:r>
        <w:rPr>
          <w:rFonts w:hint="eastAsia" w:ascii="宋体" w:hAnsi="宋体" w:cs="Times New Roman"/>
          <w:color w:val="000000" w:themeColor="text1"/>
          <w:szCs w:val="21"/>
          <w14:textFill>
            <w14:solidFill>
              <w14:schemeClr w14:val="tx1"/>
            </w14:solidFill>
          </w14:textFill>
        </w:rPr>
        <w:t xml:space="preserve">  消能减震结构罕遇地震作用下的最大的弹塑性层间位移角应符合下式要求：</w:t>
      </w:r>
    </w:p>
    <w:p>
      <w:pPr>
        <w:adjustRightInd/>
        <w:snapToGri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723900" cy="278130"/>
            <wp:effectExtent l="0" t="0" r="0" b="762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0" y="0"/>
                      <a:ext cx="748446" cy="288195"/>
                    </a:xfrm>
                    <a:prstGeom prst="rect">
                      <a:avLst/>
                    </a:prstGeom>
                    <a:noFill/>
                    <a:ln>
                      <a:noFill/>
                    </a:ln>
                  </pic:spPr>
                </pic:pic>
              </a:graphicData>
            </a:graphic>
          </wp:inline>
        </w:drawing>
      </w:r>
      <w:r>
        <w:rPr>
          <w:rFonts w:hint="eastAsia" w:ascii="宋体" w:hAnsi="宋体" w:cs="Times New Roman"/>
          <w:color w:val="000000" w:themeColor="text1"/>
          <w:position w:val="-16"/>
          <w:szCs w:val="21"/>
          <w14:textFill>
            <w14:solidFill>
              <w14:schemeClr w14:val="tx1"/>
            </w14:solidFill>
          </w14:textFill>
        </w:rPr>
        <w:t xml:space="preserve">                      (G.4.7-1)</w:t>
      </w:r>
    </w:p>
    <w:p>
      <w:pPr>
        <w:adjustRightInd/>
        <w:spacing w:line="300" w:lineRule="auto"/>
        <w:ind w:firstLine="0" w:firstLineChars="0"/>
        <w:jc w:val="left"/>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254000" cy="20955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a:xfrm>
                      <a:off x="0" y="0"/>
                      <a:ext cx="266721" cy="220621"/>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——弹性层间位移角限值，应符合表G4.7-1的要求；</w:t>
      </w:r>
    </w:p>
    <w:p>
      <w:pPr>
        <w:adjustRightInd/>
        <w:snapToGrid/>
        <w:spacing w:line="300" w:lineRule="auto"/>
        <w:ind w:firstLine="0" w:firstLineChars="0"/>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G.4.6  消能减震设计的计算分析，应符合下列规定：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当主体结构基本处于弹性工作阶段时，可采用线性分析方法作简化估算，并根据结构的变形特征和高度等，按本规范第5．1节的规定分别采用底部剪力法、振型分解反应谱法和时程分析法。</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消能减震结构的地震影响系数可根据消能减震结构的总阻尼比按本规范第XXX条的规定采用。消能减震结构的自振周期应根据消能减震结构的总刚度确定，总刚度应为结构刚度和消能部件有效刚度的总和。消能减震结构的总阻尼比应为结构阻尼比和消能部件附加给结构的有效阻尼比的总和；设防地震和罕遇地震下的总阻尼比应分别计算。</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对主体结构进入弹塑性阶段的情况，应根据主体结构体系特征，采用静力非线性分析方法或非线性时程分析方法。在非线性分析中，消能减震结构的恢复力模型应包括结构恢复力模型和消能部件的恢复力模型。</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消能减震结构的层间弹塑性位移角限值，应符合预期的变形控制要求，宜比非消能减震结构适当减小。</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G.4.7  消能部件附加给结构的有效阻尼比和有效刚度，可按下列方法确定：</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1 位移相关型消能部件和非线性速度相关型消能部件附加给结构的有效刚度应采用等效线性化方法确定。</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2 消能部件附加给结构的有效附加阻尼比可按下式估算：</w:t>
      </w:r>
    </w:p>
    <w:p>
      <w:pPr>
        <w:adjustRightInd/>
        <w:snapToGri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965200" cy="271145"/>
            <wp:effectExtent l="0" t="0" r="635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a:xfrm>
                      <a:off x="0" y="0"/>
                      <a:ext cx="1001648" cy="281400"/>
                    </a:xfrm>
                    <a:prstGeom prst="rect">
                      <a:avLst/>
                    </a:prstGeom>
                    <a:noFill/>
                    <a:ln>
                      <a:noFill/>
                    </a:ln>
                  </pic:spPr>
                </pic:pic>
              </a:graphicData>
            </a:graphic>
          </wp:inline>
        </w:drawing>
      </w:r>
      <w:r>
        <w:rPr>
          <w:rFonts w:hint="eastAsia" w:ascii="宋体" w:hAnsi="宋体" w:cs="Times New Roman"/>
          <w:color w:val="000000" w:themeColor="text1"/>
          <w:position w:val="-30"/>
          <w:szCs w:val="21"/>
          <w14:textFill>
            <w14:solidFill>
              <w14:schemeClr w14:val="tx1"/>
            </w14:solidFill>
          </w14:textFill>
        </w:rPr>
        <w:t xml:space="preserve">             （G.4.7-1)</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148590" cy="247650"/>
            <wp:effectExtent l="0" t="0" r="381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a:xfrm>
                      <a:off x="0" y="0"/>
                      <a:ext cx="148590" cy="2476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——消能减震结构的附加有效阻尼比；</w:t>
      </w:r>
    </w:p>
    <w:p>
      <w:pPr>
        <w:adjustRightInd/>
        <w:snapToGri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48590" cy="148590"/>
            <wp:effectExtent l="0" t="0" r="3810" b="38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a:xfrm>
                      <a:off x="0" y="0"/>
                      <a:ext cx="148590" cy="14859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——第</w:t>
      </w:r>
      <w:r>
        <w:rPr>
          <w:rFonts w:hint="eastAsia" w:ascii="宋体" w:hAnsi="宋体" w:cs="Times New Roman"/>
          <w:i/>
          <w:iCs/>
          <w:color w:val="000000" w:themeColor="text1"/>
          <w:szCs w:val="21"/>
          <w14:textFill>
            <w14:solidFill>
              <w14:schemeClr w14:val="tx1"/>
            </w14:solidFill>
          </w14:textFill>
        </w:rPr>
        <w:t>j</w:t>
      </w:r>
      <w:r>
        <w:rPr>
          <w:rFonts w:hint="eastAsia" w:ascii="宋体" w:hAnsi="宋体" w:cs="Times New Roman"/>
          <w:color w:val="000000" w:themeColor="text1"/>
          <w:szCs w:val="21"/>
          <w14:textFill>
            <w14:solidFill>
              <w14:schemeClr w14:val="tx1"/>
            </w14:solidFill>
          </w14:textFill>
        </w:rPr>
        <w:t>个消能器部件在结构预期层间位移</w:t>
      </w:r>
      <w:r>
        <w:rPr>
          <w:rFonts w:ascii="Calibri" w:hAnsi="Calibri" w:cs="Times New Roman"/>
          <w:color w:val="000000" w:themeColor="text1"/>
          <w:szCs w:val="21"/>
          <w14:textFill>
            <w14:solidFill>
              <w14:schemeClr w14:val="tx1"/>
            </w14:solidFill>
          </w14:textFill>
        </w:rPr>
        <w:drawing>
          <wp:inline distT="0" distB="0" distL="0" distR="0">
            <wp:extent cx="273050" cy="27305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a:xfrm>
                      <a:off x="0" y="0"/>
                      <a:ext cx="273050" cy="2730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下往复循环一周所消耗的能量；</w:t>
      </w:r>
    </w:p>
    <w:p>
      <w:pPr>
        <w:adjustRightInd/>
        <w:snapToGri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61290" cy="15875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a:xfrm>
                      <a:off x="0" y="0"/>
                      <a:ext cx="170576" cy="16778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——设置消能部件的结构在预期位移下的总应变能。</w:t>
      </w:r>
    </w:p>
    <w:p>
      <w:pPr>
        <w:adjustRightInd/>
        <w:snapToGrid/>
        <w:spacing w:line="300" w:lineRule="auto"/>
        <w:ind w:left="1075" w:leftChars="255" w:hanging="540" w:hangingChars="300"/>
        <w:rPr>
          <w:rFonts w:ascii="宋体" w:hAnsi="宋体" w:cs="Times New Roman"/>
          <w:color w:val="000000" w:themeColor="text1"/>
          <w:sz w:val="18"/>
          <w:szCs w:val="18"/>
          <w14:textFill>
            <w14:solidFill>
              <w14:schemeClr w14:val="tx1"/>
            </w14:solidFill>
          </w14:textFill>
        </w:rPr>
      </w:pPr>
      <w:r>
        <w:rPr>
          <w:rFonts w:hint="eastAsia" w:ascii="宋体" w:hAnsi="宋体" w:cs="Times New Roman"/>
          <w:color w:val="000000" w:themeColor="text1"/>
          <w:sz w:val="18"/>
          <w:szCs w:val="18"/>
          <w14:textFill>
            <w14:solidFill>
              <w14:schemeClr w14:val="tx1"/>
            </w14:solidFill>
          </w14:textFill>
        </w:rPr>
        <w:t>注：1 当消能部件在结构上分布较均匀，且附加给结构的有效阻尼比小于20％时，消能部件附加给结构的有效阻尼比也可采用强行解耦方法确定。</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3 不计及扭转影响时，消能减震结构在水平地震作用下的总应变能，可按下式估算：</w:t>
      </w:r>
    </w:p>
    <w:p>
      <w:pPr>
        <w:adjustRightInd/>
        <w:snapToGri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908050" cy="229870"/>
            <wp:effectExtent l="0" t="0" r="635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a:xfrm>
                      <a:off x="0" y="0"/>
                      <a:ext cx="958262" cy="242598"/>
                    </a:xfrm>
                    <a:prstGeom prst="rect">
                      <a:avLst/>
                    </a:prstGeom>
                    <a:noFill/>
                    <a:ln>
                      <a:noFill/>
                    </a:ln>
                  </pic:spPr>
                </pic:pic>
              </a:graphicData>
            </a:graphic>
          </wp:inline>
        </w:drawing>
      </w:r>
      <w:r>
        <w:rPr>
          <w:rFonts w:hint="eastAsia" w:ascii="宋体" w:hAnsi="宋体" w:cs="Times New Roman"/>
          <w:color w:val="000000" w:themeColor="text1"/>
          <w:position w:val="-14"/>
          <w:szCs w:val="21"/>
          <w14:textFill>
            <w14:solidFill>
              <w14:schemeClr w14:val="tx1"/>
            </w14:solidFill>
          </w14:textFill>
        </w:rPr>
        <w:t xml:space="preserve">            (G.4.7-2)</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163830" cy="273050"/>
            <wp:effectExtent l="0" t="0" r="762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a:xfrm>
                      <a:off x="0" y="0"/>
                      <a:ext cx="163830" cy="27305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——质点</w:t>
      </w:r>
      <w:r>
        <w:rPr>
          <w:rFonts w:hint="eastAsia" w:ascii="宋体" w:hAnsi="宋体" w:cs="Times New Roman"/>
          <w:i/>
          <w:iCs/>
          <w:color w:val="000000" w:themeColor="text1"/>
          <w:szCs w:val="21"/>
          <w14:textFill>
            <w14:solidFill>
              <w14:schemeClr w14:val="tx1"/>
            </w14:solidFill>
          </w14:textFill>
        </w:rPr>
        <w:t>i</w:t>
      </w:r>
      <w:r>
        <w:rPr>
          <w:rFonts w:hint="eastAsia" w:ascii="宋体" w:hAnsi="宋体" w:cs="Times New Roman"/>
          <w:color w:val="000000" w:themeColor="text1"/>
          <w:szCs w:val="21"/>
          <w14:textFill>
            <w14:solidFill>
              <w14:schemeClr w14:val="tx1"/>
            </w14:solidFill>
          </w14:textFill>
        </w:rPr>
        <w:t>的水平地震作用标准值；</w:t>
      </w:r>
    </w:p>
    <w:p>
      <w:pPr>
        <w:adjustRightInd/>
        <w:snapToGri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56210" cy="260350"/>
            <wp:effectExtent l="0" t="0" r="0" b="635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a:xfrm>
                      <a:off x="0" y="0"/>
                      <a:ext cx="156539" cy="260898"/>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——质点</w:t>
      </w:r>
      <w:r>
        <w:rPr>
          <w:rFonts w:hint="eastAsia" w:ascii="宋体" w:hAnsi="宋体" w:cs="Times New Roman"/>
          <w:i/>
          <w:iCs/>
          <w:color w:val="000000" w:themeColor="text1"/>
          <w:szCs w:val="21"/>
          <w14:textFill>
            <w14:solidFill>
              <w14:schemeClr w14:val="tx1"/>
            </w14:solidFill>
          </w14:textFill>
        </w:rPr>
        <w:t>i</w:t>
      </w:r>
      <w:r>
        <w:rPr>
          <w:rFonts w:hint="eastAsia" w:ascii="宋体" w:hAnsi="宋体" w:cs="Times New Roman"/>
          <w:color w:val="000000" w:themeColor="text1"/>
          <w:szCs w:val="21"/>
          <w14:textFill>
            <w14:solidFill>
              <w14:schemeClr w14:val="tx1"/>
            </w14:solidFill>
          </w14:textFill>
        </w:rPr>
        <w:t>对应水平地震作用标准制的位移。</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4 速度线性相关型消能器在水平地震作用下往复循环一周所消耗的能量，可按下式估算</w:t>
      </w:r>
    </w:p>
    <w:p>
      <w:pPr>
        <w:adjustRightInd/>
        <w:snapToGri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511300" cy="27178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a:xfrm>
                      <a:off x="0" y="0"/>
                      <a:ext cx="1584546" cy="284991"/>
                    </a:xfrm>
                    <a:prstGeom prst="rect">
                      <a:avLst/>
                    </a:prstGeom>
                    <a:noFill/>
                    <a:ln>
                      <a:noFill/>
                    </a:ln>
                  </pic:spPr>
                </pic:pic>
              </a:graphicData>
            </a:graphic>
          </wp:inline>
        </w:drawing>
      </w:r>
      <w:r>
        <w:rPr>
          <w:rFonts w:hint="eastAsia" w:ascii="宋体" w:hAnsi="宋体" w:cs="Times New Roman"/>
          <w:color w:val="000000" w:themeColor="text1"/>
          <w:position w:val="-18"/>
          <w:szCs w:val="21"/>
          <w14:textFill>
            <w14:solidFill>
              <w14:schemeClr w14:val="tx1"/>
            </w14:solidFill>
          </w14:textFill>
        </w:rPr>
        <w:t xml:space="preserve">         (G.4.7-3)</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133350" cy="166370"/>
            <wp:effectExtent l="0" t="0" r="0" b="508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a:xfrm>
                      <a:off x="0" y="0"/>
                      <a:ext cx="138384" cy="17298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——消能减震结构的基本自振周期；</w:t>
      </w:r>
    </w:p>
    <w:p>
      <w:pPr>
        <w:adjustRightInd/>
        <w:snapToGri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52400" cy="170180"/>
            <wp:effectExtent l="0" t="0" r="0" b="127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a:xfrm>
                      <a:off x="0" y="0"/>
                      <a:ext cx="158772" cy="177295"/>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——第</w:t>
      </w:r>
      <w:r>
        <w:rPr>
          <w:rFonts w:hint="eastAsia" w:ascii="宋体" w:hAnsi="宋体" w:cs="Times New Roman"/>
          <w:i/>
          <w:iCs/>
          <w:color w:val="000000" w:themeColor="text1"/>
          <w:szCs w:val="21"/>
          <w14:textFill>
            <w14:solidFill>
              <w14:schemeClr w14:val="tx1"/>
            </w14:solidFill>
          </w14:textFill>
        </w:rPr>
        <w:t>j</w:t>
      </w:r>
      <w:r>
        <w:rPr>
          <w:rFonts w:hint="eastAsia" w:ascii="宋体" w:hAnsi="宋体" w:cs="Times New Roman"/>
          <w:color w:val="000000" w:themeColor="text1"/>
          <w:szCs w:val="21"/>
          <w14:textFill>
            <w14:solidFill>
              <w14:schemeClr w14:val="tx1"/>
            </w14:solidFill>
          </w14:textFill>
        </w:rPr>
        <w:t>个消能器的线性阻尼系数；</w:t>
      </w:r>
    </w:p>
    <w:p>
      <w:pPr>
        <w:adjustRightInd/>
        <w:snapToGri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149860" cy="209550"/>
            <wp:effectExtent l="0" t="0" r="254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a:xfrm>
                      <a:off x="0" y="0"/>
                      <a:ext cx="158302" cy="220964"/>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——第</w:t>
      </w:r>
      <w:r>
        <w:rPr>
          <w:rFonts w:hint="eastAsia" w:ascii="宋体" w:hAnsi="宋体" w:cs="Times New Roman"/>
          <w:i/>
          <w:iCs/>
          <w:color w:val="000000" w:themeColor="text1"/>
          <w:szCs w:val="21"/>
          <w14:textFill>
            <w14:solidFill>
              <w14:schemeClr w14:val="tx1"/>
            </w14:solidFill>
          </w14:textFill>
        </w:rPr>
        <w:t>j</w:t>
      </w:r>
      <w:r>
        <w:rPr>
          <w:rFonts w:hint="eastAsia" w:ascii="宋体" w:hAnsi="宋体" w:cs="Times New Roman"/>
          <w:color w:val="000000" w:themeColor="text1"/>
          <w:szCs w:val="21"/>
          <w14:textFill>
            <w14:solidFill>
              <w14:schemeClr w14:val="tx1"/>
            </w14:solidFill>
          </w14:textFill>
        </w:rPr>
        <w:t>个消能器的消能方向与水平面的夹角；</w:t>
      </w:r>
    </w:p>
    <w:p>
      <w:pPr>
        <w:adjustRightInd/>
        <w:snapToGri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276225" cy="228600"/>
            <wp:effectExtent l="0" t="0" r="9525"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a:xfrm>
                      <a:off x="0" y="0"/>
                      <a:ext cx="282927" cy="234026"/>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——第</w:t>
      </w:r>
      <w:r>
        <w:rPr>
          <w:rFonts w:hint="eastAsia" w:ascii="宋体" w:hAnsi="宋体" w:cs="Times New Roman"/>
          <w:i/>
          <w:iCs/>
          <w:color w:val="000000" w:themeColor="text1"/>
          <w:szCs w:val="21"/>
          <w14:textFill>
            <w14:solidFill>
              <w14:schemeClr w14:val="tx1"/>
            </w14:solidFill>
          </w14:textFill>
        </w:rPr>
        <w:t>j</w:t>
      </w:r>
      <w:r>
        <w:rPr>
          <w:rFonts w:hint="eastAsia" w:ascii="宋体" w:hAnsi="宋体" w:cs="Times New Roman"/>
          <w:color w:val="000000" w:themeColor="text1"/>
          <w:szCs w:val="21"/>
          <w14:textFill>
            <w14:solidFill>
              <w14:schemeClr w14:val="tx1"/>
            </w14:solidFill>
          </w14:textFill>
        </w:rPr>
        <w:t>个消能器两端的相对水平位移。</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当消能器的阻尼系数和有效刚度与结构振动周期有关时，可取相应于消能减震结构基本自振周期的值。</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5 位移相关型和速度非线性相关型消能器在水平地震作用下往复循环一周所消耗的能量，可按下式估算：</w:t>
      </w:r>
    </w:p>
    <w:p>
      <w:pPr>
        <w:adjustRightInd/>
        <w:snapToGri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438150" cy="230505"/>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a:xfrm>
                      <a:off x="0" y="0"/>
                      <a:ext cx="447588" cy="235572"/>
                    </a:xfrm>
                    <a:prstGeom prst="rect">
                      <a:avLst/>
                    </a:prstGeom>
                    <a:noFill/>
                    <a:ln>
                      <a:noFill/>
                    </a:ln>
                  </pic:spPr>
                </pic:pic>
              </a:graphicData>
            </a:graphic>
          </wp:inline>
        </w:drawing>
      </w:r>
      <w:r>
        <w:rPr>
          <w:rFonts w:hint="eastAsia" w:ascii="宋体" w:hAnsi="宋体" w:cs="Times New Roman"/>
          <w:color w:val="000000" w:themeColor="text1"/>
          <w:position w:val="-14"/>
          <w:szCs w:val="21"/>
          <w14:textFill>
            <w14:solidFill>
              <w14:schemeClr w14:val="tx1"/>
            </w14:solidFill>
          </w14:textFill>
        </w:rPr>
        <w:t xml:space="preserve">       (G.4.7-4)</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153670" cy="20955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a:xfrm>
                      <a:off x="0" y="0"/>
                      <a:ext cx="157638" cy="214961"/>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——第j个消能器的恢复力的滞回环在相对于水平位移</w:t>
      </w:r>
      <w:r>
        <w:rPr>
          <w:rFonts w:ascii="Calibri" w:hAnsi="Calibri" w:cs="Times New Roman"/>
          <w:color w:val="000000" w:themeColor="text1"/>
          <w:szCs w:val="21"/>
          <w14:textFill>
            <w14:solidFill>
              <w14:schemeClr w14:val="tx1"/>
            </w14:solidFill>
          </w14:textFill>
        </w:rPr>
        <w:drawing>
          <wp:inline distT="0" distB="0" distL="0" distR="0">
            <wp:extent cx="241300" cy="241300"/>
            <wp:effectExtent l="0" t="0" r="6350" b="635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a:xfrm>
                      <a:off x="0" y="0"/>
                      <a:ext cx="241300" cy="24130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时的面积。</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消能器的有效刚度可取消能器的恢复力滞回环在相对水平位移</w:t>
      </w:r>
      <w:r>
        <w:rPr>
          <w:rFonts w:ascii="Calibri" w:hAnsi="Calibri" w:cs="Times New Roman"/>
          <w:color w:val="000000" w:themeColor="text1"/>
          <w:szCs w:val="21"/>
          <w14:textFill>
            <w14:solidFill>
              <w14:schemeClr w14:val="tx1"/>
            </w14:solidFill>
          </w14:textFill>
        </w:rPr>
        <w:drawing>
          <wp:inline distT="0" distB="0" distL="0" distR="0">
            <wp:extent cx="254000" cy="25400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a:xfrm>
                      <a:off x="0" y="0"/>
                      <a:ext cx="254000" cy="254000"/>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时的割线刚度。</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6 按等效线性化方法计算得到的消能部件附加给结构的有效附加阻尼比超过25%时，宜按25%计算。</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G.4.8</w:t>
      </w:r>
      <w:r>
        <w:rPr>
          <w:rFonts w:hint="eastAsia" w:ascii="宋体" w:hAnsi="宋体" w:cs="Times New Roman"/>
          <w:color w:val="000000" w:themeColor="text1"/>
          <w:szCs w:val="21"/>
          <w14:textFill>
            <w14:solidFill>
              <w14:schemeClr w14:val="tx1"/>
            </w14:solidFill>
          </w14:textFill>
        </w:rPr>
        <w:t xml:space="preserve">  消能减震效果的评价也可以按下式进行计算：</w:t>
      </w:r>
    </w:p>
    <w:p>
      <w:pPr>
        <w:adjustRightInd/>
        <w:snapToGrid/>
        <w:spacing w:line="300" w:lineRule="auto"/>
        <w:ind w:firstLine="0" w:firstLineChars="0"/>
        <w:jc w:val="center"/>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787400" cy="234950"/>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a:xfrm>
                      <a:off x="0" y="0"/>
                      <a:ext cx="826983" cy="246861"/>
                    </a:xfrm>
                    <a:prstGeom prst="rect">
                      <a:avLst/>
                    </a:prstGeom>
                    <a:noFill/>
                    <a:ln>
                      <a:noFill/>
                    </a:ln>
                  </pic:spPr>
                </pic:pic>
              </a:graphicData>
            </a:graphic>
          </wp:inline>
        </w:drawing>
      </w:r>
      <w:r>
        <w:rPr>
          <w:rFonts w:hint="eastAsia" w:ascii="宋体" w:hAnsi="宋体" w:cs="Times New Roman"/>
          <w:color w:val="000000" w:themeColor="text1"/>
          <w:position w:val="-12"/>
          <w:szCs w:val="21"/>
          <w14:textFill>
            <w14:solidFill>
              <w14:schemeClr w14:val="tx1"/>
            </w14:solidFill>
          </w14:textFill>
        </w:rPr>
        <w:t xml:space="preserve">       (G.4.8-1)</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式中：</w:t>
      </w:r>
      <w:r>
        <w:rPr>
          <w:rFonts w:ascii="Calibri" w:hAnsi="Calibri" w:cs="Times New Roman"/>
          <w:color w:val="000000" w:themeColor="text1"/>
          <w:szCs w:val="21"/>
          <w14:textFill>
            <w14:solidFill>
              <w14:schemeClr w14:val="tx1"/>
            </w14:solidFill>
          </w14:textFill>
        </w:rPr>
        <w:drawing>
          <wp:inline distT="0" distB="0" distL="0" distR="0">
            <wp:extent cx="308610" cy="228600"/>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a:xfrm>
                      <a:off x="0" y="0"/>
                      <a:ext cx="320818" cy="237643"/>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——设置消能器的结构中主体结构承受的地震作用；</w:t>
      </w:r>
    </w:p>
    <w:p>
      <w:pPr>
        <w:adjustRightInd/>
        <w:snapToGrid/>
        <w:spacing w:line="300" w:lineRule="auto"/>
        <w:ind w:firstLine="630" w:firstLineChars="300"/>
        <w:rPr>
          <w:rFonts w:ascii="宋体" w:hAnsi="宋体" w:cs="Times New Roman"/>
          <w:color w:val="000000" w:themeColor="text1"/>
          <w:szCs w:val="21"/>
          <w14:textFill>
            <w14:solidFill>
              <w14:schemeClr w14:val="tx1"/>
            </w14:solidFill>
          </w14:textFill>
        </w:rPr>
      </w:pPr>
      <w:r>
        <w:rPr>
          <w:rFonts w:ascii="Calibri" w:hAnsi="Calibri" w:cs="Times New Roman"/>
          <w:color w:val="000000" w:themeColor="text1"/>
          <w:szCs w:val="21"/>
          <w14:textFill>
            <w14:solidFill>
              <w14:schemeClr w14:val="tx1"/>
            </w14:solidFill>
          </w14:textFill>
        </w:rPr>
        <w:drawing>
          <wp:inline distT="0" distB="0" distL="0" distR="0">
            <wp:extent cx="276225" cy="247650"/>
            <wp:effectExtent l="0" t="0" r="9525"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a:xfrm>
                      <a:off x="0" y="0"/>
                      <a:ext cx="284244" cy="254546"/>
                    </a:xfrm>
                    <a:prstGeom prst="rect">
                      <a:avLst/>
                    </a:prstGeom>
                    <a:noFill/>
                    <a:ln>
                      <a:noFill/>
                    </a:ln>
                  </pic:spPr>
                </pic:pic>
              </a:graphicData>
            </a:graphic>
          </wp:inline>
        </w:drawing>
      </w:r>
      <w:r>
        <w:rPr>
          <w:rFonts w:hint="eastAsia" w:ascii="宋体" w:hAnsi="宋体" w:cs="Times New Roman"/>
          <w:color w:val="000000" w:themeColor="text1"/>
          <w:szCs w:val="21"/>
          <w14:textFill>
            <w14:solidFill>
              <w14:schemeClr w14:val="tx1"/>
            </w14:solidFill>
          </w14:textFill>
        </w:rPr>
        <w:t>——未设置消能器情况下主体结构承受的地震作用。</w:t>
      </w:r>
    </w:p>
    <w:p>
      <w:pPr>
        <w:adjustRightInd/>
        <w:snapToGrid/>
        <w:spacing w:line="300" w:lineRule="auto"/>
        <w:ind w:firstLine="0" w:firstLineChars="0"/>
        <w:rPr>
          <w:rFonts w:ascii="宋体" w:hAnsi="宋体" w:cs="Times New Roman"/>
          <w:b/>
          <w:bCs/>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G.4.9  工程使用的消能器产品应进行型式检验、出厂检验和进场检验，出厂检验可由生产厂家的质监系统自行完成，型式检验和进场检验应由独立于生产厂家的第三方完成。除满足相关的产品要求外，使用产品的型式检验报告有效期不得超过5年。进场检验报告只对采用该产品的工程项目有效，不得重复使用。进场检验的检测试件应由第三方采用随机抽样的方式抽取。当任一件抽样试件的任一项性能不合格时，该次抽样检验为不合格。不合格产品不得用于实际工程。进场检验数量应符合下列规定：</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对黏滞流体消能器，其数量为同一工程同一类型同一规格数量的20％，但不少于2个，检测合格率为100％，检测后的消能器可用于主体结构；对其他类型消能器，抽检数量为同一类型同一规格数量的3％，当同一类型同一规格的消能器数量较少时，可以在同一类型消能器中抽检总数量的3％，但不应少于2个，检测合格率为100％，检测后的消能器不能用于主体结构。</w:t>
      </w:r>
    </w:p>
    <w:p>
      <w:pPr>
        <w:adjustRightInd/>
        <w:snapToGrid/>
        <w:spacing w:line="300" w:lineRule="auto"/>
        <w:ind w:firstLine="42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对速度相关型消能器，在消能器设计位移和设计速度幅值下，以结构基本频率往复循环30圈后，消能器的主要设计指标误差和衰减量不应超过15％；对位移相关型消能器，在消能器设计位移幅值下往复循环30圈后，消能器的主要设计指标误差和衰减量不应超过15％，且不应有明显的低周疲劳现象。</w:t>
      </w:r>
    </w:p>
    <w:p>
      <w:pPr>
        <w:adjustRightInd/>
        <w:snapToGrid/>
        <w:spacing w:line="300" w:lineRule="auto"/>
        <w:ind w:left="527" w:hanging="527" w:hangingChars="25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 xml:space="preserve">G.4.10  </w:t>
      </w:r>
      <w:r>
        <w:rPr>
          <w:rFonts w:hint="eastAsia" w:ascii="宋体" w:hAnsi="宋体" w:cs="Times New Roman"/>
          <w:color w:val="000000" w:themeColor="text1"/>
          <w:szCs w:val="21"/>
          <w14:textFill>
            <w14:solidFill>
              <w14:schemeClr w14:val="tx1"/>
            </w14:solidFill>
          </w14:textFill>
        </w:rPr>
        <w:t>结构采用消能减震设计时，消能部件的相关部位应符合下列要求：</w:t>
      </w:r>
    </w:p>
    <w:p>
      <w:pPr>
        <w:adjustRightInd/>
        <w:snapToGrid/>
        <w:spacing w:line="300" w:lineRule="auto"/>
        <w:ind w:left="525" w:leftChars="200" w:hanging="105" w:hangingChars="5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消能器与支承构件的连接，应符合本规范和有关规程对相关构件连接的构造要求。</w:t>
      </w:r>
    </w:p>
    <w:p>
      <w:pPr>
        <w:adjustRightInd/>
        <w:snapToGrid/>
        <w:spacing w:line="300" w:lineRule="auto"/>
        <w:ind w:left="525" w:leftChars="200" w:hanging="105" w:hangingChars="5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在消能器施加给主结构最大阻尼力作用下，消能器与主结构之间的连接部件应在弹性范围内工作。</w:t>
      </w:r>
    </w:p>
    <w:p>
      <w:pPr>
        <w:adjustRightInd/>
        <w:snapToGrid/>
        <w:spacing w:line="300" w:lineRule="auto"/>
        <w:ind w:left="525" w:leftChars="200" w:hanging="105" w:hangingChars="5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与消能部件相连的结构构件设计时，应计入消能部件传递的附加内力。</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G.4.11</w:t>
      </w:r>
      <w:r>
        <w:rPr>
          <w:rFonts w:hint="eastAsia" w:ascii="宋体" w:hAnsi="宋体" w:cs="Times New Roman"/>
          <w:color w:val="000000" w:themeColor="text1"/>
          <w:szCs w:val="21"/>
          <w14:textFill>
            <w14:solidFill>
              <w14:schemeClr w14:val="tx1"/>
            </w14:solidFill>
          </w14:textFill>
        </w:rPr>
        <w:t xml:space="preserve"> 消能子结构中的梁、柱和墙等子结构构件的抗震构造等级应提高一级。消能子结构中的梁、柱和墙等子结构构件在超过设防地震水准的地震作用下，可以出现塑性，但构件应有足够的延性，使消能器在子框架进入塑性后能够继续有效耗能。</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G.4.12</w:t>
      </w:r>
      <w:r>
        <w:rPr>
          <w:rFonts w:hint="eastAsia" w:ascii="宋体" w:hAnsi="宋体" w:cs="Times New Roman"/>
          <w:color w:val="000000" w:themeColor="text1"/>
          <w:szCs w:val="21"/>
          <w14:textFill>
            <w14:solidFill>
              <w14:schemeClr w14:val="tx1"/>
            </w14:solidFill>
          </w14:textFill>
        </w:rPr>
        <w:t>与消能器相连的支撑、短墙肢以及连接板应在罕遇地震作用下保持弹性。与消能器直接相连的预埋件、支撑和支墩、剪力墙及节点板的作用力取值应为消能器在设计目标位移或设计速度下对应阻尼力的1.2倍。</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r>
        <w:rPr>
          <w:rFonts w:hint="eastAsia" w:ascii="宋体" w:hAnsi="宋体" w:cs="Times New Roman"/>
          <w:b/>
          <w:bCs/>
          <w:color w:val="000000" w:themeColor="text1"/>
          <w:szCs w:val="21"/>
          <w14:textFill>
            <w14:solidFill>
              <w14:schemeClr w14:val="tx1"/>
            </w14:solidFill>
          </w14:textFill>
        </w:rPr>
        <w:t>G.5  工业设备减隔震</w:t>
      </w:r>
    </w:p>
    <w:p>
      <w:pPr>
        <w:adjustRightInd/>
        <w:snapToGrid/>
        <w:spacing w:before="156" w:beforeLines="50" w:after="156" w:afterLines="50" w:line="300" w:lineRule="auto"/>
        <w:ind w:firstLine="0" w:firstLineChars="0"/>
        <w:jc w:val="center"/>
        <w:rPr>
          <w:rFonts w:ascii="宋体" w:hAnsi="宋体" w:cs="Times New Roman"/>
          <w:b/>
          <w:bCs/>
          <w:color w:val="000000" w:themeColor="text1"/>
          <w:szCs w:val="21"/>
          <w14:textFill>
            <w14:solidFill>
              <w14:schemeClr w14:val="tx1"/>
            </w14:solidFill>
          </w14:textFill>
        </w:rPr>
      </w:pP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G.5.1  工业设备减隔震的分析与计算应符合以下规定：</w:t>
      </w:r>
    </w:p>
    <w:p>
      <w:pPr>
        <w:adjustRightInd/>
        <w:snapToGrid/>
        <w:spacing w:line="300" w:lineRule="auto"/>
        <w:ind w:firstLine="42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1 计算地震作用时，重力荷载的代表值应取建筑结构自重、设备自重的标准值之和以及各可变荷载的组合值之和，各可变荷载的组合值系数按《建筑抗震设计规范》GB50011-2010表5.1.3采用。</w:t>
      </w:r>
    </w:p>
    <w:p>
      <w:pPr>
        <w:adjustRightInd/>
        <w:snapToGrid/>
        <w:spacing w:line="300" w:lineRule="auto"/>
        <w:ind w:firstLine="42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2 设备上只设置了单层隔震装置的工业建筑，按单自由度质点-弹簧模型计算。</w:t>
      </w:r>
    </w:p>
    <w:p>
      <w:pPr>
        <w:adjustRightInd/>
        <w:snapToGrid/>
        <w:spacing w:line="300" w:lineRule="auto"/>
        <w:ind w:firstLine="42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3 设备上设置了两层或两层以上的隔震装置的工业建筑，按多自由度质点-弹簧模型计算。</w:t>
      </w:r>
    </w:p>
    <w:p>
      <w:pPr>
        <w:adjustRightInd/>
        <w:snapToGrid/>
        <w:spacing w:line="300" w:lineRule="auto"/>
        <w:ind w:firstLine="42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4 对于有大空间竖井，楼板不连续，或有错层，且该结构同时悬吊或支承了两个或两个以上设备时，应按多质点-弹簧分叉模型计算。</w:t>
      </w:r>
    </w:p>
    <w:p>
      <w:pPr>
        <w:adjustRightInd/>
        <w:snapToGrid/>
        <w:spacing w:line="300" w:lineRule="auto"/>
        <w:ind w:firstLine="42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5 采用独立基础支承的刚性设备，如设备部分穿越或贯穿了工业建筑结构，且通过隔震装置与建筑结构构件连接紧实时，应计入设备水平刚度对建筑结构抗侧移刚度及竖向刚度的影响。</w:t>
      </w:r>
    </w:p>
    <w:p>
      <w:pPr>
        <w:adjustRightInd/>
        <w:snapToGrid/>
        <w:spacing w:line="300" w:lineRule="auto"/>
        <w:ind w:firstLine="42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6 与地面采用柔性连接，或采用悬吊设计的设备，可不计入设备刚度对建筑结构抗侧移刚度及竖向刚度的影响，但应考虑其对穿越层结构水平刚度的贡献。</w:t>
      </w:r>
    </w:p>
    <w:p>
      <w:pPr>
        <w:adjustRightInd/>
        <w:snapToGrid/>
        <w:spacing w:line="300" w:lineRule="auto"/>
        <w:ind w:firstLine="42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7 建筑结构的阻尼比应计入设备阻尼比的贡献。</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G.5.2  对于重心高悬的工业设备，以及竖向有较大热膨胀的工业设备，宜采用均匀悬挂的隔震设计。</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G.5.3 采用悬挂隔震时，原则上宜将设备的减隔震装置低位设置；当设备高度较大，自身刚度较弱或有其他特别需要时，宜沿设备沿高度方向分别设置数层隔震装置。</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G.5.4 当设备必须是支承设计而不能采用悬吊设计时，宜采用橡胶隔震垫；当设备支座有上拔力时，应在隔震垫上设置抵抗上拔力的松动螺栓节点，松动螺栓宜使用双螺母形式。</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G.5.5 采用支承设计，重心高悬的设备，支承位置宜尽量接近设备的重心。</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G.5.6 采用采用橡胶隔震垫支承时，应专门针对设备进行性能减隔震设计，避免设备及隔震垫产生较大水平位置，破坏设备及隔震垫。</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G.5.7 对工业高温设备采取减隔振措施时，不应限制设备的热膨胀。避免对设备产生附加应力。</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G.5.8 对动力设备采用隔震设计时，应避免设备与支承结构发生谐振。</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G.5.9 位置相邻，但采用独立设计的不同工业建筑结构及设备，如质量和刚度差异较大，或质量与刚度分布的差异明显时，相邻结构与设备之间不宜设置刚度较大的联系结构，结构与设备的最外缘之间应按本标准相关要求设置防震缝；</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G.5.10 如因特别要求，必须在不同建筑间设置有刚性连梁或联系桁架时，应重新进行整体联合设计，不满足要求时，应按相关标准进行加固。</w:t>
      </w:r>
    </w:p>
    <w:p>
      <w:pPr>
        <w:adjustRightInd/>
        <w:snapToGrid/>
        <w:spacing w:line="300" w:lineRule="auto"/>
        <w:ind w:firstLine="0" w:firstLineChars="0"/>
        <w:rPr>
          <w:rFonts w:ascii="宋体" w:hAnsi="宋体" w:cs="Times New Roman"/>
          <w:color w:val="000000" w:themeColor="text1"/>
          <w:szCs w:val="21"/>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G.5.11 当确实出于功能需求或其他原因必须要进行连接，但联合设计确实有困难时，宜采用低摩阻材料进行滑动连接，并保证具有足够的滑动距离。</w:t>
      </w:r>
    </w:p>
    <w:p>
      <w:pPr>
        <w:adjustRightInd/>
        <w:snapToGrid/>
        <w:spacing w:line="300" w:lineRule="auto"/>
        <w:ind w:firstLine="420" w:firstLineChars="0"/>
        <w:rPr>
          <w:rFonts w:asciiTheme="minorEastAsia" w:hAnsiTheme="minorEastAsia"/>
          <w:color w:val="000000" w:themeColor="text1"/>
          <w:sz w:val="24"/>
          <w:szCs w:val="24"/>
          <w14:textFill>
            <w14:solidFill>
              <w14:schemeClr w14:val="tx1"/>
            </w14:solidFill>
          </w14:textFill>
        </w:rPr>
      </w:pPr>
      <w:r>
        <w:rPr>
          <w:rFonts w:hint="eastAsia" w:ascii="宋体" w:hAnsi="宋体" w:cs="Times New Roman"/>
          <w:color w:val="000000" w:themeColor="text1"/>
          <w:szCs w:val="21"/>
          <w14:textFill>
            <w14:solidFill>
              <w14:schemeClr w14:val="tx1"/>
            </w14:solidFill>
          </w14:textFill>
        </w:rPr>
        <w:t xml:space="preserve"> </w:t>
      </w:r>
      <w:r>
        <w:rPr>
          <w:rFonts w:ascii="宋体" w:hAnsi="宋体" w:cs="Times New Roman"/>
          <w:color w:val="000000" w:themeColor="text1"/>
          <w:szCs w:val="21"/>
          <w14:textFill>
            <w14:solidFill>
              <w14:schemeClr w14:val="tx1"/>
            </w14:solidFill>
          </w14:textFill>
        </w:rPr>
        <w:t xml:space="preserve"> </w:t>
      </w:r>
    </w:p>
    <w:p>
      <w:pPr>
        <w:spacing w:line="300" w:lineRule="auto"/>
        <w:ind w:firstLine="480"/>
        <w:rPr>
          <w:rFonts w:asciiTheme="minorEastAsia" w:hAnsiTheme="minorEastAsia"/>
          <w:color w:val="000000" w:themeColor="text1"/>
          <w:sz w:val="24"/>
          <w:szCs w:val="24"/>
          <w14:textFill>
            <w14:solidFill>
              <w14:schemeClr w14:val="tx1"/>
            </w14:solidFill>
          </w14:textFill>
        </w:rPr>
      </w:pPr>
    </w:p>
    <w:p>
      <w:pPr>
        <w:spacing w:line="300" w:lineRule="auto"/>
        <w:ind w:firstLine="480"/>
        <w:rPr>
          <w:rFonts w:asciiTheme="minorEastAsia" w:hAnsiTheme="minorEastAsia"/>
          <w:color w:val="000000" w:themeColor="text1"/>
          <w:sz w:val="24"/>
          <w:szCs w:val="24"/>
          <w14:textFill>
            <w14:solidFill>
              <w14:schemeClr w14:val="tx1"/>
            </w14:solidFill>
          </w14:textFill>
        </w:rPr>
      </w:pPr>
    </w:p>
    <w:p>
      <w:pPr>
        <w:spacing w:line="300" w:lineRule="auto"/>
        <w:ind w:firstLine="480"/>
        <w:rPr>
          <w:rFonts w:asciiTheme="minorEastAsia" w:hAnsiTheme="minorEastAsia"/>
          <w:color w:val="000000" w:themeColor="text1"/>
          <w:sz w:val="24"/>
          <w:szCs w:val="24"/>
          <w14:textFill>
            <w14:solidFill>
              <w14:schemeClr w14:val="tx1"/>
            </w14:solidFill>
          </w14:textFill>
        </w:rPr>
      </w:pPr>
    </w:p>
    <w:p>
      <w:pPr>
        <w:spacing w:line="300" w:lineRule="auto"/>
        <w:ind w:firstLine="480"/>
        <w:rPr>
          <w:rFonts w:asciiTheme="minorEastAsia" w:hAnsiTheme="minorEastAsia"/>
          <w:color w:val="000000" w:themeColor="text1"/>
          <w:sz w:val="24"/>
          <w:szCs w:val="24"/>
          <w14:textFill>
            <w14:solidFill>
              <w14:schemeClr w14:val="tx1"/>
            </w14:solidFill>
          </w14:textFill>
        </w:rPr>
      </w:pPr>
    </w:p>
    <w:p>
      <w:pPr>
        <w:widowControl/>
        <w:adjustRightInd/>
        <w:snapToGrid/>
        <w:ind w:firstLine="0" w:firstLineChars="0"/>
        <w:jc w:val="left"/>
        <w:rPr>
          <w:b/>
          <w:color w:val="000000" w:themeColor="text1"/>
          <w:sz w:val="30"/>
          <w14:textFill>
            <w14:solidFill>
              <w14:schemeClr w14:val="tx1"/>
            </w14:solidFill>
          </w14:textFill>
        </w:rPr>
      </w:pPr>
      <w:r>
        <w:rPr>
          <w:color w:val="000000" w:themeColor="text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56" w:name="_Toc48841072"/>
      <w:r>
        <w:rPr>
          <w:color w:val="000000" w:themeColor="text1"/>
          <w14:textFill>
            <w14:solidFill>
              <w14:schemeClr w14:val="tx1"/>
            </w14:solidFill>
          </w14:textFill>
        </w:rPr>
        <w:t>附录H 钢结构节点低周疲劳损伤断裂评判</w:t>
      </w:r>
      <w:bookmarkEnd w:id="256"/>
    </w:p>
    <w:p>
      <w:pPr>
        <w:spacing w:line="300" w:lineRule="auto"/>
        <w:ind w:firstLine="422"/>
        <w:jc w:val="center"/>
        <w:rPr>
          <w:rFonts w:cs="Times New Roman"/>
          <w:b/>
          <w:color w:val="000000" w:themeColor="text1"/>
          <w:szCs w:val="21"/>
          <w14:textFill>
            <w14:solidFill>
              <w14:schemeClr w14:val="tx1"/>
            </w14:solidFill>
          </w14:textFill>
        </w:rPr>
      </w:pPr>
      <w:r>
        <w:rPr>
          <w:rFonts w:cs="Times New Roman"/>
          <w:b/>
          <w:color w:val="000000" w:themeColor="text1"/>
          <w:szCs w:val="21"/>
          <w14:textFill>
            <w14:solidFill>
              <w14:schemeClr w14:val="tx1"/>
            </w14:solidFill>
          </w14:textFill>
        </w:rPr>
        <w:t>H.1 适用性与用途</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H.1.1  对特别不规则、特别重要的钢结构工业建筑中的重要</w:t>
      </w:r>
      <w:r>
        <w:rPr>
          <w:rFonts w:hint="eastAsia" w:cs="Times New Roman"/>
          <w:color w:val="000000" w:themeColor="text1"/>
          <w:szCs w:val="21"/>
          <w14:textFill>
            <w14:solidFill>
              <w14:schemeClr w14:val="tx1"/>
            </w14:solidFill>
          </w14:textFill>
        </w:rPr>
        <w:t>焊接刚性</w:t>
      </w:r>
      <w:r>
        <w:rPr>
          <w:rFonts w:cs="Times New Roman"/>
          <w:color w:val="000000" w:themeColor="text1"/>
          <w:szCs w:val="21"/>
          <w14:textFill>
            <w14:solidFill>
              <w14:schemeClr w14:val="tx1"/>
            </w14:solidFill>
          </w14:textFill>
        </w:rPr>
        <w:t>节点，可在罕遇地震弹塑性时程分析法的基础上应用损伤力学原理的方法，</w:t>
      </w:r>
      <w:r>
        <w:rPr>
          <w:rFonts w:hint="eastAsia" w:cs="Times New Roman"/>
          <w:color w:val="000000" w:themeColor="text1"/>
          <w:szCs w:val="21"/>
          <w14:textFill>
            <w14:solidFill>
              <w14:schemeClr w14:val="tx1"/>
            </w14:solidFill>
          </w14:textFill>
        </w:rPr>
        <w:t>评判</w:t>
      </w:r>
      <w:r>
        <w:rPr>
          <w:rFonts w:cs="Times New Roman"/>
          <w:color w:val="000000" w:themeColor="text1"/>
          <w:szCs w:val="21"/>
          <w14:textFill>
            <w14:solidFill>
              <w14:schemeClr w14:val="tx1"/>
            </w14:solidFill>
          </w14:textFill>
        </w:rPr>
        <w:t>节点弹塑性变形条件下低周疲劳的损伤和抗断裂能力，作为抗震设计的深化分析方法。</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H.1.2  分析</w:t>
      </w:r>
      <w:r>
        <w:rPr>
          <w:rFonts w:hint="eastAsia" w:cs="Times New Roman"/>
          <w:color w:val="000000" w:themeColor="text1"/>
          <w:szCs w:val="21"/>
          <w14:textFill>
            <w14:solidFill>
              <w14:schemeClr w14:val="tx1"/>
            </w14:solidFill>
          </w14:textFill>
        </w:rPr>
        <w:t>焊接刚性</w:t>
      </w:r>
      <w:r>
        <w:rPr>
          <w:rFonts w:cs="Times New Roman"/>
          <w:color w:val="000000" w:themeColor="text1"/>
          <w:szCs w:val="21"/>
          <w14:textFill>
            <w14:solidFill>
              <w14:schemeClr w14:val="tx1"/>
            </w14:solidFill>
          </w14:textFill>
        </w:rPr>
        <w:t>节点在强烈地震作用下可能的裂纹起始位置、扩展路径及循环寿命，评判节点抵抗延性断裂设计的合理性，为改善节点薄弱环节的构造细节、控制或延缓裂纹萌生与扩展、提高低周疲劳寿命起指导作用。</w:t>
      </w:r>
    </w:p>
    <w:p>
      <w:pPr>
        <w:spacing w:line="300" w:lineRule="auto"/>
        <w:ind w:firstLine="420"/>
        <w:jc w:val="center"/>
        <w:rPr>
          <w:rFonts w:cs="Times New Roman"/>
          <w:color w:val="000000" w:themeColor="text1"/>
          <w:szCs w:val="21"/>
          <w14:textFill>
            <w14:solidFill>
              <w14:schemeClr w14:val="tx1"/>
            </w14:solidFill>
          </w14:textFill>
        </w:rPr>
      </w:pPr>
    </w:p>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H.2 </w:t>
      </w:r>
      <w:r>
        <w:rPr>
          <w:rFonts w:hint="eastAsia" w:cs="Times New Roman"/>
          <w:color w:val="000000" w:themeColor="text1"/>
          <w:szCs w:val="21"/>
          <w14:textFill>
            <w14:solidFill>
              <w14:schemeClr w14:val="tx1"/>
            </w14:solidFill>
          </w14:textFill>
        </w:rPr>
        <w:t>评判</w:t>
      </w:r>
      <w:r>
        <w:rPr>
          <w:rFonts w:cs="Times New Roman"/>
          <w:color w:val="000000" w:themeColor="text1"/>
          <w:szCs w:val="21"/>
          <w14:textFill>
            <w14:solidFill>
              <w14:schemeClr w14:val="tx1"/>
            </w14:solidFill>
          </w14:textFill>
        </w:rPr>
        <w:t>方法的基本步骤、原理和参数取值</w:t>
      </w:r>
    </w:p>
    <w:p>
      <w:pPr>
        <w:spacing w:line="300" w:lineRule="auto"/>
        <w:ind w:firstLine="420"/>
        <w:jc w:val="center"/>
        <w:rPr>
          <w:rFonts w:cs="Times New Roman"/>
          <w:color w:val="000000" w:themeColor="text1"/>
          <w:szCs w:val="21"/>
          <w14:textFill>
            <w14:solidFill>
              <w14:schemeClr w14:val="tx1"/>
            </w14:solidFill>
          </w14:textFill>
        </w:rPr>
      </w:pP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H.2.1  低周疲劳损伤断裂的</w:t>
      </w:r>
      <w:r>
        <w:rPr>
          <w:rFonts w:hint="eastAsia" w:cs="Times New Roman"/>
          <w:color w:val="000000" w:themeColor="text1"/>
          <w:szCs w:val="21"/>
          <w14:textFill>
            <w14:solidFill>
              <w14:schemeClr w14:val="tx1"/>
            </w14:solidFill>
          </w14:textFill>
        </w:rPr>
        <w:t>评判</w:t>
      </w:r>
      <w:r>
        <w:rPr>
          <w:rFonts w:cs="Times New Roman"/>
          <w:color w:val="000000" w:themeColor="text1"/>
          <w:szCs w:val="21"/>
          <w14:textFill>
            <w14:solidFill>
              <w14:schemeClr w14:val="tx1"/>
            </w14:solidFill>
          </w14:textFill>
        </w:rPr>
        <w:t>方法是采用连续损伤力学方法，将材料内部缺陷视为宏观上平均连续变化的损伤变量，采用带有损伤变量的本构关系描述受损材料的宏观力学行为，其基本步骤是：</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 选择合适的损伤变量</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 xml:space="preserve"> </w:t>
      </w:r>
      <w:r>
        <w:rPr>
          <w:rFonts w:cs="Times New Roman"/>
          <w:color w:val="000000" w:themeColor="text1"/>
          <w:szCs w:val="21"/>
          <w14:textFill>
            <w14:solidFill>
              <w14:schemeClr w14:val="tx1"/>
            </w14:solidFill>
          </w14:textFill>
        </w:rPr>
        <w:t>建立反映材料损伤状态的损伤演变方程</w:t>
      </w:r>
      <w:r>
        <w:rPr>
          <w:rFonts w:hint="eastAsia" w:cs="Times New Roman"/>
          <w:color w:val="000000" w:themeColor="text1"/>
          <w:szCs w:val="21"/>
          <w14:textFill>
            <w14:solidFill>
              <w14:schemeClr w14:val="tx1"/>
            </w14:solidFill>
          </w14:textFill>
        </w:rPr>
        <w:t>；</w:t>
      </w:r>
    </w:p>
    <w:p>
      <w:pPr>
        <w:spacing w:line="360" w:lineRule="auto"/>
        <w:ind w:firstLine="42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 xml:space="preserve"> 建立材料的损伤本构关系</w:t>
      </w:r>
      <w:r>
        <w:rPr>
          <w:rFonts w:hint="eastAsia" w:cs="Times New Roman"/>
          <w:color w:val="000000" w:themeColor="text1"/>
          <w:szCs w:val="21"/>
          <w14:textFill>
            <w14:solidFill>
              <w14:schemeClr w14:val="tx1"/>
            </w14:solidFill>
          </w14:textFill>
        </w:rPr>
        <w:t>；</w:t>
      </w:r>
    </w:p>
    <w:p>
      <w:pPr>
        <w:spacing w:line="360" w:lineRule="auto"/>
        <w:ind w:firstLine="42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4</w:t>
      </w:r>
      <w:r>
        <w:rPr>
          <w:rFonts w:cs="Times New Roman"/>
          <w:color w:val="000000" w:themeColor="text1"/>
          <w:szCs w:val="21"/>
          <w14:textFill>
            <w14:solidFill>
              <w14:schemeClr w14:val="tx1"/>
            </w14:solidFill>
          </w14:textFill>
        </w:rPr>
        <w:t xml:space="preserve"> 根据初始和边界条件，求解材料的应力应变参数和损伤值。</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应用有限元分析时</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当计算的损伤达到临界值时，则该</w:t>
      </w:r>
      <w:r>
        <w:rPr>
          <w:rFonts w:hint="eastAsia" w:cs="Times New Roman"/>
          <w:color w:val="000000" w:themeColor="text1"/>
          <w:szCs w:val="21"/>
          <w14:textFill>
            <w14:solidFill>
              <w14:schemeClr w14:val="tx1"/>
            </w14:solidFill>
          </w14:textFill>
        </w:rPr>
        <w:t>单</w:t>
      </w:r>
      <w:r>
        <w:rPr>
          <w:rFonts w:cs="Times New Roman"/>
          <w:color w:val="000000" w:themeColor="text1"/>
          <w:szCs w:val="21"/>
          <w14:textFill>
            <w14:solidFill>
              <w14:schemeClr w14:val="tx1"/>
            </w14:solidFill>
          </w14:textFill>
        </w:rPr>
        <w:t>元开裂，然后根据新的损伤分布状态和新的边界条件，再作类似的反复计算，直至达到破坏准则而终止计算。</w:t>
      </w:r>
      <w:r>
        <w:rPr>
          <w:rFonts w:hint="eastAsia" w:cs="Times New Roman"/>
          <w:color w:val="000000" w:themeColor="text1"/>
          <w:szCs w:val="21"/>
          <w14:textFill>
            <w14:solidFill>
              <w14:schemeClr w14:val="tx1"/>
            </w14:solidFill>
          </w14:textFill>
        </w:rPr>
        <w:t>根据单元达到临界损伤的先后顺序，可判定裂纹扩展的方向。</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H.2.2  低周疲劳损伤断裂的</w:t>
      </w:r>
      <w:r>
        <w:rPr>
          <w:rFonts w:hint="eastAsia" w:cs="Times New Roman"/>
          <w:color w:val="000000" w:themeColor="text1"/>
          <w:szCs w:val="21"/>
          <w14:textFill>
            <w14:solidFill>
              <w14:schemeClr w14:val="tx1"/>
            </w14:solidFill>
          </w14:textFill>
        </w:rPr>
        <w:t>评判</w:t>
      </w:r>
      <w:r>
        <w:rPr>
          <w:rFonts w:cs="Times New Roman"/>
          <w:color w:val="000000" w:themeColor="text1"/>
          <w:szCs w:val="21"/>
          <w14:textFill>
            <w14:solidFill>
              <w14:schemeClr w14:val="tx1"/>
            </w14:solidFill>
          </w14:textFill>
        </w:rPr>
        <w:t>方法的基本原理</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采用刚度的退化来描述循环荷载作用下材料的损伤程度：</w:t>
      </w:r>
    </w:p>
    <w:p>
      <w:pPr>
        <w:spacing w:line="360" w:lineRule="auto"/>
        <w:ind w:firstLine="420"/>
        <w:jc w:val="center"/>
        <w:rPr>
          <w:rFonts w:cs="Times New Roman"/>
          <w:color w:val="000000" w:themeColor="text1"/>
          <w:szCs w:val="21"/>
          <w14:textFill>
            <w14:solidFill>
              <w14:schemeClr w14:val="tx1"/>
            </w14:solidFill>
          </w14:textFill>
        </w:rPr>
      </w:pPr>
      <m:oMath>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D</m:t>
            </m:r>
            <m:r>
              <m:rPr>
                <m:sty m:val="p"/>
              </m:rPr>
              <w:rPr>
                <w:rFonts w:ascii="Cambria Math" w:hAnsi="Cambria Math" w:cs="Times New Roman"/>
                <w:color w:val="000000" w:themeColor="text1"/>
                <w:szCs w:val="21"/>
                <w14:textFill>
                  <w14:solidFill>
                    <w14:schemeClr w14:val="tx1"/>
                  </w14:solidFill>
                </w14:textFill>
              </w:rPr>
              <m:t>=1-</m:t>
            </m:r>
            <m:r>
              <w:rPr>
                <w:rFonts w:ascii="Cambria Math" w:hAnsi="Cambria Math" w:cs="Times New Roman"/>
                <w:color w:val="000000" w:themeColor="text1"/>
                <w:szCs w:val="21"/>
                <w14:textFill>
                  <w14:solidFill>
                    <w14:schemeClr w14:val="tx1"/>
                  </w14:solidFill>
                </w14:textFill>
              </w:rPr>
              <m:t>E</m:t>
            </m:r>
            <m:r>
              <m:rPr>
                <m:sty m:val="p"/>
              </m:rPr>
              <w:rPr>
                <w:rFonts w:hint="eastAsia"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O</m:t>
            </m:r>
            <m:ctrlPr>
              <w:rPr>
                <w:rFonts w:ascii="Cambria Math" w:hAnsi="Cambria Math" w:cs="Times New Roman"/>
                <w:color w:val="000000" w:themeColor="text1"/>
                <w:szCs w:val="21"/>
                <w14:textFill>
                  <w14:solidFill>
                    <w14:schemeClr w14:val="tx1"/>
                  </w14:solidFill>
                </w14:textFill>
              </w:rPr>
            </m:ctrlPr>
          </m:sub>
        </m:sSub>
      </m:oMath>
      <w:r>
        <w:rPr>
          <w:rFonts w:cs="Times New Roman"/>
          <w:color w:val="000000" w:themeColor="text1"/>
          <w:szCs w:val="21"/>
          <w14:textFill>
            <w14:solidFill>
              <w14:schemeClr w14:val="tx1"/>
            </w14:solidFill>
          </w14:textFill>
        </w:rPr>
        <w:t xml:space="preserve">                            (H.2.2-1)</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式中：</w:t>
      </w:r>
      <m:oMath>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O</m:t>
            </m:r>
            <m:ctrlPr>
              <w:rPr>
                <w:rFonts w:ascii="Cambria Math" w:hAnsi="Cambria Math" w:cs="Times New Roman"/>
                <w:color w:val="000000" w:themeColor="text1"/>
                <w:szCs w:val="21"/>
                <w14:textFill>
                  <w14:solidFill>
                    <w14:schemeClr w14:val="tx1"/>
                  </w14:solidFill>
                </w14:textFill>
              </w:rPr>
            </m:ctrlPr>
          </m:sub>
        </m:sSub>
      </m:oMath>
      <w:r>
        <w:rPr>
          <w:rFonts w:cs="Times New Roman"/>
          <w:color w:val="000000" w:themeColor="text1"/>
          <w:szCs w:val="21"/>
          <w14:textFill>
            <w14:solidFill>
              <w14:schemeClr w14:val="tx1"/>
            </w14:solidFill>
          </w14:textFill>
        </w:rPr>
        <w:t>、E分别为材料无损伤和有损伤时的弹性模量。</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材料的损伤演化方程</w:t>
      </w:r>
      <w:r>
        <w:rPr>
          <w:rFonts w:hint="eastAsia" w:cs="Times New Roman"/>
          <w:color w:val="000000" w:themeColor="text1"/>
          <w:szCs w:val="21"/>
          <w14:textFill>
            <w14:solidFill>
              <w14:schemeClr w14:val="tx1"/>
            </w14:solidFill>
          </w14:textFill>
        </w:rPr>
        <w:t>：</w:t>
      </w:r>
    </w:p>
    <w:p>
      <w:pPr>
        <w:spacing w:line="360" w:lineRule="auto"/>
        <w:ind w:firstLine="420"/>
        <w:jc w:val="center"/>
        <w:rPr>
          <w:rFonts w:cs="Times New Roman"/>
          <w:color w:val="000000" w:themeColor="text1"/>
          <w:szCs w:val="21"/>
          <w14:textFill>
            <w14:solidFill>
              <w14:schemeClr w14:val="tx1"/>
            </w14:solidFill>
          </w14:textFill>
        </w:rPr>
      </w:pPr>
      <m:oMath>
        <m:r>
          <w:rPr>
            <w:rFonts w:ascii="Cambria Math" w:hAnsi="Cambria Math" w:cs="Times New Roman"/>
            <w:color w:val="000000" w:themeColor="text1"/>
            <w:szCs w:val="21"/>
            <w14:textFill>
              <w14:solidFill>
                <w14:schemeClr w14:val="tx1"/>
              </w14:solidFill>
            </w14:textFill>
          </w:rPr>
          <m:t>dD</m:t>
        </m:r>
        <m:r>
          <m:rPr>
            <m:sty m:val="p"/>
          </m:rPr>
          <w:rPr>
            <w:rFonts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α</m:t>
        </m:r>
        <m:f>
          <m:fPr>
            <m:ctrlPr>
              <w:rPr>
                <w:rFonts w:ascii="Cambria Math" w:hAnsi="Cambria Math" w:cs="Times New Roman"/>
                <w:color w:val="000000" w:themeColor="text1"/>
                <w:szCs w:val="21"/>
                <w14:textFill>
                  <w14:solidFill>
                    <w14:schemeClr w14:val="tx1"/>
                  </w14:solidFill>
                </w14:textFill>
              </w:rPr>
            </m:ctrlPr>
          </m:fPr>
          <m:num>
            <m:d>
              <m:dPr>
                <m:ctrlPr>
                  <w:rPr>
                    <w:rFonts w:ascii="Cambria Math" w:hAnsi="Cambria Math" w:cs="Times New Roman"/>
                    <w:color w:val="000000" w:themeColor="text1"/>
                    <w:szCs w:val="21"/>
                    <w14:textFill>
                      <w14:solidFill>
                        <w14:schemeClr w14:val="tx1"/>
                      </w14:solidFill>
                    </w14:textFill>
                  </w:rPr>
                </m:ctrlPr>
              </m:dPr>
              <m:e>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D</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cr</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D</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o</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e>
            </m:d>
            <m:ctrlPr>
              <w:rPr>
                <w:rFonts w:ascii="Cambria Math" w:hAnsi="Cambria Math" w:cs="Times New Roman"/>
                <w:color w:val="000000" w:themeColor="text1"/>
                <w:szCs w:val="21"/>
                <w14:textFill>
                  <w14:solidFill>
                    <w14:schemeClr w14:val="tx1"/>
                  </w14:solidFill>
                </w14:textFill>
              </w:rPr>
            </m:ctrlPr>
          </m:num>
          <m:den>
            <m:r>
              <w:rPr>
                <w:rFonts w:ascii="Cambria Math" w:hAnsi="Cambria Math" w:cs="Times New Roman"/>
                <w:color w:val="000000" w:themeColor="text1"/>
                <w:szCs w:val="21"/>
                <w14:textFill>
                  <w14:solidFill>
                    <w14:schemeClr w14:val="tx1"/>
                  </w14:solidFill>
                </w14:textFill>
              </w:rPr>
              <m:t>ln</m:t>
            </m:r>
            <m:d>
              <m:dPr>
                <m:ctrlPr>
                  <w:rPr>
                    <w:rFonts w:ascii="Cambria Math" w:hAnsi="Cambria Math" w:cs="Times New Roman"/>
                    <w:color w:val="000000" w:themeColor="text1"/>
                    <w:szCs w:val="21"/>
                    <w14:textFill>
                      <w14:solidFill>
                        <w14:schemeClr w14:val="tx1"/>
                      </w14:solidFill>
                    </w14:textFill>
                  </w:rPr>
                </m:ctrlPr>
              </m:dPr>
              <m:e>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th</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e>
            </m:d>
            <m:ctrlPr>
              <w:rPr>
                <w:rFonts w:ascii="Cambria Math" w:hAnsi="Cambria Math" w:cs="Times New Roman"/>
                <w:color w:val="000000" w:themeColor="text1"/>
                <w:szCs w:val="21"/>
                <w14:textFill>
                  <w14:solidFill>
                    <w14:schemeClr w14:val="tx1"/>
                  </w14:solidFill>
                </w14:textFill>
              </w:rPr>
            </m:ctrlPr>
          </m:den>
        </m:f>
        <m:r>
          <w:rPr>
            <w:rFonts w:ascii="Cambria Math" w:hAnsi="Cambria Math" w:cs="Times New Roman"/>
            <w:color w:val="000000" w:themeColor="text1"/>
            <w:szCs w:val="21"/>
            <w14:textFill>
              <w14:solidFill>
                <w14:schemeClr w14:val="tx1"/>
              </w14:solidFill>
            </w14:textFill>
          </w:rPr>
          <m:t>f</m:t>
        </m:r>
        <m:d>
          <m:dPr>
            <m:ctrlPr>
              <w:rPr>
                <w:rFonts w:ascii="Cambria Math" w:hAnsi="Cambria Math" w:cs="Times New Roman"/>
                <w:color w:val="000000" w:themeColor="text1"/>
                <w:szCs w:val="21"/>
                <w14:textFill>
                  <w14:solidFill>
                    <w14:schemeClr w14:val="tx1"/>
                  </w14:solidFill>
                </w14:textFill>
              </w:rPr>
            </m:ctrlPr>
          </m:dPr>
          <m:e>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d>
        <m:sSup>
          <m:sSupPr>
            <m:ctrlPr>
              <w:rPr>
                <w:rFonts w:ascii="Cambria Math" w:hAnsi="Cambria Math" w:cs="Times New Roman"/>
                <w:color w:val="000000" w:themeColor="text1"/>
                <w:szCs w:val="21"/>
                <w14:textFill>
                  <w14:solidFill>
                    <w14:schemeClr w14:val="tx1"/>
                  </w14:solidFill>
                </w14:textFill>
              </w:rPr>
            </m:ctrlPr>
          </m:sSupPr>
          <m:e>
            <m:d>
              <m:dPr>
                <m:ctrlPr>
                  <w:rPr>
                    <w:rFonts w:ascii="Cambria Math" w:hAnsi="Cambria Math" w:cs="Times New Roman"/>
                    <w:color w:val="000000" w:themeColor="text1"/>
                    <w:szCs w:val="21"/>
                    <w14:textFill>
                      <w14:solidFill>
                        <w14:schemeClr w14:val="tx1"/>
                      </w14:solidFill>
                    </w14:textFill>
                  </w:rPr>
                </m:ctrlPr>
              </m:dPr>
              <m:e>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D</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cr</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D</m:t>
                </m:r>
                <m:ctrlPr>
                  <w:rPr>
                    <w:rFonts w:ascii="Cambria Math" w:hAnsi="Cambria Math" w:cs="Times New Roman"/>
                    <w:color w:val="000000" w:themeColor="text1"/>
                    <w:szCs w:val="21"/>
                    <w14:textFill>
                      <w14:solidFill>
                        <w14:schemeClr w14:val="tx1"/>
                      </w14:solidFill>
                    </w14:textFill>
                  </w:rPr>
                </m:ctrlPr>
              </m:e>
            </m:d>
            <m:ctrlPr>
              <w:rPr>
                <w:rFonts w:ascii="Cambria Math" w:hAnsi="Cambria Math" w:cs="Times New Roman"/>
                <w:color w:val="000000" w:themeColor="text1"/>
                <w:szCs w:val="21"/>
                <w14:textFill>
                  <w14:solidFill>
                    <w14:schemeClr w14:val="tx1"/>
                  </w14:solidFill>
                </w14:textFill>
              </w:rPr>
            </m:ctrlPr>
          </m:e>
          <m:sup>
            <m:r>
              <m:rPr>
                <m:sty m:val="p"/>
              </m:rPr>
              <w:rPr>
                <w:rFonts w:ascii="Cambria Math" w:hAnsi="Cambria Math" w:cs="Times New Roman"/>
                <w:color w:val="000000" w:themeColor="text1"/>
                <w:szCs w:val="21"/>
                <w14:textFill>
                  <w14:solidFill>
                    <w14:schemeClr w14:val="tx1"/>
                  </w14:solidFill>
                </w14:textFill>
              </w:rPr>
              <m:t>1-1/</m:t>
            </m:r>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color w:val="000000" w:themeColor="text1"/>
                <w:szCs w:val="21"/>
                <w14:textFill>
                  <w14:solidFill>
                    <w14:schemeClr w14:val="tx1"/>
                  </w14:solidFill>
                </w14:textFill>
              </w:rPr>
            </m:ctrlPr>
          </m:sup>
        </m:sSup>
        <m:f>
          <m:fPr>
            <m:ctrlPr>
              <w:rPr>
                <w:rFonts w:ascii="Cambria Math" w:hAnsi="Cambria Math" w:cs="Times New Roman"/>
                <w:color w:val="000000" w:themeColor="text1"/>
                <w:szCs w:val="21"/>
                <w14:textFill>
                  <w14:solidFill>
                    <w14:schemeClr w14:val="tx1"/>
                  </w14:solidFill>
                </w14:textFill>
              </w:rPr>
            </m:ctrlPr>
          </m:fPr>
          <m:num>
            <m:sSup>
              <m:sSupPr>
                <m:ctrlPr>
                  <w:rPr>
                    <w:rFonts w:ascii="Cambria Math" w:hAnsi="Cambria Math" w:cs="Times New Roman"/>
                    <w:color w:val="000000" w:themeColor="text1"/>
                    <w:szCs w:val="21"/>
                    <w14:textFill>
                      <w14:solidFill>
                        <w14:schemeClr w14:val="tx1"/>
                      </w14:solidFill>
                    </w14:textFill>
                  </w:rPr>
                </m:ctrlPr>
              </m:sSupPr>
              <m:e>
                <m:r>
                  <w:rPr>
                    <w:rFonts w:ascii="Cambria Math" w:hAnsi="Cambria Math" w:cs="Times New Roman"/>
                    <w:color w:val="000000" w:themeColor="text1"/>
                    <w:szCs w:val="21"/>
                    <w14:textFill>
                      <w14:solidFill>
                        <w14:schemeClr w14:val="tx1"/>
                      </w14:solidFill>
                    </w14:textFill>
                  </w:rPr>
                  <m:t>d</m:t>
                </m:r>
                <m:acc>
                  <m:accPr>
                    <m:chr m:val="̅"/>
                    <m:ctrlPr>
                      <w:rPr>
                        <w:rFonts w:ascii="Cambria Math" w:hAnsi="Cambria Math" w:cs="Times New Roman"/>
                        <w:color w:val="000000" w:themeColor="text1"/>
                        <w:szCs w:val="21"/>
                        <w14:textFill>
                          <w14:solidFill>
                            <w14:schemeClr w14:val="tx1"/>
                          </w14:solidFill>
                        </w14:textFill>
                      </w:rPr>
                    </m:ctrlPr>
                  </m:acc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acc>
                <m:ctrlPr>
                  <w:rPr>
                    <w:rFonts w:ascii="Cambria Math" w:hAnsi="Cambria Math" w:cs="Times New Roman"/>
                    <w:color w:val="000000" w:themeColor="text1"/>
                    <w:szCs w:val="21"/>
                    <w14:textFill>
                      <w14:solidFill>
                        <w14:schemeClr w14:val="tx1"/>
                      </w14:solidFill>
                    </w14:textFill>
                  </w:rPr>
                </m:ctrlPr>
              </m:e>
              <m:sup>
                <m:r>
                  <w:rPr>
                    <w:rFonts w:ascii="Cambria Math" w:hAnsi="Cambria Math" w:cs="Times New Roman"/>
                    <w:color w:val="000000" w:themeColor="text1"/>
                    <w:szCs w:val="21"/>
                    <w14:textFill>
                      <w14:solidFill>
                        <w14:schemeClr w14:val="tx1"/>
                      </w14:solidFill>
                    </w14:textFill>
                  </w:rPr>
                  <m:t>p</m:t>
                </m:r>
                <m:r>
                  <m:rPr>
                    <m:sty m:val="p"/>
                  </m:rPr>
                  <w:rPr>
                    <w:rFonts w:ascii="Cambria Math" w:hAnsi="Cambria Math" w:cs="Times New Roman"/>
                    <w:color w:val="000000" w:themeColor="text1"/>
                    <w:szCs w:val="21"/>
                    <w14:textFill>
                      <w14:solidFill>
                        <w14:schemeClr w14:val="tx1"/>
                      </w14:solidFill>
                    </w14:textFill>
                  </w:rPr>
                  <m:t>+</m:t>
                </m:r>
                <m:ctrlPr>
                  <w:rPr>
                    <w:rFonts w:ascii="Cambria Math" w:hAnsi="Cambria Math" w:cs="Times New Roman"/>
                    <w:color w:val="000000" w:themeColor="text1"/>
                    <w:szCs w:val="21"/>
                    <w14:textFill>
                      <w14:solidFill>
                        <w14:schemeClr w14:val="tx1"/>
                      </w14:solidFill>
                    </w14:textFill>
                  </w:rPr>
                </m:ctrlPr>
              </m:sup>
            </m:sSup>
            <m:ctrlPr>
              <w:rPr>
                <w:rFonts w:ascii="Cambria Math" w:hAnsi="Cambria Math" w:cs="Times New Roman"/>
                <w:color w:val="000000" w:themeColor="text1"/>
                <w:szCs w:val="21"/>
                <w14:textFill>
                  <w14:solidFill>
                    <w14:schemeClr w14:val="tx1"/>
                  </w14:solidFill>
                </w14:textFill>
              </w:rPr>
            </m:ctrlPr>
          </m:num>
          <m:den>
            <m:sSup>
              <m:sSupPr>
                <m:ctrlPr>
                  <w:rPr>
                    <w:rFonts w:ascii="Cambria Math" w:hAnsi="Cambria Math" w:cs="Times New Roman"/>
                    <w:color w:val="000000" w:themeColor="text1"/>
                    <w:szCs w:val="21"/>
                    <w14:textFill>
                      <w14:solidFill>
                        <w14:schemeClr w14:val="tx1"/>
                      </w14:solidFill>
                    </w14:textFill>
                  </w:rPr>
                </m:ctrlPr>
              </m:sSupPr>
              <m:e>
                <m:acc>
                  <m:accPr>
                    <m:chr m:val="̅"/>
                    <m:ctrlPr>
                      <w:rPr>
                        <w:rFonts w:ascii="Cambria Math" w:hAnsi="Cambria Math" w:cs="Times New Roman"/>
                        <w:color w:val="000000" w:themeColor="text1"/>
                        <w:szCs w:val="21"/>
                        <w14:textFill>
                          <w14:solidFill>
                            <w14:schemeClr w14:val="tx1"/>
                          </w14:solidFill>
                        </w14:textFill>
                      </w:rPr>
                    </m:ctrlPr>
                  </m:acc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acc>
                <m:ctrlPr>
                  <w:rPr>
                    <w:rFonts w:ascii="Cambria Math" w:hAnsi="Cambria Math" w:cs="Times New Roman"/>
                    <w:color w:val="000000" w:themeColor="text1"/>
                    <w:szCs w:val="21"/>
                    <w14:textFill>
                      <w14:solidFill>
                        <w14:schemeClr w14:val="tx1"/>
                      </w14:solidFill>
                    </w14:textFill>
                  </w:rPr>
                </m:ctrlPr>
              </m:e>
              <m:sup>
                <m:r>
                  <w:rPr>
                    <w:rFonts w:ascii="Cambria Math" w:hAnsi="Cambria Math" w:cs="Times New Roman"/>
                    <w:color w:val="000000" w:themeColor="text1"/>
                    <w:szCs w:val="21"/>
                    <w14:textFill>
                      <w14:solidFill>
                        <w14:schemeClr w14:val="tx1"/>
                      </w14:solidFill>
                    </w14:textFill>
                  </w:rPr>
                  <m:t>p</m:t>
                </m:r>
                <m:ctrlPr>
                  <w:rPr>
                    <w:rFonts w:ascii="Cambria Math" w:hAnsi="Cambria Math" w:cs="Times New Roman"/>
                    <w:color w:val="000000" w:themeColor="text1"/>
                    <w:szCs w:val="21"/>
                    <w14:textFill>
                      <w14:solidFill>
                        <w14:schemeClr w14:val="tx1"/>
                      </w14:solidFill>
                    </w14:textFill>
                  </w:rPr>
                </m:ctrlPr>
              </m:sup>
            </m:sSup>
            <m:ctrlPr>
              <w:rPr>
                <w:rFonts w:ascii="Cambria Math" w:hAnsi="Cambria Math" w:cs="Times New Roman"/>
                <w:color w:val="000000" w:themeColor="text1"/>
                <w:szCs w:val="21"/>
                <w14:textFill>
                  <w14:solidFill>
                    <w14:schemeClr w14:val="tx1"/>
                  </w14:solidFill>
                </w14:textFill>
              </w:rPr>
            </m:ctrlPr>
          </m:den>
        </m:f>
      </m:oMath>
      <w:r>
        <w:rPr>
          <w:rFonts w:cs="Times New Roman"/>
          <w:color w:val="000000" w:themeColor="text1"/>
          <w:szCs w:val="21"/>
          <w14:textFill>
            <w14:solidFill>
              <w14:schemeClr w14:val="tx1"/>
            </w14:solidFill>
          </w14:textFill>
        </w:rPr>
        <w:t xml:space="preserve">          </w:t>
      </w:r>
      <w:bookmarkStart w:id="257" w:name="_Ref369802338"/>
      <w:bookmarkStart w:id="258" w:name="_Ref382574836"/>
      <w:r>
        <w:rPr>
          <w:rFonts w:cs="Times New Roman"/>
          <w:color w:val="000000" w:themeColor="text1"/>
          <w:szCs w:val="21"/>
          <w14:textFill>
            <w14:solidFill>
              <w14:schemeClr w14:val="tx1"/>
            </w14:solidFill>
          </w14:textFill>
        </w:rPr>
        <w:t>(H.2.2-2)</w:t>
      </w:r>
      <w:bookmarkEnd w:id="257"/>
      <w:bookmarkEnd w:id="258"/>
    </w:p>
    <w:p>
      <w:pPr>
        <w:spacing w:line="360" w:lineRule="auto"/>
        <w:ind w:firstLine="420"/>
        <w:jc w:val="center"/>
        <w:rPr>
          <w:rFonts w:cs="Times New Roman"/>
          <w:color w:val="000000" w:themeColor="text1"/>
          <w:szCs w:val="21"/>
          <w14:textFill>
            <w14:solidFill>
              <w14:schemeClr w14:val="tx1"/>
            </w14:solidFill>
          </w14:textFill>
        </w:rPr>
      </w:pPr>
      <m:oMath>
        <m:r>
          <w:rPr>
            <w:rFonts w:ascii="Cambria Math" w:hAnsi="Cambria Math" w:cs="Times New Roman"/>
            <w:color w:val="000000" w:themeColor="text1"/>
            <w:szCs w:val="21"/>
            <w14:textFill>
              <w14:solidFill>
                <w14:schemeClr w14:val="tx1"/>
              </w14:solidFill>
            </w14:textFill>
          </w:rPr>
          <m:t>f</m:t>
        </m:r>
        <m:d>
          <m:dPr>
            <m:ctrlPr>
              <w:rPr>
                <w:rFonts w:ascii="Cambria Math" w:hAnsi="Cambria Math" w:cs="Times New Roman"/>
                <w:color w:val="000000" w:themeColor="text1"/>
                <w:szCs w:val="21"/>
                <w14:textFill>
                  <w14:solidFill>
                    <w14:schemeClr w14:val="tx1"/>
                  </w14:solidFill>
                </w14:textFill>
              </w:rPr>
            </m:ctrlPr>
          </m:dPr>
          <m:e>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d>
        <m:r>
          <m:rPr>
            <m:sty m:val="p"/>
          </m:rP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2</m:t>
            </m:r>
            <m:d>
              <m:dPr>
                <m:ctrlPr>
                  <w:rPr>
                    <w:rFonts w:ascii="Cambria Math" w:hAnsi="Cambria Math" w:cs="Times New Roman"/>
                    <w:color w:val="000000" w:themeColor="text1"/>
                    <w:szCs w:val="21"/>
                    <w14:textFill>
                      <w14:solidFill>
                        <w14:schemeClr w14:val="tx1"/>
                      </w14:solidFill>
                    </w14:textFill>
                  </w:rPr>
                </m:ctrlPr>
              </m:dPr>
              <m:e>
                <m:r>
                  <m:rPr>
                    <m:sty m:val="p"/>
                  </m:rPr>
                  <w:rPr>
                    <w:rFonts w:ascii="Cambria Math" w:hAnsi="Cambria Math" w:cs="Times New Roman"/>
                    <w:color w:val="000000" w:themeColor="text1"/>
                    <w:szCs w:val="21"/>
                    <w14:textFill>
                      <w14:solidFill>
                        <w14:schemeClr w14:val="tx1"/>
                      </w14:solidFill>
                    </w14:textFill>
                  </w:rPr>
                  <m:t>1+</m:t>
                </m:r>
                <m:r>
                  <w:rPr>
                    <w:rFonts w:ascii="Cambria Math" w:hAnsi="Cambria Math" w:cs="Times New Roman"/>
                    <w:color w:val="000000" w:themeColor="text1"/>
                    <w:szCs w:val="21"/>
                    <w14:textFill>
                      <w14:solidFill>
                        <w14:schemeClr w14:val="tx1"/>
                      </w14:solidFill>
                    </w14:textFill>
                  </w:rPr>
                  <m:t>v</m:t>
                </m:r>
                <m:ctrlPr>
                  <w:rPr>
                    <w:rFonts w:ascii="Cambria Math" w:hAnsi="Cambria Math" w:cs="Times New Roman"/>
                    <w:color w:val="000000" w:themeColor="text1"/>
                    <w:szCs w:val="21"/>
                    <w14:textFill>
                      <w14:solidFill>
                        <w14:schemeClr w14:val="tx1"/>
                      </w14:solidFill>
                    </w14:textFill>
                  </w:rPr>
                </m:ctrlPr>
              </m:e>
            </m:d>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3</m:t>
            </m:r>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+3</m:t>
        </m:r>
        <m:d>
          <m:dPr>
            <m:ctrlPr>
              <w:rPr>
                <w:rFonts w:ascii="Cambria Math" w:hAnsi="Cambria Math" w:cs="Times New Roman"/>
                <w:color w:val="000000" w:themeColor="text1"/>
                <w:szCs w:val="21"/>
                <w14:textFill>
                  <w14:solidFill>
                    <w14:schemeClr w14:val="tx1"/>
                  </w14:solidFill>
                </w14:textFill>
              </w:rPr>
            </m:ctrlPr>
          </m:dPr>
          <m:e>
            <m:r>
              <m:rPr>
                <m:sty m:val="p"/>
              </m:rPr>
              <w:rPr>
                <w:rFonts w:ascii="Cambria Math" w:hAnsi="Cambria Math" w:cs="Times New Roman"/>
                <w:color w:val="000000" w:themeColor="text1"/>
                <w:szCs w:val="21"/>
                <w14:textFill>
                  <w14:solidFill>
                    <w14:schemeClr w14:val="tx1"/>
                  </w14:solidFill>
                </w14:textFill>
              </w:rPr>
              <m:t>1+</m:t>
            </m:r>
            <m:r>
              <w:rPr>
                <w:rFonts w:ascii="Cambria Math" w:hAnsi="Cambria Math" w:cs="Times New Roman"/>
                <w:color w:val="000000" w:themeColor="text1"/>
                <w:szCs w:val="21"/>
                <w14:textFill>
                  <w14:solidFill>
                    <w14:schemeClr w14:val="tx1"/>
                  </w14:solidFill>
                </w14:textFill>
              </w:rPr>
              <m:t>v</m:t>
            </m:r>
            <m:ctrlPr>
              <w:rPr>
                <w:rFonts w:ascii="Cambria Math" w:hAnsi="Cambria Math" w:cs="Times New Roman"/>
                <w:color w:val="000000" w:themeColor="text1"/>
                <w:szCs w:val="21"/>
                <w14:textFill>
                  <w14:solidFill>
                    <w14:schemeClr w14:val="tx1"/>
                  </w14:solidFill>
                </w14:textFill>
              </w:rPr>
            </m:ctrlPr>
          </m:e>
        </m:d>
        <m:d>
          <m:dPr>
            <m:ctrlPr>
              <w:rPr>
                <w:rFonts w:ascii="Cambria Math" w:hAnsi="Cambria Math" w:cs="Times New Roman"/>
                <w:color w:val="000000" w:themeColor="text1"/>
                <w:szCs w:val="21"/>
                <w14:textFill>
                  <w14:solidFill>
                    <w14:schemeClr w14:val="tx1"/>
                  </w14:solidFill>
                </w14:textFill>
              </w:rPr>
            </m:ctrlPr>
          </m:dPr>
          <m:e>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d>
      </m:oMath>
      <w:r>
        <w:rPr>
          <w:rFonts w:cs="Times New Roman"/>
          <w:color w:val="000000" w:themeColor="text1"/>
          <w:szCs w:val="21"/>
          <w14:textFill>
            <w14:solidFill>
              <w14:schemeClr w14:val="tx1"/>
            </w14:solidFill>
          </w14:textFill>
        </w:rPr>
        <w:t xml:space="preserve">                   (H.2.2-3)</w:t>
      </w:r>
    </w:p>
    <w:p>
      <w:pPr>
        <w:spacing w:line="360" w:lineRule="auto"/>
        <w:ind w:firstLine="420"/>
        <w:jc w:val="center"/>
        <w:rPr>
          <w:rFonts w:cs="Times New Roman"/>
          <w:color w:val="000000" w:themeColor="text1"/>
          <w:szCs w:val="21"/>
          <w14:textFill>
            <w14:solidFill>
              <w14:schemeClr w14:val="tx1"/>
            </w14:solidFill>
          </w14:textFill>
        </w:rPr>
      </w:pPr>
      <m:oMath>
        <m:sSup>
          <m:sSupPr>
            <m:ctrlPr>
              <w:rPr>
                <w:rFonts w:ascii="Cambria Math" w:hAnsi="Cambria Math" w:cs="Times New Roman"/>
                <w:color w:val="000000" w:themeColor="text1"/>
                <w:szCs w:val="21"/>
                <w14:textFill>
                  <w14:solidFill>
                    <w14:schemeClr w14:val="tx1"/>
                  </w14:solidFill>
                </w14:textFill>
              </w:rPr>
            </m:ctrlPr>
          </m:sSupPr>
          <m:e>
            <m:r>
              <w:rPr>
                <w:rFonts w:ascii="Cambria Math" w:hAnsi="Cambria Math" w:cs="Times New Roman"/>
                <w:color w:val="000000" w:themeColor="text1"/>
                <w:szCs w:val="21"/>
                <w14:textFill>
                  <w14:solidFill>
                    <w14:schemeClr w14:val="tx1"/>
                  </w14:solidFill>
                </w14:textFill>
              </w:rPr>
              <m:t>d</m:t>
            </m:r>
            <m:acc>
              <m:accPr>
                <m:chr m:val="̅"/>
                <m:ctrlPr>
                  <w:rPr>
                    <w:rFonts w:ascii="Cambria Math" w:hAnsi="Cambria Math" w:cs="Times New Roman"/>
                    <w:color w:val="000000" w:themeColor="text1"/>
                    <w:szCs w:val="21"/>
                    <w14:textFill>
                      <w14:solidFill>
                        <w14:schemeClr w14:val="tx1"/>
                      </w14:solidFill>
                    </w14:textFill>
                  </w:rPr>
                </m:ctrlPr>
              </m:acc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acc>
            <m:ctrlPr>
              <w:rPr>
                <w:rFonts w:ascii="Cambria Math" w:hAnsi="Cambria Math" w:cs="Times New Roman"/>
                <w:color w:val="000000" w:themeColor="text1"/>
                <w:szCs w:val="21"/>
                <w14:textFill>
                  <w14:solidFill>
                    <w14:schemeClr w14:val="tx1"/>
                  </w14:solidFill>
                </w14:textFill>
              </w:rPr>
            </m:ctrlPr>
          </m:e>
          <m:sup>
            <m:r>
              <w:rPr>
                <w:rFonts w:ascii="Cambria Math" w:hAnsi="Cambria Math" w:cs="Times New Roman"/>
                <w:color w:val="000000" w:themeColor="text1"/>
                <w:szCs w:val="21"/>
                <w14:textFill>
                  <w14:solidFill>
                    <w14:schemeClr w14:val="tx1"/>
                  </w14:solidFill>
                </w14:textFill>
              </w:rPr>
              <m:t>p</m:t>
            </m:r>
            <m:r>
              <m:rPr>
                <m:sty m:val="p"/>
              </m:rPr>
              <w:rPr>
                <w:rFonts w:ascii="Cambria Math" w:hAnsi="Cambria Math" w:cs="Times New Roman"/>
                <w:color w:val="000000" w:themeColor="text1"/>
                <w:szCs w:val="21"/>
                <w14:textFill>
                  <w14:solidFill>
                    <w14:schemeClr w14:val="tx1"/>
                  </w14:solidFill>
                </w14:textFill>
              </w:rPr>
              <m:t>+</m:t>
            </m:r>
            <m:ctrlPr>
              <w:rPr>
                <w:rFonts w:ascii="Cambria Math" w:hAnsi="Cambria Math" w:cs="Times New Roman"/>
                <w:color w:val="000000" w:themeColor="text1"/>
                <w:szCs w:val="21"/>
                <w14:textFill>
                  <w14:solidFill>
                    <w14:schemeClr w14:val="tx1"/>
                  </w14:solidFill>
                </w14:textFill>
              </w:rPr>
            </m:ctrlPr>
          </m:sup>
        </m:sSup>
        <m:r>
          <m:rPr>
            <m:sty m:val="p"/>
          </m:rPr>
          <w:rPr>
            <w:rFonts w:ascii="Cambria Math" w:hAnsi="Cambria Math" w:cs="Times New Roman"/>
            <w:color w:val="000000" w:themeColor="text1"/>
            <w:szCs w:val="21"/>
            <w14:textFill>
              <w14:solidFill>
                <w14:schemeClr w14:val="tx1"/>
              </w14:solidFill>
            </w14:textFill>
          </w:rPr>
          <m:t>=</m:t>
        </m:r>
        <m:d>
          <m:dPr>
            <m:begChr m:val=""/>
            <m:endChr m:val=""/>
            <m:ctrlPr>
              <w:rPr>
                <w:rFonts w:ascii="Cambria Math" w:hAnsi="Cambria Math" w:cs="Times New Roman"/>
                <w:color w:val="000000" w:themeColor="text1"/>
                <w:szCs w:val="21"/>
                <w14:textFill>
                  <w14:solidFill>
                    <w14:schemeClr w14:val="tx1"/>
                  </w14:solidFill>
                </w14:textFill>
              </w:rPr>
            </m:ctrlPr>
          </m:dPr>
          <m:e>
            <m:d>
              <m:dPr>
                <m:begChr m:val="{"/>
                <m:endChr m:val=""/>
                <m:ctrlPr>
                  <w:rPr>
                    <w:rFonts w:ascii="Cambria Math" w:hAnsi="Cambria Math" w:cs="Times New Roman"/>
                    <w:color w:val="000000" w:themeColor="text1"/>
                    <w:szCs w:val="21"/>
                    <w14:textFill>
                      <w14:solidFill>
                        <w14:schemeClr w14:val="tx1"/>
                      </w14:solidFill>
                    </w14:textFill>
                  </w:rPr>
                </m:ctrlPr>
              </m:dPr>
              <m:e>
                <m:eqArr>
                  <m:eqArrPr>
                    <m:ctrlPr>
                      <w:rPr>
                        <w:rFonts w:ascii="Cambria Math" w:hAnsi="Cambria Math" w:cs="Times New Roman"/>
                        <w:color w:val="000000" w:themeColor="text1"/>
                        <w:szCs w:val="21"/>
                        <w14:textFill>
                          <w14:solidFill>
                            <w14:schemeClr w14:val="tx1"/>
                          </w14:solidFill>
                        </w14:textFill>
                      </w:rPr>
                    </m:ctrlPr>
                  </m:eqArrPr>
                  <m:e>
                    <m:sSup>
                      <m:sSupPr>
                        <m:ctrlPr>
                          <w:rPr>
                            <w:rFonts w:ascii="Cambria Math" w:hAnsi="Cambria Math" w:cs="Times New Roman"/>
                            <w:color w:val="000000" w:themeColor="text1"/>
                            <w:szCs w:val="21"/>
                            <w14:textFill>
                              <w14:solidFill>
                                <w14:schemeClr w14:val="tx1"/>
                              </w14:solidFill>
                            </w14:textFill>
                          </w:rPr>
                        </m:ctrlPr>
                      </m:sSupPr>
                      <m:e>
                        <m:r>
                          <w:rPr>
                            <w:rFonts w:ascii="Cambria Math" w:hAnsi="Cambria Math" w:cs="Times New Roman"/>
                            <w:color w:val="000000" w:themeColor="text1"/>
                            <w:szCs w:val="21"/>
                            <w14:textFill>
                              <w14:solidFill>
                                <w14:schemeClr w14:val="tx1"/>
                              </w14:solidFill>
                            </w14:textFill>
                          </w:rPr>
                          <m:t>d</m:t>
                        </m:r>
                        <m:acc>
                          <m:accPr>
                            <m:chr m:val="̅"/>
                            <m:ctrlPr>
                              <w:rPr>
                                <w:rFonts w:ascii="Cambria Math" w:hAnsi="Cambria Math" w:cs="Times New Roman"/>
                                <w:color w:val="000000" w:themeColor="text1"/>
                                <w:szCs w:val="21"/>
                                <w14:textFill>
                                  <w14:solidFill>
                                    <w14:schemeClr w14:val="tx1"/>
                                  </w14:solidFill>
                                </w14:textFill>
                              </w:rPr>
                            </m:ctrlPr>
                          </m:acc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acc>
                        <m:ctrlPr>
                          <w:rPr>
                            <w:rFonts w:ascii="Cambria Math" w:hAnsi="Cambria Math" w:cs="Times New Roman"/>
                            <w:color w:val="000000" w:themeColor="text1"/>
                            <w:szCs w:val="21"/>
                            <w14:textFill>
                              <w14:solidFill>
                                <w14:schemeClr w14:val="tx1"/>
                              </w14:solidFill>
                            </w14:textFill>
                          </w:rPr>
                        </m:ctrlPr>
                      </m:e>
                      <m:sup>
                        <m:r>
                          <w:rPr>
                            <w:rFonts w:ascii="Cambria Math" w:hAnsi="Cambria Math" w:cs="Times New Roman"/>
                            <w:color w:val="000000" w:themeColor="text1"/>
                            <w:szCs w:val="21"/>
                            <w14:textFill>
                              <w14:solidFill>
                                <w14:schemeClr w14:val="tx1"/>
                              </w14:solidFill>
                            </w14:textFill>
                          </w:rPr>
                          <m:t>p</m:t>
                        </m:r>
                        <m:ctrlPr>
                          <w:rPr>
                            <w:rFonts w:ascii="Cambria Math" w:hAnsi="Cambria Math" w:cs="Times New Roman"/>
                            <w:color w:val="000000" w:themeColor="text1"/>
                            <w:szCs w:val="21"/>
                            <w14:textFill>
                              <w14:solidFill>
                                <w14:schemeClr w14:val="tx1"/>
                              </w14:solidFill>
                            </w14:textFill>
                          </w:rPr>
                        </m:ctrlPr>
                      </m:sup>
                    </m:sSup>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r>
                      <m:rPr>
                        <m:sty m:val="p"/>
                      </m:rPr>
                      <w:rPr>
                        <w:rFonts w:hint="eastAsia" w:ascii="Cambria Math" w:hAnsi="Cambria Math" w:cs="Times New Roman"/>
                        <w:color w:val="000000" w:themeColor="text1"/>
                        <w:szCs w:val="21"/>
                        <w14:textFill>
                          <w14:solidFill>
                            <w14:schemeClr w14:val="tx1"/>
                          </w14:solidFill>
                        </w14:textFill>
                      </w:rPr>
                      <m:t>＞</m:t>
                    </m:r>
                    <m:r>
                      <m:rPr>
                        <m:sty m:val="p"/>
                      </m:rPr>
                      <w:rPr>
                        <w:rFonts w:ascii="Cambria Math" w:hAnsi="Cambria Math" w:cs="Times New Roman"/>
                        <w:color w:val="000000" w:themeColor="text1"/>
                        <w:szCs w:val="21"/>
                        <w14:textFill>
                          <w14:solidFill>
                            <w14:schemeClr w14:val="tx1"/>
                          </w14:solidFill>
                        </w14:textFill>
                      </w:rPr>
                      <m:t>0</m:t>
                    </m:r>
                    <m:ctrlPr>
                      <w:rPr>
                        <w:rFonts w:ascii="Cambria Math" w:hAnsi="Cambria Math" w:cs="Times New Roman"/>
                        <w:color w:val="000000" w:themeColor="text1"/>
                        <w:szCs w:val="21"/>
                        <w14:textFill>
                          <w14:solidFill>
                            <w14:schemeClr w14:val="tx1"/>
                          </w14:solidFill>
                        </w14:textFill>
                      </w:rPr>
                    </m:ctrlPr>
                  </m:e>
                  <m:e>
                    <m:r>
                      <m:rPr>
                        <m:sty m:val="p"/>
                      </m:rPr>
                      <w:rPr>
                        <w:rFonts w:ascii="Cambria Math" w:hAnsi="Cambria Math" w:cs="Times New Roman"/>
                        <w:color w:val="000000" w:themeColor="text1"/>
                        <w:szCs w:val="21"/>
                        <w14:textFill>
                          <w14:solidFill>
                            <w14:schemeClr w14:val="tx1"/>
                          </w14:solidFill>
                        </w14:textFill>
                      </w:rPr>
                      <m:t>0</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≤0</m:t>
                    </m:r>
                    <m:ctrlPr>
                      <w:rPr>
                        <w:rFonts w:ascii="Cambria Math" w:hAnsi="Cambria Math" w:cs="Times New Roman"/>
                        <w:color w:val="000000" w:themeColor="text1"/>
                        <w:szCs w:val="21"/>
                        <w14:textFill>
                          <w14:solidFill>
                            <w14:schemeClr w14:val="tx1"/>
                          </w14:solidFill>
                        </w14:textFill>
                      </w:rPr>
                    </m:ctrlPr>
                  </m:e>
                </m:eqArr>
                <m:ctrlPr>
                  <w:rPr>
                    <w:rFonts w:ascii="Cambria Math" w:hAnsi="Cambria Math" w:cs="Times New Roman"/>
                    <w:color w:val="000000" w:themeColor="text1"/>
                    <w:szCs w:val="21"/>
                    <w14:textFill>
                      <w14:solidFill>
                        <w14:schemeClr w14:val="tx1"/>
                      </w14:solidFill>
                    </w14:textFill>
                  </w:rPr>
                </m:ctrlPr>
              </m:e>
            </m:d>
            <m:ctrlPr>
              <w:rPr>
                <w:rFonts w:ascii="Cambria Math" w:hAnsi="Cambria Math" w:cs="Times New Roman"/>
                <w:color w:val="000000" w:themeColor="text1"/>
                <w:szCs w:val="21"/>
                <w14:textFill>
                  <w14:solidFill>
                    <w14:schemeClr w14:val="tx1"/>
                  </w14:solidFill>
                </w14:textFill>
              </w:rPr>
            </m:ctrlPr>
          </m:e>
        </m:d>
      </m:oMath>
      <w:r>
        <w:rPr>
          <w:rFonts w:cs="Times New Roman"/>
          <w:color w:val="000000" w:themeColor="text1"/>
          <w:szCs w:val="21"/>
          <w14:textFill>
            <w14:solidFill>
              <w14:schemeClr w14:val="tx1"/>
            </w14:solidFill>
          </w14:textFill>
        </w:rPr>
        <w:t xml:space="preserve">        </w:t>
      </w:r>
      <w:r>
        <w:rPr>
          <w:rFonts w:hint="eastAsia" w:cs="Times New Roman"/>
          <w:color w:val="000000" w:themeColor="text1"/>
          <w:szCs w:val="21"/>
          <w14:textFill>
            <w14:solidFill>
              <w14:schemeClr w14:val="tx1"/>
            </w14:solidFill>
          </w14:textFill>
        </w:rPr>
        <w:t xml:space="preserve">  </w:t>
      </w:r>
      <w:r>
        <w:rPr>
          <w:rFonts w:cs="Times New Roman"/>
          <w:color w:val="000000" w:themeColor="text1"/>
          <w:szCs w:val="21"/>
          <w14:textFill>
            <w14:solidFill>
              <w14:schemeClr w14:val="tx1"/>
            </w14:solidFill>
          </w14:textFill>
        </w:rPr>
        <w:t xml:space="preserve">                  (H.2.2-</w:t>
      </w:r>
      <w:r>
        <w:rPr>
          <w:rFonts w:hint="eastAsia" w:cs="Times New Roman"/>
          <w:color w:val="000000" w:themeColor="text1"/>
          <w:szCs w:val="21"/>
          <w14:textFill>
            <w14:solidFill>
              <w14:schemeClr w14:val="tx1"/>
            </w14:solidFill>
          </w14:textFill>
        </w:rPr>
        <w:t>4</w:t>
      </w:r>
      <w:r>
        <w:rPr>
          <w:rFonts w:cs="Times New Roman"/>
          <w:color w:val="000000" w:themeColor="text1"/>
          <w:szCs w:val="21"/>
          <w14:textFill>
            <w14:solidFill>
              <w14:schemeClr w14:val="tx1"/>
            </w14:solidFill>
          </w14:textFill>
        </w:rPr>
        <w:t>)</w:t>
      </w:r>
    </w:p>
    <w:p>
      <w:pPr>
        <w:spacing w:line="360" w:lineRule="auto"/>
        <w:ind w:firstLine="420"/>
        <w:jc w:val="center"/>
        <w:rPr>
          <w:rFonts w:cs="Times New Roman"/>
          <w:color w:val="000000" w:themeColor="text1"/>
          <w:szCs w:val="21"/>
          <w14:textFill>
            <w14:solidFill>
              <w14:schemeClr w14:val="tx1"/>
            </w14:solidFill>
          </w14:textFill>
        </w:rPr>
      </w:pPr>
      <m:oMath>
        <m:r>
          <w:rPr>
            <w:rFonts w:ascii="Cambria Math" w:hAnsi="Cambria Math" w:cs="Times New Roman"/>
            <w:color w:val="000000" w:themeColor="text1"/>
            <w:szCs w:val="21"/>
            <w14:textFill>
              <w14:solidFill>
                <w14:schemeClr w14:val="tx1"/>
              </w14:solidFill>
            </w14:textFill>
          </w:rPr>
          <m:t>E</m:t>
        </m:r>
        <m:r>
          <m:rPr>
            <m:sty m:val="p"/>
          </m:rPr>
          <w:rPr>
            <w:rFonts w:ascii="Cambria Math" w:hAnsi="Cambria Math" w:cs="Times New Roman"/>
            <w:color w:val="000000" w:themeColor="text1"/>
            <w:szCs w:val="21"/>
            <w14:textFill>
              <w14:solidFill>
                <w14:schemeClr w14:val="tx1"/>
              </w14:solidFill>
            </w14:textFill>
          </w:rPr>
          <m:t>=</m:t>
        </m:r>
        <m:d>
          <m:dPr>
            <m:begChr m:val="{"/>
            <m:endChr m:val=""/>
            <m:ctrlPr>
              <w:rPr>
                <w:rFonts w:ascii="Cambria Math" w:hAnsi="Cambria Math" w:cs="Times New Roman"/>
                <w:color w:val="000000" w:themeColor="text1"/>
                <w:szCs w:val="21"/>
                <w14:textFill>
                  <w14:solidFill>
                    <w14:schemeClr w14:val="tx1"/>
                  </w14:solidFill>
                </w14:textFill>
              </w:rPr>
            </m:ctrlPr>
          </m:dPr>
          <w:bookmarkStart w:id="259" w:name="_Hlk46059963"/>
          <m:e>
            <m:eqArr>
              <m:eqArrPr>
                <m:ctrlPr>
                  <w:rPr>
                    <w:rFonts w:ascii="Cambria Math" w:hAnsi="Cambria Math" w:cs="Times New Roman"/>
                    <w:color w:val="000000" w:themeColor="text1"/>
                    <w:szCs w:val="21"/>
                    <w14:textFill>
                      <w14:solidFill>
                        <w14:schemeClr w14:val="tx1"/>
                      </w14:solidFill>
                    </w14:textFill>
                  </w:rPr>
                </m:ctrlPr>
              </m:eqArrPr>
              <m:e>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O</m:t>
                    </m:r>
                    <w:bookmarkEnd w:id="259"/>
                    <m:ctrlPr>
                      <w:rPr>
                        <w:rFonts w:ascii="Cambria Math" w:hAnsi="Cambria Math" w:cs="Times New Roman"/>
                        <w:color w:val="000000" w:themeColor="text1"/>
                        <w:szCs w:val="21"/>
                        <w14:textFill>
                          <w14:solidFill>
                            <w14:schemeClr w14:val="tx1"/>
                          </w14:solidFill>
                        </w14:textFill>
                      </w:rPr>
                    </m:ctrlPr>
                  </m:sub>
                </m:sSub>
                <m:d>
                  <m:dPr>
                    <m:ctrlPr>
                      <w:rPr>
                        <w:rFonts w:ascii="Cambria Math" w:hAnsi="Cambria Math" w:cs="Times New Roman"/>
                        <w:color w:val="000000" w:themeColor="text1"/>
                        <w:szCs w:val="21"/>
                        <w14:textFill>
                          <w14:solidFill>
                            <w14:schemeClr w14:val="tx1"/>
                          </w14:solidFill>
                        </w14:textFill>
                      </w:rPr>
                    </m:ctrlPr>
                  </m:dPr>
                  <m:e>
                    <m:r>
                      <m:rPr>
                        <m:sty m:val="p"/>
                      </m:rPr>
                      <w:rPr>
                        <w:rFonts w:ascii="Cambria Math" w:hAnsi="Cambria Math" w:cs="Times New Roman"/>
                        <w:color w:val="000000" w:themeColor="text1"/>
                        <w:szCs w:val="21"/>
                        <w14:textFill>
                          <w14:solidFill>
                            <w14:schemeClr w14:val="tx1"/>
                          </w14:solidFill>
                        </w14:textFill>
                      </w:rPr>
                      <m:t>1-</m:t>
                    </m:r>
                    <m:r>
                      <w:rPr>
                        <w:rFonts w:ascii="Cambria Math" w:hAnsi="Cambria Math" w:cs="Times New Roman"/>
                        <w:color w:val="000000" w:themeColor="text1"/>
                        <w:szCs w:val="21"/>
                        <w14:textFill>
                          <w14:solidFill>
                            <w14:schemeClr w14:val="tx1"/>
                          </w14:solidFill>
                        </w14:textFill>
                      </w:rPr>
                      <m:t>D</m:t>
                    </m:r>
                    <m:ctrlPr>
                      <w:rPr>
                        <w:rFonts w:ascii="Cambria Math" w:hAnsi="Cambria Math" w:cs="Times New Roman"/>
                        <w:color w:val="000000" w:themeColor="text1"/>
                        <w:szCs w:val="21"/>
                        <w14:textFill>
                          <w14:solidFill>
                            <w14:schemeClr w14:val="tx1"/>
                          </w14:solidFill>
                        </w14:textFill>
                      </w:rPr>
                    </m:ctrlPr>
                  </m:e>
                </m:d>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r>
                  <m:rPr>
                    <m:sty m:val="p"/>
                  </m:rPr>
                  <w:rPr>
                    <w:rFonts w:hint="eastAsia" w:ascii="Cambria Math" w:hAnsi="Cambria Math" w:cs="Times New Roman"/>
                    <w:color w:val="000000" w:themeColor="text1"/>
                    <w:szCs w:val="21"/>
                    <w14:textFill>
                      <w14:solidFill>
                        <w14:schemeClr w14:val="tx1"/>
                      </w14:solidFill>
                    </w14:textFill>
                  </w:rPr>
                  <m:t>＞</m:t>
                </m:r>
                <m:r>
                  <m:rPr>
                    <m:sty m:val="p"/>
                  </m:rPr>
                  <w:rPr>
                    <w:rFonts w:ascii="Cambria Math" w:hAnsi="Cambria Math" w:cs="Times New Roman"/>
                    <w:color w:val="000000" w:themeColor="text1"/>
                    <w:szCs w:val="21"/>
                    <w14:textFill>
                      <w14:solidFill>
                        <w14:schemeClr w14:val="tx1"/>
                      </w14:solidFill>
                    </w14:textFill>
                  </w:rPr>
                  <m:t>0</m:t>
                </m:r>
                <m:ctrlPr>
                  <w:rPr>
                    <w:rFonts w:ascii="Cambria Math" w:hAnsi="Cambria Math" w:cs="Times New Roman"/>
                    <w:color w:val="000000" w:themeColor="text1"/>
                    <w:szCs w:val="21"/>
                    <w14:textFill>
                      <w14:solidFill>
                        <w14:schemeClr w14:val="tx1"/>
                      </w14:solidFill>
                    </w14:textFill>
                  </w:rPr>
                </m:ctrlPr>
              </m:e>
              <m:e>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O</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 xml:space="preserve"> </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≤0</m:t>
                </m:r>
                <m:ctrlPr>
                  <w:rPr>
                    <w:rFonts w:ascii="Cambria Math" w:hAnsi="Cambria Math" w:cs="Times New Roman"/>
                    <w:color w:val="000000" w:themeColor="text1"/>
                    <w:szCs w:val="21"/>
                    <w14:textFill>
                      <w14:solidFill>
                        <w14:schemeClr w14:val="tx1"/>
                      </w14:solidFill>
                    </w14:textFill>
                  </w:rPr>
                </m:ctrlPr>
              </m:e>
            </m:eqArr>
            <m:ctrlPr>
              <w:rPr>
                <w:rFonts w:ascii="Cambria Math" w:hAnsi="Cambria Math" w:cs="Times New Roman"/>
                <w:color w:val="000000" w:themeColor="text1"/>
                <w:szCs w:val="21"/>
                <w14:textFill>
                  <w14:solidFill>
                    <w14:schemeClr w14:val="tx1"/>
                  </w14:solidFill>
                </w14:textFill>
              </w:rPr>
            </m:ctrlPr>
          </m:e>
        </m:d>
      </m:oMath>
      <w:r>
        <w:rPr>
          <w:rFonts w:cs="Times New Roman"/>
          <w:color w:val="000000" w:themeColor="text1"/>
          <w:szCs w:val="21"/>
          <w14:textFill>
            <w14:solidFill>
              <w14:schemeClr w14:val="tx1"/>
            </w14:solidFill>
          </w14:textFill>
        </w:rPr>
        <w:t xml:space="preserve">                        (H.2.2-</w:t>
      </w:r>
      <w:r>
        <w:rPr>
          <w:rFonts w:hint="eastAsia" w:cs="Times New Roman"/>
          <w:color w:val="000000" w:themeColor="text1"/>
          <w:szCs w:val="21"/>
          <w14:textFill>
            <w14:solidFill>
              <w14:schemeClr w14:val="tx1"/>
            </w14:solidFill>
          </w14:textFill>
        </w:rPr>
        <w:t>5</w:t>
      </w:r>
      <w:r>
        <w:rPr>
          <w:rFonts w:cs="Times New Roman"/>
          <w:color w:val="000000" w:themeColor="text1"/>
          <w:szCs w:val="21"/>
          <w14:textFill>
            <w14:solidFill>
              <w14:schemeClr w14:val="tx1"/>
            </w14:solidFill>
          </w14:textFill>
        </w:rPr>
        <w:t>)</w:t>
      </w:r>
    </w:p>
    <w:p>
      <w:pPr>
        <w:spacing w:line="360" w:lineRule="auto"/>
        <w:ind w:firstLine="420"/>
        <w:jc w:val="center"/>
        <w:rPr>
          <w:rFonts w:cs="Times New Roman"/>
          <w:color w:val="000000" w:themeColor="text1"/>
          <w:szCs w:val="21"/>
          <w14:textFill>
            <w14:solidFill>
              <w14:schemeClr w14:val="tx1"/>
            </w14:solidFill>
          </w14:textFill>
        </w:rPr>
      </w:pPr>
      <m:oMath>
        <m:sSubSup>
          <m:sSubSupPr>
            <m:ctrlPr>
              <w:rPr>
                <w:rFonts w:ascii="Cambria Math" w:hAnsi="Cambria Math" w:cs="Times New Roman"/>
                <w:color w:val="000000" w:themeColor="text1"/>
                <w:szCs w:val="21"/>
                <w14:textFill>
                  <w14:solidFill>
                    <w14:schemeClr w14:val="tx1"/>
                  </w14:solidFill>
                </w14:textFill>
              </w:rPr>
            </m:ctrlPr>
          </m:sSubSupPr>
          <m:e>
            <m:acc>
              <m:accPr>
                <m:chr m:val="̅"/>
                <m:ctrlPr>
                  <w:rPr>
                    <w:rFonts w:ascii="Cambria Math" w:hAnsi="Cambria Math" w:cs="Times New Roman"/>
                    <w:color w:val="000000" w:themeColor="text1"/>
                    <w:szCs w:val="21"/>
                    <w14:textFill>
                      <w14:solidFill>
                        <w14:schemeClr w14:val="tx1"/>
                      </w14:solidFill>
                    </w14:textFill>
                  </w:rPr>
                </m:ctrlPr>
              </m:acc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acc>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sub>
          <m:sup>
            <m:r>
              <w:rPr>
                <w:rFonts w:ascii="Cambria Math" w:hAnsi="Cambria Math" w:cs="Times New Roman"/>
                <w:color w:val="000000" w:themeColor="text1"/>
                <w:szCs w:val="21"/>
                <w14:textFill>
                  <w14:solidFill>
                    <w14:schemeClr w14:val="tx1"/>
                  </w14:solidFill>
                </w14:textFill>
              </w:rPr>
              <m:t>p</m:t>
            </m:r>
            <m:ctrlPr>
              <w:rPr>
                <w:rFonts w:ascii="Cambria Math" w:hAnsi="Cambria Math" w:cs="Times New Roman"/>
                <w:color w:val="000000" w:themeColor="text1"/>
                <w:szCs w:val="21"/>
                <w14:textFill>
                  <w14:solidFill>
                    <w14:schemeClr w14:val="tx1"/>
                  </w14:solidFill>
                </w14:textFill>
              </w:rPr>
            </m:ctrlPr>
          </m:sup>
        </m:sSubSup>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th</m:t>
            </m:r>
            <m:ctrlPr>
              <w:rPr>
                <w:rFonts w:ascii="Cambria Math" w:hAnsi="Cambria Math" w:cs="Times New Roman"/>
                <w:color w:val="000000" w:themeColor="text1"/>
                <w:szCs w:val="21"/>
                <w14:textFill>
                  <w14:solidFill>
                    <w14:schemeClr w14:val="tx1"/>
                  </w14:solidFill>
                </w14:textFill>
              </w:rPr>
            </m:ctrlPr>
          </m:sub>
        </m:sSub>
        <m:sSup>
          <m:sSupPr>
            <m:ctrlPr>
              <w:rPr>
                <w:rFonts w:ascii="Cambria Math" w:hAnsi="Cambria Math" w:cs="Times New Roman"/>
                <w:color w:val="000000" w:themeColor="text1"/>
                <w:szCs w:val="21"/>
                <w14:textFill>
                  <w14:solidFill>
                    <w14:schemeClr w14:val="tx1"/>
                  </w14:solidFill>
                </w14:textFill>
              </w:rPr>
            </m:ctrlPr>
          </m:sSupPr>
          <m:e>
            <m:d>
              <m:dPr>
                <m:ctrlPr>
                  <w:rPr>
                    <w:rFonts w:ascii="Cambria Math" w:hAnsi="Cambria Math" w:cs="Times New Roman"/>
                    <w:color w:val="000000" w:themeColor="text1"/>
                    <w:szCs w:val="21"/>
                    <w14:textFill>
                      <w14:solidFill>
                        <w14:schemeClr w14:val="tx1"/>
                      </w14:solidFill>
                    </w14:textFill>
                  </w:rPr>
                </m:ctrlPr>
              </m:dPr>
              <m:e>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ε</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th</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d>
            <m:ctrlPr>
              <w:rPr>
                <w:rFonts w:ascii="Cambria Math" w:hAnsi="Cambria Math" w:cs="Times New Roman"/>
                <w:color w:val="000000" w:themeColor="text1"/>
                <w:szCs w:val="21"/>
                <w14:textFill>
                  <w14:solidFill>
                    <w14:schemeClr w14:val="tx1"/>
                  </w14:solidFill>
                </w14:textFill>
              </w:rPr>
            </m:ctrlPr>
          </m:e>
          <m:sup>
            <m:r>
              <m:rPr>
                <m:sty m:val="p"/>
              </m:rPr>
              <w:rPr>
                <w:rFonts w:ascii="Cambria Math" w:hAnsi="Cambria Math" w:cs="Times New Roman"/>
                <w:color w:val="000000" w:themeColor="text1"/>
                <w:szCs w:val="21"/>
                <w14:textFill>
                  <w14:solidFill>
                    <w14:schemeClr w14:val="tx1"/>
                  </w14:solidFill>
                </w14:textFill>
              </w:rPr>
              <m:t>1/</m:t>
            </m:r>
            <m:r>
              <w:rPr>
                <w:rFonts w:ascii="Cambria Math" w:hAnsi="Cambria Math" w:cs="Times New Roman"/>
                <w:color w:val="000000" w:themeColor="text1"/>
                <w:szCs w:val="21"/>
                <w14:textFill>
                  <w14:solidFill>
                    <w14:schemeClr w14:val="tx1"/>
                  </w14:solidFill>
                </w14:textFill>
              </w:rPr>
              <m:t>f</m:t>
            </m:r>
            <m:d>
              <m:dPr>
                <m:ctrlPr>
                  <w:rPr>
                    <w:rFonts w:ascii="Cambria Math" w:hAnsi="Cambria Math" w:cs="Times New Roman"/>
                    <w:color w:val="000000" w:themeColor="text1"/>
                    <w:szCs w:val="21"/>
                    <w14:textFill>
                      <w14:solidFill>
                        <w14:schemeClr w14:val="tx1"/>
                      </w14:solidFill>
                    </w14:textFill>
                  </w:rPr>
                </m:ctrlPr>
              </m:dPr>
              <m:e>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m</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σ</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e>
            </m:d>
            <m:ctrlPr>
              <w:rPr>
                <w:rFonts w:ascii="Cambria Math" w:hAnsi="Cambria Math" w:cs="Times New Roman"/>
                <w:color w:val="000000" w:themeColor="text1"/>
                <w:szCs w:val="21"/>
                <w14:textFill>
                  <w14:solidFill>
                    <w14:schemeClr w14:val="tx1"/>
                  </w14:solidFill>
                </w14:textFill>
              </w:rPr>
            </m:ctrlPr>
          </m:sup>
        </m:sSup>
      </m:oMath>
      <w:r>
        <w:rPr>
          <w:rFonts w:cs="Times New Roman"/>
          <w:color w:val="000000" w:themeColor="text1"/>
          <w:szCs w:val="21"/>
          <w14:textFill>
            <w14:solidFill>
              <w14:schemeClr w14:val="tx1"/>
            </w14:solidFill>
          </w14:textFill>
        </w:rPr>
        <w:t xml:space="preserve">                          (H.2.2-</w:t>
      </w:r>
      <w:r>
        <w:rPr>
          <w:rFonts w:hint="eastAsia" w:cs="Times New Roman"/>
          <w:color w:val="000000" w:themeColor="text1"/>
          <w:szCs w:val="21"/>
          <w14:textFill>
            <w14:solidFill>
              <w14:schemeClr w14:val="tx1"/>
            </w14:solidFill>
          </w14:textFill>
        </w:rPr>
        <w:t>6</w:t>
      </w:r>
      <w:r>
        <w:rPr>
          <w:rFonts w:cs="Times New Roman"/>
          <w:color w:val="000000" w:themeColor="text1"/>
          <w:szCs w:val="21"/>
          <w14:textFill>
            <w14:solidFill>
              <w14:schemeClr w14:val="tx1"/>
            </w14:solidFill>
          </w14:textFill>
        </w:rPr>
        <w:t>)</w:t>
      </w:r>
    </w:p>
    <w:p>
      <w:pPr>
        <w:spacing w:line="300" w:lineRule="auto"/>
        <w:ind w:firstLine="420"/>
        <w:textAlignment w:val="center"/>
        <w:rPr>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式中：</w:t>
      </w:r>
      <w:r>
        <w:rPr>
          <w:rFonts w:ascii="Symbol" w:hAnsi="Symbol" w:cs="Times New Roman"/>
          <w:i/>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为材料参数，d</w:t>
      </w:r>
      <w:r>
        <w:rPr>
          <w:rFonts w:cs="Times New Roman"/>
          <w:i/>
          <w:color w:val="000000" w:themeColor="text1"/>
          <w:szCs w:val="21"/>
          <w14:textFill>
            <w14:solidFill>
              <w14:schemeClr w14:val="tx1"/>
            </w14:solidFill>
          </w14:textFill>
        </w:rPr>
        <w:t>D</w:t>
      </w:r>
      <w:r>
        <w:rPr>
          <w:rFonts w:cs="Times New Roman"/>
          <w:color w:val="000000" w:themeColor="text1"/>
          <w:szCs w:val="21"/>
          <w14:textFill>
            <w14:solidFill>
              <w14:schemeClr w14:val="tx1"/>
            </w14:solidFill>
          </w14:textFill>
        </w:rPr>
        <w:t>、</w:t>
      </w:r>
      <w:r>
        <w:rPr>
          <w:rFonts w:cs="Times New Roman"/>
          <w:i/>
          <w:color w:val="000000" w:themeColor="text1"/>
          <w:szCs w:val="21"/>
          <w14:textFill>
            <w14:solidFill>
              <w14:schemeClr w14:val="tx1"/>
            </w14:solidFill>
          </w14:textFill>
        </w:rPr>
        <w:t>D</w:t>
      </w:r>
      <w:r>
        <w:rPr>
          <w:rFonts w:cs="Times New Roman"/>
          <w:color w:val="000000" w:themeColor="text1"/>
          <w:szCs w:val="21"/>
          <w:vertAlign w:val="subscript"/>
          <w14:textFill>
            <w14:solidFill>
              <w14:schemeClr w14:val="tx1"/>
            </w14:solidFill>
          </w14:textFill>
        </w:rPr>
        <w:t>0</w:t>
      </w:r>
      <w:r>
        <w:rPr>
          <w:rFonts w:cs="Times New Roman"/>
          <w:color w:val="000000" w:themeColor="text1"/>
          <w:szCs w:val="21"/>
          <w14:textFill>
            <w14:solidFill>
              <w14:schemeClr w14:val="tx1"/>
            </w14:solidFill>
          </w14:textFill>
        </w:rPr>
        <w:t>、</w:t>
      </w:r>
      <w:r>
        <w:rPr>
          <w:rFonts w:cs="Times New Roman"/>
          <w:i/>
          <w:color w:val="000000" w:themeColor="text1"/>
          <w:szCs w:val="21"/>
          <w14:textFill>
            <w14:solidFill>
              <w14:schemeClr w14:val="tx1"/>
            </w14:solidFill>
          </w14:textFill>
        </w:rPr>
        <w:t>D</w:t>
      </w:r>
      <w:r>
        <w:rPr>
          <w:rFonts w:cs="Times New Roman"/>
          <w:i/>
          <w:color w:val="000000" w:themeColor="text1"/>
          <w:szCs w:val="21"/>
          <w:vertAlign w:val="subscript"/>
          <w14:textFill>
            <w14:solidFill>
              <w14:schemeClr w14:val="tx1"/>
            </w14:solidFill>
          </w14:textFill>
        </w:rPr>
        <w:t>cr</w:t>
      </w:r>
      <w:r>
        <w:rPr>
          <w:rFonts w:cs="Times New Roman"/>
          <w:color w:val="000000" w:themeColor="text1"/>
          <w:szCs w:val="21"/>
          <w14:textFill>
            <w14:solidFill>
              <w14:schemeClr w14:val="tx1"/>
            </w14:solidFill>
          </w14:textFill>
        </w:rPr>
        <w:t>分别为累积损伤增</w:t>
      </w:r>
      <w:r>
        <w:rPr>
          <w:rFonts w:hint="eastAsia"/>
          <w:color w:val="000000" w:themeColor="text1"/>
          <w:szCs w:val="21"/>
          <w14:textFill>
            <w14:solidFill>
              <w14:schemeClr w14:val="tx1"/>
            </w14:solidFill>
          </w14:textFill>
        </w:rPr>
        <w:t>量、初始损伤、临界损伤；</w:t>
      </w:r>
      <w:r>
        <w:rPr>
          <w:color w:val="000000" w:themeColor="text1"/>
          <w:szCs w:val="21"/>
          <w14:textFill>
            <w14:solidFill>
              <w14:schemeClr w14:val="tx1"/>
            </w14:solidFill>
          </w14:textFill>
        </w:rPr>
        <w:object>
          <v:shape id="_x0000_i1072" o:spt="75" type="#_x0000_t75" style="height:18.5pt;width:14pt;" o:ole="t" filled="f" o:preferrelative="t" stroked="f" coordsize="21600,21600">
            <v:path/>
            <v:fill on="f" focussize="0,0"/>
            <v:stroke on="f" joinstyle="miter"/>
            <v:imagedata r:id="rId234" o:title=""/>
            <o:lock v:ext="edit" aspectratio="t"/>
            <w10:wrap type="none"/>
            <w10:anchorlock/>
          </v:shape>
          <o:OLEObject Type="Embed" ProgID="Equation.DSMT4" ShapeID="_x0000_i1072" DrawAspect="Content" ObjectID="_1468075772" r:id="rId233">
            <o:LockedField>false</o:LockedField>
          </o:OLEObject>
        </w:objec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i/>
          <w:color w:val="000000" w:themeColor="text1"/>
          <w:szCs w:val="21"/>
          <w:vertAlign w:val="subscript"/>
          <w14:textFill>
            <w14:solidFill>
              <w14:schemeClr w14:val="tx1"/>
            </w14:solidFill>
          </w14:textFill>
        </w:rPr>
        <w:t>th</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i/>
          <w:color w:val="000000" w:themeColor="text1"/>
          <w:szCs w:val="21"/>
          <w:vertAlign w:val="subscript"/>
          <w14:textFill>
            <w14:solidFill>
              <w14:schemeClr w14:val="tx1"/>
            </w14:solidFill>
          </w14:textFill>
        </w:rPr>
        <w:t>f</w:t>
      </w:r>
      <w:r>
        <w:rPr>
          <w:rFonts w:hint="eastAsia"/>
          <w:color w:val="000000" w:themeColor="text1"/>
          <w:szCs w:val="21"/>
          <w14:textFill>
            <w14:solidFill>
              <w14:schemeClr w14:val="tx1"/>
            </w14:solidFill>
          </w14:textFill>
        </w:rPr>
        <w:t>分别为单调加载下的断裂塑性应变、损伤应变门槛值和断裂应变；</w:t>
      </w:r>
      <w:r>
        <w:rPr>
          <w:color w:val="000000" w:themeColor="text1"/>
          <w:szCs w:val="21"/>
          <w14:textFill>
            <w14:solidFill>
              <w14:schemeClr w14:val="tx1"/>
            </w14:solidFill>
          </w14:textFill>
        </w:rPr>
        <w:object>
          <v:shape id="_x0000_i1073" o:spt="75" type="#_x0000_t75" style="height:14pt;width:20pt;" o:ole="t" filled="f" o:preferrelative="t" stroked="f" coordsize="21600,21600">
            <v:path/>
            <v:fill on="f" focussize="0,0"/>
            <v:stroke on="f" joinstyle="miter"/>
            <v:imagedata r:id="rId236" o:title=""/>
            <o:lock v:ext="edit" aspectratio="t"/>
            <w10:wrap type="none"/>
            <w10:anchorlock/>
          </v:shape>
          <o:OLEObject Type="Embed" ProgID="Equation.DSMT4" ShapeID="_x0000_i1073" DrawAspect="Content" ObjectID="_1468075773" r:id="rId235">
            <o:LockedField>false</o:LockedField>
          </o:OLEObject>
        </w:objec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object>
          <v:shape id="_x0000_i1074" o:spt="75" type="#_x0000_t75" style="height:13pt;width:21pt;" o:ole="t" filled="f" o:preferrelative="t" stroked="f" coordsize="21600,21600">
            <v:path/>
            <v:fill on="f" focussize="0,0"/>
            <v:stroke on="f" joinstyle="miter"/>
            <v:imagedata r:id="rId238" o:title=""/>
            <o:lock v:ext="edit" aspectratio="t"/>
            <w10:wrap type="none"/>
            <w10:anchorlock/>
          </v:shape>
          <o:OLEObject Type="Embed" ProgID="Equation.DSMT4" ShapeID="_x0000_i1074" DrawAspect="Content" ObjectID="_1468075774" r:id="rId237">
            <o:LockedField>false</o:LockedField>
          </o:OLEObject>
        </w:object>
      </w:r>
      <w:r>
        <w:rPr>
          <w:rFonts w:hint="eastAsia"/>
          <w:color w:val="000000" w:themeColor="text1"/>
          <w:szCs w:val="21"/>
          <w14:textFill>
            <w14:solidFill>
              <w14:schemeClr w14:val="tx1"/>
            </w14:solidFill>
          </w14:textFill>
        </w:rPr>
        <w:t>分别为累积塑性应变增量和有效累积塑性应变增量；</w:t>
      </w:r>
      <w:r>
        <w:rPr>
          <w:rFonts w:ascii="Symbol" w:hAnsi="Symbol"/>
          <w:i/>
          <w:color w:val="000000" w:themeColor="text1"/>
          <w:szCs w:val="21"/>
          <w14:textFill>
            <w14:solidFill>
              <w14:schemeClr w14:val="tx1"/>
            </w14:solidFill>
          </w14:textFill>
        </w:rPr>
        <w:t></w:t>
      </w:r>
      <w:r>
        <w:rPr>
          <w:rFonts w:hint="eastAsia"/>
          <w:i/>
          <w:color w:val="000000" w:themeColor="text1"/>
          <w:szCs w:val="21"/>
          <w:vertAlign w:val="subscript"/>
          <w14:textFill>
            <w14:solidFill>
              <w14:schemeClr w14:val="tx1"/>
            </w14:solidFill>
          </w14:textFill>
        </w:rPr>
        <w:t>m</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i/>
          <w:color w:val="000000" w:themeColor="text1"/>
          <w:szCs w:val="21"/>
          <w:vertAlign w:val="subscript"/>
          <w14:textFill>
            <w14:solidFill>
              <w14:schemeClr w14:val="tx1"/>
            </w14:solidFill>
          </w14:textFill>
        </w:rPr>
        <w:t>e</w:t>
      </w:r>
      <w:r>
        <w:rPr>
          <w:rFonts w:ascii="Symbol" w:hAnsi="Symbol"/>
          <w:i/>
          <w:color w:val="000000" w:themeColor="text1"/>
          <w:szCs w:val="21"/>
          <w14:textFill>
            <w14:solidFill>
              <w14:schemeClr w14:val="tx1"/>
            </w14:solidFill>
          </w14:textFill>
        </w:rPr>
        <w:t></w:t>
      </w:r>
      <w:r>
        <w:rPr>
          <w:rFonts w:ascii="Symbol" w:hAnsi="Symbol"/>
          <w:color w:val="000000" w:themeColor="text1"/>
          <w:szCs w:val="21"/>
          <w14:textFill>
            <w14:solidFill>
              <w14:schemeClr w14:val="tx1"/>
            </w14:solidFill>
          </w14:textFill>
        </w:rPr>
        <w:t>为应力三轴度</w:t>
      </w:r>
      <w:r>
        <w:rPr>
          <w:rFonts w:hint="eastAsia" w:ascii="Symbol" w:hAnsi="Symbol"/>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i/>
          <w:color w:val="000000" w:themeColor="text1"/>
          <w:szCs w:val="21"/>
          <w:vertAlign w:val="subscript"/>
          <w14:textFill>
            <w14:solidFill>
              <w14:schemeClr w14:val="tx1"/>
            </w14:solidFill>
          </w14:textFill>
        </w:rPr>
        <w:t>m</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i/>
          <w:color w:val="000000" w:themeColor="text1"/>
          <w:szCs w:val="21"/>
          <w:vertAlign w:val="subscript"/>
          <w14:textFill>
            <w14:solidFill>
              <w14:schemeClr w14:val="tx1"/>
            </w14:solidFill>
          </w14:textFill>
        </w:rPr>
        <w:t>e</w:t>
      </w:r>
      <w:r>
        <w:rPr>
          <w:rFonts w:hint="eastAsia"/>
          <w:color w:val="000000" w:themeColor="text1"/>
          <w:szCs w:val="21"/>
          <w14:textFill>
            <w14:solidFill>
              <w14:schemeClr w14:val="tx1"/>
            </w14:solidFill>
          </w14:textFill>
        </w:rPr>
        <w:t>分别为静水压力和</w:t>
      </w:r>
      <w:r>
        <w:rPr>
          <w:rFonts w:cs="Times New Roman"/>
          <w:color w:val="000000" w:themeColor="text1"/>
          <w:szCs w:val="21"/>
          <w14:textFill>
            <w14:solidFill>
              <w14:schemeClr w14:val="tx1"/>
            </w14:solidFill>
          </w14:textFill>
        </w:rPr>
        <w:t>Mises</w:t>
      </w:r>
      <w:r>
        <w:rPr>
          <w:rFonts w:hint="eastAsia"/>
          <w:color w:val="000000" w:themeColor="text1"/>
          <w:szCs w:val="21"/>
          <w14:textFill>
            <w14:solidFill>
              <w14:schemeClr w14:val="tx1"/>
            </w14:solidFill>
          </w14:textFill>
        </w:rPr>
        <w:t>等效应力。</w:t>
      </w:r>
    </w:p>
    <w:p>
      <w:pPr>
        <w:spacing w:line="300" w:lineRule="auto"/>
        <w:ind w:firstLine="420"/>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损伤演化特性具有：</w:t>
      </w:r>
      <w:r>
        <w:rPr>
          <w:rFonts w:cs="Times New Roman"/>
          <w:color w:val="000000" w:themeColor="text1"/>
          <w:szCs w:val="21"/>
          <w14:textFill>
            <w14:solidFill>
              <w14:schemeClr w14:val="tx1"/>
            </w14:solidFill>
          </w14:textFill>
        </w:rPr>
        <w:t>（1）当有效累积塑性应</w:t>
      </w:r>
      <w:r>
        <w:rPr>
          <w:rFonts w:hint="eastAsia"/>
          <w:color w:val="000000" w:themeColor="text1"/>
          <w:szCs w:val="21"/>
          <w14:textFill>
            <w14:solidFill>
              <w14:schemeClr w14:val="tx1"/>
            </w14:solidFill>
          </w14:textFill>
        </w:rPr>
        <w:t>变</w:t>
      </w:r>
      <w:r>
        <w:rPr>
          <w:color w:val="000000" w:themeColor="text1"/>
          <w:szCs w:val="21"/>
          <w14:textFill>
            <w14:solidFill>
              <w14:schemeClr w14:val="tx1"/>
            </w14:solidFill>
          </w14:textFill>
        </w:rPr>
        <w:object>
          <v:shape id="_x0000_i1075" o:spt="75" type="#_x0000_t75" style="height:15pt;width:21pt;" o:ole="t" filled="f" o:preferrelative="t" stroked="f" coordsize="21600,21600">
            <v:path/>
            <v:fill on="f" focussize="0,0"/>
            <v:stroke on="f" joinstyle="miter"/>
            <v:imagedata r:id="rId240" o:title=""/>
            <o:lock v:ext="edit" aspectratio="t"/>
            <w10:wrap type="none"/>
            <w10:anchorlock/>
          </v:shape>
          <o:OLEObject Type="Embed" ProgID="Equation.DSMT4" ShapeID="_x0000_i1075" DrawAspect="Content" ObjectID="_1468075775" r:id="rId239">
            <o:LockedField>false</o:LockedField>
          </o:OLEObject>
        </w:object>
      </w:r>
      <w:r>
        <w:rPr>
          <w:rFonts w:hint="eastAsia"/>
          <w:color w:val="000000" w:themeColor="text1"/>
          <w:szCs w:val="21"/>
          <w14:textFill>
            <w14:solidFill>
              <w14:schemeClr w14:val="tx1"/>
            </w14:solidFill>
          </w14:textFill>
        </w:rPr>
        <w:t>大于损伤应变门槛值</w:t>
      </w:r>
      <w:r>
        <w:rPr>
          <w:rFonts w:ascii="Symbol" w:hAnsi="Symbol"/>
          <w:i/>
          <w:color w:val="000000" w:themeColor="text1"/>
          <w:szCs w:val="21"/>
          <w14:textFill>
            <w14:solidFill>
              <w14:schemeClr w14:val="tx1"/>
            </w14:solidFill>
          </w14:textFill>
        </w:rPr>
        <w:t></w:t>
      </w:r>
      <w:r>
        <w:rPr>
          <w:i/>
          <w:color w:val="000000" w:themeColor="text1"/>
          <w:szCs w:val="21"/>
          <w:vertAlign w:val="subscript"/>
          <w14:textFill>
            <w14:solidFill>
              <w14:schemeClr w14:val="tx1"/>
            </w14:solidFill>
          </w14:textFill>
        </w:rPr>
        <w:t>th</w:t>
      </w:r>
      <w:r>
        <w:rPr>
          <w:rFonts w:hint="eastAsia"/>
          <w:color w:val="000000" w:themeColor="text1"/>
          <w:szCs w:val="21"/>
          <w14:textFill>
            <w14:solidFill>
              <w14:schemeClr w14:val="tx1"/>
            </w14:solidFill>
          </w14:textFill>
        </w:rPr>
        <w:t>，并且在应力三轴度为正的情况下，损伤开始累积</w:t>
      </w:r>
      <w:r>
        <w:rPr>
          <w:rFonts w:hint="eastAsia" w:cs="Times New Roman"/>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只有在应力三轴度为正的情况下，损伤才会引起刚度的退化。</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H.2.3  低周疲劳损伤断裂的</w:t>
      </w:r>
      <w:r>
        <w:rPr>
          <w:rFonts w:hint="eastAsia" w:cs="Times New Roman"/>
          <w:color w:val="000000" w:themeColor="text1"/>
          <w:szCs w:val="21"/>
          <w14:textFill>
            <w14:solidFill>
              <w14:schemeClr w14:val="tx1"/>
            </w14:solidFill>
          </w14:textFill>
        </w:rPr>
        <w:t>评判</w:t>
      </w:r>
      <w:r>
        <w:rPr>
          <w:rFonts w:cs="Times New Roman"/>
          <w:color w:val="000000" w:themeColor="text1"/>
          <w:szCs w:val="21"/>
          <w14:textFill>
            <w14:solidFill>
              <w14:schemeClr w14:val="tx1"/>
            </w14:solidFill>
          </w14:textFill>
        </w:rPr>
        <w:t>方法中的</w:t>
      </w:r>
      <w:r>
        <w:rPr>
          <w:rFonts w:hint="eastAsia" w:cs="Times New Roman"/>
          <w:color w:val="000000" w:themeColor="text1"/>
          <w:szCs w:val="21"/>
          <w14:textFill>
            <w14:solidFill>
              <w14:schemeClr w14:val="tx1"/>
            </w14:solidFill>
          </w14:textFill>
        </w:rPr>
        <w:t>参数取值</w:t>
      </w:r>
      <w:r>
        <w:rPr>
          <w:rFonts w:hint="eastAsia"/>
          <w:color w:val="000000" w:themeColor="text1"/>
          <w:szCs w:val="21"/>
          <w14:textFill>
            <w14:solidFill>
              <w14:schemeClr w14:val="tx1"/>
            </w14:solidFill>
          </w14:textFill>
        </w:rPr>
        <w:t xml:space="preserve">                   </w:t>
      </w:r>
    </w:p>
    <w:p>
      <w:pPr>
        <w:spacing w:line="360" w:lineRule="auto"/>
        <w:ind w:right="-40" w:firstLine="420"/>
        <w:textAlignment w:val="center"/>
        <w:rPr>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初始损伤</w:t>
      </w:r>
      <w:r>
        <w:rPr>
          <w:rFonts w:cs="Times New Roman"/>
          <w:bCs/>
          <w:i/>
          <w:iCs/>
          <w:color w:val="000000" w:themeColor="text1"/>
          <w:szCs w:val="21"/>
          <w14:textFill>
            <w14:solidFill>
              <w14:schemeClr w14:val="tx1"/>
            </w14:solidFill>
          </w14:textFill>
        </w:rPr>
        <w:t>D</w:t>
      </w:r>
      <w:r>
        <w:rPr>
          <w:rFonts w:cs="Times New Roman"/>
          <w:bCs/>
          <w:color w:val="000000" w:themeColor="text1"/>
          <w:szCs w:val="21"/>
          <w:vertAlign w:val="subscript"/>
          <w14:textFill>
            <w14:solidFill>
              <w14:schemeClr w14:val="tx1"/>
            </w14:solidFill>
          </w14:textFill>
        </w:rPr>
        <w:t>0</w:t>
      </w:r>
      <w:r>
        <w:rPr>
          <w:rFonts w:cs="Times New Roman"/>
          <w:color w:val="000000" w:themeColor="text1"/>
          <w:szCs w:val="21"/>
          <w14:textFill>
            <w14:solidFill>
              <w14:schemeClr w14:val="tx1"/>
            </w14:solidFill>
          </w14:textFill>
        </w:rPr>
        <w:t>和临界损伤</w:t>
      </w:r>
      <w:r>
        <w:rPr>
          <w:rFonts w:cs="Times New Roman"/>
          <w:bCs/>
          <w:i/>
          <w:iCs/>
          <w:color w:val="000000" w:themeColor="text1"/>
          <w:szCs w:val="21"/>
          <w14:textFill>
            <w14:solidFill>
              <w14:schemeClr w14:val="tx1"/>
            </w14:solidFill>
          </w14:textFill>
        </w:rPr>
        <w:t>D</w:t>
      </w:r>
      <w:r>
        <w:rPr>
          <w:rFonts w:cs="Times New Roman"/>
          <w:bCs/>
          <w:color w:val="000000" w:themeColor="text1"/>
          <w:szCs w:val="21"/>
          <w:vertAlign w:val="subscript"/>
          <w14:textFill>
            <w14:solidFill>
              <w14:schemeClr w14:val="tx1"/>
            </w14:solidFill>
          </w14:textFill>
        </w:rPr>
        <w:t>cr</w:t>
      </w:r>
      <w:r>
        <w:rPr>
          <w:rFonts w:cs="Times New Roman"/>
          <w:color w:val="000000" w:themeColor="text1"/>
          <w:szCs w:val="21"/>
          <w14:textFill>
            <w14:solidFill>
              <w14:schemeClr w14:val="tx1"/>
            </w14:solidFill>
          </w14:textFill>
        </w:rPr>
        <w:t>分别为0和1，</w:t>
      </w:r>
      <w:r>
        <w:rPr>
          <w:rFonts w:cs="Times New Roman"/>
          <w:bCs/>
          <w:color w:val="000000" w:themeColor="text1"/>
          <w:szCs w:val="21"/>
          <w14:textFill>
            <w14:solidFill>
              <w14:schemeClr w14:val="tx1"/>
            </w14:solidFill>
          </w14:textFill>
        </w:rPr>
        <w:t>损</w:t>
      </w:r>
      <w:r>
        <w:rPr>
          <w:rFonts w:hint="eastAsia"/>
          <w:bCs/>
          <w:color w:val="000000" w:themeColor="text1"/>
          <w:szCs w:val="21"/>
          <w14:textFill>
            <w14:solidFill>
              <w14:schemeClr w14:val="tx1"/>
            </w14:solidFill>
          </w14:textFill>
        </w:rPr>
        <w:t>伤指数</w:t>
      </w:r>
      <w:r>
        <w:rPr>
          <w:rFonts w:ascii="Symbol" w:hAnsi="Symbol"/>
          <w:bCs/>
          <w:i/>
          <w:iCs/>
          <w:color w:val="000000" w:themeColor="text1"/>
          <w:szCs w:val="21"/>
          <w14:textFill>
            <w14:solidFill>
              <w14:schemeClr w14:val="tx1"/>
            </w14:solidFill>
          </w14:textFill>
        </w:rPr>
        <w:t></w:t>
      </w:r>
      <w:r>
        <w:rPr>
          <w:rFonts w:ascii="Symbol" w:hAnsi="Symbol"/>
          <w:bCs/>
          <w:iCs/>
          <w:color w:val="000000" w:themeColor="text1"/>
          <w:szCs w:val="21"/>
          <w14:textFill>
            <w14:solidFill>
              <w14:schemeClr w14:val="tx1"/>
            </w14:solidFill>
          </w14:textFill>
        </w:rPr>
        <w:t>可取</w:t>
      </w:r>
      <w:r>
        <w:rPr>
          <w:rFonts w:hint="eastAsia" w:ascii="Symbol" w:hAnsi="Symbol"/>
          <w:bCs/>
          <w:iCs/>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可分别针对评估钢结构所采用的钢材和焊缝金属，结合有限元分析，通过等直圆棒试样的拉伸试验获得钢材和焊缝的</w:t>
      </w:r>
      <w:r>
        <w:rPr>
          <w:rFonts w:hint="eastAsia"/>
          <w:bCs/>
          <w:color w:val="000000" w:themeColor="text1"/>
          <w:szCs w:val="21"/>
          <w14:textFill>
            <w14:solidFill>
              <w14:schemeClr w14:val="tx1"/>
            </w14:solidFill>
          </w14:textFill>
        </w:rPr>
        <w:t>断裂应变</w:t>
      </w:r>
      <w:r>
        <w:rPr>
          <w:rFonts w:ascii="Symbol" w:hAnsi="Symbol"/>
          <w:bCs/>
          <w:i/>
          <w:color w:val="000000" w:themeColor="text1"/>
          <w:szCs w:val="21"/>
          <w14:textFill>
            <w14:solidFill>
              <w14:schemeClr w14:val="tx1"/>
            </w14:solidFill>
          </w14:textFill>
        </w:rPr>
        <w:t></w:t>
      </w:r>
      <w:r>
        <w:rPr>
          <w:rFonts w:hint="eastAsia"/>
          <w:bCs/>
          <w:i/>
          <w:color w:val="000000" w:themeColor="text1"/>
          <w:szCs w:val="21"/>
          <w:vertAlign w:val="subscript"/>
          <w14:textFill>
            <w14:solidFill>
              <w14:schemeClr w14:val="tx1"/>
            </w14:solidFill>
          </w14:textFill>
        </w:rPr>
        <w:t>f</w:t>
      </w:r>
      <w:r>
        <w:rPr>
          <w:bCs/>
          <w:i/>
          <w:color w:val="000000" w:themeColor="text1"/>
          <w:szCs w:val="21"/>
          <w:vertAlign w:val="subscript"/>
          <w14:textFill>
            <w14:solidFill>
              <w14:schemeClr w14:val="tx1"/>
            </w14:solidFill>
          </w14:textFill>
        </w:rPr>
        <w:t xml:space="preserve"> </w:t>
      </w:r>
      <w:r>
        <w:rPr>
          <w:rFonts w:hint="eastAsia"/>
          <w:bCs/>
          <w:color w:val="000000" w:themeColor="text1"/>
          <w:szCs w:val="21"/>
          <w14:textFill>
            <w14:solidFill>
              <w14:schemeClr w14:val="tx1"/>
            </w14:solidFill>
          </w14:textFill>
        </w:rPr>
        <w:t>，</w:t>
      </w:r>
      <w:r>
        <w:rPr>
          <w:rFonts w:ascii="Symbol" w:hAnsi="Symbol"/>
          <w:color w:val="000000" w:themeColor="text1"/>
          <w:szCs w:val="21"/>
          <w14:textFill>
            <w14:solidFill>
              <w14:schemeClr w14:val="tx1"/>
            </w14:solidFill>
          </w14:textFill>
        </w:rPr>
        <w:t>通过</w:t>
      </w:r>
      <w:r>
        <w:rPr>
          <w:rFonts w:hint="eastAsia" w:ascii="宋体"/>
          <w:color w:val="000000" w:themeColor="text1"/>
          <w:szCs w:val="21"/>
          <w14:textFill>
            <w14:solidFill>
              <w14:schemeClr w14:val="tx1"/>
            </w14:solidFill>
          </w14:textFill>
        </w:rPr>
        <w:t>缺口圆棒试样的单调拉伸试验并采用式</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H.2.2-6</w:t>
      </w:r>
      <w:r>
        <w:rPr>
          <w:rFonts w:hint="eastAsia" w:cs="Times New Roman"/>
          <w:color w:val="000000" w:themeColor="text1"/>
          <w:szCs w:val="21"/>
          <w14:textFill>
            <w14:solidFill>
              <w14:schemeClr w14:val="tx1"/>
            </w14:solidFill>
          </w14:textFill>
        </w:rPr>
        <w:t>）可</w:t>
      </w:r>
      <w:r>
        <w:rPr>
          <w:rFonts w:hint="eastAsia" w:ascii="宋体"/>
          <w:color w:val="000000" w:themeColor="text1"/>
          <w:szCs w:val="21"/>
          <w14:textFill>
            <w14:solidFill>
              <w14:schemeClr w14:val="tx1"/>
            </w14:solidFill>
          </w14:textFill>
        </w:rPr>
        <w:t>标定得到</w:t>
      </w:r>
      <w:r>
        <w:rPr>
          <w:rFonts w:hint="eastAsia"/>
          <w:color w:val="000000" w:themeColor="text1"/>
          <w:szCs w:val="21"/>
          <w14:textFill>
            <w14:solidFill>
              <w14:schemeClr w14:val="tx1"/>
            </w14:solidFill>
          </w14:textFill>
        </w:rPr>
        <w:t>钢材和焊缝的</w:t>
      </w:r>
      <w:r>
        <w:rPr>
          <w:rFonts w:hint="eastAsia"/>
          <w:bCs/>
          <w:color w:val="000000" w:themeColor="text1"/>
          <w:szCs w:val="21"/>
          <w14:textFill>
            <w14:solidFill>
              <w14:schemeClr w14:val="tx1"/>
            </w14:solidFill>
          </w14:textFill>
        </w:rPr>
        <w:t>损伤应变门槛值</w:t>
      </w:r>
      <w:r>
        <w:rPr>
          <w:rFonts w:ascii="Symbol" w:hAnsi="Symbol"/>
          <w:i/>
          <w:color w:val="000000" w:themeColor="text1"/>
          <w:szCs w:val="21"/>
          <w14:textFill>
            <w14:solidFill>
              <w14:schemeClr w14:val="tx1"/>
            </w14:solidFill>
          </w14:textFill>
        </w:rPr>
        <w:t></w:t>
      </w:r>
      <w:r>
        <w:rPr>
          <w:i/>
          <w:color w:val="000000" w:themeColor="text1"/>
          <w:szCs w:val="21"/>
          <w:vertAlign w:val="subscript"/>
          <w14:textFill>
            <w14:solidFill>
              <w14:schemeClr w14:val="tx1"/>
            </w14:solidFill>
          </w14:textFill>
        </w:rPr>
        <w:t>th</w:t>
      </w:r>
      <w:r>
        <w:rPr>
          <w:rFonts w:hint="eastAsia"/>
          <w:color w:val="000000" w:themeColor="text1"/>
          <w:szCs w:val="21"/>
          <w14:textFill>
            <w14:solidFill>
              <w14:schemeClr w14:val="tx1"/>
            </w14:solidFill>
          </w14:textFill>
        </w:rPr>
        <w:t>。</w:t>
      </w:r>
    </w:p>
    <w:p>
      <w:pPr>
        <w:spacing w:line="360" w:lineRule="auto"/>
        <w:ind w:right="-40" w:firstLine="420"/>
        <w:textAlignment w:val="center"/>
        <w:rPr>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对于</w:t>
      </w:r>
      <w:r>
        <w:rPr>
          <w:rFonts w:cs="Times New Roman"/>
          <w:color w:val="000000" w:themeColor="text1"/>
          <w:szCs w:val="21"/>
          <w14:textFill>
            <w14:solidFill>
              <w14:schemeClr w14:val="tx1"/>
            </w14:solidFill>
          </w14:textFill>
        </w:rPr>
        <w:t>Q235</w:t>
      </w:r>
      <w:r>
        <w:rPr>
          <w:rFonts w:hint="eastAsia" w:cs="Times New Roman"/>
          <w:color w:val="000000" w:themeColor="text1"/>
          <w:szCs w:val="21"/>
          <w14:textFill>
            <w14:solidFill>
              <w14:schemeClr w14:val="tx1"/>
            </w14:solidFill>
          </w14:textFill>
        </w:rPr>
        <w:t>钢材、</w:t>
      </w:r>
      <w:r>
        <w:rPr>
          <w:rFonts w:cs="Times New Roman"/>
          <w:color w:val="000000" w:themeColor="text1"/>
          <w:szCs w:val="21"/>
          <w14:textFill>
            <w14:solidFill>
              <w14:schemeClr w14:val="tx1"/>
            </w14:solidFill>
          </w14:textFill>
        </w:rPr>
        <w:t>Q355</w:t>
      </w:r>
      <w:r>
        <w:rPr>
          <w:rFonts w:hint="eastAsia" w:cs="Times New Roman"/>
          <w:color w:val="000000" w:themeColor="text1"/>
          <w:szCs w:val="21"/>
          <w14:textFill>
            <w14:solidFill>
              <w14:schemeClr w14:val="tx1"/>
            </w14:solidFill>
          </w14:textFill>
        </w:rPr>
        <w:t>钢材及其焊缝金属，</w:t>
      </w:r>
      <w:r>
        <w:rPr>
          <w:rFonts w:hint="eastAsia"/>
          <w:color w:val="000000" w:themeColor="text1"/>
          <w:szCs w:val="21"/>
          <w14:textFill>
            <w14:solidFill>
              <w14:schemeClr w14:val="tx1"/>
            </w14:solidFill>
          </w14:textFill>
        </w:rPr>
        <w:t>在缺少试验数据的情况下，</w:t>
      </w:r>
      <w:r>
        <w:rPr>
          <w:rFonts w:ascii="Symbol" w:hAnsi="Symbol"/>
          <w:i/>
          <w:color w:val="000000" w:themeColor="text1"/>
          <w:szCs w:val="21"/>
          <w14:textFill>
            <w14:solidFill>
              <w14:schemeClr w14:val="tx1"/>
            </w14:solidFill>
          </w14:textFill>
        </w:rPr>
        <w:t></w:t>
      </w:r>
      <w:r>
        <w:rPr>
          <w:color w:val="000000" w:themeColor="text1"/>
          <w:szCs w:val="21"/>
          <w:vertAlign w:val="subscript"/>
          <w14:textFill>
            <w14:solidFill>
              <w14:schemeClr w14:val="tx1"/>
            </w14:solidFill>
          </w14:textFill>
        </w:rPr>
        <w:t>th</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i/>
          <w:color w:val="000000" w:themeColor="text1"/>
          <w:szCs w:val="21"/>
          <w:vertAlign w:val="subscript"/>
          <w14:textFill>
            <w14:solidFill>
              <w14:schemeClr w14:val="tx1"/>
            </w14:solidFill>
          </w14:textFill>
        </w:rPr>
        <w:t>f</w:t>
      </w:r>
      <w:r>
        <w:rPr>
          <w:rFonts w:hint="eastAsia"/>
          <w:color w:val="000000" w:themeColor="text1"/>
          <w:szCs w:val="21"/>
          <w14:textFill>
            <w14:solidFill>
              <w14:schemeClr w14:val="tx1"/>
            </w14:solidFill>
          </w14:textFill>
        </w:rPr>
        <w:t>可参考选用如下参数。</w:t>
      </w:r>
    </w:p>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表H.2.3-1  钢材及其焊缝金属低周疲劳损伤断裂的应变参数</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7"/>
        <w:gridCol w:w="1346"/>
        <w:gridCol w:w="1345"/>
        <w:gridCol w:w="1346"/>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line="360" w:lineRule="auto"/>
              <w:ind w:right="-40" w:firstLine="420"/>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参数</w:t>
            </w:r>
          </w:p>
        </w:tc>
        <w:tc>
          <w:tcPr>
            <w:tcW w:w="0" w:type="auto"/>
            <w:gridSpan w:val="2"/>
            <w:vAlign w:val="center"/>
          </w:tcPr>
          <w:p>
            <w:pPr>
              <w:pBdr>
                <w:bottom w:val="single" w:color="auto" w:sz="4" w:space="0"/>
              </w:pBd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Q235</w:t>
            </w:r>
            <w:r>
              <w:rPr>
                <w:rFonts w:hint="eastAsia" w:cs="Times New Roman"/>
                <w:color w:val="000000" w:themeColor="text1"/>
                <w:szCs w:val="21"/>
                <w14:textFill>
                  <w14:solidFill>
                    <w14:schemeClr w14:val="tx1"/>
                  </w14:solidFill>
                </w14:textFill>
              </w:rPr>
              <w:t>钢材</w:t>
            </w:r>
            <w:r>
              <w:rPr>
                <w:rFonts w:cs="Times New Roman"/>
                <w:color w:val="000000" w:themeColor="text1"/>
                <w:szCs w:val="21"/>
                <w14:textFill>
                  <w14:solidFill>
                    <w14:schemeClr w14:val="tx1"/>
                  </w14:solidFill>
                </w14:textFill>
              </w:rPr>
              <w:t xml:space="preserve">   </w:t>
            </w:r>
            <w:r>
              <w:rPr>
                <w:rFonts w:hint="eastAsia" w:cs="Times New Roman"/>
                <w:color w:val="000000" w:themeColor="text1"/>
                <w:szCs w:val="21"/>
                <w14:textFill>
                  <w14:solidFill>
                    <w14:schemeClr w14:val="tx1"/>
                  </w14:solidFill>
                </w14:textFill>
              </w:rPr>
              <w:t>焊缝金属</w:t>
            </w:r>
          </w:p>
        </w:tc>
        <w:tc>
          <w:tcPr>
            <w:tcW w:w="0" w:type="auto"/>
            <w:gridSpan w:val="2"/>
            <w:vAlign w:val="center"/>
          </w:tcPr>
          <w:p>
            <w:pPr>
              <w:pBdr>
                <w:bottom w:val="single" w:color="auto" w:sz="4" w:space="0"/>
              </w:pBd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Q345</w:t>
            </w:r>
            <w:r>
              <w:rPr>
                <w:rFonts w:hint="eastAsia" w:cs="Times New Roman"/>
                <w:color w:val="000000" w:themeColor="text1"/>
                <w:szCs w:val="21"/>
                <w14:textFill>
                  <w14:solidFill>
                    <w14:schemeClr w14:val="tx1"/>
                  </w14:solidFill>
                </w14:textFill>
              </w:rPr>
              <w:t>钢材</w:t>
            </w:r>
            <w:r>
              <w:rPr>
                <w:rFonts w:cs="Times New Roman"/>
                <w:color w:val="000000" w:themeColor="text1"/>
                <w:szCs w:val="21"/>
                <w14:textFill>
                  <w14:solidFill>
                    <w14:schemeClr w14:val="tx1"/>
                  </w14:solidFill>
                </w14:textFill>
              </w:rPr>
              <w:t xml:space="preserve">   </w:t>
            </w:r>
            <w:r>
              <w:rPr>
                <w:rFonts w:hint="eastAsia" w:cs="Times New Roman"/>
                <w:color w:val="000000" w:themeColor="text1"/>
                <w:szCs w:val="21"/>
                <w14:textFill>
                  <w14:solidFill>
                    <w14:schemeClr w14:val="tx1"/>
                  </w14:solidFill>
                </w14:textFill>
              </w:rPr>
              <w:t>焊缝金属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line="360" w:lineRule="auto"/>
              <w:ind w:right="-40" w:firstLine="420"/>
              <w:jc w:val="center"/>
              <w:textAlignment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断裂应变</w:t>
            </w:r>
            <w:r>
              <w:rPr>
                <w:rFonts w:ascii="Symbol" w:hAnsi="Symbol"/>
                <w:bCs/>
                <w:i/>
                <w:color w:val="000000" w:themeColor="text1"/>
                <w:szCs w:val="21"/>
                <w14:textFill>
                  <w14:solidFill>
                    <w14:schemeClr w14:val="tx1"/>
                  </w14:solidFill>
                </w14:textFill>
              </w:rPr>
              <w:t></w:t>
            </w:r>
            <w:r>
              <w:rPr>
                <w:bCs/>
                <w:i/>
                <w:color w:val="000000" w:themeColor="text1"/>
                <w:szCs w:val="21"/>
                <w:vertAlign w:val="subscript"/>
                <w14:textFill>
                  <w14:solidFill>
                    <w14:schemeClr w14:val="tx1"/>
                  </w14:solidFill>
                </w14:textFill>
              </w:rPr>
              <w:t>f</w:t>
            </w:r>
          </w:p>
        </w:tc>
        <w:tc>
          <w:tcPr>
            <w:tcW w:w="0" w:type="auto"/>
            <w:vAlign w:val="center"/>
          </w:tcPr>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1.31</w:t>
            </w:r>
          </w:p>
        </w:tc>
        <w:tc>
          <w:tcPr>
            <w:tcW w:w="0" w:type="auto"/>
            <w:vAlign w:val="center"/>
          </w:tcPr>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0.96</w:t>
            </w:r>
          </w:p>
        </w:tc>
        <w:tc>
          <w:tcPr>
            <w:tcW w:w="0" w:type="auto"/>
            <w:vAlign w:val="center"/>
          </w:tcPr>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1.30</w:t>
            </w:r>
          </w:p>
        </w:tc>
        <w:tc>
          <w:tcPr>
            <w:tcW w:w="0" w:type="auto"/>
            <w:vAlign w:val="center"/>
          </w:tcPr>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spacing w:line="360" w:lineRule="auto"/>
              <w:ind w:right="-40" w:firstLine="420"/>
              <w:jc w:val="center"/>
              <w:textAlignment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损伤应变门槛值</w:t>
            </w:r>
            <w:r>
              <w:rPr>
                <w:rFonts w:ascii="Symbol" w:hAnsi="Symbol"/>
                <w:i/>
                <w:color w:val="000000" w:themeColor="text1"/>
                <w:szCs w:val="21"/>
                <w14:textFill>
                  <w14:solidFill>
                    <w14:schemeClr w14:val="tx1"/>
                  </w14:solidFill>
                </w14:textFill>
              </w:rPr>
              <w:t></w:t>
            </w:r>
            <w:r>
              <w:rPr>
                <w:i/>
                <w:color w:val="000000" w:themeColor="text1"/>
                <w:szCs w:val="21"/>
                <w:vertAlign w:val="subscript"/>
                <w14:textFill>
                  <w14:solidFill>
                    <w14:schemeClr w14:val="tx1"/>
                  </w14:solidFill>
                </w14:textFill>
              </w:rPr>
              <w:t>th</w:t>
            </w:r>
          </w:p>
        </w:tc>
        <w:tc>
          <w:tcPr>
            <w:tcW w:w="0" w:type="auto"/>
            <w:vAlign w:val="center"/>
          </w:tcPr>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0.27</w:t>
            </w:r>
          </w:p>
        </w:tc>
        <w:tc>
          <w:tcPr>
            <w:tcW w:w="0" w:type="auto"/>
            <w:vAlign w:val="center"/>
          </w:tcPr>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0.16</w:t>
            </w:r>
          </w:p>
        </w:tc>
        <w:tc>
          <w:tcPr>
            <w:tcW w:w="0" w:type="auto"/>
            <w:vAlign w:val="center"/>
          </w:tcPr>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0.22</w:t>
            </w:r>
          </w:p>
        </w:tc>
        <w:tc>
          <w:tcPr>
            <w:tcW w:w="0" w:type="auto"/>
            <w:vAlign w:val="center"/>
          </w:tcPr>
          <w:p>
            <w:pPr>
              <w:spacing w:line="36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0.19</w:t>
            </w:r>
          </w:p>
        </w:tc>
      </w:tr>
    </w:tbl>
    <w:p>
      <w:pPr>
        <w:spacing w:line="360" w:lineRule="auto"/>
        <w:ind w:firstLine="422"/>
        <w:jc w:val="center"/>
        <w:rPr>
          <w:rFonts w:cs="Times New Roman"/>
          <w:b/>
          <w:color w:val="000000" w:themeColor="text1"/>
          <w:szCs w:val="21"/>
          <w14:textFill>
            <w14:solidFill>
              <w14:schemeClr w14:val="tx1"/>
            </w14:solidFill>
          </w14:textFill>
        </w:rPr>
      </w:pPr>
    </w:p>
    <w:p>
      <w:pPr>
        <w:spacing w:line="300" w:lineRule="auto"/>
        <w:ind w:firstLine="420"/>
        <w:rPr>
          <w:rFonts w:cs="Times New Roman"/>
          <w:color w:val="000000" w:themeColor="text1"/>
          <w:szCs w:val="21"/>
          <w14:textFill>
            <w14:solidFill>
              <w14:schemeClr w14:val="tx1"/>
            </w14:solidFill>
          </w14:textFill>
        </w:rPr>
      </w:pPr>
    </w:p>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 xml:space="preserve"> </w:t>
      </w:r>
      <w:r>
        <w:rPr>
          <w:rFonts w:hint="eastAsia" w:cs="Times New Roman"/>
          <w:color w:val="000000" w:themeColor="text1"/>
          <w:szCs w:val="21"/>
          <w14:textFill>
            <w14:solidFill>
              <w14:schemeClr w14:val="tx1"/>
            </w14:solidFill>
          </w14:textFill>
        </w:rPr>
        <w:t>评判</w:t>
      </w:r>
      <w:r>
        <w:rPr>
          <w:rFonts w:cs="Times New Roman"/>
          <w:color w:val="000000" w:themeColor="text1"/>
          <w:szCs w:val="21"/>
          <w14:textFill>
            <w14:solidFill>
              <w14:schemeClr w14:val="tx1"/>
            </w14:solidFill>
          </w14:textFill>
        </w:rPr>
        <w:t>方法</w:t>
      </w:r>
      <w:r>
        <w:rPr>
          <w:rFonts w:hint="eastAsia" w:cs="Times New Roman"/>
          <w:color w:val="000000" w:themeColor="text1"/>
          <w:szCs w:val="21"/>
          <w14:textFill>
            <w14:solidFill>
              <w14:schemeClr w14:val="tx1"/>
            </w14:solidFill>
          </w14:textFill>
        </w:rPr>
        <w:t>应用</w:t>
      </w:r>
      <w:r>
        <w:rPr>
          <w:rFonts w:cs="Times New Roman"/>
          <w:color w:val="000000" w:themeColor="text1"/>
          <w:szCs w:val="21"/>
          <w14:textFill>
            <w14:solidFill>
              <w14:schemeClr w14:val="tx1"/>
            </w14:solidFill>
          </w14:textFill>
        </w:rPr>
        <w:t>的</w:t>
      </w:r>
      <w:r>
        <w:rPr>
          <w:rFonts w:hint="eastAsia" w:cs="Times New Roman"/>
          <w:color w:val="000000" w:themeColor="text1"/>
          <w:szCs w:val="21"/>
          <w14:textFill>
            <w14:solidFill>
              <w14:schemeClr w14:val="tx1"/>
            </w14:solidFill>
          </w14:textFill>
        </w:rPr>
        <w:t>基本流程</w:t>
      </w:r>
    </w:p>
    <w:p>
      <w:pPr>
        <w:spacing w:line="300" w:lineRule="auto"/>
        <w:ind w:firstLine="420"/>
        <w:jc w:val="center"/>
        <w:rPr>
          <w:rFonts w:cs="Times New Roman"/>
          <w:color w:val="000000" w:themeColor="text1"/>
          <w:szCs w:val="21"/>
          <w14:textFill>
            <w14:solidFill>
              <w14:schemeClr w14:val="tx1"/>
            </w14:solidFill>
          </w14:textFill>
        </w:rPr>
      </w:pPr>
    </w:p>
    <w:p>
      <w:pPr>
        <w:spacing w:line="30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1</w:t>
      </w:r>
      <w:r>
        <w:rPr>
          <w:rFonts w:cs="Times New Roman"/>
          <w:color w:val="000000" w:themeColor="text1"/>
          <w:szCs w:val="21"/>
          <w14:textFill>
            <w14:solidFill>
              <w14:schemeClr w14:val="tx1"/>
            </w14:solidFill>
          </w14:textFill>
        </w:rPr>
        <w:t xml:space="preserve">  </w:t>
      </w:r>
      <w:r>
        <w:rPr>
          <w:rFonts w:hint="eastAsia" w:cs="Times New Roman"/>
          <w:color w:val="000000" w:themeColor="text1"/>
          <w:szCs w:val="21"/>
          <w14:textFill>
            <w14:solidFill>
              <w14:schemeClr w14:val="tx1"/>
            </w14:solidFill>
          </w14:textFill>
        </w:rPr>
        <w:t>地震作用下焊接刚性节点</w:t>
      </w:r>
      <w:r>
        <w:rPr>
          <w:rFonts w:cs="Times New Roman"/>
          <w:color w:val="000000" w:themeColor="text1"/>
          <w:szCs w:val="21"/>
          <w14:textFill>
            <w14:solidFill>
              <w14:schemeClr w14:val="tx1"/>
            </w14:solidFill>
          </w14:textFill>
        </w:rPr>
        <w:t>低周疲劳损伤断裂的</w:t>
      </w:r>
      <w:r>
        <w:rPr>
          <w:rFonts w:hint="eastAsia" w:cs="Times New Roman"/>
          <w:color w:val="000000" w:themeColor="text1"/>
          <w:szCs w:val="21"/>
          <w14:textFill>
            <w14:solidFill>
              <w14:schemeClr w14:val="tx1"/>
            </w14:solidFill>
          </w14:textFill>
        </w:rPr>
        <w:t>评判分析，可基于</w:t>
      </w:r>
      <w:r>
        <w:rPr>
          <w:rFonts w:cs="Times New Roman"/>
          <w:color w:val="000000" w:themeColor="text1"/>
          <w:szCs w:val="21"/>
          <w14:textFill>
            <w14:solidFill>
              <w14:schemeClr w14:val="tx1"/>
            </w14:solidFill>
          </w14:textFill>
        </w:rPr>
        <w:t>以上基本原理</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参数取值</w:t>
      </w:r>
      <w:r>
        <w:rPr>
          <w:rFonts w:hint="eastAsia" w:cs="Times New Roman"/>
          <w:color w:val="000000" w:themeColor="text1"/>
          <w:szCs w:val="21"/>
          <w14:textFill>
            <w14:solidFill>
              <w14:schemeClr w14:val="tx1"/>
            </w14:solidFill>
          </w14:textFill>
        </w:rPr>
        <w:t>并</w:t>
      </w:r>
      <w:r>
        <w:rPr>
          <w:rFonts w:cs="Times New Roman"/>
          <w:color w:val="000000" w:themeColor="text1"/>
          <w:szCs w:val="21"/>
          <w14:textFill>
            <w14:solidFill>
              <w14:schemeClr w14:val="tx1"/>
            </w14:solidFill>
          </w14:textFill>
        </w:rPr>
        <w:t>结合商用有限元软件</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按照</w:t>
      </w:r>
      <w:r>
        <w:rPr>
          <w:rFonts w:hint="eastAsia" w:cs="Times New Roman"/>
          <w:color w:val="000000" w:themeColor="text1"/>
          <w:szCs w:val="21"/>
          <w14:textFill>
            <w14:solidFill>
              <w14:schemeClr w14:val="tx1"/>
            </w14:solidFill>
          </w14:textFill>
        </w:rPr>
        <w:t>图</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.3.1</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所示的</w:t>
      </w:r>
      <w:r>
        <w:rPr>
          <w:rFonts w:cs="Times New Roman"/>
          <w:color w:val="000000" w:themeColor="text1"/>
          <w:szCs w:val="21"/>
          <w14:textFill>
            <w14:solidFill>
              <w14:schemeClr w14:val="tx1"/>
            </w14:solidFill>
          </w14:textFill>
        </w:rPr>
        <w:t>流程进行</w:t>
      </w:r>
      <w:r>
        <w:rPr>
          <w:rFonts w:hint="eastAsia" w:cs="Times New Roman"/>
          <w:color w:val="000000" w:themeColor="text1"/>
          <w:szCs w:val="21"/>
          <w14:textFill>
            <w14:solidFill>
              <w14:schemeClr w14:val="tx1"/>
            </w14:solidFill>
          </w14:textFill>
        </w:rPr>
        <w:t>。</w:t>
      </w:r>
    </w:p>
    <w:p>
      <w:pPr>
        <w:spacing w:line="30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 xml:space="preserve">                  </w:t>
      </w:r>
      <w:r>
        <w:rPr>
          <w:rFonts w:cs="Times New Roman"/>
          <w:color w:val="000000" w:themeColor="text1"/>
          <w:szCs w:val="21"/>
          <w14:textFill>
            <w14:solidFill>
              <w14:schemeClr w14:val="tx1"/>
            </w14:solidFill>
          </w14:textFill>
        </w:rPr>
        <w:drawing>
          <wp:inline distT="0" distB="0" distL="0" distR="0">
            <wp:extent cx="5274310" cy="1384935"/>
            <wp:effectExtent l="0" t="0" r="254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a:xfrm>
                      <a:off x="0" y="0"/>
                      <a:ext cx="5274310" cy="1385161"/>
                    </a:xfrm>
                    <a:prstGeom prst="rect">
                      <a:avLst/>
                    </a:prstGeom>
                    <a:noFill/>
                    <a:ln>
                      <a:noFill/>
                    </a:ln>
                  </pic:spPr>
                </pic:pic>
              </a:graphicData>
            </a:graphic>
          </wp:inline>
        </w:drawing>
      </w:r>
    </w:p>
    <w:p>
      <w:pPr>
        <w:spacing w:line="30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图H.</w:t>
      </w:r>
      <w:r>
        <w:rPr>
          <w:rFonts w:hint="eastAsia" w:cs="Times New Roman"/>
          <w:color w:val="000000" w:themeColor="text1"/>
          <w:szCs w:val="21"/>
          <w14:textFill>
            <w14:solidFill>
              <w14:schemeClr w14:val="tx1"/>
            </w14:solidFill>
          </w14:textFill>
        </w:rPr>
        <w:t>3.1</w:t>
      </w: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地震作用下焊接节点</w:t>
      </w:r>
      <w:r>
        <w:rPr>
          <w:rFonts w:cs="Times New Roman"/>
          <w:color w:val="000000" w:themeColor="text1"/>
          <w:szCs w:val="21"/>
          <w14:textFill>
            <w14:solidFill>
              <w14:schemeClr w14:val="tx1"/>
            </w14:solidFill>
          </w14:textFill>
        </w:rPr>
        <w:t>低周疲劳损伤断裂的</w:t>
      </w:r>
      <w:r>
        <w:rPr>
          <w:rFonts w:hint="eastAsia" w:cs="Times New Roman"/>
          <w:color w:val="000000" w:themeColor="text1"/>
          <w:szCs w:val="21"/>
          <w14:textFill>
            <w14:solidFill>
              <w14:schemeClr w14:val="tx1"/>
            </w14:solidFill>
          </w14:textFill>
        </w:rPr>
        <w:t>评判</w:t>
      </w:r>
      <w:r>
        <w:rPr>
          <w:rFonts w:cs="Times New Roman"/>
          <w:color w:val="000000" w:themeColor="text1"/>
          <w:szCs w:val="21"/>
          <w14:textFill>
            <w14:solidFill>
              <w14:schemeClr w14:val="tx1"/>
            </w14:solidFill>
          </w14:textFill>
        </w:rPr>
        <w:t>流程</w:t>
      </w:r>
    </w:p>
    <w:p>
      <w:pPr>
        <w:spacing w:line="300" w:lineRule="auto"/>
        <w:ind w:right="-40" w:firstLine="420"/>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根据所在地区的地震设防烈度，选择合适的地震波，对钢框架结构进行罕遇地震弹塑性时程分析，分析得到结构的薄弱节点位置，计算薄弱焊接节点的地震响应，获得节点的变形时程。</w:t>
      </w:r>
    </w:p>
    <w:p>
      <w:pPr>
        <w:spacing w:line="300" w:lineRule="auto"/>
        <w:ind w:right="-40" w:firstLine="420"/>
        <w:textAlignment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2. 建立薄弱节点的精细化有限元模型，将钢材和焊缝金属的连续损伤力学模型通过商业有限元软件接口移植到有限元分析中，按照图</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2所示的流程，输入薄弱节点在地震作用下的变形时程，分析预测薄弱节点的损伤发展情况，评估薄弱节点的低周疲劳断裂破坏行为：（1）若在整个变形时程中薄弱节点处未开裂，或薄弱节点处虽然出现开裂现象，但裂纹扩展缓慢并且裂纹并未贯穿梁翼缘壁厚，则判断薄弱节点能满足低周疲劳损伤判据的设计要求；（2）若薄弱节点处开裂，并且裂纹扩展贯穿了梁翼缘壁厚，则判断节点失效，薄弱节点需要重新设计，并按照图</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1、图</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2重新进行低周疲劳损伤断裂评判，直至最终满足设计的要求。</w:t>
      </w:r>
    </w:p>
    <w:p>
      <w:pPr>
        <w:spacing w:line="30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drawing>
          <wp:inline distT="0" distB="0" distL="0" distR="0">
            <wp:extent cx="4589780" cy="1730375"/>
            <wp:effectExtent l="0" t="0" r="1270" b="3175"/>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a:xfrm>
                      <a:off x="0" y="0"/>
                      <a:ext cx="4590000" cy="1730897"/>
                    </a:xfrm>
                    <a:prstGeom prst="rect">
                      <a:avLst/>
                    </a:prstGeom>
                    <a:noFill/>
                  </pic:spPr>
                </pic:pic>
              </a:graphicData>
            </a:graphic>
          </wp:inline>
        </w:drawing>
      </w:r>
    </w:p>
    <w:p>
      <w:pPr>
        <w:spacing w:line="30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图H.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2</w:t>
      </w:r>
      <w:r>
        <w:rPr>
          <w:rFonts w:cs="Times New Roman"/>
          <w:color w:val="000000" w:themeColor="text1"/>
          <w:szCs w:val="21"/>
          <w14:textFill>
            <w14:solidFill>
              <w14:schemeClr w14:val="tx1"/>
            </w14:solidFill>
          </w14:textFill>
        </w:rPr>
        <w:t xml:space="preserve"> 基于</w:t>
      </w:r>
      <w:r>
        <w:rPr>
          <w:rFonts w:hint="eastAsia" w:cs="Times New Roman"/>
          <w:color w:val="000000" w:themeColor="text1"/>
          <w:szCs w:val="21"/>
          <w14:textFill>
            <w14:solidFill>
              <w14:schemeClr w14:val="tx1"/>
            </w14:solidFill>
          </w14:textFill>
        </w:rPr>
        <w:t>地震作用弹塑性时程分析方法</w:t>
      </w:r>
      <w:r>
        <w:rPr>
          <w:rFonts w:cs="Times New Roman"/>
          <w:color w:val="000000" w:themeColor="text1"/>
          <w:szCs w:val="21"/>
          <w14:textFill>
            <w14:solidFill>
              <w14:schemeClr w14:val="tx1"/>
            </w14:solidFill>
          </w14:textFill>
        </w:rPr>
        <w:t>的</w:t>
      </w:r>
      <w:r>
        <w:rPr>
          <w:rFonts w:hint="eastAsia" w:cs="Times New Roman"/>
          <w:color w:val="000000" w:themeColor="text1"/>
          <w:szCs w:val="21"/>
          <w14:textFill>
            <w14:solidFill>
              <w14:schemeClr w14:val="tx1"/>
            </w14:solidFill>
          </w14:textFill>
        </w:rPr>
        <w:t>焊接节点</w:t>
      </w:r>
      <w:r>
        <w:rPr>
          <w:rFonts w:cs="Times New Roman"/>
          <w:color w:val="000000" w:themeColor="text1"/>
          <w:szCs w:val="21"/>
          <w14:textFill>
            <w14:solidFill>
              <w14:schemeClr w14:val="tx1"/>
            </w14:solidFill>
          </w14:textFill>
        </w:rPr>
        <w:t>低周疲劳损伤断裂的评判</w:t>
      </w:r>
    </w:p>
    <w:p>
      <w:pPr>
        <w:spacing w:line="300" w:lineRule="auto"/>
        <w:ind w:right="-40" w:firstLine="420"/>
        <w:textAlignment w:val="center"/>
        <w:rPr>
          <w:rFonts w:cs="Times New Roman"/>
          <w:color w:val="000000" w:themeColor="text1"/>
          <w:szCs w:val="21"/>
          <w14:textFill>
            <w14:solidFill>
              <w14:schemeClr w14:val="tx1"/>
            </w14:solidFill>
          </w14:textFill>
        </w:rPr>
      </w:pPr>
    </w:p>
    <w:p>
      <w:pPr>
        <w:spacing w:line="30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2</w:t>
      </w:r>
      <w:r>
        <w:rPr>
          <w:rFonts w:cs="Times New Roman"/>
          <w:color w:val="000000" w:themeColor="text1"/>
          <w:szCs w:val="21"/>
          <w14:textFill>
            <w14:solidFill>
              <w14:schemeClr w14:val="tx1"/>
            </w14:solidFill>
          </w14:textFill>
        </w:rPr>
        <w:t xml:space="preserve">  也可采用基于假定的循环变形时程的</w:t>
      </w:r>
      <w:r>
        <w:rPr>
          <w:rFonts w:hint="eastAsia" w:cs="Times New Roman"/>
          <w:color w:val="000000" w:themeColor="text1"/>
          <w:szCs w:val="21"/>
          <w14:textFill>
            <w14:solidFill>
              <w14:schemeClr w14:val="tx1"/>
            </w14:solidFill>
          </w14:textFill>
        </w:rPr>
        <w:t>方法来分析焊接刚性节点低周疲劳损伤断裂性能，依据</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2.2</w:t>
      </w:r>
      <w:r>
        <w:rPr>
          <w:rFonts w:cs="Times New Roman"/>
          <w:color w:val="000000" w:themeColor="text1"/>
          <w:szCs w:val="21"/>
          <w14:textFill>
            <w14:solidFill>
              <w14:schemeClr w14:val="tx1"/>
            </w14:solidFill>
          </w14:textFill>
        </w:rPr>
        <w:t>基本原理和H</w:t>
      </w:r>
      <w:r>
        <w:rPr>
          <w:rFonts w:hint="eastAsia" w:cs="Times New Roman"/>
          <w:color w:val="000000" w:themeColor="text1"/>
          <w:szCs w:val="21"/>
          <w14:textFill>
            <w14:solidFill>
              <w14:schemeClr w14:val="tx1"/>
            </w14:solidFill>
          </w14:textFill>
        </w:rPr>
        <w:t>.2.3</w:t>
      </w:r>
      <w:r>
        <w:rPr>
          <w:rFonts w:cs="Times New Roman"/>
          <w:color w:val="000000" w:themeColor="text1"/>
          <w:szCs w:val="21"/>
          <w14:textFill>
            <w14:solidFill>
              <w14:schemeClr w14:val="tx1"/>
            </w14:solidFill>
          </w14:textFill>
        </w:rPr>
        <w:t>参数取值</w:t>
      </w:r>
      <w:r>
        <w:rPr>
          <w:rFonts w:hint="eastAsia" w:cs="Times New Roman"/>
          <w:color w:val="000000" w:themeColor="text1"/>
          <w:szCs w:val="21"/>
          <w14:textFill>
            <w14:solidFill>
              <w14:schemeClr w14:val="tx1"/>
            </w14:solidFill>
          </w14:textFill>
        </w:rPr>
        <w:t>并</w:t>
      </w:r>
      <w:r>
        <w:rPr>
          <w:rFonts w:cs="Times New Roman"/>
          <w:color w:val="000000" w:themeColor="text1"/>
          <w:szCs w:val="21"/>
          <w14:textFill>
            <w14:solidFill>
              <w14:schemeClr w14:val="tx1"/>
            </w14:solidFill>
          </w14:textFill>
        </w:rPr>
        <w:t>结合商用有限元软件的应用</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按照</w:t>
      </w:r>
      <w:r>
        <w:rPr>
          <w:rFonts w:hint="eastAsia" w:cs="Times New Roman"/>
          <w:color w:val="000000" w:themeColor="text1"/>
          <w:szCs w:val="21"/>
          <w14:textFill>
            <w14:solidFill>
              <w14:schemeClr w14:val="tx1"/>
            </w14:solidFill>
          </w14:textFill>
        </w:rPr>
        <w:t>图</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2-1</w:t>
      </w:r>
      <w:r>
        <w:rPr>
          <w:rFonts w:hint="eastAsia" w:cs="Times New Roman"/>
          <w:color w:val="000000" w:themeColor="text1"/>
          <w:szCs w:val="21"/>
          <w14:textFill>
            <w14:solidFill>
              <w14:schemeClr w14:val="tx1"/>
            </w14:solidFill>
          </w14:textFill>
        </w:rPr>
        <w:t>所示的</w:t>
      </w:r>
      <w:r>
        <w:rPr>
          <w:rFonts w:cs="Times New Roman"/>
          <w:color w:val="000000" w:themeColor="text1"/>
          <w:szCs w:val="21"/>
          <w14:textFill>
            <w14:solidFill>
              <w14:schemeClr w14:val="tx1"/>
            </w14:solidFill>
          </w14:textFill>
        </w:rPr>
        <w:t>流程进行</w:t>
      </w:r>
      <w:r>
        <w:rPr>
          <w:rFonts w:hint="eastAsia" w:cs="Times New Roman"/>
          <w:color w:val="000000" w:themeColor="text1"/>
          <w:szCs w:val="21"/>
          <w14:textFill>
            <w14:solidFill>
              <w14:schemeClr w14:val="tx1"/>
            </w14:solidFill>
          </w14:textFill>
        </w:rPr>
        <w:t>。</w:t>
      </w:r>
    </w:p>
    <w:p>
      <w:pPr>
        <w:spacing w:line="300" w:lineRule="auto"/>
        <w:ind w:right="-40" w:firstLine="0" w:firstLineChars="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drawing>
          <wp:inline distT="0" distB="0" distL="0" distR="0">
            <wp:extent cx="4319905" cy="2640965"/>
            <wp:effectExtent l="0" t="0" r="4445" b="6985"/>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a:xfrm>
                      <a:off x="0" y="0"/>
                      <a:ext cx="4320000" cy="2641283"/>
                    </a:xfrm>
                    <a:prstGeom prst="rect">
                      <a:avLst/>
                    </a:prstGeom>
                    <a:noFill/>
                  </pic:spPr>
                </pic:pic>
              </a:graphicData>
            </a:graphic>
          </wp:inline>
        </w:drawing>
      </w:r>
    </w:p>
    <w:p>
      <w:pPr>
        <w:spacing w:line="300" w:lineRule="auto"/>
        <w:ind w:right="-40" w:firstLine="420"/>
        <w:jc w:val="center"/>
        <w:textAlignment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图H.</w:t>
      </w:r>
      <w:r>
        <w:rPr>
          <w:rFonts w:hint="eastAsia" w:cs="Times New Roman"/>
          <w:color w:val="000000" w:themeColor="text1"/>
          <w:szCs w:val="21"/>
          <w14:textFill>
            <w14:solidFill>
              <w14:schemeClr w14:val="tx1"/>
            </w14:solidFill>
          </w14:textFill>
        </w:rPr>
        <w:t>3.</w:t>
      </w:r>
      <w:r>
        <w:rPr>
          <w:rFonts w:cs="Times New Roman"/>
          <w:color w:val="000000" w:themeColor="text1"/>
          <w:szCs w:val="21"/>
          <w14:textFill>
            <w14:solidFill>
              <w14:schemeClr w14:val="tx1"/>
            </w14:solidFill>
          </w14:textFill>
        </w:rPr>
        <w:t>2-1 基于假定的循环</w:t>
      </w:r>
      <w:r>
        <w:rPr>
          <w:rFonts w:hint="eastAsia" w:cs="Times New Roman"/>
          <w:color w:val="000000" w:themeColor="text1"/>
          <w:szCs w:val="21"/>
          <w14:textFill>
            <w14:solidFill>
              <w14:schemeClr w14:val="tx1"/>
            </w14:solidFill>
          </w14:textFill>
        </w:rPr>
        <w:t>变形</w:t>
      </w:r>
      <w:r>
        <w:rPr>
          <w:rFonts w:cs="Times New Roman"/>
          <w:color w:val="000000" w:themeColor="text1"/>
          <w:szCs w:val="21"/>
          <w14:textFill>
            <w14:solidFill>
              <w14:schemeClr w14:val="tx1"/>
            </w14:solidFill>
          </w14:textFill>
        </w:rPr>
        <w:t>时程方法的</w:t>
      </w:r>
      <w:r>
        <w:rPr>
          <w:rFonts w:hint="eastAsia" w:cs="Times New Roman"/>
          <w:color w:val="000000" w:themeColor="text1"/>
          <w:szCs w:val="21"/>
          <w14:textFill>
            <w14:solidFill>
              <w14:schemeClr w14:val="tx1"/>
            </w14:solidFill>
          </w14:textFill>
        </w:rPr>
        <w:t>焊接节点</w:t>
      </w:r>
      <w:r>
        <w:rPr>
          <w:rFonts w:cs="Times New Roman"/>
          <w:color w:val="000000" w:themeColor="text1"/>
          <w:szCs w:val="21"/>
          <w14:textFill>
            <w14:solidFill>
              <w14:schemeClr w14:val="tx1"/>
            </w14:solidFill>
          </w14:textFill>
        </w:rPr>
        <w:t>低周疲劳损伤断裂的评判</w:t>
      </w:r>
    </w:p>
    <w:p>
      <w:pPr>
        <w:spacing w:line="300" w:lineRule="auto"/>
        <w:ind w:right="-40" w:firstLine="420"/>
        <w:textAlignment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 建立需评估的焊接刚性节点的精细化有限元模型，将钢材和焊缝金属的连续损伤力学模型通过商业有限元软件接口移植到有限元分析中，材料的损伤模型参数可根据F.2.3节来确定。输入假定的节点循环变形时程，可选择等幅变形时程或增幅变形时程。</w:t>
      </w:r>
    </w:p>
    <w:p>
      <w:pPr>
        <w:spacing w:line="300" w:lineRule="auto"/>
        <w:ind w:right="-40" w:firstLine="420"/>
        <w:textAlignment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2. 经有限元计算，分析焊接刚性节点的裂纹萌生和扩展路径，梁翼缘完全断裂时可判断节点断裂失效，此时的循环次数可作为节点的疲劳寿命。裂纹的萌生位置可用于评判节点的薄弱环节，节点的裂纹扩展路径和快慢可用于评判节点构造是否合理、如何调整节点构造，疲劳寿命的大小可作为评判节点抗低周疲劳损伤断裂性能优劣的依据。</w:t>
      </w:r>
    </w:p>
    <w:p>
      <w:pPr>
        <w:widowControl/>
        <w:adjustRightInd/>
        <w:snapToGrid/>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60" w:name="_Toc48841073"/>
      <w:r>
        <w:rPr>
          <w:rFonts w:hint="eastAsia"/>
          <w:color w:val="000000" w:themeColor="text1"/>
          <w14:textFill>
            <w14:solidFill>
              <w14:schemeClr w14:val="tx1"/>
            </w14:solidFill>
          </w14:textFill>
        </w:rPr>
        <w:t>附录</w:t>
      </w:r>
      <w:r>
        <w:rPr>
          <w:color w:val="000000" w:themeColor="text1"/>
          <w14:textFill>
            <w14:solidFill>
              <w14:schemeClr w14:val="tx1"/>
            </w14:solidFill>
          </w14:textFill>
        </w:rPr>
        <w:t xml:space="preserve">I </w:t>
      </w:r>
      <w:r>
        <w:rPr>
          <w:rFonts w:hint="eastAsia"/>
          <w:color w:val="000000" w:themeColor="text1"/>
          <w14:textFill>
            <w14:solidFill>
              <w14:schemeClr w14:val="tx1"/>
            </w14:solidFill>
          </w14:textFill>
        </w:rPr>
        <w:t>工业建筑抗震性能化评价</w:t>
      </w:r>
      <w:bookmarkEnd w:id="260"/>
    </w:p>
    <w:p>
      <w:pPr>
        <w:spacing w:before="156" w:beforeLines="50" w:after="156" w:afterLines="50" w:line="36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I.1  </w:t>
      </w:r>
      <w:r>
        <w:rPr>
          <w:rFonts w:hint="eastAsia" w:cs="Times New Roman"/>
          <w:color w:val="000000" w:themeColor="text1"/>
          <w:szCs w:val="21"/>
          <w14:textFill>
            <w14:solidFill>
              <w14:schemeClr w14:val="tx1"/>
            </w14:solidFill>
          </w14:textFill>
        </w:rPr>
        <w:t>一般规定</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I.1.1  </w:t>
      </w:r>
      <w:r>
        <w:rPr>
          <w:rFonts w:hint="eastAsia" w:cs="Times New Roman"/>
          <w:color w:val="000000" w:themeColor="text1"/>
          <w:szCs w:val="21"/>
          <w14:textFill>
            <w14:solidFill>
              <w14:schemeClr w14:val="tx1"/>
            </w14:solidFill>
          </w14:textFill>
        </w:rPr>
        <w:t>本附录适用于钢筋混凝土框架结构、钢筋混凝土框架</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剪力墙结构、钢框架结构、钢框架</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支撑结构的抗震性能化评价。</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I.1.2  </w:t>
      </w:r>
      <w:r>
        <w:rPr>
          <w:rFonts w:hint="eastAsia" w:cs="Times New Roman"/>
          <w:color w:val="000000" w:themeColor="text1"/>
          <w:szCs w:val="21"/>
          <w14:textFill>
            <w14:solidFill>
              <w14:schemeClr w14:val="tx1"/>
            </w14:solidFill>
          </w14:textFill>
        </w:rPr>
        <w:t>工业建筑抗震性能化分析宜采用弹塑性分析方法，当建筑结构基本振型的质量参与系数低于</w:t>
      </w:r>
      <w:r>
        <w:rPr>
          <w:rFonts w:cs="Times New Roman"/>
          <w:color w:val="000000" w:themeColor="text1"/>
          <w:szCs w:val="21"/>
          <w14:textFill>
            <w14:solidFill>
              <w14:schemeClr w14:val="tx1"/>
            </w14:solidFill>
          </w14:textFill>
        </w:rPr>
        <w:t>60%</w:t>
      </w:r>
      <w:r>
        <w:rPr>
          <w:rFonts w:hint="eastAsia" w:cs="Times New Roman"/>
          <w:color w:val="000000" w:themeColor="text1"/>
          <w:szCs w:val="21"/>
          <w14:textFill>
            <w14:solidFill>
              <w14:schemeClr w14:val="tx1"/>
            </w14:solidFill>
          </w14:textFill>
        </w:rPr>
        <w:t>或结构扭转位移比大于</w:t>
      </w:r>
      <w:r>
        <w:rPr>
          <w:rFonts w:cs="Times New Roman"/>
          <w:color w:val="000000" w:themeColor="text1"/>
          <w:szCs w:val="21"/>
          <w14:textFill>
            <w14:solidFill>
              <w14:schemeClr w14:val="tx1"/>
            </w14:solidFill>
          </w14:textFill>
        </w:rPr>
        <w:t>1.4</w:t>
      </w:r>
      <w:r>
        <w:rPr>
          <w:rFonts w:hint="eastAsia" w:cs="Times New Roman"/>
          <w:color w:val="000000" w:themeColor="text1"/>
          <w:szCs w:val="21"/>
          <w14:textFill>
            <w14:solidFill>
              <w14:schemeClr w14:val="tx1"/>
            </w14:solidFill>
          </w14:textFill>
        </w:rPr>
        <w:t>时宜采用动力弹塑性分析方法。对于特殊复杂结构应采用动力弹塑性分析方法。</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I.1.3  </w:t>
      </w:r>
      <w:r>
        <w:rPr>
          <w:rFonts w:hint="eastAsia" w:cs="Times New Roman"/>
          <w:color w:val="000000" w:themeColor="text1"/>
          <w:szCs w:val="21"/>
          <w14:textFill>
            <w14:solidFill>
              <w14:schemeClr w14:val="tx1"/>
            </w14:solidFill>
          </w14:textFill>
        </w:rPr>
        <w:t>对于特殊复杂结构（采用新型、异形构件和体系，以及采用其他超出本附录第二节规定的模型等），应至少有两个采用不同软件独立完成的动力弹塑性分析进行比对，不同软件得到的结构整体损伤模式应基本一致。当不同软件计算得到的结构动力特性的相对误差超过</w:t>
      </w:r>
      <w:r>
        <w:rPr>
          <w:rFonts w:cs="Times New Roman"/>
          <w:color w:val="000000" w:themeColor="text1"/>
          <w:szCs w:val="21"/>
          <w14:textFill>
            <w14:solidFill>
              <w14:schemeClr w14:val="tx1"/>
            </w14:solidFill>
          </w14:textFill>
        </w:rPr>
        <w:t>10%</w:t>
      </w:r>
      <w:r>
        <w:rPr>
          <w:rFonts w:hint="eastAsia" w:cs="Times New Roman"/>
          <w:color w:val="000000" w:themeColor="text1"/>
          <w:szCs w:val="21"/>
          <w14:textFill>
            <w14:solidFill>
              <w14:schemeClr w14:val="tx1"/>
            </w14:solidFill>
          </w14:textFill>
        </w:rPr>
        <w:t>，弹塑性变形、基底剪力等主要分析结果的相对误差超过</w:t>
      </w:r>
      <w:r>
        <w:rPr>
          <w:rFonts w:cs="Times New Roman"/>
          <w:color w:val="000000" w:themeColor="text1"/>
          <w:szCs w:val="21"/>
          <w14:textFill>
            <w14:solidFill>
              <w14:schemeClr w14:val="tx1"/>
            </w14:solidFill>
          </w14:textFill>
        </w:rPr>
        <w:t>20%</w:t>
      </w:r>
      <w:r>
        <w:rPr>
          <w:rFonts w:hint="eastAsia" w:cs="Times New Roman"/>
          <w:color w:val="000000" w:themeColor="text1"/>
          <w:szCs w:val="21"/>
          <w14:textFill>
            <w14:solidFill>
              <w14:schemeClr w14:val="tx1"/>
            </w14:solidFill>
          </w14:textFill>
        </w:rPr>
        <w:t>时，应给出分析。</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I.1.4  </w:t>
      </w:r>
      <w:r>
        <w:rPr>
          <w:rFonts w:hint="eastAsia" w:cs="Times New Roman"/>
          <w:color w:val="000000" w:themeColor="text1"/>
          <w:szCs w:val="21"/>
          <w14:textFill>
            <w14:solidFill>
              <w14:schemeClr w14:val="tx1"/>
            </w14:solidFill>
          </w14:textFill>
        </w:rPr>
        <w:t>依照本附录得到的新建工业建筑多遇地震下的分析结果应符合《建筑抗震设计规范》</w:t>
      </w:r>
      <w:r>
        <w:rPr>
          <w:rFonts w:cs="Times New Roman"/>
          <w:color w:val="000000" w:themeColor="text1"/>
          <w:szCs w:val="21"/>
          <w14:textFill>
            <w14:solidFill>
              <w14:schemeClr w14:val="tx1"/>
            </w14:solidFill>
          </w14:textFill>
        </w:rPr>
        <w:t>GB50011</w:t>
      </w:r>
      <w:r>
        <w:rPr>
          <w:rFonts w:hint="eastAsia" w:cs="Times New Roman"/>
          <w:color w:val="000000" w:themeColor="text1"/>
          <w:szCs w:val="21"/>
          <w14:textFill>
            <w14:solidFill>
              <w14:schemeClr w14:val="tx1"/>
            </w14:solidFill>
          </w14:textFill>
        </w:rPr>
        <w:t>的相关要求。</w:t>
      </w:r>
    </w:p>
    <w:p>
      <w:pPr>
        <w:spacing w:before="156" w:beforeLines="50" w:after="156" w:afterLines="50" w:line="36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I.2  </w:t>
      </w:r>
      <w:r>
        <w:rPr>
          <w:rFonts w:hint="eastAsia" w:cs="Times New Roman"/>
          <w:color w:val="000000" w:themeColor="text1"/>
          <w:szCs w:val="21"/>
          <w14:textFill>
            <w14:solidFill>
              <w14:schemeClr w14:val="tx1"/>
            </w14:solidFill>
          </w14:textFill>
        </w:rPr>
        <w:t>结构弹塑性模型</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I.2.1  </w:t>
      </w:r>
      <w:r>
        <w:rPr>
          <w:rFonts w:hint="eastAsia" w:cs="Times New Roman"/>
          <w:color w:val="000000" w:themeColor="text1"/>
          <w:szCs w:val="21"/>
          <w14:textFill>
            <w14:solidFill>
              <w14:schemeClr w14:val="tx1"/>
            </w14:solidFill>
          </w14:textFill>
        </w:rPr>
        <w:t>进行工业建筑结构抗震性能化评价时，宜采用三维计算模型。计算模型应符合结构的实际受力状态，构件的材料、尺寸、配筋等应与结构实际情况一致。必要时，宜包括结构的地下部分、基础和地基。应考虑</w:t>
      </w:r>
      <w:r>
        <w:rPr>
          <w:rFonts w:cs="Times New Roman"/>
          <w:color w:val="000000" w:themeColor="text1"/>
          <w:szCs w:val="21"/>
          <w14:textFill>
            <w14:solidFill>
              <w14:schemeClr w14:val="tx1"/>
            </w14:solidFill>
          </w14:textFill>
        </w:rPr>
        <w:t>P-Δ</w:t>
      </w:r>
      <w:r>
        <w:rPr>
          <w:rFonts w:hint="eastAsia" w:cs="Times New Roman"/>
          <w:color w:val="000000" w:themeColor="text1"/>
          <w:szCs w:val="21"/>
          <w14:textFill>
            <w14:solidFill>
              <w14:schemeClr w14:val="tx1"/>
            </w14:solidFill>
          </w14:textFill>
        </w:rPr>
        <w:t>效应和大变形的影响。</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I.2.2  </w:t>
      </w:r>
      <w:r>
        <w:rPr>
          <w:rFonts w:hint="eastAsia" w:cs="Times New Roman"/>
          <w:color w:val="000000" w:themeColor="text1"/>
          <w:szCs w:val="21"/>
          <w14:textFill>
            <w14:solidFill>
              <w14:schemeClr w14:val="tx1"/>
            </w14:solidFill>
          </w14:textFill>
        </w:rPr>
        <w:t>工业建筑弹塑性分析重力荷载代表值应符合本规程</w:t>
      </w: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章</w:t>
      </w:r>
      <w:r>
        <w:rPr>
          <w:rFonts w:cs="Times New Roman"/>
          <w:color w:val="000000" w:themeColor="text1"/>
          <w:szCs w:val="21"/>
          <w14:textFill>
            <w14:solidFill>
              <w14:schemeClr w14:val="tx1"/>
            </w14:solidFill>
          </w14:textFill>
        </w:rPr>
        <w:t>4.2.2</w:t>
      </w:r>
      <w:r>
        <w:rPr>
          <w:rFonts w:hint="eastAsia" w:cs="Times New Roman"/>
          <w:color w:val="000000" w:themeColor="text1"/>
          <w:szCs w:val="21"/>
          <w14:textFill>
            <w14:solidFill>
              <w14:schemeClr w14:val="tx1"/>
            </w14:solidFill>
          </w14:textFill>
        </w:rPr>
        <w:t>节要求。</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I.2.3  </w:t>
      </w:r>
      <w:r>
        <w:rPr>
          <w:rFonts w:hint="eastAsia" w:cs="Times New Roman"/>
          <w:color w:val="000000" w:themeColor="text1"/>
          <w:szCs w:val="21"/>
          <w14:textFill>
            <w14:solidFill>
              <w14:schemeClr w14:val="tx1"/>
            </w14:solidFill>
          </w14:textFill>
        </w:rPr>
        <w:t>工业建筑弹塑性分析结构构件的力学模型应符合以下要求。</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预期在地震作用下可能屈服的结构构件模型应采用弹塑性模型。预期不屈服的结构构件可采线弹性模型，但应该检查计算结果是否满足预期假定。</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框架梁柱构件宜采用弹塑性纤维梁单元，塑性铰位置明确的构件也可采用设置集中塑</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性铰的梁单元。</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剪力墙构件宜采用分层壳单元，规则墙体也可采用墙单元（如多垂直杆单元、等效梁</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柱集中塑性铰单元模型、纤维模型等）。</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4 </w:t>
      </w:r>
      <w:r>
        <w:rPr>
          <w:rFonts w:hint="eastAsia" w:cs="Times New Roman"/>
          <w:color w:val="000000" w:themeColor="text1"/>
          <w:szCs w:val="21"/>
          <w14:textFill>
            <w14:solidFill>
              <w14:schemeClr w14:val="tx1"/>
            </w14:solidFill>
          </w14:textFill>
        </w:rPr>
        <w:t>跨高比大于</w:t>
      </w: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的混凝土连梁或钢连梁可采用梁单元，跨高比小于</w:t>
      </w: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的混凝土连梁应</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采用分层壳单元或其他专用连梁单元；跨高比小于</w:t>
      </w: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的钢连梁可采用设置集中塑性铰的梁单元或非线性弹簧单元。</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5 </w:t>
      </w:r>
      <w:r>
        <w:rPr>
          <w:rFonts w:hint="eastAsia" w:cs="Times New Roman"/>
          <w:color w:val="000000" w:themeColor="text1"/>
          <w:szCs w:val="21"/>
          <w14:textFill>
            <w14:solidFill>
              <w14:schemeClr w14:val="tx1"/>
            </w14:solidFill>
          </w14:textFill>
        </w:rPr>
        <w:t>防屈曲支撑可采用桁架杆单元</w:t>
      </w:r>
      <w:r>
        <w:rPr>
          <w:rFonts w:cs="Times New Roman"/>
          <w:color w:val="000000" w:themeColor="text1"/>
          <w:szCs w:val="21"/>
          <w14:textFill>
            <w14:solidFill>
              <w14:schemeClr w14:val="tx1"/>
            </w14:solidFill>
          </w14:textFill>
        </w:rPr>
        <w:t>(truss)</w:t>
      </w:r>
      <w:r>
        <w:rPr>
          <w:rFonts w:hint="eastAsia" w:cs="Times New Roman"/>
          <w:color w:val="000000" w:themeColor="text1"/>
          <w:szCs w:val="21"/>
          <w14:textFill>
            <w14:solidFill>
              <w14:schemeClr w14:val="tx1"/>
            </w14:solidFill>
          </w14:textFill>
        </w:rPr>
        <w:t>或定义力</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位移关系的非线性弹簧单元；粘滞阻尼</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器可采用弹簧</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阻尼元件串联单元；软钢阻尼器和隔震垫可采用定义力</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位移关系的非线性弹簧单元。</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I.2.4  </w:t>
      </w:r>
      <w:r>
        <w:rPr>
          <w:rFonts w:hint="eastAsia" w:cs="Times New Roman"/>
          <w:color w:val="000000" w:themeColor="text1"/>
          <w:szCs w:val="21"/>
          <w14:textFill>
            <w14:solidFill>
              <w14:schemeClr w14:val="tx1"/>
            </w14:solidFill>
          </w14:textFill>
        </w:rPr>
        <w:t>工业建筑弹塑性分析有限元模型的网格划分应符合以下要求。</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采用两端集中塑性铰模型的梁柱构件、以及采用墙单元的剪力墙构件，可每个构件只</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划分一个单元。若需要考虑</w:t>
      </w:r>
      <w:r>
        <w:rPr>
          <w:rFonts w:cs="Times New Roman"/>
          <w:color w:val="000000" w:themeColor="text1"/>
          <w:szCs w:val="21"/>
          <w14:textFill>
            <w14:solidFill>
              <w14:schemeClr w14:val="tx1"/>
            </w14:solidFill>
          </w14:textFill>
        </w:rPr>
        <w:t>P-</w:t>
      </w:r>
      <w:r>
        <w:rPr>
          <w:rFonts w:hint="eastAsia" w:cs="Times New Roman"/>
          <w:color w:val="000000" w:themeColor="text1"/>
          <w:szCs w:val="21"/>
          <w14:textFill>
            <w14:solidFill>
              <w14:schemeClr w14:val="tx1"/>
            </w14:solidFill>
          </w14:textFill>
        </w:rPr>
        <w:t>效应，每个构件应划分足够多</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大于</w:t>
      </w: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个</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的单元。</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如采用纤维单元，每个梁柱构件中积分点的数量不应少于</w:t>
      </w: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6</w:t>
      </w:r>
      <w:r>
        <w:rPr>
          <w:rFonts w:hint="eastAsia" w:cs="Times New Roman"/>
          <w:color w:val="000000" w:themeColor="text1"/>
          <w:szCs w:val="21"/>
          <w14:textFill>
            <w14:solidFill>
              <w14:schemeClr w14:val="tx1"/>
            </w14:solidFill>
          </w14:textFill>
        </w:rPr>
        <w:t>个，且应保证在塑性</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铰区沿梁的长度方向至少有一个积分点。纤维模型沿截面两个正交方向的纤维数量不宜少于</w:t>
      </w:r>
      <w:r>
        <w:rPr>
          <w:rFonts w:cs="Times New Roman"/>
          <w:color w:val="000000" w:themeColor="text1"/>
          <w:szCs w:val="21"/>
          <w14:textFill>
            <w14:solidFill>
              <w14:schemeClr w14:val="tx1"/>
            </w14:solidFill>
          </w14:textFill>
        </w:rPr>
        <w:t>6</w:t>
      </w:r>
      <w:r>
        <w:rPr>
          <w:rFonts w:hint="eastAsia" w:cs="Times New Roman"/>
          <w:color w:val="000000" w:themeColor="text1"/>
          <w:szCs w:val="21"/>
          <w14:textFill>
            <w14:solidFill>
              <w14:schemeClr w14:val="tx1"/>
            </w14:solidFill>
          </w14:textFill>
        </w:rPr>
        <w:t>个。</w:t>
      </w:r>
    </w:p>
    <w:p>
      <w:pPr>
        <w:numPr>
          <w:ilvl w:val="0"/>
          <w:numId w:val="9"/>
        </w:numPr>
        <w:spacing w:line="360" w:lineRule="auto"/>
        <w:ind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剪力墙分层壳单元边长不宜超过</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3m</w:t>
      </w:r>
      <w:r>
        <w:rPr>
          <w:rFonts w:hint="eastAsia" w:cs="Times New Roman"/>
          <w:color w:val="000000" w:themeColor="text1"/>
          <w:szCs w:val="21"/>
          <w14:textFill>
            <w14:solidFill>
              <w14:schemeClr w14:val="tx1"/>
            </w14:solidFill>
          </w14:textFill>
        </w:rPr>
        <w:t>。在关键受力部位，网格密度应适当增加。</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连梁分层壳模型在高度方向网格划分不宜少于</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个单元。分层壳材料层数不宜少于</w:t>
      </w:r>
      <w:r>
        <w:rPr>
          <w:rFonts w:cs="Times New Roman"/>
          <w:color w:val="000000" w:themeColor="text1"/>
          <w:szCs w:val="21"/>
          <w14:textFill>
            <w14:solidFill>
              <w14:schemeClr w14:val="tx1"/>
            </w14:solidFill>
          </w14:textFill>
        </w:rPr>
        <w:t>6</w:t>
      </w:r>
      <w:r>
        <w:rPr>
          <w:rFonts w:hint="eastAsia" w:cs="Times New Roman"/>
          <w:color w:val="000000" w:themeColor="text1"/>
          <w:szCs w:val="21"/>
          <w14:textFill>
            <w14:solidFill>
              <w14:schemeClr w14:val="tx1"/>
            </w14:solidFill>
          </w14:textFill>
        </w:rPr>
        <w:t>层。</w:t>
      </w:r>
    </w:p>
    <w:p>
      <w:pPr>
        <w:spacing w:line="360" w:lineRule="auto"/>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I.2.5  </w:t>
      </w:r>
      <w:r>
        <w:rPr>
          <w:rFonts w:hint="eastAsia" w:cs="Times New Roman"/>
          <w:color w:val="000000" w:themeColor="text1"/>
          <w:szCs w:val="21"/>
          <w14:textFill>
            <w14:solidFill>
              <w14:schemeClr w14:val="tx1"/>
            </w14:solidFill>
          </w14:textFill>
        </w:rPr>
        <w:t>工业建筑弹塑性分析的材料本构及参数取值应符合以下要求。</w:t>
      </w:r>
    </w:p>
    <w:p>
      <w:pPr>
        <w:spacing w:line="360" w:lineRule="auto"/>
        <w:ind w:firstLine="409" w:firstLineChars="195"/>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弹塑性分析模型的材料强度宜取标准值，在有充足依据时，可以取材料强度平均值。</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混凝土本构模型应考虑受压刚度退化和软化行为、以及受拉开裂行为，钢筋的本构模</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型应考虑屈服和包辛格效应。材料单轴本构模型可参阅《混凝土结构设计规范》</w:t>
      </w:r>
      <w:r>
        <w:rPr>
          <w:rFonts w:cs="Times New Roman"/>
          <w:color w:val="000000" w:themeColor="text1"/>
          <w:szCs w:val="21"/>
          <w14:textFill>
            <w14:solidFill>
              <w14:schemeClr w14:val="tx1"/>
            </w14:solidFill>
          </w14:textFill>
        </w:rPr>
        <w:t>GB50010</w:t>
      </w:r>
      <w:r>
        <w:rPr>
          <w:rFonts w:hint="eastAsia" w:cs="Times New Roman"/>
          <w:color w:val="000000" w:themeColor="text1"/>
          <w:szCs w:val="21"/>
          <w14:textFill>
            <w14:solidFill>
              <w14:schemeClr w14:val="tx1"/>
            </w14:solidFill>
          </w14:textFill>
        </w:rPr>
        <w:t>等有关规范中的规定。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对于三级以上的框架柱及剪力墙边缘约束区，应考虑核心区约束混凝土的影响。</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4 </w:t>
      </w:r>
      <w:r>
        <w:rPr>
          <w:rFonts w:hint="eastAsia" w:cs="Times New Roman"/>
          <w:color w:val="000000" w:themeColor="text1"/>
          <w:szCs w:val="21"/>
          <w14:textFill>
            <w14:solidFill>
              <w14:schemeClr w14:val="tx1"/>
            </w14:solidFill>
          </w14:textFill>
        </w:rPr>
        <w:t>钢构件本构模型宜采用随动强化滞回模型或混合强化滞回模型；当钢构件单轴应力应变关系采用双线性骨架线时，屈服后刚度可取初始刚度的</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，或根据试验确定；当分析中需考虑结构或构件的严重失效行为时，应考虑构件的局部屈曲和断裂效应。</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5 </w:t>
      </w:r>
      <w:r>
        <w:rPr>
          <w:rFonts w:hint="eastAsia" w:cs="Times New Roman"/>
          <w:color w:val="000000" w:themeColor="text1"/>
          <w:szCs w:val="21"/>
          <w14:textFill>
            <w14:solidFill>
              <w14:schemeClr w14:val="tx1"/>
            </w14:solidFill>
          </w14:textFill>
        </w:rPr>
        <w:t>防屈曲支撑可采用双线性力</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位移关系模型。减隔震结构中消能减震构件弹塑性模型应有相应的试验依据。</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6 </w:t>
      </w:r>
      <w:r>
        <w:rPr>
          <w:rFonts w:hint="eastAsia" w:cs="Times New Roman"/>
          <w:color w:val="000000" w:themeColor="text1"/>
          <w:szCs w:val="21"/>
          <w14:textFill>
            <w14:solidFill>
              <w14:schemeClr w14:val="tx1"/>
            </w14:solidFill>
          </w14:textFill>
        </w:rPr>
        <w:t>压弯破坏的钢筋混凝土结构构件，其弯矩</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转角（</w:t>
      </w:r>
      <w:r>
        <w:rPr>
          <w:rFonts w:cs="Times New Roman"/>
          <w:color w:val="000000" w:themeColor="text1"/>
          <w:szCs w:val="21"/>
          <w14:textFill>
            <w14:solidFill>
              <w14:schemeClr w14:val="tx1"/>
            </w14:solidFill>
          </w14:textFill>
        </w:rPr>
        <w:t>M-θ</w:t>
      </w:r>
      <w:r>
        <w:rPr>
          <w:rFonts w:hint="eastAsia" w:cs="Times New Roman"/>
          <w:color w:val="000000" w:themeColor="text1"/>
          <w:szCs w:val="21"/>
          <w14:textFill>
            <w14:solidFill>
              <w14:schemeClr w14:val="tx1"/>
            </w14:solidFill>
          </w14:textFill>
        </w:rPr>
        <w:t>）模型的骨架线可采用第I</w:t>
      </w:r>
      <w:r>
        <w:rPr>
          <w:rFonts w:cs="Times New Roman"/>
          <w:color w:val="000000" w:themeColor="text1"/>
          <w:szCs w:val="21"/>
          <w14:textFill>
            <w14:solidFill>
              <w14:schemeClr w14:val="tx1"/>
            </w14:solidFill>
          </w14:textFill>
        </w:rPr>
        <w:t>.4.5</w:t>
      </w:r>
      <w:r>
        <w:rPr>
          <w:rFonts w:hint="eastAsia" w:cs="Times New Roman"/>
          <w:color w:val="000000" w:themeColor="text1"/>
          <w:szCs w:val="21"/>
          <w14:textFill>
            <w14:solidFill>
              <w14:schemeClr w14:val="tx1"/>
            </w14:solidFill>
          </w14:textFill>
        </w:rPr>
        <w:t>条推荐的四折线骨架线。</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I.2.6  </w:t>
      </w:r>
      <w:r>
        <w:rPr>
          <w:rFonts w:hint="eastAsia" w:cs="Times New Roman"/>
          <w:color w:val="000000" w:themeColor="text1"/>
          <w:szCs w:val="21"/>
          <w14:textFill>
            <w14:solidFill>
              <w14:schemeClr w14:val="tx1"/>
            </w14:solidFill>
          </w14:textFill>
        </w:rPr>
        <w:t>工业建筑弹塑性分析结构的阻尼比应符合以下要求。</w:t>
      </w:r>
    </w:p>
    <w:p>
      <w:pPr>
        <w:spacing w:line="360" w:lineRule="auto"/>
        <w:ind w:firstLine="420"/>
        <w:rPr>
          <w:rFonts w:cs="Times New Roman"/>
          <w:color w:val="000000" w:themeColor="text1"/>
          <w:szCs w:val="21"/>
          <w14:textFill>
            <w14:solidFill>
              <w14:schemeClr w14:val="tx1"/>
            </w14:solidFill>
          </w14:textFill>
        </w:rPr>
      </w:pPr>
      <w:bookmarkStart w:id="261" w:name="OLE_LINK6"/>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结构的阻尼模型可采用瑞雷阻尼模型。当采用其他阻尼模型时，应有充分依据。</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钢结构弹塑性计算的阻尼比宜符合下列规定：（</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）多遇地震下的计算：高度不大于</w:t>
      </w:r>
      <w:r>
        <w:rPr>
          <w:rFonts w:cs="Times New Roman"/>
          <w:color w:val="000000" w:themeColor="text1"/>
          <w:szCs w:val="21"/>
          <w14:textFill>
            <w14:solidFill>
              <w14:schemeClr w14:val="tx1"/>
            </w14:solidFill>
          </w14:textFill>
        </w:rPr>
        <w:t>50m</w:t>
      </w:r>
      <w:r>
        <w:rPr>
          <w:rFonts w:hint="eastAsia" w:cs="Times New Roman"/>
          <w:color w:val="000000" w:themeColor="text1"/>
          <w:szCs w:val="21"/>
          <w14:textFill>
            <w14:solidFill>
              <w14:schemeClr w14:val="tx1"/>
            </w14:solidFill>
          </w14:textFill>
        </w:rPr>
        <w:t>时可取</w:t>
      </w:r>
      <w:r>
        <w:rPr>
          <w:rFonts w:cs="Times New Roman"/>
          <w:color w:val="000000" w:themeColor="text1"/>
          <w:szCs w:val="21"/>
          <w14:textFill>
            <w14:solidFill>
              <w14:schemeClr w14:val="tx1"/>
            </w14:solidFill>
          </w14:textFill>
        </w:rPr>
        <w:t>0.04</w:t>
      </w:r>
      <w:r>
        <w:rPr>
          <w:rFonts w:hint="eastAsia" w:cs="Times New Roman"/>
          <w:color w:val="000000" w:themeColor="text1"/>
          <w:szCs w:val="21"/>
          <w14:textFill>
            <w14:solidFill>
              <w14:schemeClr w14:val="tx1"/>
            </w14:solidFill>
          </w14:textFill>
        </w:rPr>
        <w:t>；高度大于</w:t>
      </w:r>
      <w:r>
        <w:rPr>
          <w:rFonts w:cs="Times New Roman"/>
          <w:color w:val="000000" w:themeColor="text1"/>
          <w:szCs w:val="21"/>
          <w14:textFill>
            <w14:solidFill>
              <w14:schemeClr w14:val="tx1"/>
            </w14:solidFill>
          </w14:textFill>
        </w:rPr>
        <w:t>50m</w:t>
      </w:r>
      <w:r>
        <w:rPr>
          <w:rFonts w:hint="eastAsia" w:cs="Times New Roman"/>
          <w:color w:val="000000" w:themeColor="text1"/>
          <w:szCs w:val="21"/>
          <w14:textFill>
            <w14:solidFill>
              <w14:schemeClr w14:val="tx1"/>
            </w14:solidFill>
          </w14:textFill>
        </w:rPr>
        <w:t>且小于</w:t>
      </w:r>
      <w:r>
        <w:rPr>
          <w:rFonts w:cs="Times New Roman"/>
          <w:color w:val="000000" w:themeColor="text1"/>
          <w:szCs w:val="21"/>
          <w14:textFill>
            <w14:solidFill>
              <w14:schemeClr w14:val="tx1"/>
            </w14:solidFill>
          </w14:textFill>
        </w:rPr>
        <w:t>200m</w:t>
      </w:r>
      <w:r>
        <w:rPr>
          <w:rFonts w:hint="eastAsia" w:cs="Times New Roman"/>
          <w:color w:val="000000" w:themeColor="text1"/>
          <w:szCs w:val="21"/>
          <w14:textFill>
            <w14:solidFill>
              <w14:schemeClr w14:val="tx1"/>
            </w14:solidFill>
          </w14:textFill>
        </w:rPr>
        <w:t>可取</w:t>
      </w:r>
      <w:r>
        <w:rPr>
          <w:rFonts w:cs="Times New Roman"/>
          <w:color w:val="000000" w:themeColor="text1"/>
          <w:szCs w:val="21"/>
          <w14:textFill>
            <w14:solidFill>
              <w14:schemeClr w14:val="tx1"/>
            </w14:solidFill>
          </w14:textFill>
        </w:rPr>
        <w:t>0.03</w:t>
      </w:r>
      <w:r>
        <w:rPr>
          <w:rFonts w:hint="eastAsia" w:cs="Times New Roman"/>
          <w:color w:val="000000" w:themeColor="text1"/>
          <w:szCs w:val="21"/>
          <w14:textFill>
            <w14:solidFill>
              <w14:schemeClr w14:val="tx1"/>
            </w14:solidFill>
          </w14:textFill>
        </w:rPr>
        <w:t>；高度不小于</w:t>
      </w:r>
      <w:r>
        <w:rPr>
          <w:rFonts w:cs="Times New Roman"/>
          <w:color w:val="000000" w:themeColor="text1"/>
          <w:szCs w:val="21"/>
          <w14:textFill>
            <w14:solidFill>
              <w14:schemeClr w14:val="tx1"/>
            </w14:solidFill>
          </w14:textFill>
        </w:rPr>
        <w:t>200m</w:t>
      </w:r>
      <w:r>
        <w:rPr>
          <w:rFonts w:hint="eastAsia" w:cs="Times New Roman"/>
          <w:color w:val="000000" w:themeColor="text1"/>
          <w:szCs w:val="21"/>
          <w14:textFill>
            <w14:solidFill>
              <w14:schemeClr w14:val="tx1"/>
            </w14:solidFill>
          </w14:textFill>
        </w:rPr>
        <w:t>时宜取</w:t>
      </w:r>
      <w:r>
        <w:rPr>
          <w:rFonts w:cs="Times New Roman"/>
          <w:color w:val="000000" w:themeColor="text1"/>
          <w:szCs w:val="21"/>
          <w14:textFill>
            <w14:solidFill>
              <w14:schemeClr w14:val="tx1"/>
            </w14:solidFill>
          </w14:textFill>
        </w:rPr>
        <w:t>0.02</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）当偏心支撑框架部分承担的地震倾覆力矩大于结构总地震倾覆力矩的</w:t>
      </w:r>
      <w:r>
        <w:rPr>
          <w:rFonts w:cs="Times New Roman"/>
          <w:color w:val="000000" w:themeColor="text1"/>
          <w:szCs w:val="21"/>
          <w14:textFill>
            <w14:solidFill>
              <w14:schemeClr w14:val="tx1"/>
            </w14:solidFill>
          </w14:textFill>
        </w:rPr>
        <w:t>50</w:t>
      </w:r>
      <w:r>
        <w:rPr>
          <w:rFonts w:hint="eastAsia" w:cs="Times New Roman"/>
          <w:color w:val="000000" w:themeColor="text1"/>
          <w:szCs w:val="21"/>
          <w14:textFill>
            <w14:solidFill>
              <w14:schemeClr w14:val="tx1"/>
            </w14:solidFill>
          </w14:textFill>
        </w:rPr>
        <w:t>％时，多遇地震下的阻尼比可比本条</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款相应增加</w:t>
      </w:r>
      <w:r>
        <w:rPr>
          <w:rFonts w:cs="Times New Roman"/>
          <w:color w:val="000000" w:themeColor="text1"/>
          <w:szCs w:val="21"/>
          <w14:textFill>
            <w14:solidFill>
              <w14:schemeClr w14:val="tx1"/>
            </w14:solidFill>
          </w14:textFill>
        </w:rPr>
        <w:t>0.005</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）在罕遇地震作用下的弹塑性分析，阻尼比可取</w:t>
      </w:r>
      <w:r>
        <w:rPr>
          <w:rFonts w:cs="Times New Roman"/>
          <w:color w:val="000000" w:themeColor="text1"/>
          <w:szCs w:val="21"/>
          <w14:textFill>
            <w14:solidFill>
              <w14:schemeClr w14:val="tx1"/>
            </w14:solidFill>
          </w14:textFill>
        </w:rPr>
        <w:t>0.05</w:t>
      </w:r>
      <w:r>
        <w:rPr>
          <w:rFonts w:hint="eastAsia" w:cs="Times New Roman"/>
          <w:color w:val="000000" w:themeColor="text1"/>
          <w:szCs w:val="21"/>
          <w14:textFill>
            <w14:solidFill>
              <w14:schemeClr w14:val="tx1"/>
            </w14:solidFill>
          </w14:textFill>
        </w:rPr>
        <w:t>。</w:t>
      </w:r>
    </w:p>
    <w:bookmarkEnd w:id="261"/>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混凝土结构设防地震和罕遇地震下的弹塑性分析，阻尼比可取</w:t>
      </w:r>
      <w:r>
        <w:rPr>
          <w:rFonts w:cs="Times New Roman"/>
          <w:color w:val="000000" w:themeColor="text1"/>
          <w:szCs w:val="21"/>
          <w14:textFill>
            <w14:solidFill>
              <w14:schemeClr w14:val="tx1"/>
            </w14:solidFill>
          </w14:textFill>
        </w:rPr>
        <w:t>0.05</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4 </w:t>
      </w:r>
      <w:r>
        <w:rPr>
          <w:rFonts w:hint="eastAsia" w:cs="Times New Roman"/>
          <w:color w:val="000000" w:themeColor="text1"/>
          <w:szCs w:val="21"/>
          <w14:textFill>
            <w14:solidFill>
              <w14:schemeClr w14:val="tx1"/>
            </w14:solidFill>
          </w14:textFill>
        </w:rPr>
        <w:t>混合结构根据构件类型及其数量比例宜取</w:t>
      </w:r>
      <w:r>
        <w:rPr>
          <w:rFonts w:cs="Times New Roman"/>
          <w:color w:val="000000" w:themeColor="text1"/>
          <w:szCs w:val="21"/>
          <w14:textFill>
            <w14:solidFill>
              <w14:schemeClr w14:val="tx1"/>
            </w14:solidFill>
          </w14:textFill>
        </w:rPr>
        <w:t>0.035-0.05</w:t>
      </w:r>
      <w:r>
        <w:rPr>
          <w:rFonts w:hint="eastAsia" w:cs="Times New Roman"/>
          <w:color w:val="000000" w:themeColor="text1"/>
          <w:szCs w:val="21"/>
          <w14:textFill>
            <w14:solidFill>
              <w14:schemeClr w14:val="tx1"/>
            </w14:solidFill>
          </w14:textFill>
        </w:rPr>
        <w:t>之间。</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5 </w:t>
      </w:r>
      <w:r>
        <w:rPr>
          <w:rFonts w:hint="eastAsia" w:cs="Times New Roman"/>
          <w:color w:val="000000" w:themeColor="text1"/>
          <w:szCs w:val="21"/>
          <w14:textFill>
            <w14:solidFill>
              <w14:schemeClr w14:val="tx1"/>
            </w14:solidFill>
          </w14:textFill>
        </w:rPr>
        <w:t>对于隔震结构和消能减震结构，其结构总阻尼比取值应符合现行国家标准《建筑抗震设计规范》（</w:t>
      </w:r>
      <w:r>
        <w:rPr>
          <w:rFonts w:cs="Times New Roman"/>
          <w:color w:val="000000" w:themeColor="text1"/>
          <w:szCs w:val="21"/>
          <w14:textFill>
            <w14:solidFill>
              <w14:schemeClr w14:val="tx1"/>
            </w14:solidFill>
          </w14:textFill>
        </w:rPr>
        <w:t>GB 50011-2010</w:t>
      </w:r>
      <w:r>
        <w:rPr>
          <w:rFonts w:hint="eastAsia" w:cs="Times New Roman"/>
          <w:color w:val="000000" w:themeColor="text1"/>
          <w:szCs w:val="21"/>
          <w14:textFill>
            <w14:solidFill>
              <w14:schemeClr w14:val="tx1"/>
            </w14:solidFill>
          </w14:textFill>
        </w:rPr>
        <w:t>）和行业标准《建筑消能减震技术规程》（</w:t>
      </w:r>
      <w:r>
        <w:rPr>
          <w:rFonts w:cs="Times New Roman"/>
          <w:color w:val="000000" w:themeColor="text1"/>
          <w:szCs w:val="21"/>
          <w14:textFill>
            <w14:solidFill>
              <w14:schemeClr w14:val="tx1"/>
            </w14:solidFill>
          </w14:textFill>
        </w:rPr>
        <w:t>JGJ 297-2013</w:t>
      </w:r>
      <w:r>
        <w:rPr>
          <w:rFonts w:hint="eastAsia" w:cs="Times New Roman"/>
          <w:color w:val="000000" w:themeColor="text1"/>
          <w:szCs w:val="21"/>
          <w14:textFill>
            <w14:solidFill>
              <w14:schemeClr w14:val="tx1"/>
            </w14:solidFill>
          </w14:textFill>
        </w:rPr>
        <w:t>）相关规定。减隔震结构中消能构件和隔震构件的阻尼参数应有试验依据。</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I.2.7  </w:t>
      </w:r>
      <w:r>
        <w:rPr>
          <w:rFonts w:hint="eastAsia" w:cs="Times New Roman"/>
          <w:color w:val="000000" w:themeColor="text1"/>
          <w:szCs w:val="21"/>
          <w14:textFill>
            <w14:solidFill>
              <w14:schemeClr w14:val="tx1"/>
            </w14:solidFill>
          </w14:textFill>
        </w:rPr>
        <w:t>工业建筑弹塑性分析楼板的建模应符合以下要求。</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弹塑性分析宜考虑现浇楼板的影响，可将梁上现浇楼板等效为框架梁的翼缘。</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对于楼板开洞面积超过</w:t>
      </w:r>
      <w:r>
        <w:rPr>
          <w:rFonts w:cs="Times New Roman"/>
          <w:color w:val="000000" w:themeColor="text1"/>
          <w:szCs w:val="21"/>
          <w14:textFill>
            <w14:solidFill>
              <w14:schemeClr w14:val="tx1"/>
            </w14:solidFill>
          </w14:textFill>
        </w:rPr>
        <w:t>25%</w:t>
      </w:r>
      <w:r>
        <w:rPr>
          <w:rFonts w:hint="eastAsia" w:cs="Times New Roman"/>
          <w:color w:val="000000" w:themeColor="text1"/>
          <w:szCs w:val="21"/>
          <w14:textFill>
            <w14:solidFill>
              <w14:schemeClr w14:val="tx1"/>
            </w14:solidFill>
          </w14:textFill>
        </w:rPr>
        <w:t>的情况，宜考虑楼板面内弹性变形，采用膜单元或壳单元建立楼板模型。</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当楼板非线性行为对结构整体响应有显著影响时，应采用弹塑性楼板模型，弹塑性楼板宜采用分层壳单元，并考虑楼板中心到梁中心的偏移。</w:t>
      </w:r>
    </w:p>
    <w:p>
      <w:pPr>
        <w:spacing w:before="156" w:beforeLines="50" w:after="156" w:afterLines="50" w:line="36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I.3  </w:t>
      </w:r>
      <w:r>
        <w:rPr>
          <w:rFonts w:hint="eastAsia" w:cs="Times New Roman"/>
          <w:color w:val="000000" w:themeColor="text1"/>
          <w:szCs w:val="21"/>
          <w14:textFill>
            <w14:solidFill>
              <w14:schemeClr w14:val="tx1"/>
            </w14:solidFill>
          </w14:textFill>
        </w:rPr>
        <w:t>地震作用</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I.3.1  </w:t>
      </w:r>
      <w:r>
        <w:rPr>
          <w:rFonts w:hint="eastAsia" w:cs="Times New Roman"/>
          <w:color w:val="000000" w:themeColor="text1"/>
          <w:szCs w:val="21"/>
          <w14:textFill>
            <w14:solidFill>
              <w14:schemeClr w14:val="tx1"/>
            </w14:solidFill>
          </w14:textFill>
        </w:rPr>
        <w:t>进行工业建筑结构抗震性能化评价时，应考虑与建筑场地类别相匹配的多遇地震、设防地震和罕遇地震时程计算。</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I.3.2  </w:t>
      </w:r>
      <w:r>
        <w:rPr>
          <w:rFonts w:hint="eastAsia" w:cs="Times New Roman"/>
          <w:color w:val="000000" w:themeColor="text1"/>
          <w:szCs w:val="21"/>
          <w14:textFill>
            <w14:solidFill>
              <w14:schemeClr w14:val="tx1"/>
            </w14:solidFill>
          </w14:textFill>
        </w:rPr>
        <w:t>弹塑性分析所选取的地震波数量以及持时、幅值和频谱等参数应符合《建筑抗震设计规范》</w:t>
      </w:r>
      <w:r>
        <w:rPr>
          <w:rFonts w:cs="Times New Roman"/>
          <w:color w:val="000000" w:themeColor="text1"/>
          <w:szCs w:val="21"/>
          <w14:textFill>
            <w14:solidFill>
              <w14:schemeClr w14:val="tx1"/>
            </w14:solidFill>
          </w14:textFill>
        </w:rPr>
        <w:t>GB50011</w:t>
      </w:r>
      <w:r>
        <w:rPr>
          <w:rFonts w:hint="eastAsia" w:cs="Times New Roman"/>
          <w:color w:val="000000" w:themeColor="text1"/>
          <w:szCs w:val="21"/>
          <w14:textFill>
            <w14:solidFill>
              <w14:schemeClr w14:val="tx1"/>
            </w14:solidFill>
          </w14:textFill>
        </w:rPr>
        <w:t>的有关要求，且：</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采用时程分析法时，应按建筑场地类别和设计地震分组选用不少于</w:t>
      </w: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组的实际强震</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记录和人工模拟的加速度时程曲线，其中实际强震记录的数量不应少于总数的</w:t>
      </w:r>
      <w:r>
        <w:rPr>
          <w:rFonts w:cs="Times New Roman"/>
          <w:color w:val="000000" w:themeColor="text1"/>
          <w:szCs w:val="21"/>
          <w14:textFill>
            <w14:solidFill>
              <w14:schemeClr w14:val="tx1"/>
            </w14:solidFill>
          </w14:textFill>
        </w:rPr>
        <w:t>2/3</w:t>
      </w:r>
      <w:r>
        <w:rPr>
          <w:rFonts w:hint="eastAsia" w:cs="Times New Roman"/>
          <w:color w:val="000000" w:themeColor="text1"/>
          <w:szCs w:val="21"/>
          <w14:textFill>
            <w14:solidFill>
              <w14:schemeClr w14:val="tx1"/>
            </w14:solidFill>
          </w14:textFill>
        </w:rPr>
        <w:t>；宜采用不少于</w:t>
      </w:r>
      <w:r>
        <w:rPr>
          <w:rFonts w:cs="Times New Roman"/>
          <w:color w:val="000000" w:themeColor="text1"/>
          <w:szCs w:val="21"/>
          <w14:textFill>
            <w14:solidFill>
              <w14:schemeClr w14:val="tx1"/>
            </w14:solidFill>
          </w14:textFill>
        </w:rPr>
        <w:t>7</w:t>
      </w:r>
      <w:r>
        <w:rPr>
          <w:rFonts w:hint="eastAsia" w:cs="Times New Roman"/>
          <w:color w:val="000000" w:themeColor="text1"/>
          <w:szCs w:val="21"/>
          <w14:textFill>
            <w14:solidFill>
              <w14:schemeClr w14:val="tx1"/>
            </w14:solidFill>
          </w14:textFill>
        </w:rPr>
        <w:t>组加速度时程曲线；</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多组时程曲线的平均地震影响系数曲线应与振型分解反应谱法所采用的地震影响系数曲线在统计意义上相符；</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对处于发震断裂两侧</w:t>
      </w:r>
      <w:r>
        <w:rPr>
          <w:rFonts w:cs="Times New Roman"/>
          <w:color w:val="000000" w:themeColor="text1"/>
          <w:szCs w:val="21"/>
          <w14:textFill>
            <w14:solidFill>
              <w14:schemeClr w14:val="tx1"/>
            </w14:solidFill>
          </w14:textFill>
        </w:rPr>
        <w:t>10km</w:t>
      </w:r>
      <w:r>
        <w:rPr>
          <w:rFonts w:hint="eastAsia" w:cs="Times New Roman"/>
          <w:color w:val="000000" w:themeColor="text1"/>
          <w:szCs w:val="21"/>
          <w14:textFill>
            <w14:solidFill>
              <w14:schemeClr w14:val="tx1"/>
            </w14:solidFill>
          </w14:textFill>
        </w:rPr>
        <w:t>以内的结构，地震动参数应计入近场影响。</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I.3.3  </w:t>
      </w:r>
      <w:r>
        <w:rPr>
          <w:rFonts w:hint="eastAsia" w:cs="Times New Roman"/>
          <w:color w:val="000000" w:themeColor="text1"/>
          <w:szCs w:val="21"/>
          <w14:textFill>
            <w14:solidFill>
              <w14:schemeClr w14:val="tx1"/>
            </w14:solidFill>
          </w14:textFill>
        </w:rPr>
        <w:t>时程计算地震动输入应符合以下规定：</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一般情况下，应至少在建筑结构的两个主轴方向分别输入水平地震动时程曲线；</w:t>
      </w:r>
    </w:p>
    <w:p>
      <w:pPr>
        <w:spacing w:line="360" w:lineRule="auto"/>
        <w:ind w:left="420"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质量和刚度分布明显不对称的结构，应在建筑结构的两个主轴方向同时输入水平地震</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动时程曲线；</w:t>
      </w:r>
    </w:p>
    <w:p>
      <w:pPr>
        <w:spacing w:line="360" w:lineRule="auto"/>
        <w:ind w:firstLine="42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3  8</w:t>
      </w:r>
      <w:r>
        <w:rPr>
          <w:rFonts w:hint="eastAsia" w:cs="Times New Roman"/>
          <w:color w:val="000000" w:themeColor="text1"/>
          <w:szCs w:val="21"/>
          <w14:textFill>
            <w14:solidFill>
              <w14:schemeClr w14:val="tx1"/>
            </w14:solidFill>
          </w14:textFill>
        </w:rPr>
        <w:t>度及</w:t>
      </w:r>
      <w:r>
        <w:rPr>
          <w:rFonts w:cs="Times New Roman"/>
          <w:color w:val="000000" w:themeColor="text1"/>
          <w:szCs w:val="21"/>
          <w14:textFill>
            <w14:solidFill>
              <w14:schemeClr w14:val="tx1"/>
            </w14:solidFill>
          </w14:textFill>
        </w:rPr>
        <w:t>8</w:t>
      </w:r>
      <w:r>
        <w:rPr>
          <w:rFonts w:hint="eastAsia" w:cs="Times New Roman"/>
          <w:color w:val="000000" w:themeColor="text1"/>
          <w:szCs w:val="21"/>
          <w14:textFill>
            <w14:solidFill>
              <w14:schemeClr w14:val="tx1"/>
            </w14:solidFill>
          </w14:textFill>
        </w:rPr>
        <w:t>度以上烈度时，结构中存在转换结构、跨度超过</w:t>
      </w:r>
      <w:r>
        <w:rPr>
          <w:rFonts w:cs="Times New Roman"/>
          <w:color w:val="000000" w:themeColor="text1"/>
          <w:szCs w:val="21"/>
          <w14:textFill>
            <w14:solidFill>
              <w14:schemeClr w14:val="tx1"/>
            </w14:solidFill>
          </w14:textFill>
        </w:rPr>
        <w:t>20</w:t>
      </w:r>
      <w:r>
        <w:rPr>
          <w:rFonts w:hint="eastAsia" w:cs="Times New Roman"/>
          <w:color w:val="000000" w:themeColor="text1"/>
          <w:szCs w:val="21"/>
          <w14:textFill>
            <w14:solidFill>
              <w14:schemeClr w14:val="tx1"/>
            </w14:solidFill>
          </w14:textFill>
        </w:rPr>
        <w:t>米的大跨度结构或悬臂</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长度超过</w:t>
      </w: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米时，以及</w:t>
      </w:r>
      <w:r>
        <w:rPr>
          <w:rFonts w:cs="Times New Roman"/>
          <w:color w:val="000000" w:themeColor="text1"/>
          <w:szCs w:val="21"/>
          <w14:textFill>
            <w14:solidFill>
              <w14:schemeClr w14:val="tx1"/>
            </w14:solidFill>
          </w14:textFill>
        </w:rPr>
        <w:t>9</w:t>
      </w:r>
      <w:r>
        <w:rPr>
          <w:rFonts w:hint="eastAsia" w:cs="Times New Roman"/>
          <w:color w:val="000000" w:themeColor="text1"/>
          <w:szCs w:val="21"/>
          <w14:textFill>
            <w14:solidFill>
              <w14:schemeClr w14:val="tx1"/>
            </w14:solidFill>
          </w14:textFill>
        </w:rPr>
        <w:t>度时的高层建筑，应计算竖向地震作用；</w:t>
      </w:r>
    </w:p>
    <w:p>
      <w:pPr>
        <w:numPr>
          <w:ilvl w:val="0"/>
          <w:numId w:val="9"/>
        </w:numPr>
        <w:spacing w:line="360" w:lineRule="auto"/>
        <w:ind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当采用多向地震动输入时，各方向地震动的地震动参数比例可取：水平主向</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水平次</w:t>
      </w:r>
    </w:p>
    <w:p>
      <w:pPr>
        <w:spacing w:line="360" w:lineRule="auto"/>
        <w:ind w:firstLine="0" w:firstLineChars="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向</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竖向</w:t>
      </w:r>
      <w:r>
        <w:rPr>
          <w:rFonts w:cs="Times New Roman"/>
          <w:color w:val="000000" w:themeColor="text1"/>
          <w:szCs w:val="21"/>
          <w14:textFill>
            <w14:solidFill>
              <w14:schemeClr w14:val="tx1"/>
            </w14:solidFill>
          </w14:textFill>
        </w:rPr>
        <w:t>=1:0.85:0.65</w:t>
      </w:r>
      <w:r>
        <w:rPr>
          <w:rFonts w:hint="eastAsia" w:cs="Times New Roman"/>
          <w:color w:val="000000" w:themeColor="text1"/>
          <w:szCs w:val="21"/>
          <w14:textFill>
            <w14:solidFill>
              <w14:schemeClr w14:val="tx1"/>
            </w14:solidFill>
          </w14:textFill>
        </w:rPr>
        <w:t>，采用三向地震动输入时，三个方向的地震动时程应为同一强震记录。</w:t>
      </w:r>
    </w:p>
    <w:p>
      <w:pPr>
        <w:spacing w:before="156" w:beforeLines="50" w:after="156" w:afterLines="50" w:line="36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  </w:t>
      </w:r>
      <w:r>
        <w:rPr>
          <w:rFonts w:hint="eastAsia" w:cs="Times New Roman"/>
          <w:color w:val="000000" w:themeColor="text1"/>
          <w:szCs w:val="21"/>
          <w14:textFill>
            <w14:solidFill>
              <w14:schemeClr w14:val="tx1"/>
            </w14:solidFill>
          </w14:textFill>
        </w:rPr>
        <w:t>抗震性能化评价指标和判据</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I.4.1  </w:t>
      </w:r>
      <w:r>
        <w:rPr>
          <w:rFonts w:hint="eastAsia" w:cs="Times New Roman"/>
          <w:color w:val="000000" w:themeColor="text1"/>
          <w:szCs w:val="21"/>
          <w14:textFill>
            <w14:solidFill>
              <w14:schemeClr w14:val="tx1"/>
            </w14:solidFill>
          </w14:textFill>
        </w:rPr>
        <w:t>性能化设计结果的评价应包括整体结构性能评价及不同构件性能评价。</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I.4.2  </w:t>
      </w:r>
      <w:r>
        <w:rPr>
          <w:rFonts w:hint="eastAsia" w:cs="Times New Roman"/>
          <w:color w:val="000000" w:themeColor="text1"/>
          <w:szCs w:val="21"/>
          <w14:textFill>
            <w14:solidFill>
              <w14:schemeClr w14:val="tx1"/>
            </w14:solidFill>
          </w14:textFill>
        </w:rPr>
        <w:t>整体结构的结构抗震性能目标分为</w:t>
      </w:r>
      <w:r>
        <w:rPr>
          <w:rFonts w:cs="Times New Roman"/>
          <w:color w:val="000000" w:themeColor="text1"/>
          <w:szCs w:val="21"/>
          <w14:textFill>
            <w14:solidFill>
              <w14:schemeClr w14:val="tx1"/>
            </w14:solidFill>
          </w14:textFill>
        </w:rPr>
        <w:t>A</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 xml:space="preserve">D </w:t>
      </w:r>
      <w:r>
        <w:rPr>
          <w:rFonts w:hint="eastAsia" w:cs="Times New Roman"/>
          <w:color w:val="000000" w:themeColor="text1"/>
          <w:szCs w:val="21"/>
          <w14:textFill>
            <w14:solidFill>
              <w14:schemeClr w14:val="tx1"/>
            </w14:solidFill>
          </w14:textFill>
        </w:rPr>
        <w:t>四个等级（表</w:t>
      </w:r>
      <w:r>
        <w:rPr>
          <w:rFonts w:cs="Times New Roman"/>
          <w:color w:val="000000" w:themeColor="text1"/>
          <w:szCs w:val="21"/>
          <w14:textFill>
            <w14:solidFill>
              <w14:schemeClr w14:val="tx1"/>
            </w14:solidFill>
          </w14:textFill>
        </w:rPr>
        <w:t>I.4.2-1</w:t>
      </w:r>
      <w:r>
        <w:rPr>
          <w:rFonts w:hint="eastAsia" w:cs="Times New Roman"/>
          <w:color w:val="000000" w:themeColor="text1"/>
          <w:szCs w:val="21"/>
          <w14:textFill>
            <w14:solidFill>
              <w14:schemeClr w14:val="tx1"/>
            </w14:solidFill>
          </w14:textFill>
        </w:rPr>
        <w:t>），结构抗震性能分为</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 xml:space="preserve">5 </w:t>
      </w:r>
      <w:r>
        <w:rPr>
          <w:rFonts w:hint="eastAsia" w:cs="Times New Roman"/>
          <w:color w:val="000000" w:themeColor="text1"/>
          <w:szCs w:val="21"/>
          <w14:textFill>
            <w14:solidFill>
              <w14:schemeClr w14:val="tx1"/>
            </w14:solidFill>
          </w14:textFill>
        </w:rPr>
        <w:t>五个水准（表</w:t>
      </w:r>
      <w:r>
        <w:rPr>
          <w:rFonts w:cs="Times New Roman"/>
          <w:color w:val="000000" w:themeColor="text1"/>
          <w:szCs w:val="21"/>
          <w14:textFill>
            <w14:solidFill>
              <w14:schemeClr w14:val="tx1"/>
            </w14:solidFill>
          </w14:textFill>
        </w:rPr>
        <w:t>I.4.2-2</w:t>
      </w:r>
      <w:r>
        <w:rPr>
          <w:rFonts w:hint="eastAsia" w:cs="Times New Roman"/>
          <w:color w:val="000000" w:themeColor="text1"/>
          <w:szCs w:val="21"/>
          <w14:textFill>
            <w14:solidFill>
              <w14:schemeClr w14:val="tx1"/>
            </w14:solidFill>
          </w14:textFill>
        </w:rPr>
        <w:t>）。</w:t>
      </w: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I.4.2-1 </w:t>
      </w:r>
      <w:r>
        <w:rPr>
          <w:rFonts w:hint="eastAsia" w:cs="Times New Roman"/>
          <w:color w:val="000000" w:themeColor="text1"/>
          <w:szCs w:val="21"/>
          <w14:textFill>
            <w14:solidFill>
              <w14:schemeClr w14:val="tx1"/>
            </w14:solidFill>
          </w14:textFill>
        </w:rPr>
        <w:t>结构的抗震性能目标</w:t>
      </w:r>
    </w:p>
    <w:tbl>
      <w:tblPr>
        <w:tblStyle w:val="10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A</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B</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C</w:t>
            </w:r>
          </w:p>
        </w:tc>
        <w:tc>
          <w:tcPr>
            <w:tcW w:w="142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多遇地震</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42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设防地震</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p>
        </w:tc>
        <w:tc>
          <w:tcPr>
            <w:tcW w:w="142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罕遇地震</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p>
        </w:tc>
        <w:tc>
          <w:tcPr>
            <w:tcW w:w="14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p>
        </w:tc>
        <w:tc>
          <w:tcPr>
            <w:tcW w:w="142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p>
        </w:tc>
      </w:tr>
    </w:tbl>
    <w:p>
      <w:pPr>
        <w:spacing w:line="360" w:lineRule="auto"/>
        <w:ind w:firstLine="420"/>
        <w:jc w:val="center"/>
        <w:rPr>
          <w:rFonts w:cs="Times New Roman"/>
          <w:color w:val="000000" w:themeColor="text1"/>
          <w:szCs w:val="21"/>
          <w14:textFill>
            <w14:solidFill>
              <w14:schemeClr w14:val="tx1"/>
            </w14:solidFill>
          </w14:textFill>
        </w:rPr>
      </w:pPr>
    </w:p>
    <w:p>
      <w:pPr>
        <w:spacing w:line="360" w:lineRule="auto"/>
        <w:ind w:firstLine="420"/>
        <w:jc w:val="center"/>
        <w:rPr>
          <w:rFonts w:cs="Times New Roman"/>
          <w:color w:val="000000" w:themeColor="text1"/>
          <w:szCs w:val="21"/>
          <w14:textFill>
            <w14:solidFill>
              <w14:schemeClr w14:val="tx1"/>
            </w14:solidFill>
          </w14:textFill>
        </w:rPr>
      </w:pP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I.4.2-2 </w:t>
      </w:r>
      <w:r>
        <w:rPr>
          <w:rFonts w:hint="eastAsia" w:cs="Times New Roman"/>
          <w:color w:val="000000" w:themeColor="text1"/>
          <w:szCs w:val="21"/>
          <w14:textFill>
            <w14:solidFill>
              <w14:schemeClr w14:val="tx1"/>
            </w14:solidFill>
          </w14:textFill>
        </w:rPr>
        <w:t>结构的抗震性能水准</w:t>
      </w:r>
    </w:p>
    <w:tbl>
      <w:tblPr>
        <w:tblStyle w:val="10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495"/>
        <w:gridCol w:w="1482"/>
        <w:gridCol w:w="1278"/>
        <w:gridCol w:w="1389"/>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性能水准</w:t>
            </w:r>
          </w:p>
        </w:tc>
        <w:tc>
          <w:tcPr>
            <w:tcW w:w="1495" w:type="dxa"/>
            <w:vMerge w:val="restart"/>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宏观损坏程度</w:t>
            </w:r>
          </w:p>
        </w:tc>
        <w:tc>
          <w:tcPr>
            <w:tcW w:w="4149" w:type="dxa"/>
            <w:gridSpan w:val="3"/>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损坏部位</w:t>
            </w:r>
          </w:p>
        </w:tc>
        <w:tc>
          <w:tcPr>
            <w:tcW w:w="1381" w:type="dxa"/>
            <w:vMerge w:val="restart"/>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继续使用的可能性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color w:val="000000" w:themeColor="text1"/>
                <w:szCs w:val="21"/>
                <w14:textFill>
                  <w14:solidFill>
                    <w14:schemeClr w14:val="tx1"/>
                  </w14:solidFill>
                </w14:textFill>
              </w:rPr>
            </w:pPr>
          </w:p>
        </w:tc>
        <w:tc>
          <w:tcPr>
            <w:tcW w:w="149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color w:val="000000" w:themeColor="text1"/>
                <w:szCs w:val="21"/>
                <w14:textFill>
                  <w14:solidFill>
                    <w14:schemeClr w14:val="tx1"/>
                  </w14:solidFill>
                </w14:textFill>
              </w:rPr>
            </w:pPr>
          </w:p>
        </w:tc>
        <w:tc>
          <w:tcPr>
            <w:tcW w:w="1482"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普通竖向构件</w:t>
            </w:r>
          </w:p>
        </w:tc>
        <w:tc>
          <w:tcPr>
            <w:tcW w:w="1278"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关键构件</w:t>
            </w:r>
          </w:p>
        </w:tc>
        <w:tc>
          <w:tcPr>
            <w:tcW w:w="138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耗能构件</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水准</w:t>
            </w:r>
          </w:p>
        </w:tc>
        <w:tc>
          <w:tcPr>
            <w:tcW w:w="1495"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完好、无损坏</w:t>
            </w:r>
          </w:p>
        </w:tc>
        <w:tc>
          <w:tcPr>
            <w:tcW w:w="1482"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1278"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138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138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一般不需修理即可继续使用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水准</w:t>
            </w:r>
          </w:p>
        </w:tc>
        <w:tc>
          <w:tcPr>
            <w:tcW w:w="1495"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基本完好，轻微损坏</w:t>
            </w:r>
          </w:p>
        </w:tc>
        <w:tc>
          <w:tcPr>
            <w:tcW w:w="1482"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1278"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138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轻微损坏</w:t>
            </w:r>
          </w:p>
        </w:tc>
        <w:tc>
          <w:tcPr>
            <w:tcW w:w="138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稍加修理即可继续使用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第</w:t>
            </w: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水准</w:t>
            </w:r>
          </w:p>
        </w:tc>
        <w:tc>
          <w:tcPr>
            <w:tcW w:w="1495"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轻度损坏</w:t>
            </w:r>
          </w:p>
        </w:tc>
        <w:tc>
          <w:tcPr>
            <w:tcW w:w="1482"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轻微损坏</w:t>
            </w:r>
          </w:p>
        </w:tc>
        <w:tc>
          <w:tcPr>
            <w:tcW w:w="1278"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轻微损坏</w:t>
            </w:r>
          </w:p>
        </w:tc>
        <w:tc>
          <w:tcPr>
            <w:tcW w:w="138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轻度损坏、部分中度损坏</w:t>
            </w:r>
          </w:p>
        </w:tc>
        <w:tc>
          <w:tcPr>
            <w:tcW w:w="138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一般修理后才可继续使用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第</w:t>
            </w: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水准</w:t>
            </w:r>
          </w:p>
        </w:tc>
        <w:tc>
          <w:tcPr>
            <w:tcW w:w="1495"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中度损坏</w:t>
            </w:r>
          </w:p>
        </w:tc>
        <w:tc>
          <w:tcPr>
            <w:tcW w:w="1482"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部分构件中度损坏</w:t>
            </w:r>
          </w:p>
        </w:tc>
        <w:tc>
          <w:tcPr>
            <w:tcW w:w="1278"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轻度损坏</w:t>
            </w:r>
          </w:p>
        </w:tc>
        <w:tc>
          <w:tcPr>
            <w:tcW w:w="138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中度损坏、部分比较严重损坏</w:t>
            </w:r>
          </w:p>
        </w:tc>
        <w:tc>
          <w:tcPr>
            <w:tcW w:w="138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修复或加固后才可继续使用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第</w:t>
            </w: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水准</w:t>
            </w:r>
          </w:p>
        </w:tc>
        <w:tc>
          <w:tcPr>
            <w:tcW w:w="1495"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比较严重损坏</w:t>
            </w:r>
          </w:p>
        </w:tc>
        <w:tc>
          <w:tcPr>
            <w:tcW w:w="1482"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部分构件比较严重损坏</w:t>
            </w:r>
          </w:p>
        </w:tc>
        <w:tc>
          <w:tcPr>
            <w:tcW w:w="1278"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中度损坏</w:t>
            </w:r>
          </w:p>
        </w:tc>
        <w:tc>
          <w:tcPr>
            <w:tcW w:w="138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比较严重损坏</w:t>
            </w:r>
          </w:p>
        </w:tc>
        <w:tc>
          <w:tcPr>
            <w:tcW w:w="138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需排险大修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备注</w:t>
            </w:r>
          </w:p>
        </w:tc>
        <w:tc>
          <w:tcPr>
            <w:tcW w:w="7025" w:type="dxa"/>
            <w:gridSpan w:val="5"/>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普通竖向构件</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是指</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关键构件</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之外的竖向构件；</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关键构件</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是指该构件的失效可能引起结构的连续破坏或危及生命安全的严重破坏；</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耗能构件</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包括框架梁、剪力墙连梁及耗能支撑等。</w:t>
            </w:r>
          </w:p>
        </w:tc>
      </w:tr>
    </w:tbl>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I.4.3  </w:t>
      </w:r>
      <w:r>
        <w:rPr>
          <w:rFonts w:hint="eastAsia" w:cs="Times New Roman"/>
          <w:color w:val="000000" w:themeColor="text1"/>
          <w:szCs w:val="21"/>
          <w14:textFill>
            <w14:solidFill>
              <w14:schemeClr w14:val="tx1"/>
            </w14:solidFill>
          </w14:textFill>
        </w:rPr>
        <w:t>一般工业建筑整体抗震性能不应低于性能目标</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，重要工业建筑整体抗震性能目标不应低于性能目标</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I.4.4  </w:t>
      </w:r>
      <w:r>
        <w:rPr>
          <w:rFonts w:hint="eastAsia" w:cs="Times New Roman"/>
          <w:color w:val="000000" w:themeColor="text1"/>
          <w:szCs w:val="21"/>
          <w14:textFill>
            <w14:solidFill>
              <w14:schemeClr w14:val="tx1"/>
            </w14:solidFill>
          </w14:textFill>
        </w:rPr>
        <w:t>结构构件抗震性能评价时，钢筋混凝土构件压弯延性破坏的损坏等级可根据时程分析得到的构件的最大应变及转角确定。钢筋混凝土构件斜截面脆性破坏的损坏等级可根据时程分析得到的构件的最大内力确定。</w:t>
      </w:r>
    </w:p>
    <w:p>
      <w:pPr>
        <w:spacing w:before="156" w:beforeLines="50"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I.4.5  </w:t>
      </w:r>
      <w:r>
        <w:rPr>
          <w:rFonts w:hint="eastAsia" w:cs="Times New Roman"/>
          <w:color w:val="000000" w:themeColor="text1"/>
          <w:szCs w:val="21"/>
          <w14:textFill>
            <w14:solidFill>
              <w14:schemeClr w14:val="tx1"/>
            </w14:solidFill>
          </w14:textFill>
        </w:rPr>
        <w:t>压弯破坏的钢筋混凝土结构构件的损坏等级可根据弹塑性计算得到的钢筋和混凝土的应变按表</w:t>
      </w:r>
      <w:r>
        <w:rPr>
          <w:rFonts w:cs="Times New Roman"/>
          <w:color w:val="000000" w:themeColor="text1"/>
          <w:szCs w:val="21"/>
          <w14:textFill>
            <w14:solidFill>
              <w14:schemeClr w14:val="tx1"/>
            </w14:solidFill>
          </w14:textFill>
        </w:rPr>
        <w:t>I.4.5-1</w:t>
      </w:r>
      <w:r>
        <w:rPr>
          <w:rFonts w:hint="eastAsia" w:cs="Times New Roman"/>
          <w:color w:val="000000" w:themeColor="text1"/>
          <w:szCs w:val="21"/>
          <w14:textFill>
            <w14:solidFill>
              <w14:schemeClr w14:val="tx1"/>
            </w14:solidFill>
          </w14:textFill>
        </w:rPr>
        <w:t>确定，或可根据弹塑性计算得到的构件最大转角按表</w:t>
      </w:r>
      <w:r>
        <w:rPr>
          <w:rFonts w:cs="Times New Roman"/>
          <w:color w:val="000000" w:themeColor="text1"/>
          <w:szCs w:val="21"/>
          <w14:textFill>
            <w14:solidFill>
              <w14:schemeClr w14:val="tx1"/>
            </w14:solidFill>
          </w14:textFill>
        </w:rPr>
        <w:t>I.4.5-2</w:t>
      </w:r>
      <w:r>
        <w:rPr>
          <w:rFonts w:hint="eastAsia" w:cs="Times New Roman"/>
          <w:color w:val="000000" w:themeColor="text1"/>
          <w:szCs w:val="21"/>
          <w14:textFill>
            <w14:solidFill>
              <w14:schemeClr w14:val="tx1"/>
            </w14:solidFill>
          </w14:textFill>
        </w:rPr>
        <w:t>和图</w:t>
      </w:r>
      <w:r>
        <w:rPr>
          <w:rFonts w:cs="Times New Roman"/>
          <w:color w:val="000000" w:themeColor="text1"/>
          <w:szCs w:val="21"/>
          <w14:textFill>
            <w14:solidFill>
              <w14:schemeClr w14:val="tx1"/>
            </w14:solidFill>
          </w14:textFill>
        </w:rPr>
        <w:t>I.4.5-1</w:t>
      </w:r>
      <w:r>
        <w:rPr>
          <w:rFonts w:hint="eastAsia" w:cs="Times New Roman"/>
          <w:color w:val="000000" w:themeColor="text1"/>
          <w:szCs w:val="21"/>
          <w14:textFill>
            <w14:solidFill>
              <w14:schemeClr w14:val="tx1"/>
            </w14:solidFill>
          </w14:textFill>
        </w:rPr>
        <w:t>确定。</w:t>
      </w:r>
    </w:p>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I.4.5-1 </w:t>
      </w:r>
      <w:r>
        <w:rPr>
          <w:rFonts w:hint="eastAsia" w:cs="Times New Roman"/>
          <w:color w:val="000000" w:themeColor="text1"/>
          <w:szCs w:val="21"/>
          <w14:textFill>
            <w14:solidFill>
              <w14:schemeClr w14:val="tx1"/>
            </w14:solidFill>
          </w14:textFill>
        </w:rPr>
        <w:t>压弯破坏的钢筋混凝土结构构件基于应变的地震损坏等级判别标准</w:t>
      </w:r>
    </w:p>
    <w:tbl>
      <w:tblPr>
        <w:tblStyle w:val="32"/>
        <w:tblW w:w="452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57"/>
        <w:gridCol w:w="1970"/>
        <w:gridCol w:w="2314"/>
        <w:gridCol w:w="251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32" w:type="pct"/>
            <w:vMerge w:val="restart"/>
            <w:tcBorders>
              <w:top w:val="single" w:color="auto" w:sz="8" w:space="0"/>
              <w:left w:val="single" w:color="auto" w:sz="8" w:space="0"/>
              <w:bottom w:val="single" w:color="auto" w:sz="8" w:space="0"/>
              <w:right w:val="single" w:color="auto" w:sz="4" w:space="0"/>
            </w:tcBorders>
            <w:vAlign w:val="center"/>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损坏等级</w:t>
            </w:r>
          </w:p>
        </w:tc>
        <w:tc>
          <w:tcPr>
            <w:tcW w:w="1179" w:type="pct"/>
            <w:vMerge w:val="restart"/>
            <w:tcBorders>
              <w:top w:val="single" w:color="auto" w:sz="8" w:space="0"/>
              <w:left w:val="single" w:color="auto" w:sz="4" w:space="0"/>
              <w:bottom w:val="single" w:color="auto" w:sz="8" w:space="0"/>
              <w:right w:val="single" w:color="auto" w:sz="4" w:space="0"/>
            </w:tcBorders>
            <w:vAlign w:val="center"/>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损坏程度</w:t>
            </w:r>
          </w:p>
        </w:tc>
        <w:tc>
          <w:tcPr>
            <w:tcW w:w="2890" w:type="pct"/>
            <w:gridSpan w:val="2"/>
            <w:tcBorders>
              <w:top w:val="single" w:color="auto" w:sz="8" w:space="0"/>
              <w:left w:val="single" w:color="auto" w:sz="4" w:space="0"/>
              <w:bottom w:val="single" w:color="auto" w:sz="4" w:space="0"/>
              <w:right w:val="single" w:color="auto" w:sz="8"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判别标准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Merge w:val="continue"/>
            <w:tcBorders>
              <w:top w:val="single" w:color="auto" w:sz="8" w:space="0"/>
              <w:left w:val="single" w:color="auto" w:sz="8" w:space="0"/>
              <w:bottom w:val="single" w:color="auto" w:sz="8" w:space="0"/>
              <w:right w:val="single" w:color="auto" w:sz="4" w:space="0"/>
            </w:tcBorders>
            <w:vAlign w:val="center"/>
          </w:tcPr>
          <w:p>
            <w:pPr>
              <w:widowControl/>
              <w:ind w:firstLine="420"/>
              <w:jc w:val="left"/>
              <w:rPr>
                <w:rFonts w:cs="Times New Roman"/>
                <w:color w:val="000000" w:themeColor="text1"/>
                <w:szCs w:val="21"/>
                <w14:textFill>
                  <w14:solidFill>
                    <w14:schemeClr w14:val="tx1"/>
                  </w14:solidFill>
                </w14:textFill>
              </w:rPr>
            </w:pPr>
          </w:p>
        </w:tc>
        <w:tc>
          <w:tcPr>
            <w:tcW w:w="0" w:type="auto"/>
            <w:vMerge w:val="continue"/>
            <w:tcBorders>
              <w:top w:val="single" w:color="auto" w:sz="8" w:space="0"/>
              <w:left w:val="single" w:color="auto" w:sz="4" w:space="0"/>
              <w:bottom w:val="single" w:color="auto" w:sz="8" w:space="0"/>
              <w:right w:val="single" w:color="auto" w:sz="4" w:space="0"/>
            </w:tcBorders>
            <w:vAlign w:val="center"/>
          </w:tcPr>
          <w:p>
            <w:pPr>
              <w:widowControl/>
              <w:ind w:firstLine="420"/>
              <w:jc w:val="left"/>
              <w:rPr>
                <w:rFonts w:cs="Times New Roman"/>
                <w:color w:val="000000" w:themeColor="text1"/>
                <w:szCs w:val="21"/>
                <w14:textFill>
                  <w14:solidFill>
                    <w14:schemeClr w14:val="tx1"/>
                  </w14:solidFill>
                </w14:textFill>
              </w:rPr>
            </w:pPr>
          </w:p>
        </w:tc>
        <w:tc>
          <w:tcPr>
            <w:tcW w:w="1385" w:type="pct"/>
            <w:tcBorders>
              <w:top w:val="single" w:color="auto" w:sz="4" w:space="0"/>
              <w:left w:val="single" w:color="auto" w:sz="4" w:space="0"/>
              <w:bottom w:val="single" w:color="auto" w:sz="8"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混凝土</w:t>
            </w:r>
          </w:p>
        </w:tc>
        <w:tc>
          <w:tcPr>
            <w:tcW w:w="1505" w:type="pct"/>
            <w:tcBorders>
              <w:top w:val="single" w:color="auto" w:sz="4" w:space="0"/>
              <w:left w:val="single" w:color="auto" w:sz="4" w:space="0"/>
              <w:bottom w:val="single" w:color="auto" w:sz="8" w:space="0"/>
              <w:right w:val="single" w:color="auto" w:sz="8"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钢筋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Borders>
              <w:top w:val="single" w:color="auto" w:sz="8" w:space="0"/>
              <w:left w:val="single" w:color="auto" w:sz="8" w:space="0"/>
              <w:bottom w:val="single" w:color="auto" w:sz="4" w:space="0"/>
              <w:right w:val="single" w:color="auto" w:sz="4" w:space="0"/>
            </w:tcBorders>
            <w:vAlign w:val="center"/>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级</w:t>
            </w:r>
          </w:p>
        </w:tc>
        <w:tc>
          <w:tcPr>
            <w:tcW w:w="1179" w:type="pct"/>
            <w:tcBorders>
              <w:top w:val="single" w:color="auto" w:sz="8" w:space="0"/>
              <w:left w:val="single" w:color="auto" w:sz="4" w:space="0"/>
              <w:bottom w:val="single" w:color="auto" w:sz="4" w:space="0"/>
              <w:right w:val="single" w:color="auto" w:sz="4" w:space="0"/>
            </w:tcBorders>
          </w:tcPr>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1385" w:type="pct"/>
            <w:tcBorders>
              <w:top w:val="single" w:color="auto" w:sz="8" w:space="0"/>
              <w:left w:val="single" w:color="auto" w:sz="4" w:space="0"/>
              <w:bottom w:val="single" w:color="auto" w:sz="4" w:space="0"/>
              <w:right w:val="single" w:color="auto" w:sz="4" w:space="0"/>
            </w:tcBorders>
            <w:vAlign w:val="center"/>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|ε3|≤|εp|</w:t>
            </w:r>
          </w:p>
        </w:tc>
        <w:tc>
          <w:tcPr>
            <w:tcW w:w="1505" w:type="pct"/>
            <w:tcBorders>
              <w:top w:val="single" w:color="auto" w:sz="8" w:space="0"/>
              <w:left w:val="single" w:color="auto" w:sz="4" w:space="0"/>
              <w:bottom w:val="single" w:color="auto" w:sz="4" w:space="0"/>
              <w:right w:val="single" w:color="auto" w:sz="8" w:space="0"/>
            </w:tcBorders>
            <w:vAlign w:val="center"/>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且</w:t>
            </w:r>
            <w:r>
              <w:rPr>
                <w:rFonts w:cs="Times New Roman"/>
                <w:color w:val="000000" w:themeColor="text1"/>
                <w:szCs w:val="21"/>
                <w14:textFill>
                  <w14:solidFill>
                    <w14:schemeClr w14:val="tx1"/>
                  </w14:solidFill>
                </w14:textFill>
              </w:rPr>
              <w:t>ε1&lt;εy</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Borders>
              <w:top w:val="single" w:color="auto" w:sz="4" w:space="0"/>
              <w:left w:val="single" w:color="auto" w:sz="8" w:space="0"/>
              <w:bottom w:val="single" w:color="auto" w:sz="4"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级</w:t>
            </w:r>
          </w:p>
        </w:tc>
        <w:tc>
          <w:tcPr>
            <w:tcW w:w="1179" w:type="pct"/>
            <w:tcBorders>
              <w:top w:val="single" w:color="auto" w:sz="4" w:space="0"/>
              <w:left w:val="single" w:color="auto" w:sz="4" w:space="0"/>
              <w:bottom w:val="single" w:color="auto" w:sz="4" w:space="0"/>
              <w:right w:val="single" w:color="auto" w:sz="4" w:space="0"/>
            </w:tcBorders>
          </w:tcPr>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轻微损坏</w:t>
            </w:r>
          </w:p>
        </w:tc>
        <w:tc>
          <w:tcPr>
            <w:tcW w:w="1385" w:type="pct"/>
            <w:tcBorders>
              <w:top w:val="single" w:color="auto" w:sz="4" w:space="0"/>
              <w:left w:val="single" w:color="auto" w:sz="4" w:space="0"/>
              <w:bottom w:val="single" w:color="auto" w:sz="4"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|ε3|≤ |εp|</w:t>
            </w:r>
          </w:p>
        </w:tc>
        <w:tc>
          <w:tcPr>
            <w:tcW w:w="1505" w:type="pct"/>
            <w:tcBorders>
              <w:top w:val="single" w:color="auto" w:sz="4" w:space="0"/>
              <w:left w:val="single" w:color="auto" w:sz="4" w:space="0"/>
              <w:bottom w:val="single" w:color="auto" w:sz="4" w:space="0"/>
              <w:right w:val="single" w:color="auto" w:sz="8"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且</w:t>
            </w:r>
            <w:r>
              <w:rPr>
                <w:rFonts w:cs="Times New Roman"/>
                <w:color w:val="000000" w:themeColor="text1"/>
                <w:szCs w:val="21"/>
                <w14:textFill>
                  <w14:solidFill>
                    <w14:schemeClr w14:val="tx1"/>
                  </w14:solidFill>
                </w14:textFill>
              </w:rPr>
              <w:t>εy&lt;ε1≤2εy</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Borders>
              <w:top w:val="single" w:color="auto" w:sz="4" w:space="0"/>
              <w:left w:val="single" w:color="auto" w:sz="8" w:space="0"/>
              <w:bottom w:val="single" w:color="auto" w:sz="4"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级</w:t>
            </w:r>
          </w:p>
        </w:tc>
        <w:tc>
          <w:tcPr>
            <w:tcW w:w="1179" w:type="pct"/>
            <w:tcBorders>
              <w:top w:val="single" w:color="auto" w:sz="4" w:space="0"/>
              <w:left w:val="single" w:color="auto" w:sz="4" w:space="0"/>
              <w:bottom w:val="single" w:color="auto" w:sz="4" w:space="0"/>
              <w:right w:val="single" w:color="auto" w:sz="4" w:space="0"/>
            </w:tcBorders>
          </w:tcPr>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轻度损坏</w:t>
            </w:r>
          </w:p>
        </w:tc>
        <w:tc>
          <w:tcPr>
            <w:tcW w:w="1385" w:type="pct"/>
            <w:tcBorders>
              <w:top w:val="single" w:color="auto" w:sz="4" w:space="0"/>
              <w:left w:val="single" w:color="auto" w:sz="4" w:space="0"/>
              <w:bottom w:val="single" w:color="auto" w:sz="4"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|εp|&lt;|ε3|≤1.5|εp|</w:t>
            </w:r>
          </w:p>
        </w:tc>
        <w:tc>
          <w:tcPr>
            <w:tcW w:w="1505" w:type="pct"/>
            <w:tcBorders>
              <w:top w:val="single" w:color="auto" w:sz="4" w:space="0"/>
              <w:left w:val="single" w:color="auto" w:sz="4" w:space="0"/>
              <w:bottom w:val="single" w:color="auto" w:sz="4" w:space="0"/>
              <w:right w:val="single" w:color="auto" w:sz="8"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2εy&lt;ε1≤3.5εy</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Borders>
              <w:top w:val="single" w:color="auto" w:sz="4" w:space="0"/>
              <w:left w:val="single" w:color="auto" w:sz="8" w:space="0"/>
              <w:bottom w:val="single" w:color="auto" w:sz="4"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级</w:t>
            </w:r>
          </w:p>
        </w:tc>
        <w:tc>
          <w:tcPr>
            <w:tcW w:w="1179" w:type="pct"/>
            <w:tcBorders>
              <w:top w:val="single" w:color="auto" w:sz="4" w:space="0"/>
              <w:left w:val="single" w:color="auto" w:sz="4" w:space="0"/>
              <w:bottom w:val="single" w:color="auto" w:sz="4" w:space="0"/>
              <w:right w:val="single" w:color="auto" w:sz="4" w:space="0"/>
            </w:tcBorders>
          </w:tcPr>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中度损坏</w:t>
            </w:r>
          </w:p>
        </w:tc>
        <w:tc>
          <w:tcPr>
            <w:tcW w:w="1385" w:type="pct"/>
            <w:tcBorders>
              <w:top w:val="single" w:color="auto" w:sz="4" w:space="0"/>
              <w:left w:val="single" w:color="auto" w:sz="4" w:space="0"/>
              <w:bottom w:val="single" w:color="auto" w:sz="4"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1.5|εp|&lt;|ε3|≤2.0|εp|</w:t>
            </w:r>
          </w:p>
        </w:tc>
        <w:tc>
          <w:tcPr>
            <w:tcW w:w="1505" w:type="pct"/>
            <w:tcBorders>
              <w:top w:val="single" w:color="auto" w:sz="4" w:space="0"/>
              <w:left w:val="single" w:color="auto" w:sz="4" w:space="0"/>
              <w:bottom w:val="single" w:color="auto" w:sz="4" w:space="0"/>
              <w:right w:val="single" w:color="auto" w:sz="8"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3.5εy&lt;ε1≤8εy</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Borders>
              <w:top w:val="single" w:color="auto" w:sz="4" w:space="0"/>
              <w:left w:val="single" w:color="auto" w:sz="8" w:space="0"/>
              <w:bottom w:val="single" w:color="auto" w:sz="4"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级</w:t>
            </w:r>
          </w:p>
        </w:tc>
        <w:tc>
          <w:tcPr>
            <w:tcW w:w="1179" w:type="pct"/>
            <w:tcBorders>
              <w:top w:val="single" w:color="auto" w:sz="4" w:space="0"/>
              <w:left w:val="single" w:color="auto" w:sz="4" w:space="0"/>
              <w:bottom w:val="single" w:color="auto" w:sz="4" w:space="0"/>
              <w:right w:val="single" w:color="auto" w:sz="4" w:space="0"/>
            </w:tcBorders>
          </w:tcPr>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比较严重损坏</w:t>
            </w:r>
          </w:p>
        </w:tc>
        <w:tc>
          <w:tcPr>
            <w:tcW w:w="1385" w:type="pct"/>
            <w:tcBorders>
              <w:top w:val="single" w:color="auto" w:sz="4" w:space="0"/>
              <w:left w:val="single" w:color="auto" w:sz="4" w:space="0"/>
              <w:bottom w:val="single" w:color="auto" w:sz="4"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2.0|εp|&lt;|ε3|≤|εcu|</w:t>
            </w:r>
          </w:p>
        </w:tc>
        <w:tc>
          <w:tcPr>
            <w:tcW w:w="1505" w:type="pct"/>
            <w:tcBorders>
              <w:top w:val="single" w:color="auto" w:sz="4" w:space="0"/>
              <w:left w:val="single" w:color="auto" w:sz="4" w:space="0"/>
              <w:bottom w:val="single" w:color="auto" w:sz="4" w:space="0"/>
              <w:right w:val="single" w:color="auto" w:sz="8"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8εy&lt;ε1≤12εy</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32" w:type="pct"/>
            <w:tcBorders>
              <w:top w:val="single" w:color="auto" w:sz="4" w:space="0"/>
              <w:left w:val="single" w:color="auto" w:sz="8" w:space="0"/>
              <w:bottom w:val="single" w:color="auto" w:sz="8"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w:t>
            </w:r>
            <w:r>
              <w:rPr>
                <w:rFonts w:hint="eastAsia" w:cs="Times New Roman"/>
                <w:color w:val="000000" w:themeColor="text1"/>
                <w:szCs w:val="21"/>
                <w14:textFill>
                  <w14:solidFill>
                    <w14:schemeClr w14:val="tx1"/>
                  </w14:solidFill>
                </w14:textFill>
              </w:rPr>
              <w:t>级</w:t>
            </w:r>
          </w:p>
        </w:tc>
        <w:tc>
          <w:tcPr>
            <w:tcW w:w="1179" w:type="pct"/>
            <w:tcBorders>
              <w:top w:val="single" w:color="auto" w:sz="4" w:space="0"/>
              <w:left w:val="single" w:color="auto" w:sz="4" w:space="0"/>
              <w:bottom w:val="single" w:color="auto" w:sz="8" w:space="0"/>
              <w:right w:val="single" w:color="auto" w:sz="4" w:space="0"/>
            </w:tcBorders>
          </w:tcPr>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严重损坏</w:t>
            </w:r>
          </w:p>
        </w:tc>
        <w:tc>
          <w:tcPr>
            <w:tcW w:w="1385" w:type="pct"/>
            <w:tcBorders>
              <w:top w:val="single" w:color="auto" w:sz="4" w:space="0"/>
              <w:left w:val="single" w:color="auto" w:sz="4" w:space="0"/>
              <w:bottom w:val="single" w:color="auto" w:sz="8" w:space="0"/>
              <w:right w:val="single" w:color="auto" w:sz="4"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|ε3|&gt;|εcu|</w:t>
            </w:r>
          </w:p>
        </w:tc>
        <w:tc>
          <w:tcPr>
            <w:tcW w:w="1505" w:type="pct"/>
            <w:tcBorders>
              <w:top w:val="single" w:color="auto" w:sz="4" w:space="0"/>
              <w:left w:val="single" w:color="auto" w:sz="4" w:space="0"/>
              <w:bottom w:val="single" w:color="auto" w:sz="8" w:space="0"/>
              <w:right w:val="single" w:color="auto" w:sz="8" w:space="0"/>
            </w:tcBorders>
          </w:tcPr>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ε1&gt;12εy</w:t>
            </w:r>
          </w:p>
        </w:tc>
      </w:tr>
    </w:tbl>
    <w:p>
      <w:pPr>
        <w:spacing w:line="360" w:lineRule="auto"/>
        <w:ind w:left="779" w:leftChars="371" w:firstLine="0" w:firstLineChars="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w:t>
      </w:r>
      <w:r>
        <w:rPr>
          <w:rFonts w:cs="Times New Roman"/>
          <w:color w:val="000000" w:themeColor="text1"/>
          <w:sz w:val="18"/>
          <w:szCs w:val="18"/>
          <w14:textFill>
            <w14:solidFill>
              <w14:schemeClr w14:val="tx1"/>
            </w14:solidFill>
          </w14:textFill>
        </w:rPr>
        <w:t>1  ε1</w:t>
      </w:r>
      <w:r>
        <w:rPr>
          <w:rFonts w:hint="eastAsia" w:cs="Times New Roman"/>
          <w:color w:val="000000" w:themeColor="text1"/>
          <w:sz w:val="18"/>
          <w:szCs w:val="18"/>
          <w14:textFill>
            <w14:solidFill>
              <w14:schemeClr w14:val="tx1"/>
            </w14:solidFill>
          </w14:textFill>
        </w:rPr>
        <w:t>为主拉应变；</w:t>
      </w:r>
    </w:p>
    <w:p>
      <w:pPr>
        <w:spacing w:line="360" w:lineRule="auto"/>
        <w:ind w:left="779" w:leftChars="371" w:firstLine="36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2  ε3</w:t>
      </w:r>
      <w:r>
        <w:rPr>
          <w:rFonts w:hint="eastAsia" w:cs="Times New Roman"/>
          <w:color w:val="000000" w:themeColor="text1"/>
          <w:sz w:val="18"/>
          <w:szCs w:val="18"/>
          <w14:textFill>
            <w14:solidFill>
              <w14:schemeClr w14:val="tx1"/>
            </w14:solidFill>
          </w14:textFill>
        </w:rPr>
        <w:t>为主压应变；</w:t>
      </w:r>
    </w:p>
    <w:p>
      <w:pPr>
        <w:spacing w:line="360" w:lineRule="auto"/>
        <w:ind w:left="779" w:leftChars="371" w:firstLine="36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3  εp</w:t>
      </w:r>
      <w:r>
        <w:rPr>
          <w:rFonts w:hint="eastAsia" w:cs="Times New Roman"/>
          <w:color w:val="000000" w:themeColor="text1"/>
          <w:sz w:val="18"/>
          <w:szCs w:val="18"/>
          <w14:textFill>
            <w14:solidFill>
              <w14:schemeClr w14:val="tx1"/>
            </w14:solidFill>
          </w14:textFill>
        </w:rPr>
        <w:t>和</w:t>
      </w:r>
      <w:r>
        <w:rPr>
          <w:rFonts w:cs="Times New Roman"/>
          <w:color w:val="000000" w:themeColor="text1"/>
          <w:sz w:val="18"/>
          <w:szCs w:val="18"/>
          <w14:textFill>
            <w14:solidFill>
              <w14:schemeClr w14:val="tx1"/>
            </w14:solidFill>
          </w14:textFill>
        </w:rPr>
        <w:t>εcu</w:t>
      </w:r>
      <w:r>
        <w:rPr>
          <w:rFonts w:hint="eastAsia" w:cs="Times New Roman"/>
          <w:color w:val="000000" w:themeColor="text1"/>
          <w:sz w:val="18"/>
          <w:szCs w:val="18"/>
          <w14:textFill>
            <w14:solidFill>
              <w14:schemeClr w14:val="tx1"/>
            </w14:solidFill>
          </w14:textFill>
        </w:rPr>
        <w:t>分别为混凝土单轴受压峰值应变和极限应变，可参考《混凝土结构设计规范》</w:t>
      </w:r>
      <w:r>
        <w:rPr>
          <w:rFonts w:cs="Times New Roman"/>
          <w:color w:val="000000" w:themeColor="text1"/>
          <w:sz w:val="18"/>
          <w:szCs w:val="18"/>
          <w14:textFill>
            <w14:solidFill>
              <w14:schemeClr w14:val="tx1"/>
            </w14:solidFill>
          </w14:textFill>
        </w:rPr>
        <w:t>GB50010</w:t>
      </w:r>
      <w:r>
        <w:rPr>
          <w:rFonts w:hint="eastAsia" w:cs="Times New Roman"/>
          <w:color w:val="000000" w:themeColor="text1"/>
          <w:sz w:val="18"/>
          <w:szCs w:val="18"/>
          <w14:textFill>
            <w14:solidFill>
              <w14:schemeClr w14:val="tx1"/>
            </w14:solidFill>
          </w14:textFill>
        </w:rPr>
        <w:t>确定。对核心区约束混凝土，宜考虑约束效应对峰值应变和极限应变的提高；</w:t>
      </w:r>
    </w:p>
    <w:p>
      <w:pPr>
        <w:spacing w:line="360" w:lineRule="auto"/>
        <w:ind w:left="779" w:leftChars="371" w:firstLine="36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4  εy</w:t>
      </w:r>
      <w:r>
        <w:rPr>
          <w:rFonts w:hint="eastAsia" w:cs="Times New Roman"/>
          <w:color w:val="000000" w:themeColor="text1"/>
          <w:sz w:val="18"/>
          <w:szCs w:val="18"/>
          <w14:textFill>
            <w14:solidFill>
              <w14:schemeClr w14:val="tx1"/>
            </w14:solidFill>
          </w14:textFill>
        </w:rPr>
        <w:t>为钢筋的屈服应变。</w:t>
      </w: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I.4.5-2 </w:t>
      </w:r>
      <w:r>
        <w:rPr>
          <w:rFonts w:hint="eastAsia" w:cs="Times New Roman"/>
          <w:color w:val="000000" w:themeColor="text1"/>
          <w:szCs w:val="21"/>
          <w14:textFill>
            <w14:solidFill>
              <w14:schemeClr w14:val="tx1"/>
            </w14:solidFill>
          </w14:textFill>
        </w:rPr>
        <w:t>压弯破坏的钢筋混凝土结构构件基于转角的地震损坏等级判别标准</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2127"/>
        <w:gridCol w:w="200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8" w:space="0"/>
              <w:left w:val="single" w:color="auto" w:sz="8"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损坏等级</w:t>
            </w:r>
          </w:p>
        </w:tc>
        <w:tc>
          <w:tcPr>
            <w:tcW w:w="2127" w:type="dxa"/>
            <w:tcBorders>
              <w:top w:val="single" w:color="auto" w:sz="8" w:space="0"/>
              <w:left w:val="single" w:color="auto" w:sz="4"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损坏程度</w:t>
            </w:r>
          </w:p>
        </w:tc>
        <w:tc>
          <w:tcPr>
            <w:tcW w:w="2005" w:type="dxa"/>
            <w:tcBorders>
              <w:top w:val="single" w:color="auto" w:sz="8" w:space="0"/>
              <w:left w:val="single" w:color="auto" w:sz="4" w:space="0"/>
              <w:bottom w:val="single" w:color="auto" w:sz="8"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判别标准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8"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级</w:t>
            </w:r>
          </w:p>
        </w:tc>
        <w:tc>
          <w:tcPr>
            <w:tcW w:w="2127" w:type="dxa"/>
            <w:tcBorders>
              <w:top w:val="single" w:color="auto" w:sz="8"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2005" w:type="dxa"/>
            <w:tcBorders>
              <w:top w:val="single" w:color="auto" w:sz="8"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 ≤θy</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轻微损坏</w:t>
            </w:r>
          </w:p>
        </w:tc>
        <w:tc>
          <w:tcPr>
            <w:tcW w:w="2005"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θy&lt;θ≤θIO</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轻度损坏</w:t>
            </w:r>
          </w:p>
        </w:tc>
        <w:tc>
          <w:tcPr>
            <w:tcW w:w="2005"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θIO&lt;θ≤θP</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中度损坏</w:t>
            </w:r>
          </w:p>
        </w:tc>
        <w:tc>
          <w:tcPr>
            <w:tcW w:w="2005"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θP&lt;θ≤θLS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比较严重损坏</w:t>
            </w:r>
          </w:p>
        </w:tc>
        <w:tc>
          <w:tcPr>
            <w:tcW w:w="2005"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θLS&lt;θ≤θu</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严重损坏</w:t>
            </w:r>
          </w:p>
        </w:tc>
        <w:tc>
          <w:tcPr>
            <w:tcW w:w="2005" w:type="dxa"/>
            <w:tcBorders>
              <w:top w:val="single" w:color="auto" w:sz="4" w:space="0"/>
              <w:left w:val="single" w:color="auto" w:sz="4" w:space="0"/>
              <w:bottom w:val="single" w:color="auto" w:sz="8"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θ&gt;θu</w:t>
            </w:r>
          </w:p>
        </w:tc>
      </w:tr>
    </w:tbl>
    <w:p>
      <w:pPr>
        <w:spacing w:line="300" w:lineRule="auto"/>
        <w:ind w:firstLine="1260" w:firstLineChars="700"/>
        <w:rPr>
          <w:rFonts w:cs="Times New Roman"/>
          <w:color w:val="000000" w:themeColor="text1"/>
          <w:sz w:val="18"/>
          <w:szCs w:val="21"/>
          <w14:textFill>
            <w14:solidFill>
              <w14:schemeClr w14:val="tx1"/>
            </w14:solidFill>
          </w14:textFill>
        </w:rPr>
      </w:pPr>
      <w:r>
        <w:rPr>
          <w:rFonts w:hint="eastAsia" w:cs="Times New Roman"/>
          <w:color w:val="000000" w:themeColor="text1"/>
          <w:sz w:val="18"/>
          <w:szCs w:val="21"/>
          <w14:textFill>
            <w14:solidFill>
              <w14:schemeClr w14:val="tx1"/>
            </w14:solidFill>
          </w14:textFill>
        </w:rPr>
        <w:t>注：</w:t>
      </w:r>
      <w:r>
        <w:rPr>
          <w:rFonts w:cs="Times New Roman"/>
          <w:color w:val="000000" w:themeColor="text1"/>
          <w:sz w:val="18"/>
          <w:szCs w:val="21"/>
          <w14:textFill>
            <w14:solidFill>
              <w14:schemeClr w14:val="tx1"/>
            </w14:solidFill>
          </w14:textFill>
        </w:rPr>
        <w:t>1  θ</w:t>
      </w:r>
      <w:r>
        <w:rPr>
          <w:rFonts w:hint="eastAsia" w:cs="Times New Roman"/>
          <w:color w:val="000000" w:themeColor="text1"/>
          <w:sz w:val="18"/>
          <w:szCs w:val="21"/>
          <w14:textFill>
            <w14:solidFill>
              <w14:schemeClr w14:val="tx1"/>
            </w14:solidFill>
          </w14:textFill>
        </w:rPr>
        <w:t>为地震作用下压弯破坏的钢筋混凝土结构构件的最大转角；</w:t>
      </w:r>
    </w:p>
    <w:p>
      <w:pPr>
        <w:spacing w:line="300" w:lineRule="auto"/>
        <w:ind w:left="210" w:leftChars="100" w:firstLine="1440" w:firstLineChars="800"/>
        <w:rPr>
          <w:rFonts w:cs="Times New Roman"/>
          <w:color w:val="000000" w:themeColor="text1"/>
          <w:sz w:val="18"/>
          <w:szCs w:val="21"/>
          <w14:textFill>
            <w14:solidFill>
              <w14:schemeClr w14:val="tx1"/>
            </w14:solidFill>
          </w14:textFill>
        </w:rPr>
      </w:pPr>
      <w:r>
        <w:rPr>
          <w:rFonts w:cs="Times New Roman"/>
          <w:color w:val="000000" w:themeColor="text1"/>
          <w:sz w:val="18"/>
          <w:szCs w:val="21"/>
          <w14:textFill>
            <w14:solidFill>
              <w14:schemeClr w14:val="tx1"/>
            </w14:solidFill>
          </w14:textFill>
        </w:rPr>
        <w:t>2  θy</w:t>
      </w:r>
      <w:r>
        <w:rPr>
          <w:rFonts w:hint="eastAsia" w:cs="Times New Roman"/>
          <w:color w:val="000000" w:themeColor="text1"/>
          <w:sz w:val="18"/>
          <w:szCs w:val="21"/>
          <w14:textFill>
            <w14:solidFill>
              <w14:schemeClr w14:val="tx1"/>
            </w14:solidFill>
          </w14:textFill>
        </w:rPr>
        <w:t>、</w:t>
      </w:r>
      <w:r>
        <w:rPr>
          <w:rFonts w:cs="Times New Roman"/>
          <w:color w:val="000000" w:themeColor="text1"/>
          <w:sz w:val="18"/>
          <w:szCs w:val="21"/>
          <w14:textFill>
            <w14:solidFill>
              <w14:schemeClr w14:val="tx1"/>
            </w14:solidFill>
          </w14:textFill>
        </w:rPr>
        <w:t>θIO</w:t>
      </w:r>
      <w:r>
        <w:rPr>
          <w:rFonts w:hint="eastAsia" w:cs="Times New Roman"/>
          <w:color w:val="000000" w:themeColor="text1"/>
          <w:sz w:val="18"/>
          <w:szCs w:val="21"/>
          <w14:textFill>
            <w14:solidFill>
              <w14:schemeClr w14:val="tx1"/>
            </w14:solidFill>
          </w14:textFill>
        </w:rPr>
        <w:t>、</w:t>
      </w:r>
      <w:r>
        <w:rPr>
          <w:rFonts w:cs="Times New Roman"/>
          <w:color w:val="000000" w:themeColor="text1"/>
          <w:sz w:val="18"/>
          <w:szCs w:val="21"/>
          <w14:textFill>
            <w14:solidFill>
              <w14:schemeClr w14:val="tx1"/>
            </w14:solidFill>
          </w14:textFill>
        </w:rPr>
        <w:t>θP</w:t>
      </w:r>
      <w:r>
        <w:rPr>
          <w:rFonts w:hint="eastAsia" w:cs="Times New Roman"/>
          <w:color w:val="000000" w:themeColor="text1"/>
          <w:sz w:val="18"/>
          <w:szCs w:val="21"/>
          <w14:textFill>
            <w14:solidFill>
              <w14:schemeClr w14:val="tx1"/>
            </w14:solidFill>
          </w14:textFill>
        </w:rPr>
        <w:t>、</w:t>
      </w:r>
      <w:r>
        <w:rPr>
          <w:rFonts w:cs="Times New Roman"/>
          <w:color w:val="000000" w:themeColor="text1"/>
          <w:sz w:val="18"/>
          <w:szCs w:val="21"/>
          <w14:textFill>
            <w14:solidFill>
              <w14:schemeClr w14:val="tx1"/>
            </w14:solidFill>
          </w14:textFill>
        </w:rPr>
        <w:t>θLS</w:t>
      </w:r>
      <w:r>
        <w:rPr>
          <w:rFonts w:hint="eastAsia" w:cs="Times New Roman"/>
          <w:color w:val="000000" w:themeColor="text1"/>
          <w:sz w:val="18"/>
          <w:szCs w:val="21"/>
          <w14:textFill>
            <w14:solidFill>
              <w14:schemeClr w14:val="tx1"/>
            </w14:solidFill>
          </w14:textFill>
        </w:rPr>
        <w:t>和</w:t>
      </w:r>
      <w:r>
        <w:rPr>
          <w:rFonts w:cs="Times New Roman"/>
          <w:color w:val="000000" w:themeColor="text1"/>
          <w:sz w:val="18"/>
          <w:szCs w:val="21"/>
          <w14:textFill>
            <w14:solidFill>
              <w14:schemeClr w14:val="tx1"/>
            </w14:solidFill>
          </w14:textFill>
        </w:rPr>
        <w:t>θu</w:t>
      </w:r>
      <w:r>
        <w:rPr>
          <w:rFonts w:hint="eastAsia" w:cs="Times New Roman"/>
          <w:color w:val="000000" w:themeColor="text1"/>
          <w:sz w:val="18"/>
          <w:szCs w:val="21"/>
          <w14:textFill>
            <w14:solidFill>
              <w14:schemeClr w14:val="tx1"/>
            </w14:solidFill>
          </w14:textFill>
        </w:rPr>
        <w:t>分别为压弯破坏的钢筋混凝土结构构件的名义屈服点</w:t>
      </w:r>
      <w:r>
        <w:rPr>
          <w:rFonts w:cs="Times New Roman"/>
          <w:color w:val="000000" w:themeColor="text1"/>
          <w:sz w:val="18"/>
          <w:szCs w:val="21"/>
          <w14:textFill>
            <w14:solidFill>
              <w14:schemeClr w14:val="tx1"/>
            </w14:solidFill>
          </w14:textFill>
        </w:rPr>
        <w:t>B</w:t>
      </w:r>
      <w:r>
        <w:rPr>
          <w:rFonts w:hint="eastAsia" w:cs="Times New Roman"/>
          <w:color w:val="000000" w:themeColor="text1"/>
          <w:sz w:val="18"/>
          <w:szCs w:val="21"/>
          <w14:textFill>
            <w14:solidFill>
              <w14:schemeClr w14:val="tx1"/>
            </w14:solidFill>
          </w14:textFill>
        </w:rPr>
        <w:t>的转角、性能点</w:t>
      </w:r>
      <w:r>
        <w:rPr>
          <w:rFonts w:cs="Times New Roman"/>
          <w:color w:val="000000" w:themeColor="text1"/>
          <w:sz w:val="18"/>
          <w:szCs w:val="21"/>
          <w14:textFill>
            <w14:solidFill>
              <w14:schemeClr w14:val="tx1"/>
            </w14:solidFill>
          </w14:textFill>
        </w:rPr>
        <w:t>IO</w:t>
      </w:r>
      <w:r>
        <w:rPr>
          <w:rFonts w:hint="eastAsia" w:cs="Times New Roman"/>
          <w:color w:val="000000" w:themeColor="text1"/>
          <w:sz w:val="18"/>
          <w:szCs w:val="21"/>
          <w14:textFill>
            <w14:solidFill>
              <w14:schemeClr w14:val="tx1"/>
            </w14:solidFill>
          </w14:textFill>
        </w:rPr>
        <w:t>的转角、峰值点</w:t>
      </w:r>
      <w:r>
        <w:rPr>
          <w:rFonts w:cs="Times New Roman"/>
          <w:color w:val="000000" w:themeColor="text1"/>
          <w:sz w:val="18"/>
          <w:szCs w:val="21"/>
          <w14:textFill>
            <w14:solidFill>
              <w14:schemeClr w14:val="tx1"/>
            </w14:solidFill>
          </w14:textFill>
        </w:rPr>
        <w:t>C</w:t>
      </w:r>
      <w:r>
        <w:rPr>
          <w:rFonts w:hint="eastAsia" w:cs="Times New Roman"/>
          <w:color w:val="000000" w:themeColor="text1"/>
          <w:sz w:val="18"/>
          <w:szCs w:val="21"/>
          <w14:textFill>
            <w14:solidFill>
              <w14:schemeClr w14:val="tx1"/>
            </w14:solidFill>
          </w14:textFill>
        </w:rPr>
        <w:t>的转角、性能点</w:t>
      </w:r>
      <w:r>
        <w:rPr>
          <w:rFonts w:cs="Times New Roman"/>
          <w:color w:val="000000" w:themeColor="text1"/>
          <w:sz w:val="18"/>
          <w:szCs w:val="21"/>
          <w14:textFill>
            <w14:solidFill>
              <w14:schemeClr w14:val="tx1"/>
            </w14:solidFill>
          </w14:textFill>
        </w:rPr>
        <w:t>LS</w:t>
      </w:r>
      <w:r>
        <w:rPr>
          <w:rFonts w:hint="eastAsia" w:cs="Times New Roman"/>
          <w:color w:val="000000" w:themeColor="text1"/>
          <w:sz w:val="18"/>
          <w:szCs w:val="21"/>
          <w14:textFill>
            <w14:solidFill>
              <w14:schemeClr w14:val="tx1"/>
            </w14:solidFill>
          </w14:textFill>
        </w:rPr>
        <w:t>的转角和性能点</w:t>
      </w:r>
      <w:r>
        <w:rPr>
          <w:rFonts w:cs="Times New Roman"/>
          <w:color w:val="000000" w:themeColor="text1"/>
          <w:sz w:val="18"/>
          <w:szCs w:val="21"/>
          <w14:textFill>
            <w14:solidFill>
              <w14:schemeClr w14:val="tx1"/>
            </w14:solidFill>
          </w14:textFill>
        </w:rPr>
        <w:t>CP</w:t>
      </w:r>
      <w:r>
        <w:rPr>
          <w:rFonts w:hint="eastAsia" w:cs="Times New Roman"/>
          <w:color w:val="000000" w:themeColor="text1"/>
          <w:sz w:val="18"/>
          <w:szCs w:val="21"/>
          <w14:textFill>
            <w14:solidFill>
              <w14:schemeClr w14:val="tx1"/>
            </w14:solidFill>
          </w14:textFill>
        </w:rPr>
        <w:t>（即极限点）的转角，可按本附录第</w:t>
      </w:r>
      <w:r>
        <w:rPr>
          <w:rFonts w:cs="Times New Roman"/>
          <w:color w:val="000000" w:themeColor="text1"/>
          <w:sz w:val="18"/>
          <w:szCs w:val="21"/>
          <w14:textFill>
            <w14:solidFill>
              <w14:schemeClr w14:val="tx1"/>
            </w14:solidFill>
          </w14:textFill>
        </w:rPr>
        <w:t>4.6</w:t>
      </w:r>
      <w:r>
        <w:rPr>
          <w:rFonts w:hint="eastAsia" w:cs="Times New Roman"/>
          <w:color w:val="000000" w:themeColor="text1"/>
          <w:sz w:val="18"/>
          <w:szCs w:val="21"/>
          <w14:textFill>
            <w14:solidFill>
              <w14:schemeClr w14:val="tx1"/>
            </w14:solidFill>
          </w14:textFill>
        </w:rPr>
        <w:t>条的规定确定。</w:t>
      </w:r>
    </w:p>
    <w:p>
      <w:pPr>
        <w:spacing w:line="36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drawing>
          <wp:inline distT="0" distB="0" distL="0" distR="0">
            <wp:extent cx="2628900" cy="1949450"/>
            <wp:effectExtent l="0" t="0" r="0" b="0"/>
            <wp:docPr id="2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a:xfrm>
                      <a:off x="0" y="0"/>
                      <a:ext cx="2628900" cy="1949450"/>
                    </a:xfrm>
                    <a:prstGeom prst="rect">
                      <a:avLst/>
                    </a:prstGeom>
                    <a:noFill/>
                    <a:ln>
                      <a:noFill/>
                    </a:ln>
                  </pic:spPr>
                </pic:pic>
              </a:graphicData>
            </a:graphic>
          </wp:inline>
        </w:drawing>
      </w:r>
    </w:p>
    <w:p>
      <w:pPr>
        <w:spacing w:line="30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图</w:t>
      </w:r>
      <w:r>
        <w:rPr>
          <w:rFonts w:cs="Times New Roman"/>
          <w:color w:val="000000" w:themeColor="text1"/>
          <w:szCs w:val="21"/>
          <w14:textFill>
            <w14:solidFill>
              <w14:schemeClr w14:val="tx1"/>
            </w14:solidFill>
          </w14:textFill>
        </w:rPr>
        <w:t xml:space="preserve">I.4.5-1 </w:t>
      </w:r>
      <w:r>
        <w:rPr>
          <w:rFonts w:hint="eastAsia" w:cs="Times New Roman"/>
          <w:color w:val="000000" w:themeColor="text1"/>
          <w:szCs w:val="21"/>
          <w14:textFill>
            <w14:solidFill>
              <w14:schemeClr w14:val="tx1"/>
            </w14:solidFill>
          </w14:textFill>
        </w:rPr>
        <w:t>压弯破坏的钢筋混凝土结构构件地震损坏等级与其转角的关系</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I.4.6  </w:t>
      </w:r>
      <w:r>
        <w:rPr>
          <w:rFonts w:hint="eastAsia" w:cs="Times New Roman"/>
          <w:color w:val="000000" w:themeColor="text1"/>
          <w:szCs w:val="21"/>
          <w14:textFill>
            <w14:solidFill>
              <w14:schemeClr w14:val="tx1"/>
            </w14:solidFill>
          </w14:textFill>
        </w:rPr>
        <w:t>压弯破坏的钢筋混凝土框架柱，其弯矩</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转角（</w:t>
      </w:r>
      <w:r>
        <w:rPr>
          <w:rFonts w:cs="Times New Roman"/>
          <w:color w:val="000000" w:themeColor="text1"/>
          <w:szCs w:val="21"/>
          <w14:textFill>
            <w14:solidFill>
              <w14:schemeClr w14:val="tx1"/>
            </w14:solidFill>
          </w14:textFill>
        </w:rPr>
        <w:t>M-θ</w:t>
      </w:r>
      <w:r>
        <w:rPr>
          <w:rFonts w:hint="eastAsia" w:cs="Times New Roman"/>
          <w:color w:val="000000" w:themeColor="text1"/>
          <w:szCs w:val="21"/>
          <w14:textFill>
            <w14:solidFill>
              <w14:schemeClr w14:val="tx1"/>
            </w14:solidFill>
          </w14:textFill>
        </w:rPr>
        <w:t>）模型的骨架线的有关参数可按下述规定确定，或由试验确定，或由经过试验验证的计算确定；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峰值点</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Mp</w:t>
      </w:r>
      <w:r>
        <w:rPr>
          <w:rFonts w:hint="eastAsia" w:cs="Times New Roman"/>
          <w:color w:val="000000" w:themeColor="text1"/>
          <w:szCs w:val="21"/>
          <w14:textFill>
            <w14:solidFill>
              <w14:schemeClr w14:val="tx1"/>
            </w14:solidFill>
          </w14:textFill>
        </w:rPr>
        <w:t>为构件的正截面受弯承载力，可按现行国家标准《混凝土结构设计规范》</w:t>
      </w:r>
      <w:r>
        <w:rPr>
          <w:rFonts w:cs="Times New Roman"/>
          <w:color w:val="000000" w:themeColor="text1"/>
          <w:szCs w:val="21"/>
          <w14:textFill>
            <w14:solidFill>
              <w14:schemeClr w14:val="tx1"/>
            </w14:solidFill>
          </w14:textFill>
        </w:rPr>
        <w:t>GB50010</w:t>
      </w:r>
      <w:r>
        <w:rPr>
          <w:rFonts w:hint="eastAsia" w:cs="Times New Roman"/>
          <w:color w:val="000000" w:themeColor="text1"/>
          <w:szCs w:val="21"/>
          <w14:textFill>
            <w14:solidFill>
              <w14:schemeClr w14:val="tx1"/>
            </w14:solidFill>
          </w14:textFill>
        </w:rPr>
        <w:t>的规定计算，计算时材料强度按本附录</w:t>
      </w:r>
      <w:r>
        <w:rPr>
          <w:rFonts w:cs="Times New Roman"/>
          <w:color w:val="000000" w:themeColor="text1"/>
          <w:szCs w:val="21"/>
          <w14:textFill>
            <w14:solidFill>
              <w14:schemeClr w14:val="tx1"/>
            </w14:solidFill>
          </w14:textFill>
        </w:rPr>
        <w:t>I.2.5</w:t>
      </w:r>
      <w:r>
        <w:rPr>
          <w:rFonts w:hint="eastAsia" w:cs="Times New Roman"/>
          <w:color w:val="000000" w:themeColor="text1"/>
          <w:szCs w:val="21"/>
          <w14:textFill>
            <w14:solidFill>
              <w14:schemeClr w14:val="tx1"/>
            </w14:solidFill>
          </w14:textFill>
        </w:rPr>
        <w:t>条的规定采用；</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名义屈服点</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My</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0.8Mp</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性能点</w:t>
      </w:r>
      <w:r>
        <w:rPr>
          <w:rFonts w:cs="Times New Roman"/>
          <w:color w:val="000000" w:themeColor="text1"/>
          <w:szCs w:val="21"/>
          <w14:textFill>
            <w14:solidFill>
              <w14:schemeClr w14:val="tx1"/>
            </w14:solidFill>
          </w14:textFill>
        </w:rPr>
        <w:t>CP</w:t>
      </w:r>
      <w:r>
        <w:rPr>
          <w:rFonts w:hint="eastAsia" w:cs="Times New Roman"/>
          <w:color w:val="000000" w:themeColor="text1"/>
          <w:szCs w:val="21"/>
          <w14:textFill>
            <w14:solidFill>
              <w14:schemeClr w14:val="tx1"/>
            </w14:solidFill>
          </w14:textFill>
        </w:rPr>
        <w:t>（即极限点</w:t>
      </w:r>
      <w:r>
        <w:rPr>
          <w:rFonts w:cs="Times New Roman"/>
          <w:color w:val="000000" w:themeColor="text1"/>
          <w:szCs w:val="21"/>
          <w14:textFill>
            <w14:solidFill>
              <w14:schemeClr w14:val="tx1"/>
            </w14:solidFill>
          </w14:textFill>
        </w:rPr>
        <w:t>D</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Mu</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0.85Mp</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4 </w:t>
      </w:r>
      <w:r>
        <w:rPr>
          <w:rFonts w:hint="eastAsia" w:cs="Times New Roman"/>
          <w:color w:val="000000" w:themeColor="text1"/>
          <w:szCs w:val="21"/>
          <w14:textFill>
            <w14:solidFill>
              <w14:schemeClr w14:val="tx1"/>
            </w14:solidFill>
          </w14:textFill>
        </w:rPr>
        <w:t>失效点</w:t>
      </w:r>
      <w:r>
        <w:rPr>
          <w:rFonts w:cs="Times New Roman"/>
          <w:color w:val="000000" w:themeColor="text1"/>
          <w:szCs w:val="21"/>
          <w14:textFill>
            <w14:solidFill>
              <w14:schemeClr w14:val="tx1"/>
            </w14:solidFill>
          </w14:textFill>
        </w:rPr>
        <w:t>E</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Mr</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0.75Mp</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5 </w:t>
      </w:r>
      <w:r>
        <w:rPr>
          <w:rFonts w:hint="eastAsia" w:cs="Times New Roman"/>
          <w:color w:val="000000" w:themeColor="text1"/>
          <w:szCs w:val="21"/>
          <w14:textFill>
            <w14:solidFill>
              <w14:schemeClr w14:val="tx1"/>
            </w14:solidFill>
          </w14:textFill>
        </w:rPr>
        <w:t>名义屈服点</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的转角</w:t>
      </w:r>
      <w:r>
        <w:rPr>
          <w:rFonts w:cs="Times New Roman"/>
          <w:color w:val="000000" w:themeColor="text1"/>
          <w:szCs w:val="21"/>
          <w14:textFill>
            <w14:solidFill>
              <w14:schemeClr w14:val="tx1"/>
            </w14:solidFill>
          </w14:textFill>
        </w:rPr>
        <w:t>θy</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2Mph/EI0</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EI0</w:t>
      </w:r>
      <w:r>
        <w:rPr>
          <w:rFonts w:hint="eastAsia" w:cs="Times New Roman"/>
          <w:color w:val="000000" w:themeColor="text1"/>
          <w:szCs w:val="21"/>
          <w14:textFill>
            <w14:solidFill>
              <w14:schemeClr w14:val="tx1"/>
            </w14:solidFill>
          </w14:textFill>
        </w:rPr>
        <w:t>为构件的弹性抗弯刚度，</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为截面高度。</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  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CP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E</w:t>
      </w:r>
      <w:r>
        <w:rPr>
          <w:rFonts w:hint="eastAsia" w:cs="Times New Roman"/>
          <w:color w:val="000000" w:themeColor="text1"/>
          <w:szCs w:val="21"/>
          <w14:textFill>
            <w14:solidFill>
              <w14:schemeClr w14:val="tx1"/>
            </w14:solidFill>
          </w14:textFill>
        </w:rPr>
        <w:t>点的转角</w:t>
      </w:r>
      <w:r>
        <w:rPr>
          <w:rFonts w:cs="Times New Roman"/>
          <w:color w:val="000000" w:themeColor="text1"/>
          <w:szCs w:val="21"/>
          <w14:textFill>
            <w14:solidFill>
              <w14:schemeClr w14:val="tx1"/>
            </w14:solidFill>
          </w14:textFill>
        </w:rPr>
        <w:t>θIO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θu</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θr</w:t>
      </w:r>
      <w:r>
        <w:rPr>
          <w:rFonts w:hint="eastAsia" w:cs="Times New Roman"/>
          <w:color w:val="000000" w:themeColor="text1"/>
          <w:szCs w:val="21"/>
          <w14:textFill>
            <w14:solidFill>
              <w14:schemeClr w14:val="tx1"/>
            </w14:solidFill>
          </w14:textFill>
        </w:rPr>
        <w:t>可参考表</w:t>
      </w:r>
      <w:r>
        <w:rPr>
          <w:rFonts w:cs="Times New Roman"/>
          <w:color w:val="000000" w:themeColor="text1"/>
          <w:szCs w:val="21"/>
          <w14:textFill>
            <w14:solidFill>
              <w14:schemeClr w14:val="tx1"/>
            </w14:solidFill>
          </w14:textFill>
        </w:rPr>
        <w:t>I.4.6-1</w:t>
      </w:r>
      <w:r>
        <w:rPr>
          <w:rFonts w:hint="eastAsia" w:cs="Times New Roman"/>
          <w:color w:val="000000" w:themeColor="text1"/>
          <w:szCs w:val="21"/>
          <w14:textFill>
            <w14:solidFill>
              <w14:schemeClr w14:val="tx1"/>
            </w14:solidFill>
          </w14:textFill>
        </w:rPr>
        <w:t>确定；</w:t>
      </w: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I.4.6-1 </w:t>
      </w:r>
      <w:r>
        <w:rPr>
          <w:rFonts w:hint="eastAsia" w:cs="Times New Roman"/>
          <w:color w:val="000000" w:themeColor="text1"/>
          <w:szCs w:val="21"/>
          <w14:textFill>
            <w14:solidFill>
              <w14:schemeClr w14:val="tx1"/>
            </w14:solidFill>
          </w14:textFill>
        </w:rPr>
        <w:t>压弯破坏钢筋混凝土框架柱转角</w:t>
      </w:r>
      <w:r>
        <w:rPr>
          <w:rFonts w:cs="Times New Roman"/>
          <w:color w:val="000000" w:themeColor="text1"/>
          <w:szCs w:val="21"/>
          <w14:textFill>
            <w14:solidFill>
              <w14:schemeClr w14:val="tx1"/>
            </w14:solidFill>
          </w14:textFill>
        </w:rPr>
        <w:t>θp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θu</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θr</w:t>
      </w:r>
      <w:r>
        <w:rPr>
          <w:rFonts w:hint="eastAsia" w:cs="Times New Roman"/>
          <w:color w:val="000000" w:themeColor="text1"/>
          <w:szCs w:val="21"/>
          <w14:textFill>
            <w14:solidFill>
              <w14:schemeClr w14:val="tx1"/>
            </w14:solidFill>
          </w14:textFill>
        </w:rPr>
        <w:t>取值</w:t>
      </w:r>
    </w:p>
    <w:tbl>
      <w:tblPr>
        <w:tblStyle w:val="32"/>
        <w:tblW w:w="4900" w:type="pct"/>
        <w:tblInd w:w="0" w:type="dxa"/>
        <w:tblLayout w:type="autofit"/>
        <w:tblCellMar>
          <w:top w:w="0" w:type="dxa"/>
          <w:left w:w="0" w:type="dxa"/>
          <w:bottom w:w="0" w:type="dxa"/>
          <w:right w:w="0" w:type="dxa"/>
        </w:tblCellMar>
      </w:tblPr>
      <w:tblGrid>
        <w:gridCol w:w="1806"/>
        <w:gridCol w:w="1682"/>
        <w:gridCol w:w="1086"/>
        <w:gridCol w:w="1151"/>
        <w:gridCol w:w="1151"/>
        <w:gridCol w:w="1086"/>
        <w:gridCol w:w="1084"/>
      </w:tblGrid>
      <w:tr>
        <w:tblPrEx>
          <w:tblCellMar>
            <w:top w:w="0" w:type="dxa"/>
            <w:left w:w="0" w:type="dxa"/>
            <w:bottom w:w="0" w:type="dxa"/>
            <w:right w:w="0" w:type="dxa"/>
          </w:tblCellMar>
        </w:tblPrEx>
        <w:trPr>
          <w:trHeight w:val="576" w:hRule="atLeast"/>
        </w:trPr>
        <w:tc>
          <w:tcPr>
            <w:tcW w:w="9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抗震等级</w:t>
            </w: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轴压比</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θp/rad</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θIO/rad</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θLS/rad</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θu/rad</w:t>
            </w:r>
          </w:p>
        </w:tc>
        <w:tc>
          <w:tcPr>
            <w:tcW w:w="5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θr/rad</w:t>
            </w:r>
          </w:p>
        </w:tc>
      </w:tr>
      <w:tr>
        <w:tblPrEx>
          <w:tblCellMar>
            <w:top w:w="0" w:type="dxa"/>
            <w:left w:w="0" w:type="dxa"/>
            <w:bottom w:w="0" w:type="dxa"/>
            <w:right w:w="0" w:type="dxa"/>
          </w:tblCellMar>
        </w:tblPrEx>
        <w:trPr>
          <w:trHeight w:val="576" w:hRule="atLeast"/>
        </w:trPr>
        <w:tc>
          <w:tcPr>
            <w:tcW w:w="999" w:type="pct"/>
            <w:vMerge w:val="restar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一</w:t>
            </w: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≤0.3</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0.010</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0.007</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0.018</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0.026</w:t>
            </w:r>
          </w:p>
        </w:tc>
        <w:tc>
          <w:tcPr>
            <w:tcW w:w="5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0.034</w:t>
            </w:r>
          </w:p>
        </w:tc>
      </w:tr>
      <w:tr>
        <w:tblPrEx>
          <w:tblCellMar>
            <w:top w:w="0" w:type="dxa"/>
            <w:left w:w="0" w:type="dxa"/>
            <w:bottom w:w="0" w:type="dxa"/>
            <w:right w:w="0" w:type="dxa"/>
          </w:tblCellMar>
        </w:tblPrEx>
        <w:trPr>
          <w:trHeight w:val="576"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left"/>
              <w:rPr>
                <w:rFonts w:cs="Times New Roman"/>
                <w:color w:val="000000" w:themeColor="text1"/>
                <w:szCs w:val="21"/>
                <w14:textFill>
                  <w14:solidFill>
                    <w14:schemeClr w14:val="tx1"/>
                  </w14:solidFill>
                </w14:textFill>
              </w:rPr>
            </w:pP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(0.3, 0.9)</w:t>
            </w:r>
          </w:p>
        </w:tc>
        <w:tc>
          <w:tcPr>
            <w:tcW w:w="3071" w:type="pct"/>
            <w:gridSpan w:val="5"/>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线性插值</w:t>
            </w:r>
          </w:p>
        </w:tc>
      </w:tr>
      <w:tr>
        <w:tblPrEx>
          <w:tblCellMar>
            <w:top w:w="0" w:type="dxa"/>
            <w:left w:w="0" w:type="dxa"/>
            <w:bottom w:w="0" w:type="dxa"/>
            <w:right w:w="0" w:type="dxa"/>
          </w:tblCellMar>
        </w:tblPrEx>
        <w:trPr>
          <w:trHeight w:val="576"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left"/>
              <w:rPr>
                <w:rFonts w:cs="Times New Roman"/>
                <w:color w:val="000000" w:themeColor="text1"/>
                <w:szCs w:val="21"/>
                <w14:textFill>
                  <w14:solidFill>
                    <w14:schemeClr w14:val="tx1"/>
                  </w14:solidFill>
                </w14:textFill>
              </w:rPr>
            </w:pP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0.9</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0.010</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0.007</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0.017</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0.024</w:t>
            </w:r>
          </w:p>
        </w:tc>
        <w:tc>
          <w:tcPr>
            <w:tcW w:w="5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0.031</w:t>
            </w:r>
          </w:p>
        </w:tc>
      </w:tr>
      <w:tr>
        <w:tblPrEx>
          <w:tblCellMar>
            <w:top w:w="0" w:type="dxa"/>
            <w:left w:w="0" w:type="dxa"/>
            <w:bottom w:w="0" w:type="dxa"/>
            <w:right w:w="0" w:type="dxa"/>
          </w:tblCellMar>
        </w:tblPrEx>
        <w:trPr>
          <w:trHeight w:val="576" w:hRule="atLeast"/>
        </w:trPr>
        <w:tc>
          <w:tcPr>
            <w:tcW w:w="999" w:type="pct"/>
            <w:vMerge w:val="restar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二</w:t>
            </w: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≤0.3</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0.010</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0.007</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0.016</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0.023</w:t>
            </w:r>
          </w:p>
        </w:tc>
        <w:tc>
          <w:tcPr>
            <w:tcW w:w="5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0.031</w:t>
            </w:r>
          </w:p>
        </w:tc>
      </w:tr>
      <w:tr>
        <w:tblPrEx>
          <w:tblCellMar>
            <w:top w:w="0" w:type="dxa"/>
            <w:left w:w="0" w:type="dxa"/>
            <w:bottom w:w="0" w:type="dxa"/>
            <w:right w:w="0" w:type="dxa"/>
          </w:tblCellMar>
        </w:tblPrEx>
        <w:trPr>
          <w:trHeight w:val="576"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left"/>
              <w:rPr>
                <w:rFonts w:cs="Times New Roman"/>
                <w:color w:val="000000" w:themeColor="text1"/>
                <w:szCs w:val="21"/>
                <w14:textFill>
                  <w14:solidFill>
                    <w14:schemeClr w14:val="tx1"/>
                  </w14:solidFill>
                </w14:textFill>
              </w:rPr>
            </w:pP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(0.3, 1.05)</w:t>
            </w:r>
          </w:p>
        </w:tc>
        <w:tc>
          <w:tcPr>
            <w:tcW w:w="1" w:type="pct"/>
            <w:gridSpan w:val="5"/>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线性插值</w:t>
            </w:r>
          </w:p>
        </w:tc>
      </w:tr>
      <w:tr>
        <w:tblPrEx>
          <w:tblCellMar>
            <w:top w:w="0" w:type="dxa"/>
            <w:left w:w="0" w:type="dxa"/>
            <w:bottom w:w="0" w:type="dxa"/>
            <w:right w:w="0" w:type="dxa"/>
          </w:tblCellMar>
        </w:tblPrEx>
        <w:trPr>
          <w:trHeight w:val="576"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left"/>
              <w:rPr>
                <w:rFonts w:cs="Times New Roman"/>
                <w:color w:val="000000" w:themeColor="text1"/>
                <w:szCs w:val="21"/>
                <w14:textFill>
                  <w14:solidFill>
                    <w14:schemeClr w14:val="tx1"/>
                  </w14:solidFill>
                </w14:textFill>
              </w:rPr>
            </w:pP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1.05</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0.010</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0.007</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0.015</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0.021</w:t>
            </w:r>
          </w:p>
        </w:tc>
        <w:tc>
          <w:tcPr>
            <w:tcW w:w="5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0.026</w:t>
            </w:r>
          </w:p>
        </w:tc>
      </w:tr>
      <w:tr>
        <w:tblPrEx>
          <w:tblCellMar>
            <w:top w:w="0" w:type="dxa"/>
            <w:left w:w="0" w:type="dxa"/>
            <w:bottom w:w="0" w:type="dxa"/>
            <w:right w:w="0" w:type="dxa"/>
          </w:tblCellMar>
        </w:tblPrEx>
        <w:trPr>
          <w:trHeight w:val="576" w:hRule="atLeast"/>
        </w:trPr>
        <w:tc>
          <w:tcPr>
            <w:tcW w:w="999" w:type="pct"/>
            <w:vMerge w:val="restar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三、四</w:t>
            </w: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≤0.3</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0.010</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0.007</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0.015</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0.021</w:t>
            </w:r>
          </w:p>
        </w:tc>
        <w:tc>
          <w:tcPr>
            <w:tcW w:w="5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0.028</w:t>
            </w:r>
          </w:p>
        </w:tc>
      </w:tr>
      <w:tr>
        <w:tblPrEx>
          <w:tblCellMar>
            <w:top w:w="0" w:type="dxa"/>
            <w:left w:w="0" w:type="dxa"/>
            <w:bottom w:w="0" w:type="dxa"/>
            <w:right w:w="0" w:type="dxa"/>
          </w:tblCellMar>
        </w:tblPrEx>
        <w:trPr>
          <w:trHeight w:val="576"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left"/>
              <w:rPr>
                <w:rFonts w:cs="Times New Roman"/>
                <w:color w:val="000000" w:themeColor="text1"/>
                <w:szCs w:val="21"/>
                <w14:textFill>
                  <w14:solidFill>
                    <w14:schemeClr w14:val="tx1"/>
                  </w14:solidFill>
                </w14:textFill>
              </w:rPr>
            </w:pP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(0.3, 1.05)</w:t>
            </w:r>
          </w:p>
        </w:tc>
        <w:tc>
          <w:tcPr>
            <w:tcW w:w="1" w:type="pct"/>
            <w:gridSpan w:val="5"/>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线性插值</w:t>
            </w:r>
          </w:p>
        </w:tc>
      </w:tr>
      <w:tr>
        <w:tblPrEx>
          <w:tblCellMar>
            <w:top w:w="0" w:type="dxa"/>
            <w:left w:w="0" w:type="dxa"/>
            <w:bottom w:w="0" w:type="dxa"/>
            <w:right w:w="0" w:type="dxa"/>
          </w:tblCellMar>
        </w:tblPrEx>
        <w:trPr>
          <w:trHeight w:val="576"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left"/>
              <w:rPr>
                <w:rFonts w:cs="Times New Roman"/>
                <w:color w:val="000000" w:themeColor="text1"/>
                <w:szCs w:val="21"/>
                <w14:textFill>
                  <w14:solidFill>
                    <w14:schemeClr w14:val="tx1"/>
                  </w14:solidFill>
                </w14:textFill>
              </w:rPr>
            </w:pPr>
          </w:p>
        </w:tc>
        <w:tc>
          <w:tcPr>
            <w:tcW w:w="93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1.05</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0.010</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0.007</w:t>
            </w:r>
          </w:p>
        </w:tc>
        <w:tc>
          <w:tcPr>
            <w:tcW w:w="636"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0.014</w:t>
            </w:r>
          </w:p>
        </w:tc>
        <w:tc>
          <w:tcPr>
            <w:tcW w:w="600"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0.019</w:t>
            </w:r>
          </w:p>
        </w:tc>
        <w:tc>
          <w:tcPr>
            <w:tcW w:w="599" w:type="pct"/>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0.024</w:t>
            </w:r>
          </w:p>
        </w:tc>
      </w:tr>
    </w:tbl>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I.4.7  </w:t>
      </w:r>
      <w:r>
        <w:rPr>
          <w:rFonts w:hint="eastAsia" w:cs="Times New Roman"/>
          <w:color w:val="000000" w:themeColor="text1"/>
          <w:szCs w:val="21"/>
          <w14:textFill>
            <w14:solidFill>
              <w14:schemeClr w14:val="tx1"/>
            </w14:solidFill>
          </w14:textFill>
        </w:rPr>
        <w:t>钢筋混凝土框架梁，其弯矩</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转角（</w:t>
      </w:r>
      <w:r>
        <w:rPr>
          <w:rFonts w:cs="Times New Roman"/>
          <w:color w:val="000000" w:themeColor="text1"/>
          <w:szCs w:val="21"/>
          <w14:textFill>
            <w14:solidFill>
              <w14:schemeClr w14:val="tx1"/>
            </w14:solidFill>
          </w14:textFill>
        </w:rPr>
        <w:t>M-θ</w:t>
      </w:r>
      <w:r>
        <w:rPr>
          <w:rFonts w:hint="eastAsia" w:cs="Times New Roman"/>
          <w:color w:val="000000" w:themeColor="text1"/>
          <w:szCs w:val="21"/>
          <w14:textFill>
            <w14:solidFill>
              <w14:schemeClr w14:val="tx1"/>
            </w14:solidFill>
          </w14:textFill>
        </w:rPr>
        <w:t>）模型的骨架线的有关参数可按表</w:t>
      </w:r>
      <w:r>
        <w:rPr>
          <w:rFonts w:cs="Times New Roman"/>
          <w:color w:val="000000" w:themeColor="text1"/>
          <w:szCs w:val="21"/>
          <w14:textFill>
            <w14:solidFill>
              <w14:schemeClr w14:val="tx1"/>
            </w14:solidFill>
          </w14:textFill>
        </w:rPr>
        <w:t>I.4.7-1</w:t>
      </w:r>
      <w:r>
        <w:rPr>
          <w:rFonts w:hint="eastAsia" w:cs="Times New Roman"/>
          <w:color w:val="000000" w:themeColor="text1"/>
          <w:szCs w:val="21"/>
          <w14:textFill>
            <w14:solidFill>
              <w14:schemeClr w14:val="tx1"/>
            </w14:solidFill>
          </w14:textFill>
        </w:rPr>
        <w:t>确定，或由试验确定，或由经过试验验证的计算确定；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峰值点</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Mp</w:t>
      </w:r>
      <w:r>
        <w:rPr>
          <w:rFonts w:hint="eastAsia" w:cs="Times New Roman"/>
          <w:color w:val="000000" w:themeColor="text1"/>
          <w:szCs w:val="21"/>
          <w14:textFill>
            <w14:solidFill>
              <w14:schemeClr w14:val="tx1"/>
            </w14:solidFill>
          </w14:textFill>
        </w:rPr>
        <w:t>为构件的正截面受弯承载力，可按现行国家标准《混凝土结构设计规范》</w:t>
      </w:r>
      <w:r>
        <w:rPr>
          <w:rFonts w:cs="Times New Roman"/>
          <w:color w:val="000000" w:themeColor="text1"/>
          <w:szCs w:val="21"/>
          <w14:textFill>
            <w14:solidFill>
              <w14:schemeClr w14:val="tx1"/>
            </w14:solidFill>
          </w14:textFill>
        </w:rPr>
        <w:t>GB50010</w:t>
      </w:r>
      <w:r>
        <w:rPr>
          <w:rFonts w:hint="eastAsia" w:cs="Times New Roman"/>
          <w:color w:val="000000" w:themeColor="text1"/>
          <w:szCs w:val="21"/>
          <w14:textFill>
            <w14:solidFill>
              <w14:schemeClr w14:val="tx1"/>
            </w14:solidFill>
          </w14:textFill>
        </w:rPr>
        <w:t>的规定计算，计算时材料强度按本附录I</w:t>
      </w:r>
      <w:r>
        <w:rPr>
          <w:rFonts w:cs="Times New Roman"/>
          <w:color w:val="000000" w:themeColor="text1"/>
          <w:szCs w:val="21"/>
          <w14:textFill>
            <w14:solidFill>
              <w14:schemeClr w14:val="tx1"/>
            </w14:solidFill>
          </w14:textFill>
        </w:rPr>
        <w:t>.2.5</w:t>
      </w:r>
      <w:r>
        <w:rPr>
          <w:rFonts w:hint="eastAsia" w:cs="Times New Roman"/>
          <w:color w:val="000000" w:themeColor="text1"/>
          <w:szCs w:val="21"/>
          <w14:textFill>
            <w14:solidFill>
              <w14:schemeClr w14:val="tx1"/>
            </w14:solidFill>
          </w14:textFill>
        </w:rPr>
        <w:t>条的规定采用；</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名义屈服点</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My</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0.9Mp</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性能点</w:t>
      </w:r>
      <w:r>
        <w:rPr>
          <w:rFonts w:cs="Times New Roman"/>
          <w:color w:val="000000" w:themeColor="text1"/>
          <w:szCs w:val="21"/>
          <w14:textFill>
            <w14:solidFill>
              <w14:schemeClr w14:val="tx1"/>
            </w14:solidFill>
          </w14:textFill>
        </w:rPr>
        <w:t>CP</w:t>
      </w:r>
      <w:r>
        <w:rPr>
          <w:rFonts w:hint="eastAsia" w:cs="Times New Roman"/>
          <w:color w:val="000000" w:themeColor="text1"/>
          <w:szCs w:val="21"/>
          <w14:textFill>
            <w14:solidFill>
              <w14:schemeClr w14:val="tx1"/>
            </w14:solidFill>
          </w14:textFill>
        </w:rPr>
        <w:t>（即极限点</w:t>
      </w:r>
      <w:r>
        <w:rPr>
          <w:rFonts w:cs="Times New Roman"/>
          <w:color w:val="000000" w:themeColor="text1"/>
          <w:szCs w:val="21"/>
          <w14:textFill>
            <w14:solidFill>
              <w14:schemeClr w14:val="tx1"/>
            </w14:solidFill>
          </w14:textFill>
        </w:rPr>
        <w:t>D</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Mu</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0.9Mp</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4 </w:t>
      </w:r>
      <w:r>
        <w:rPr>
          <w:rFonts w:hint="eastAsia" w:cs="Times New Roman"/>
          <w:color w:val="000000" w:themeColor="text1"/>
          <w:szCs w:val="21"/>
          <w14:textFill>
            <w14:solidFill>
              <w14:schemeClr w14:val="tx1"/>
            </w14:solidFill>
          </w14:textFill>
        </w:rPr>
        <w:t>失效点</w:t>
      </w:r>
      <w:r>
        <w:rPr>
          <w:rFonts w:cs="Times New Roman"/>
          <w:color w:val="000000" w:themeColor="text1"/>
          <w:szCs w:val="21"/>
          <w14:textFill>
            <w14:solidFill>
              <w14:schemeClr w14:val="tx1"/>
            </w14:solidFill>
          </w14:textFill>
        </w:rPr>
        <w:t>E</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Mr</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0.85Mp</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5 </w:t>
      </w:r>
      <w:r>
        <w:rPr>
          <w:rFonts w:hint="eastAsia" w:cs="Times New Roman"/>
          <w:color w:val="000000" w:themeColor="text1"/>
          <w:szCs w:val="21"/>
          <w14:textFill>
            <w14:solidFill>
              <w14:schemeClr w14:val="tx1"/>
            </w14:solidFill>
          </w14:textFill>
        </w:rPr>
        <w:t>名义屈服点</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的转角</w:t>
      </w:r>
      <w:r>
        <w:rPr>
          <w:rFonts w:cs="Times New Roman"/>
          <w:color w:val="000000" w:themeColor="text1"/>
          <w:szCs w:val="21"/>
          <w14:textFill>
            <w14:solidFill>
              <w14:schemeClr w14:val="tx1"/>
            </w14:solidFill>
          </w14:textFill>
        </w:rPr>
        <w:t>θy</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3Mph/EI0</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EI0</w:t>
      </w:r>
      <w:r>
        <w:rPr>
          <w:rFonts w:hint="eastAsia" w:cs="Times New Roman"/>
          <w:color w:val="000000" w:themeColor="text1"/>
          <w:szCs w:val="21"/>
          <w14:textFill>
            <w14:solidFill>
              <w14:schemeClr w14:val="tx1"/>
            </w14:solidFill>
          </w14:textFill>
        </w:rPr>
        <w:t>为构件的弹性抗弯刚度，</w:t>
      </w: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为截面高度。</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  B</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CP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E</w:t>
      </w:r>
      <w:r>
        <w:rPr>
          <w:rFonts w:hint="eastAsia" w:cs="Times New Roman"/>
          <w:color w:val="000000" w:themeColor="text1"/>
          <w:szCs w:val="21"/>
          <w14:textFill>
            <w14:solidFill>
              <w14:schemeClr w14:val="tx1"/>
            </w14:solidFill>
          </w14:textFill>
        </w:rPr>
        <w:t>点的转角</w:t>
      </w:r>
      <w:r>
        <w:rPr>
          <w:rFonts w:cs="Times New Roman"/>
          <w:color w:val="000000" w:themeColor="text1"/>
          <w:szCs w:val="21"/>
          <w14:textFill>
            <w14:solidFill>
              <w14:schemeClr w14:val="tx1"/>
            </w14:solidFill>
          </w14:textFill>
        </w:rPr>
        <w:t>θy</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θu</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θr</w:t>
      </w:r>
      <w:r>
        <w:rPr>
          <w:rFonts w:hint="eastAsia" w:cs="Times New Roman"/>
          <w:color w:val="000000" w:themeColor="text1"/>
          <w:szCs w:val="21"/>
          <w14:textFill>
            <w14:solidFill>
              <w14:schemeClr w14:val="tx1"/>
            </w14:solidFill>
          </w14:textFill>
        </w:rPr>
        <w:t>可参考表I</w:t>
      </w:r>
      <w:r>
        <w:rPr>
          <w:rFonts w:cs="Times New Roman"/>
          <w:color w:val="000000" w:themeColor="text1"/>
          <w:szCs w:val="21"/>
          <w14:textFill>
            <w14:solidFill>
              <w14:schemeClr w14:val="tx1"/>
            </w14:solidFill>
          </w14:textFill>
        </w:rPr>
        <w:t>.4.7-1</w:t>
      </w:r>
      <w:r>
        <w:rPr>
          <w:rFonts w:hint="eastAsia" w:cs="Times New Roman"/>
          <w:color w:val="000000" w:themeColor="text1"/>
          <w:szCs w:val="21"/>
          <w14:textFill>
            <w14:solidFill>
              <w14:schemeClr w14:val="tx1"/>
            </w14:solidFill>
          </w14:textFill>
        </w:rPr>
        <w:t>确定。</w:t>
      </w:r>
    </w:p>
    <w:p>
      <w:pPr>
        <w:spacing w:line="360" w:lineRule="auto"/>
        <w:ind w:firstLine="420"/>
        <w:rPr>
          <w:rFonts w:cs="Times New Roman"/>
          <w:color w:val="000000" w:themeColor="text1"/>
          <w:szCs w:val="21"/>
          <w14:textFill>
            <w14:solidFill>
              <w14:schemeClr w14:val="tx1"/>
            </w14:solidFill>
          </w14:textFill>
        </w:rPr>
      </w:pP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I.4.7-1 </w:t>
      </w:r>
      <w:r>
        <w:rPr>
          <w:rFonts w:hint="eastAsia" w:cs="Times New Roman"/>
          <w:color w:val="000000" w:themeColor="text1"/>
          <w:szCs w:val="21"/>
          <w14:textFill>
            <w14:solidFill>
              <w14:schemeClr w14:val="tx1"/>
            </w14:solidFill>
          </w14:textFill>
        </w:rPr>
        <w:t>钢筋混凝土框架梁转角</w:t>
      </w:r>
      <w:r>
        <w:rPr>
          <w:rFonts w:cs="Times New Roman"/>
          <w:color w:val="000000" w:themeColor="text1"/>
          <w:szCs w:val="21"/>
          <w14:textFill>
            <w14:solidFill>
              <w14:schemeClr w14:val="tx1"/>
            </w14:solidFill>
          </w14:textFill>
        </w:rPr>
        <w:t>θy</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θu</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θr</w:t>
      </w:r>
      <w:r>
        <w:rPr>
          <w:rFonts w:hint="eastAsia" w:cs="Times New Roman"/>
          <w:color w:val="000000" w:themeColor="text1"/>
          <w:szCs w:val="21"/>
          <w14:textFill>
            <w14:solidFill>
              <w14:schemeClr w14:val="tx1"/>
            </w14:solidFill>
          </w14:textFill>
        </w:rPr>
        <w:t>取值</w:t>
      </w:r>
    </w:p>
    <w:tbl>
      <w:tblPr>
        <w:tblStyle w:val="10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6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骨架线参数</w:t>
            </w:r>
          </w:p>
        </w:tc>
        <w:tc>
          <w:tcPr>
            <w:tcW w:w="626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转角</w:t>
            </w:r>
            <w:r>
              <w:rPr>
                <w:rFonts w:cs="Times New Roman"/>
                <w:color w:val="000000" w:themeColor="text1"/>
                <w:szCs w:val="21"/>
                <w14:textFill>
                  <w14:solidFill>
                    <w14:schemeClr w14:val="tx1"/>
                  </w14:solidFill>
                </w14:textFill>
              </w:rPr>
              <w:t xml:space="preserve">/rad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θy</w:t>
            </w:r>
          </w:p>
        </w:tc>
        <w:tc>
          <w:tcPr>
            <w:tcW w:w="626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3Mph/EI0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θIO</w:t>
            </w:r>
          </w:p>
        </w:tc>
        <w:tc>
          <w:tcPr>
            <w:tcW w:w="626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0.5 (θy +θp)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θp</w:t>
            </w:r>
          </w:p>
        </w:tc>
        <w:tc>
          <w:tcPr>
            <w:tcW w:w="626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θLS</w:t>
            </w:r>
          </w:p>
        </w:tc>
        <w:tc>
          <w:tcPr>
            <w:tcW w:w="626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0.5 (θp +θu)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θu</w:t>
            </w:r>
          </w:p>
        </w:tc>
        <w:tc>
          <w:tcPr>
            <w:tcW w:w="626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θr</w:t>
            </w:r>
          </w:p>
        </w:tc>
        <w:tc>
          <w:tcPr>
            <w:tcW w:w="6263"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0.05</w:t>
            </w:r>
          </w:p>
        </w:tc>
      </w:tr>
    </w:tbl>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I.4.8  </w:t>
      </w:r>
      <w:r>
        <w:rPr>
          <w:rFonts w:hint="eastAsia" w:cs="Times New Roman"/>
          <w:color w:val="000000" w:themeColor="text1"/>
          <w:szCs w:val="21"/>
          <w14:textFill>
            <w14:solidFill>
              <w14:schemeClr w14:val="tx1"/>
            </w14:solidFill>
          </w14:textFill>
        </w:rPr>
        <w:t>压弯破坏的钢筋混凝土剪力墙，其弯矩</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转角（</w:t>
      </w:r>
      <w:r>
        <w:rPr>
          <w:rFonts w:cs="Times New Roman"/>
          <w:color w:val="000000" w:themeColor="text1"/>
          <w:szCs w:val="21"/>
          <w14:textFill>
            <w14:solidFill>
              <w14:schemeClr w14:val="tx1"/>
            </w14:solidFill>
          </w14:textFill>
        </w:rPr>
        <w:t>M-θ</w:t>
      </w:r>
      <w:r>
        <w:rPr>
          <w:rFonts w:hint="eastAsia" w:cs="Times New Roman"/>
          <w:color w:val="000000" w:themeColor="text1"/>
          <w:szCs w:val="21"/>
          <w14:textFill>
            <w14:solidFill>
              <w14:schemeClr w14:val="tx1"/>
            </w14:solidFill>
          </w14:textFill>
        </w:rPr>
        <w:t>）模型的骨架线的有关参数可按下述规定确定，或由试验确定，或由经过试验验证的计算确定；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峰值点</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Mp</w:t>
      </w:r>
      <w:r>
        <w:rPr>
          <w:rFonts w:hint="eastAsia" w:cs="Times New Roman"/>
          <w:color w:val="000000" w:themeColor="text1"/>
          <w:szCs w:val="21"/>
          <w14:textFill>
            <w14:solidFill>
              <w14:schemeClr w14:val="tx1"/>
            </w14:solidFill>
          </w14:textFill>
        </w:rPr>
        <w:t>为构件的正截面受弯承载力，可按现行国家标准《混凝土结构设计规范》</w:t>
      </w:r>
      <w:r>
        <w:rPr>
          <w:rFonts w:cs="Times New Roman"/>
          <w:color w:val="000000" w:themeColor="text1"/>
          <w:szCs w:val="21"/>
          <w14:textFill>
            <w14:solidFill>
              <w14:schemeClr w14:val="tx1"/>
            </w14:solidFill>
          </w14:textFill>
        </w:rPr>
        <w:t>GB50010</w:t>
      </w:r>
      <w:r>
        <w:rPr>
          <w:rFonts w:hint="eastAsia" w:cs="Times New Roman"/>
          <w:color w:val="000000" w:themeColor="text1"/>
          <w:szCs w:val="21"/>
          <w14:textFill>
            <w14:solidFill>
              <w14:schemeClr w14:val="tx1"/>
            </w14:solidFill>
          </w14:textFill>
        </w:rPr>
        <w:t>的规定计算，计算时材料强度按本附录</w:t>
      </w:r>
      <w:r>
        <w:rPr>
          <w:rFonts w:cs="Times New Roman"/>
          <w:color w:val="000000" w:themeColor="text1"/>
          <w:szCs w:val="21"/>
          <w14:textFill>
            <w14:solidFill>
              <w14:schemeClr w14:val="tx1"/>
            </w14:solidFill>
          </w14:textFill>
        </w:rPr>
        <w:t>I.2.5</w:t>
      </w:r>
      <w:r>
        <w:rPr>
          <w:rFonts w:hint="eastAsia" w:cs="Times New Roman"/>
          <w:color w:val="000000" w:themeColor="text1"/>
          <w:szCs w:val="21"/>
          <w14:textFill>
            <w14:solidFill>
              <w14:schemeClr w14:val="tx1"/>
            </w14:solidFill>
          </w14:textFill>
        </w:rPr>
        <w:t>条的规定采用；</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名义屈服点</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My</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0.8Mp</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3 </w:t>
      </w:r>
      <w:r>
        <w:rPr>
          <w:rFonts w:hint="eastAsia" w:cs="Times New Roman"/>
          <w:color w:val="000000" w:themeColor="text1"/>
          <w:szCs w:val="21"/>
          <w14:textFill>
            <w14:solidFill>
              <w14:schemeClr w14:val="tx1"/>
            </w14:solidFill>
          </w14:textFill>
        </w:rPr>
        <w:t>极限点</w:t>
      </w:r>
      <w:r>
        <w:rPr>
          <w:rFonts w:cs="Times New Roman"/>
          <w:color w:val="000000" w:themeColor="text1"/>
          <w:szCs w:val="21"/>
          <w14:textFill>
            <w14:solidFill>
              <w14:schemeClr w14:val="tx1"/>
            </w14:solidFill>
          </w14:textFill>
        </w:rPr>
        <w:t>CP</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Mu</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0.85Mp</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4 </w:t>
      </w:r>
      <w:r>
        <w:rPr>
          <w:rFonts w:hint="eastAsia" w:cs="Times New Roman"/>
          <w:color w:val="000000" w:themeColor="text1"/>
          <w:szCs w:val="21"/>
          <w14:textFill>
            <w14:solidFill>
              <w14:schemeClr w14:val="tx1"/>
            </w14:solidFill>
          </w14:textFill>
        </w:rPr>
        <w:t>性能点</w:t>
      </w:r>
      <w:r>
        <w:rPr>
          <w:rFonts w:cs="Times New Roman"/>
          <w:color w:val="000000" w:themeColor="text1"/>
          <w:szCs w:val="21"/>
          <w14:textFill>
            <w14:solidFill>
              <w14:schemeClr w14:val="tx1"/>
            </w14:solidFill>
          </w14:textFill>
        </w:rPr>
        <w:t>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LS</w:t>
      </w:r>
      <w:r>
        <w:rPr>
          <w:rFonts w:hint="eastAsia" w:cs="Times New Roman"/>
          <w:color w:val="000000" w:themeColor="text1"/>
          <w:szCs w:val="21"/>
          <w14:textFill>
            <w14:solidFill>
              <w14:schemeClr w14:val="tx1"/>
            </w14:solidFill>
          </w14:textFill>
        </w:rPr>
        <w:t>的弯矩值可按对应转角线性插值计算；</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  B</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CP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E</w:t>
      </w:r>
      <w:r>
        <w:rPr>
          <w:rFonts w:hint="eastAsia" w:cs="Times New Roman"/>
          <w:color w:val="000000" w:themeColor="text1"/>
          <w:szCs w:val="21"/>
          <w14:textFill>
            <w14:solidFill>
              <w14:schemeClr w14:val="tx1"/>
            </w14:solidFill>
          </w14:textFill>
        </w:rPr>
        <w:t>点的转角</w:t>
      </w:r>
      <w:r>
        <w:rPr>
          <w:rFonts w:cs="Times New Roman"/>
          <w:color w:val="000000" w:themeColor="text1"/>
          <w:szCs w:val="21"/>
          <w14:textFill>
            <w14:solidFill>
              <w14:schemeClr w14:val="tx1"/>
            </w14:solidFill>
          </w14:textFill>
        </w:rPr>
        <w:t>θy</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θu</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θr</w:t>
      </w:r>
      <w:r>
        <w:rPr>
          <w:rFonts w:hint="eastAsia" w:cs="Times New Roman"/>
          <w:color w:val="000000" w:themeColor="text1"/>
          <w:szCs w:val="21"/>
          <w14:textFill>
            <w14:solidFill>
              <w14:schemeClr w14:val="tx1"/>
            </w14:solidFill>
          </w14:textFill>
        </w:rPr>
        <w:t>可参考表</w:t>
      </w:r>
      <w:r>
        <w:rPr>
          <w:rFonts w:cs="Times New Roman"/>
          <w:color w:val="000000" w:themeColor="text1"/>
          <w:szCs w:val="21"/>
          <w14:textFill>
            <w14:solidFill>
              <w14:schemeClr w14:val="tx1"/>
            </w14:solidFill>
          </w14:textFill>
        </w:rPr>
        <w:t>I.4.8-1</w:t>
      </w:r>
      <w:r>
        <w:rPr>
          <w:rFonts w:hint="eastAsia" w:cs="Times New Roman"/>
          <w:color w:val="000000" w:themeColor="text1"/>
          <w:szCs w:val="21"/>
          <w14:textFill>
            <w14:solidFill>
              <w14:schemeClr w14:val="tx1"/>
            </w14:solidFill>
          </w14:textFill>
        </w:rPr>
        <w:t>确定；</w:t>
      </w: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I.4.8-1 </w:t>
      </w:r>
      <w:r>
        <w:rPr>
          <w:rFonts w:hint="eastAsia" w:cs="Times New Roman"/>
          <w:color w:val="000000" w:themeColor="text1"/>
          <w:szCs w:val="21"/>
          <w14:textFill>
            <w14:solidFill>
              <w14:schemeClr w14:val="tx1"/>
            </w14:solidFill>
          </w14:textFill>
        </w:rPr>
        <w:t>压弯破坏钢筋混凝土剪力墙转角</w:t>
      </w:r>
      <w:r>
        <w:rPr>
          <w:rFonts w:cs="Times New Roman"/>
          <w:color w:val="000000" w:themeColor="text1"/>
          <w:szCs w:val="21"/>
          <w14:textFill>
            <w14:solidFill>
              <w14:schemeClr w14:val="tx1"/>
            </w14:solidFill>
          </w14:textFill>
        </w:rPr>
        <w:t>θy</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θp</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θLS</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θu</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θr</w:t>
      </w:r>
      <w:r>
        <w:rPr>
          <w:rFonts w:hint="eastAsia" w:cs="Times New Roman"/>
          <w:color w:val="000000" w:themeColor="text1"/>
          <w:szCs w:val="21"/>
          <w14:textFill>
            <w14:solidFill>
              <w14:schemeClr w14:val="tx1"/>
            </w14:solidFill>
          </w14:textFill>
        </w:rPr>
        <w:t>取值</w:t>
      </w:r>
    </w:p>
    <w:tbl>
      <w:tblPr>
        <w:tblStyle w:val="10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骨架线参数</w:t>
            </w:r>
          </w:p>
        </w:tc>
        <w:tc>
          <w:tcPr>
            <w:tcW w:w="5989"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转角</w:t>
            </w:r>
            <w:r>
              <w:rPr>
                <w:rFonts w:cs="Times New Roman"/>
                <w:color w:val="000000" w:themeColor="text1"/>
                <w:szCs w:val="21"/>
                <w14:textFill>
                  <w14:solidFill>
                    <w14:schemeClr w14:val="tx1"/>
                  </w14:solidFill>
                </w14:textFill>
              </w:rPr>
              <w:t>/rad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θy</w:t>
            </w:r>
          </w:p>
        </w:tc>
        <w:tc>
          <w:tcPr>
            <w:tcW w:w="5989"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θIO</w:t>
            </w:r>
          </w:p>
        </w:tc>
        <w:tc>
          <w:tcPr>
            <w:tcW w:w="5989"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θp</w:t>
            </w:r>
          </w:p>
        </w:tc>
        <w:tc>
          <w:tcPr>
            <w:tcW w:w="5989"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θLS</w:t>
            </w:r>
          </w:p>
        </w:tc>
        <w:tc>
          <w:tcPr>
            <w:tcW w:w="5989"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θu</w:t>
            </w:r>
          </w:p>
        </w:tc>
        <w:tc>
          <w:tcPr>
            <w:tcW w:w="5989"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θr</w:t>
            </w:r>
          </w:p>
        </w:tc>
        <w:tc>
          <w:tcPr>
            <w:tcW w:w="5989" w:type="dxa"/>
            <w:tcBorders>
              <w:top w:val="single" w:color="auto" w:sz="4" w:space="0"/>
              <w:left w:val="single" w:color="auto" w:sz="4" w:space="0"/>
              <w:bottom w:val="single" w:color="auto" w:sz="4" w:space="0"/>
              <w:right w:val="single" w:color="auto" w:sz="4" w:space="0"/>
            </w:tcBorders>
            <w:noWrap/>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0.015</w:t>
            </w:r>
          </w:p>
        </w:tc>
      </w:tr>
    </w:tbl>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I.4.9  </w:t>
      </w:r>
      <w:r>
        <w:rPr>
          <w:rFonts w:hint="eastAsia" w:cs="Times New Roman"/>
          <w:color w:val="000000" w:themeColor="text1"/>
          <w:szCs w:val="21"/>
          <w14:textFill>
            <w14:solidFill>
              <w14:schemeClr w14:val="tx1"/>
            </w14:solidFill>
          </w14:textFill>
        </w:rPr>
        <w:t>斜截面破坏的钢筋混凝土结构构件的损坏等级可根据截面内力按表</w:t>
      </w:r>
      <w:r>
        <w:rPr>
          <w:rFonts w:cs="Times New Roman"/>
          <w:color w:val="000000" w:themeColor="text1"/>
          <w:szCs w:val="21"/>
          <w14:textFill>
            <w14:solidFill>
              <w14:schemeClr w14:val="tx1"/>
            </w14:solidFill>
          </w14:textFill>
        </w:rPr>
        <w:t>I.4.9-1</w:t>
      </w:r>
      <w:r>
        <w:rPr>
          <w:rFonts w:hint="eastAsia" w:cs="Times New Roman"/>
          <w:color w:val="000000" w:themeColor="text1"/>
          <w:szCs w:val="21"/>
          <w14:textFill>
            <w14:solidFill>
              <w14:schemeClr w14:val="tx1"/>
            </w14:solidFill>
          </w14:textFill>
        </w:rPr>
        <w:t>确定，或由试验确定，或由经过试验验证的计算确定。</w:t>
      </w: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I.4.9-1 </w:t>
      </w:r>
      <w:r>
        <w:rPr>
          <w:rFonts w:hint="eastAsia" w:cs="Times New Roman"/>
          <w:color w:val="000000" w:themeColor="text1"/>
          <w:szCs w:val="21"/>
          <w14:textFill>
            <w14:solidFill>
              <w14:schemeClr w14:val="tx1"/>
            </w14:solidFill>
          </w14:textFill>
        </w:rPr>
        <w:t>斜截面破坏的钢筋混凝土结构构件的损坏等级标准</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786"/>
        <w:gridCol w:w="42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59" w:type="dxa"/>
            <w:tcBorders>
              <w:top w:val="single" w:color="auto" w:sz="8" w:space="0"/>
              <w:left w:val="single" w:color="auto" w:sz="8"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损坏等级</w:t>
            </w:r>
          </w:p>
        </w:tc>
        <w:tc>
          <w:tcPr>
            <w:tcW w:w="1786" w:type="dxa"/>
            <w:tcBorders>
              <w:top w:val="single" w:color="auto" w:sz="8" w:space="0"/>
              <w:left w:val="single" w:color="auto" w:sz="4"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损坏程度</w:t>
            </w:r>
          </w:p>
        </w:tc>
        <w:tc>
          <w:tcPr>
            <w:tcW w:w="4279" w:type="dxa"/>
            <w:tcBorders>
              <w:top w:val="single" w:color="auto" w:sz="8" w:space="0"/>
              <w:left w:val="single" w:color="auto" w:sz="4" w:space="0"/>
              <w:bottom w:val="single" w:color="auto" w:sz="8"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判别标准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8"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级</w:t>
            </w:r>
          </w:p>
        </w:tc>
        <w:tc>
          <w:tcPr>
            <w:tcW w:w="1786" w:type="dxa"/>
            <w:tcBorders>
              <w:top w:val="single" w:color="auto" w:sz="8"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4279" w:type="dxa"/>
            <w:tcBorders>
              <w:top w:val="single" w:color="auto" w:sz="8"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V ≤ Vd </w:t>
            </w: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 xml:space="preserve"> T ≤ Td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级</w:t>
            </w:r>
          </w:p>
        </w:tc>
        <w:tc>
          <w:tcPr>
            <w:tcW w:w="1786"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轻微损坏</w:t>
            </w:r>
          </w:p>
        </w:tc>
        <w:tc>
          <w:tcPr>
            <w:tcW w:w="4279"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Vd &lt;V ≤0.5(Vd + Vk) </w:t>
            </w:r>
            <w:r>
              <w:rPr>
                <w:rFonts w:cs="Times New Roman"/>
                <w:color w:val="000000" w:themeColor="text1"/>
                <w:szCs w:val="21"/>
                <w14:textFill>
                  <w14:solidFill>
                    <w14:schemeClr w14:val="tx1"/>
                  </w14:solidFill>
                </w14:textFill>
              </w:rPr>
              <w:br w:type="textWrapping"/>
            </w: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 xml:space="preserve"> Td &lt;T ≤0.5(Td + Tk)</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级</w:t>
            </w:r>
          </w:p>
        </w:tc>
        <w:tc>
          <w:tcPr>
            <w:tcW w:w="1786"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轻度损坏</w:t>
            </w:r>
          </w:p>
        </w:tc>
        <w:tc>
          <w:tcPr>
            <w:tcW w:w="4279"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0.5(Vd + Vk) &lt;V ≤ Vk </w:t>
            </w: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 xml:space="preserve"> 0.5(Td+ Tk) &lt;T ≤ Tk</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级</w:t>
            </w:r>
          </w:p>
        </w:tc>
        <w:tc>
          <w:tcPr>
            <w:tcW w:w="1786"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中度损坏</w:t>
            </w:r>
          </w:p>
        </w:tc>
        <w:tc>
          <w:tcPr>
            <w:tcW w:w="4279"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Vk &lt;V ≤0.5(Vk+ Vm) </w:t>
            </w: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 xml:space="preserve"> Tk &lt;T ≤0.5(Tk+ 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级</w:t>
            </w:r>
          </w:p>
        </w:tc>
        <w:tc>
          <w:tcPr>
            <w:tcW w:w="1786"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比较严重损坏</w:t>
            </w:r>
          </w:p>
        </w:tc>
        <w:tc>
          <w:tcPr>
            <w:tcW w:w="4279"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0.5(Vk + Vm) &lt;V ≤ Vm </w:t>
            </w: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 xml:space="preserve"> 0.5(Tk + Tm) &lt;T ≤ Tm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w:t>
            </w:r>
            <w:r>
              <w:rPr>
                <w:rFonts w:hint="eastAsia" w:cs="Times New Roman"/>
                <w:color w:val="000000" w:themeColor="text1"/>
                <w:szCs w:val="21"/>
                <w14:textFill>
                  <w14:solidFill>
                    <w14:schemeClr w14:val="tx1"/>
                  </w14:solidFill>
                </w14:textFill>
              </w:rPr>
              <w:t>级</w:t>
            </w:r>
          </w:p>
        </w:tc>
        <w:tc>
          <w:tcPr>
            <w:tcW w:w="1786" w:type="dxa"/>
            <w:tcBorders>
              <w:top w:val="single" w:color="auto" w:sz="4" w:space="0"/>
              <w:left w:val="single" w:color="auto" w:sz="4"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严重损坏</w:t>
            </w:r>
          </w:p>
        </w:tc>
        <w:tc>
          <w:tcPr>
            <w:tcW w:w="4279" w:type="dxa"/>
            <w:tcBorders>
              <w:top w:val="single" w:color="auto" w:sz="4" w:space="0"/>
              <w:left w:val="single" w:color="auto" w:sz="4" w:space="0"/>
              <w:bottom w:val="single" w:color="auto" w:sz="8"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V &gt; Vm </w:t>
            </w:r>
            <w:r>
              <w:rPr>
                <w:rFonts w:hint="eastAsia" w:cs="Times New Roman"/>
                <w:color w:val="000000" w:themeColor="text1"/>
                <w:szCs w:val="21"/>
                <w14:textFill>
                  <w14:solidFill>
                    <w14:schemeClr w14:val="tx1"/>
                  </w14:solidFill>
                </w14:textFill>
              </w:rPr>
              <w:t>或</w:t>
            </w:r>
            <w:r>
              <w:rPr>
                <w:rFonts w:cs="Times New Roman"/>
                <w:color w:val="000000" w:themeColor="text1"/>
                <w:szCs w:val="21"/>
                <w14:textFill>
                  <w14:solidFill>
                    <w14:schemeClr w14:val="tx1"/>
                  </w14:solidFill>
                </w14:textFill>
              </w:rPr>
              <w:t xml:space="preserve"> T &gt; Tm </w:t>
            </w:r>
          </w:p>
        </w:tc>
      </w:tr>
    </w:tbl>
    <w:p>
      <w:pPr>
        <w:spacing w:line="360" w:lineRule="auto"/>
        <w:ind w:left="780" w:leftChars="200" w:hanging="360" w:hangingChars="20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注：1</w:t>
      </w:r>
      <w:r>
        <w:rPr>
          <w:rFonts w:cs="Times New Roman"/>
          <w:color w:val="000000" w:themeColor="text1"/>
          <w:sz w:val="18"/>
          <w:szCs w:val="18"/>
          <w14:textFill>
            <w14:solidFill>
              <w14:schemeClr w14:val="tx1"/>
            </w14:solidFill>
          </w14:textFill>
        </w:rPr>
        <w:t xml:space="preserve"> Vd</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Td</w:t>
      </w:r>
      <w:r>
        <w:rPr>
          <w:rFonts w:hint="eastAsia" w:cs="Times New Roman"/>
          <w:color w:val="000000" w:themeColor="text1"/>
          <w:sz w:val="18"/>
          <w:szCs w:val="18"/>
          <w14:textFill>
            <w14:solidFill>
              <w14:schemeClr w14:val="tx1"/>
            </w14:solidFill>
          </w14:textFill>
        </w:rPr>
        <w:t>按照材料强度设计值计算得到的构件斜截面承载力。</w:t>
      </w:r>
      <w:r>
        <w:rPr>
          <w:rFonts w:cs="Times New Roman"/>
          <w:color w:val="000000" w:themeColor="text1"/>
          <w:sz w:val="18"/>
          <w:szCs w:val="18"/>
          <w14:textFill>
            <w14:solidFill>
              <w14:schemeClr w14:val="tx1"/>
            </w14:solidFill>
          </w14:textFill>
        </w:rPr>
        <w:t>Vk</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Tk</w:t>
      </w:r>
      <w:r>
        <w:rPr>
          <w:rFonts w:hint="eastAsia" w:cs="Times New Roman"/>
          <w:color w:val="000000" w:themeColor="text1"/>
          <w:sz w:val="18"/>
          <w:szCs w:val="18"/>
          <w14:textFill>
            <w14:solidFill>
              <w14:schemeClr w14:val="tx1"/>
            </w14:solidFill>
          </w14:textFill>
        </w:rPr>
        <w:t>按照材料强度标准值计算得到的构件斜截面承载力。</w:t>
      </w:r>
      <w:r>
        <w:rPr>
          <w:rFonts w:cs="Times New Roman"/>
          <w:color w:val="000000" w:themeColor="text1"/>
          <w:sz w:val="18"/>
          <w:szCs w:val="18"/>
          <w14:textFill>
            <w14:solidFill>
              <w14:schemeClr w14:val="tx1"/>
            </w14:solidFill>
          </w14:textFill>
        </w:rPr>
        <w:t>Vm</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Tm</w:t>
      </w:r>
      <w:r>
        <w:rPr>
          <w:rFonts w:hint="eastAsia" w:cs="Times New Roman"/>
          <w:color w:val="000000" w:themeColor="text1"/>
          <w:sz w:val="18"/>
          <w:szCs w:val="18"/>
          <w14:textFill>
            <w14:solidFill>
              <w14:schemeClr w14:val="tx1"/>
            </w14:solidFill>
          </w14:textFill>
        </w:rPr>
        <w:t>按照材料强度平均值计算得到的构件斜截面承载力。</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I.4.10</w:t>
      </w:r>
      <w:r>
        <w:rPr>
          <w:rFonts w:hint="eastAsia" w:cs="Times New Roman"/>
          <w:color w:val="000000" w:themeColor="text1"/>
          <w:szCs w:val="21"/>
          <w14:textFill>
            <w14:solidFill>
              <w14:schemeClr w14:val="tx1"/>
            </w14:solidFill>
          </w14:textFill>
        </w:rPr>
        <w:t xml:space="preserve">  钢筋混凝土连梁，其骨架线的有关参数可按下列方法确定，或由试验确定，或由经过试验验证的计算确定；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1 </w:t>
      </w:r>
      <w:r>
        <w:rPr>
          <w:rFonts w:hint="eastAsia" w:cs="Times New Roman"/>
          <w:color w:val="000000" w:themeColor="text1"/>
          <w:szCs w:val="21"/>
          <w14:textFill>
            <w14:solidFill>
              <w14:schemeClr w14:val="tx1"/>
            </w14:solidFill>
          </w14:textFill>
        </w:rPr>
        <w:t>当钢筋混凝土连梁跨高比</w:t>
      </w:r>
      <w:r>
        <w:rPr>
          <w:rFonts w:cs="Times New Roman"/>
          <w:color w:val="000000" w:themeColor="text1"/>
          <w:szCs w:val="21"/>
          <w14:textFill>
            <w14:solidFill>
              <w14:schemeClr w14:val="tx1"/>
            </w14:solidFill>
          </w14:textFill>
        </w:rPr>
        <w:t>&gt;5</w:t>
      </w:r>
      <w:r>
        <w:rPr>
          <w:rFonts w:hint="eastAsia" w:cs="Times New Roman"/>
          <w:color w:val="000000" w:themeColor="text1"/>
          <w:szCs w:val="21"/>
          <w14:textFill>
            <w14:solidFill>
              <w14:schemeClr w14:val="tx1"/>
            </w14:solidFill>
          </w14:textFill>
        </w:rPr>
        <w:t>时：</w:t>
      </w:r>
      <w:bookmarkStart w:id="262" w:name="_Hlk46061126"/>
    </w:p>
    <w:bookmarkEnd w:id="262"/>
    <w:p>
      <w:pPr>
        <w:spacing w:line="360" w:lineRule="auto"/>
        <w:ind w:left="1050" w:leftChars="400" w:hanging="210" w:hangingChars="10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）峰值点</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Mp</w:t>
      </w:r>
      <w:r>
        <w:rPr>
          <w:rFonts w:hint="eastAsia" w:cs="Times New Roman"/>
          <w:color w:val="000000" w:themeColor="text1"/>
          <w:szCs w:val="21"/>
          <w14:textFill>
            <w14:solidFill>
              <w14:schemeClr w14:val="tx1"/>
            </w14:solidFill>
          </w14:textFill>
        </w:rPr>
        <w:t>为构件的正截面受弯承载力，可按现行国家标准《混凝土结构设计规范》</w:t>
      </w:r>
      <w:r>
        <w:rPr>
          <w:rFonts w:cs="Times New Roman"/>
          <w:color w:val="000000" w:themeColor="text1"/>
          <w:szCs w:val="21"/>
          <w14:textFill>
            <w14:solidFill>
              <w14:schemeClr w14:val="tx1"/>
            </w14:solidFill>
          </w14:textFill>
        </w:rPr>
        <w:t>GB50010</w:t>
      </w:r>
      <w:r>
        <w:rPr>
          <w:rFonts w:hint="eastAsia" w:cs="Times New Roman"/>
          <w:color w:val="000000" w:themeColor="text1"/>
          <w:szCs w:val="21"/>
          <w14:textFill>
            <w14:solidFill>
              <w14:schemeClr w14:val="tx1"/>
            </w14:solidFill>
          </w14:textFill>
        </w:rPr>
        <w:t>的规定计算，计算时材料强度按本附录I</w:t>
      </w:r>
      <w:r>
        <w:rPr>
          <w:rFonts w:cs="Times New Roman"/>
          <w:color w:val="000000" w:themeColor="text1"/>
          <w:szCs w:val="21"/>
          <w14:textFill>
            <w14:solidFill>
              <w14:schemeClr w14:val="tx1"/>
            </w14:solidFill>
          </w14:textFill>
        </w:rPr>
        <w:t>.2.5</w:t>
      </w:r>
      <w:r>
        <w:rPr>
          <w:rFonts w:hint="eastAsia" w:cs="Times New Roman"/>
          <w:color w:val="000000" w:themeColor="text1"/>
          <w:szCs w:val="21"/>
          <w14:textFill>
            <w14:solidFill>
              <w14:schemeClr w14:val="tx1"/>
            </w14:solidFill>
          </w14:textFill>
        </w:rPr>
        <w:t>条的规定采用；</w:t>
      </w:r>
    </w:p>
    <w:p>
      <w:pPr>
        <w:spacing w:line="360" w:lineRule="auto"/>
        <w:ind w:left="420" w:leftChars="200"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）名义屈服点</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My</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0.9Mp</w:t>
      </w:r>
      <w:r>
        <w:rPr>
          <w:rFonts w:hint="eastAsia" w:cs="Times New Roman"/>
          <w:color w:val="000000" w:themeColor="text1"/>
          <w:szCs w:val="21"/>
          <w14:textFill>
            <w14:solidFill>
              <w14:schemeClr w14:val="tx1"/>
            </w14:solidFill>
          </w14:textFill>
        </w:rPr>
        <w:t>；</w:t>
      </w:r>
    </w:p>
    <w:p>
      <w:pPr>
        <w:spacing w:line="360" w:lineRule="auto"/>
        <w:ind w:left="420" w:leftChars="200"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）性能点</w:t>
      </w:r>
      <w:r>
        <w:rPr>
          <w:rFonts w:cs="Times New Roman"/>
          <w:color w:val="000000" w:themeColor="text1"/>
          <w:szCs w:val="21"/>
          <w14:textFill>
            <w14:solidFill>
              <w14:schemeClr w14:val="tx1"/>
            </w14:solidFill>
          </w14:textFill>
        </w:rPr>
        <w:t>CP</w:t>
      </w:r>
      <w:r>
        <w:rPr>
          <w:rFonts w:hint="eastAsia" w:cs="Times New Roman"/>
          <w:color w:val="000000" w:themeColor="text1"/>
          <w:szCs w:val="21"/>
          <w14:textFill>
            <w14:solidFill>
              <w14:schemeClr w14:val="tx1"/>
            </w14:solidFill>
          </w14:textFill>
        </w:rPr>
        <w:t>（即极限点</w:t>
      </w:r>
      <w:r>
        <w:rPr>
          <w:rFonts w:cs="Times New Roman"/>
          <w:color w:val="000000" w:themeColor="text1"/>
          <w:szCs w:val="21"/>
          <w14:textFill>
            <w14:solidFill>
              <w14:schemeClr w14:val="tx1"/>
            </w14:solidFill>
          </w14:textFill>
        </w:rPr>
        <w:t>D</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Mu</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0.9Mp</w:t>
      </w:r>
      <w:r>
        <w:rPr>
          <w:rFonts w:hint="eastAsia" w:cs="Times New Roman"/>
          <w:color w:val="000000" w:themeColor="text1"/>
          <w:szCs w:val="21"/>
          <w14:textFill>
            <w14:solidFill>
              <w14:schemeClr w14:val="tx1"/>
            </w14:solidFill>
          </w14:textFill>
        </w:rPr>
        <w:t>；</w:t>
      </w:r>
    </w:p>
    <w:p>
      <w:pPr>
        <w:spacing w:line="360" w:lineRule="auto"/>
        <w:ind w:left="420" w:leftChars="200"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）失效点</w:t>
      </w:r>
      <w:r>
        <w:rPr>
          <w:rFonts w:cs="Times New Roman"/>
          <w:color w:val="000000" w:themeColor="text1"/>
          <w:szCs w:val="21"/>
          <w14:textFill>
            <w14:solidFill>
              <w14:schemeClr w14:val="tx1"/>
            </w14:solidFill>
          </w14:textFill>
        </w:rPr>
        <w:t>E</w:t>
      </w:r>
      <w:r>
        <w:rPr>
          <w:rFonts w:hint="eastAsia" w:cs="Times New Roman"/>
          <w:color w:val="000000" w:themeColor="text1"/>
          <w:szCs w:val="21"/>
          <w14:textFill>
            <w14:solidFill>
              <w14:schemeClr w14:val="tx1"/>
            </w14:solidFill>
          </w14:textFill>
        </w:rPr>
        <w:t>的弯矩</w:t>
      </w:r>
      <w:r>
        <w:rPr>
          <w:rFonts w:cs="Times New Roman"/>
          <w:color w:val="000000" w:themeColor="text1"/>
          <w:szCs w:val="21"/>
          <w14:textFill>
            <w14:solidFill>
              <w14:schemeClr w14:val="tx1"/>
            </w14:solidFill>
          </w14:textFill>
        </w:rPr>
        <w:t>Mr</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0.75Mp</w:t>
      </w:r>
      <w:r>
        <w:rPr>
          <w:rFonts w:hint="eastAsia" w:cs="Times New Roman"/>
          <w:color w:val="000000" w:themeColor="text1"/>
          <w:szCs w:val="21"/>
          <w14:textFill>
            <w14:solidFill>
              <w14:schemeClr w14:val="tx1"/>
            </w14:solidFill>
          </w14:textFill>
        </w:rPr>
        <w:t>；</w:t>
      </w:r>
    </w:p>
    <w:p>
      <w:pPr>
        <w:spacing w:line="360" w:lineRule="auto"/>
        <w:ind w:left="1050" w:leftChars="400" w:hanging="210" w:hangingChars="10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B、IO、C、CP、E点的相对变形</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y</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IO</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p</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LS</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u</w:t>
      </w:r>
      <w:r>
        <w:rPr>
          <w:rFonts w:hint="eastAsia"/>
          <w:color w:val="000000" w:themeColor="text1"/>
          <w:szCs w:val="21"/>
          <w14:textFill>
            <w14:solidFill>
              <w14:schemeClr w14:val="tx1"/>
            </w14:solidFill>
          </w14:textFill>
        </w:rPr>
        <w:t>和(</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r</w:t>
      </w:r>
      <w:r>
        <w:rPr>
          <w:rFonts w:hint="eastAsia"/>
          <w:color w:val="000000" w:themeColor="text1"/>
          <w:szCs w:val="21"/>
          <w14:textFill>
            <w14:solidFill>
              <w14:schemeClr w14:val="tx1"/>
            </w14:solidFill>
          </w14:textFill>
        </w:rPr>
        <w:t>可参考表H</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4.10-1确定；</w:t>
      </w:r>
    </w:p>
    <w:p>
      <w:pPr>
        <w:spacing w:line="360" w:lineRule="auto"/>
        <w:ind w:firstLine="420"/>
        <w:jc w:val="center"/>
        <w:rPr>
          <w:rFonts w:ascii="宋体" w:hAnsi="宋体"/>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表</w:t>
      </w:r>
      <w:r>
        <w:rPr>
          <w:rFonts w:hint="eastAsia" w:cs="Times New Roman"/>
          <w:color w:val="000000" w:themeColor="text1"/>
          <w:szCs w:val="21"/>
          <w14:textFill>
            <w14:solidFill>
              <w14:schemeClr w14:val="tx1"/>
            </w14:solidFill>
          </w14:textFill>
        </w:rPr>
        <w:t>I</w:t>
      </w: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10-1</w:t>
      </w:r>
      <w:r>
        <w:rPr>
          <w:rFonts w:cs="Times New Roman"/>
          <w:color w:val="000000" w:themeColor="text1"/>
          <w:szCs w:val="21"/>
          <w14:textFill>
            <w14:solidFill>
              <w14:schemeClr w14:val="tx1"/>
            </w14:solidFill>
          </w14:textFill>
        </w:rPr>
        <w:t xml:space="preserve"> </w:t>
      </w:r>
      <w:r>
        <w:rPr>
          <w:rFonts w:hint="eastAsia" w:hAnsi="宋体"/>
          <w:color w:val="000000" w:themeColor="text1"/>
          <w:szCs w:val="21"/>
          <w14:textFill>
            <w14:solidFill>
              <w14:schemeClr w14:val="tx1"/>
            </w14:solidFill>
          </w14:textFill>
        </w:rPr>
        <w:t>跨高比&gt;5</w:t>
      </w:r>
      <w:r>
        <w:rPr>
          <w:rFonts w:cs="Times New Roman"/>
          <w:color w:val="000000" w:themeColor="text1"/>
          <w:szCs w:val="21"/>
          <w14:textFill>
            <w14:solidFill>
              <w14:schemeClr w14:val="tx1"/>
            </w14:solidFill>
          </w14:textFill>
        </w:rPr>
        <w:t>钢</w:t>
      </w:r>
      <w:r>
        <w:rPr>
          <w:rFonts w:hint="eastAsia" w:ascii="宋体" w:hAnsi="宋体"/>
          <w:color w:val="000000" w:themeColor="text1"/>
          <w:szCs w:val="21"/>
          <w14:textFill>
            <w14:solidFill>
              <w14:schemeClr w14:val="tx1"/>
            </w14:solidFill>
          </w14:textFill>
        </w:rPr>
        <w:t>筋混凝土</w:t>
      </w:r>
      <w:r>
        <w:rPr>
          <w:rFonts w:hint="eastAsia" w:hAnsi="宋体"/>
          <w:color w:val="000000" w:themeColor="text1"/>
          <w:szCs w:val="21"/>
          <w14:textFill>
            <w14:solidFill>
              <w14:schemeClr w14:val="tx1"/>
            </w14:solidFill>
          </w14:textFill>
        </w:rPr>
        <w:t>两端相对变形</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y</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IO</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p</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LS</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u</w:t>
      </w:r>
      <w:r>
        <w:rPr>
          <w:rFonts w:hint="eastAsia"/>
          <w:color w:val="000000" w:themeColor="text1"/>
          <w:szCs w:val="21"/>
          <w14:textFill>
            <w14:solidFill>
              <w14:schemeClr w14:val="tx1"/>
            </w14:solidFill>
          </w14:textFill>
        </w:rPr>
        <w:t>和</w:t>
      </w:r>
      <w:r>
        <w:rPr>
          <w:i/>
          <w:color w:val="000000" w:themeColor="text1"/>
          <w:szCs w:val="21"/>
          <w14:textFill>
            <w14:solidFill>
              <w14:schemeClr w14:val="tx1"/>
            </w14:solidFill>
          </w14:textFill>
        </w:rPr>
        <w:t>θ</w:t>
      </w:r>
      <w:r>
        <w:rPr>
          <w:rFonts w:hint="eastAsia"/>
          <w:color w:val="000000" w:themeColor="text1"/>
          <w:szCs w:val="21"/>
          <w:vertAlign w:val="subscript"/>
          <w14:textFill>
            <w14:solidFill>
              <w14:schemeClr w14:val="tx1"/>
            </w14:solidFill>
          </w14:textFill>
        </w:rPr>
        <w:t>r</w:t>
      </w:r>
      <w:r>
        <w:rPr>
          <w:rFonts w:hint="eastAsia" w:ascii="宋体" w:hAnsi="宋体"/>
          <w:color w:val="000000" w:themeColor="text1"/>
          <w:szCs w:val="21"/>
          <w14:textFill>
            <w14:solidFill>
              <w14:schemeClr w14:val="tx1"/>
            </w14:solidFill>
          </w14:textFill>
        </w:rPr>
        <w:t>取值</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6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骨架线参数</w:t>
            </w:r>
          </w:p>
        </w:tc>
        <w:tc>
          <w:tcPr>
            <w:tcW w:w="6100" w:type="dxa"/>
            <w:noWrap/>
          </w:tcPr>
          <w:p>
            <w:pPr>
              <w:spacing w:line="360" w:lineRule="auto"/>
              <w:ind w:firstLine="420"/>
              <w:jc w:val="center"/>
              <w:rPr>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相对转动相对变形</w:t>
            </w:r>
            <w:r>
              <w:rPr>
                <w:color w:val="000000" w:themeColor="text1"/>
                <w:szCs w:val="21"/>
                <w14:textFill>
                  <w14:solidFill>
                    <w14:schemeClr w14:val="tx1"/>
                  </w14:solidFill>
                </w14:textFill>
              </w:rPr>
              <w:t>/rad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y</w:t>
            </w:r>
          </w:p>
        </w:tc>
        <w:tc>
          <w:tcPr>
            <w:tcW w:w="6100"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IO</w:t>
            </w:r>
          </w:p>
        </w:tc>
        <w:tc>
          <w:tcPr>
            <w:tcW w:w="6100"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0.5 (</w:t>
            </w:r>
            <w:r>
              <w:rPr>
                <w:i/>
                <w:color w:val="000000" w:themeColor="text1"/>
                <w:szCs w:val="21"/>
                <w14:textFill>
                  <w14:solidFill>
                    <w14:schemeClr w14:val="tx1"/>
                  </w14:solidFill>
                </w14:textFill>
              </w:rPr>
              <w:t>θ</w:t>
            </w:r>
            <w:r>
              <w:rPr>
                <w:rFonts w:hint="eastAsia"/>
                <w:color w:val="000000" w:themeColor="text1"/>
                <w:szCs w:val="21"/>
                <w:vertAlign w:val="subscript"/>
                <w14:textFill>
                  <w14:solidFill>
                    <w14:schemeClr w14:val="tx1"/>
                  </w14:solidFill>
                </w14:textFill>
              </w:rPr>
              <w:t>y</w:t>
            </w:r>
            <w:r>
              <w:rPr>
                <w:rFonts w:hint="eastAsia"/>
                <w:i/>
                <w:color w:val="000000" w:themeColor="text1"/>
                <w:szCs w:val="21"/>
                <w14:textFill>
                  <w14:solidFill>
                    <w14:schemeClr w14:val="tx1"/>
                  </w14:solidFill>
                </w14:textFill>
              </w:rPr>
              <w:t xml:space="preserve"> +</w:t>
            </w:r>
            <w:r>
              <w:rPr>
                <w:i/>
                <w:color w:val="000000" w:themeColor="text1"/>
                <w:szCs w:val="21"/>
                <w14:textFill>
                  <w14:solidFill>
                    <w14:schemeClr w14:val="tx1"/>
                  </w14:solidFill>
                </w14:textFill>
              </w:rPr>
              <w:t>θ</w:t>
            </w:r>
            <w:r>
              <w:rPr>
                <w:rFonts w:hint="eastAsia"/>
                <w:color w:val="000000" w:themeColor="text1"/>
                <w:szCs w:val="21"/>
                <w:vertAlign w:val="subscript"/>
                <w14:textFill>
                  <w14:solidFill>
                    <w14:schemeClr w14:val="tx1"/>
                  </w14:solidFill>
                </w14:textFill>
              </w:rPr>
              <w:t>p</w:t>
            </w:r>
            <w:r>
              <w:rPr>
                <w:rFonts w:hint="eastAsia"/>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p</w:t>
            </w:r>
          </w:p>
        </w:tc>
        <w:tc>
          <w:tcPr>
            <w:tcW w:w="6100"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i/>
                <w:color w:val="000000" w:themeColor="text1"/>
                <w:szCs w:val="21"/>
                <w14:textFill>
                  <w14:solidFill>
                    <w14:schemeClr w14:val="tx1"/>
                  </w14:solidFill>
                </w14:textFill>
              </w:rPr>
              <w:t>M</w:t>
            </w:r>
            <w:r>
              <w:rPr>
                <w:color w:val="000000" w:themeColor="text1"/>
                <w:szCs w:val="21"/>
                <w:vertAlign w:val="subscript"/>
                <w14:textFill>
                  <w14:solidFill>
                    <w14:schemeClr w14:val="tx1"/>
                  </w14:solidFill>
                </w14:textFill>
              </w:rPr>
              <w:t>p</w:t>
            </w:r>
            <w:r>
              <w:rPr>
                <w:i/>
                <w:color w:val="000000" w:themeColor="text1"/>
                <w:szCs w:val="21"/>
                <w14:textFill>
                  <w14:solidFill>
                    <w14:schemeClr w14:val="tx1"/>
                  </w14:solidFill>
                </w14:textFill>
              </w:rPr>
              <w:t>h</w:t>
            </w:r>
            <w:r>
              <w:rPr>
                <w:color w:val="000000" w:themeColor="text1"/>
                <w:szCs w:val="21"/>
                <w14:textFill>
                  <w14:solidFill>
                    <w14:schemeClr w14:val="tx1"/>
                  </w14:solidFill>
                </w14:textFill>
              </w:rPr>
              <w:t>/</w:t>
            </w:r>
            <w:r>
              <w:rPr>
                <w:i/>
                <w:color w:val="000000" w:themeColor="text1"/>
                <w:szCs w:val="21"/>
                <w14:textFill>
                  <w14:solidFill>
                    <w14:schemeClr w14:val="tx1"/>
                  </w14:solidFill>
                </w14:textFill>
              </w:rPr>
              <w:t>EI</w:t>
            </w:r>
            <w:r>
              <w:rPr>
                <w:color w:val="000000" w:themeColor="text1"/>
                <w:szCs w:val="21"/>
                <w:vertAlign w:val="subscript"/>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LS</w:t>
            </w:r>
          </w:p>
        </w:tc>
        <w:tc>
          <w:tcPr>
            <w:tcW w:w="6100"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u</w:t>
            </w:r>
          </w:p>
        </w:tc>
        <w:tc>
          <w:tcPr>
            <w:tcW w:w="6100" w:type="dxa"/>
            <w:noWrap/>
          </w:tcPr>
          <w:p>
            <w:pPr>
              <w:spacing w:line="360" w:lineRule="auto"/>
              <w:ind w:firstLine="42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06"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r</w:t>
            </w:r>
          </w:p>
        </w:tc>
        <w:tc>
          <w:tcPr>
            <w:tcW w:w="6100" w:type="dxa"/>
            <w:noWrap/>
          </w:tcPr>
          <w:p>
            <w:pPr>
              <w:spacing w:line="360" w:lineRule="auto"/>
              <w:ind w:firstLine="42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4</w:t>
            </w:r>
          </w:p>
        </w:tc>
      </w:tr>
    </w:tbl>
    <w:p>
      <w:pPr>
        <w:spacing w:line="360" w:lineRule="auto"/>
        <w:ind w:firstLine="0" w:firstLineChars="0"/>
        <w:rPr>
          <w:rFonts w:cs="Times New Roman"/>
          <w:color w:val="000000" w:themeColor="text1"/>
          <w:szCs w:val="21"/>
          <w14:textFill>
            <w14:solidFill>
              <w14:schemeClr w14:val="tx1"/>
            </w14:solidFill>
          </w14:textFill>
        </w:rPr>
      </w:pPr>
    </w:p>
    <w:p>
      <w:pPr>
        <w:spacing w:line="360" w:lineRule="auto"/>
        <w:ind w:firstLine="630" w:firstLineChars="30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2 </w:t>
      </w:r>
      <w:r>
        <w:rPr>
          <w:rFonts w:hint="eastAsia" w:cs="Times New Roman"/>
          <w:color w:val="000000" w:themeColor="text1"/>
          <w:szCs w:val="21"/>
          <w14:textFill>
            <w14:solidFill>
              <w14:schemeClr w14:val="tx1"/>
            </w14:solidFill>
          </w14:textFill>
        </w:rPr>
        <w:t>当钢筋混凝土连梁跨高比</w:t>
      </w: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时：</w:t>
      </w:r>
    </w:p>
    <w:p>
      <w:pPr>
        <w:spacing w:line="360" w:lineRule="auto"/>
        <w:ind w:left="420" w:leftChars="200"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）峰值点</w:t>
      </w:r>
      <w:r>
        <w:rPr>
          <w:rFonts w:cs="Times New Roman"/>
          <w:color w:val="000000" w:themeColor="text1"/>
          <w:szCs w:val="21"/>
          <w14:textFill>
            <w14:solidFill>
              <w14:schemeClr w14:val="tx1"/>
            </w14:solidFill>
          </w14:textFill>
        </w:rPr>
        <w:t>C</w:t>
      </w:r>
      <w:r>
        <w:rPr>
          <w:rFonts w:hint="eastAsia" w:cs="Times New Roman"/>
          <w:color w:val="000000" w:themeColor="text1"/>
          <w:szCs w:val="21"/>
          <w14:textFill>
            <w14:solidFill>
              <w14:schemeClr w14:val="tx1"/>
            </w14:solidFill>
          </w14:textFill>
        </w:rPr>
        <w:t>的剪力</w:t>
      </w:r>
      <w:r>
        <w:rPr>
          <w:rFonts w:cs="Times New Roman"/>
          <w:color w:val="000000" w:themeColor="text1"/>
          <w:szCs w:val="21"/>
          <w14:textFill>
            <w14:solidFill>
              <w14:schemeClr w14:val="tx1"/>
            </w14:solidFill>
          </w14:textFill>
        </w:rPr>
        <w:t>Vp</w:t>
      </w:r>
      <w:r>
        <w:rPr>
          <w:rFonts w:hint="eastAsia" w:cs="Times New Roman"/>
          <w:color w:val="000000" w:themeColor="text1"/>
          <w:szCs w:val="21"/>
          <w14:textFill>
            <w14:solidFill>
              <w14:schemeClr w14:val="tx1"/>
            </w14:solidFill>
          </w14:textFill>
        </w:rPr>
        <w:t>为构件的斜截面受剪承载力，可按现行国家标准《混凝土结构设计规范》</w:t>
      </w:r>
      <w:r>
        <w:rPr>
          <w:rFonts w:cs="Times New Roman"/>
          <w:color w:val="000000" w:themeColor="text1"/>
          <w:szCs w:val="21"/>
          <w14:textFill>
            <w14:solidFill>
              <w14:schemeClr w14:val="tx1"/>
            </w14:solidFill>
          </w14:textFill>
        </w:rPr>
        <w:t>GB50010</w:t>
      </w:r>
      <w:r>
        <w:rPr>
          <w:rFonts w:hint="eastAsia" w:cs="Times New Roman"/>
          <w:color w:val="000000" w:themeColor="text1"/>
          <w:szCs w:val="21"/>
          <w14:textFill>
            <w14:solidFill>
              <w14:schemeClr w14:val="tx1"/>
            </w14:solidFill>
          </w14:textFill>
        </w:rPr>
        <w:t>的规定计算，计算时材料强度按本附录</w:t>
      </w:r>
      <w:r>
        <w:rPr>
          <w:rFonts w:cs="Times New Roman"/>
          <w:color w:val="000000" w:themeColor="text1"/>
          <w:szCs w:val="21"/>
          <w14:textFill>
            <w14:solidFill>
              <w14:schemeClr w14:val="tx1"/>
            </w14:solidFill>
          </w14:textFill>
        </w:rPr>
        <w:t>I.2.5</w:t>
      </w:r>
      <w:r>
        <w:rPr>
          <w:rFonts w:hint="eastAsia" w:cs="Times New Roman"/>
          <w:color w:val="000000" w:themeColor="text1"/>
          <w:szCs w:val="21"/>
          <w14:textFill>
            <w14:solidFill>
              <w14:schemeClr w14:val="tx1"/>
            </w14:solidFill>
          </w14:textFill>
        </w:rPr>
        <w:t>条的规定采用；</w:t>
      </w:r>
    </w:p>
    <w:p>
      <w:pPr>
        <w:spacing w:line="360" w:lineRule="auto"/>
        <w:ind w:left="420" w:leftChars="200"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）名义屈服点</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的剪力</w:t>
      </w:r>
      <w:r>
        <w:rPr>
          <w:rFonts w:cs="Times New Roman"/>
          <w:color w:val="000000" w:themeColor="text1"/>
          <w:szCs w:val="21"/>
          <w14:textFill>
            <w14:solidFill>
              <w14:schemeClr w14:val="tx1"/>
            </w14:solidFill>
          </w14:textFill>
        </w:rPr>
        <w:t>Vy</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0.8Vp</w:t>
      </w:r>
      <w:r>
        <w:rPr>
          <w:rFonts w:hint="eastAsia" w:cs="Times New Roman"/>
          <w:color w:val="000000" w:themeColor="text1"/>
          <w:szCs w:val="21"/>
          <w14:textFill>
            <w14:solidFill>
              <w14:schemeClr w14:val="tx1"/>
            </w14:solidFill>
          </w14:textFill>
        </w:rPr>
        <w:t>；</w:t>
      </w:r>
    </w:p>
    <w:p>
      <w:pPr>
        <w:spacing w:line="360" w:lineRule="auto"/>
        <w:ind w:left="420" w:leftChars="200"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）性能点</w:t>
      </w:r>
      <w:r>
        <w:rPr>
          <w:rFonts w:cs="Times New Roman"/>
          <w:color w:val="000000" w:themeColor="text1"/>
          <w:szCs w:val="21"/>
          <w14:textFill>
            <w14:solidFill>
              <w14:schemeClr w14:val="tx1"/>
            </w14:solidFill>
          </w14:textFill>
        </w:rPr>
        <w:t>CP</w:t>
      </w:r>
      <w:r>
        <w:rPr>
          <w:rFonts w:hint="eastAsia" w:cs="Times New Roman"/>
          <w:color w:val="000000" w:themeColor="text1"/>
          <w:szCs w:val="21"/>
          <w14:textFill>
            <w14:solidFill>
              <w14:schemeClr w14:val="tx1"/>
            </w14:solidFill>
          </w14:textFill>
        </w:rPr>
        <w:t>（即极限点</w:t>
      </w:r>
      <w:r>
        <w:rPr>
          <w:rFonts w:cs="Times New Roman"/>
          <w:color w:val="000000" w:themeColor="text1"/>
          <w:szCs w:val="21"/>
          <w14:textFill>
            <w14:solidFill>
              <w14:schemeClr w14:val="tx1"/>
            </w14:solidFill>
          </w14:textFill>
        </w:rPr>
        <w:t>D</w:t>
      </w:r>
      <w:r>
        <w:rPr>
          <w:rFonts w:hint="eastAsia" w:cs="Times New Roman"/>
          <w:color w:val="000000" w:themeColor="text1"/>
          <w:szCs w:val="21"/>
          <w14:textFill>
            <w14:solidFill>
              <w14:schemeClr w14:val="tx1"/>
            </w14:solidFill>
          </w14:textFill>
        </w:rPr>
        <w:t>）的剪力</w:t>
      </w:r>
      <w:r>
        <w:rPr>
          <w:rFonts w:cs="Times New Roman"/>
          <w:color w:val="000000" w:themeColor="text1"/>
          <w:szCs w:val="21"/>
          <w14:textFill>
            <w14:solidFill>
              <w14:schemeClr w14:val="tx1"/>
            </w14:solidFill>
          </w14:textFill>
        </w:rPr>
        <w:t>Vu</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0.5Vp</w:t>
      </w:r>
      <w:r>
        <w:rPr>
          <w:rFonts w:hint="eastAsia" w:cs="Times New Roman"/>
          <w:color w:val="000000" w:themeColor="text1"/>
          <w:szCs w:val="21"/>
          <w14:textFill>
            <w14:solidFill>
              <w14:schemeClr w14:val="tx1"/>
            </w14:solidFill>
          </w14:textFill>
        </w:rPr>
        <w:t>；</w:t>
      </w:r>
    </w:p>
    <w:p>
      <w:pPr>
        <w:spacing w:line="360" w:lineRule="auto"/>
        <w:ind w:left="420" w:leftChars="200"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）失效点</w:t>
      </w:r>
      <w:r>
        <w:rPr>
          <w:rFonts w:cs="Times New Roman"/>
          <w:color w:val="000000" w:themeColor="text1"/>
          <w:szCs w:val="21"/>
          <w14:textFill>
            <w14:solidFill>
              <w14:schemeClr w14:val="tx1"/>
            </w14:solidFill>
          </w14:textFill>
        </w:rPr>
        <w:t>E</w:t>
      </w:r>
      <w:r>
        <w:rPr>
          <w:rFonts w:hint="eastAsia" w:cs="Times New Roman"/>
          <w:color w:val="000000" w:themeColor="text1"/>
          <w:szCs w:val="21"/>
          <w14:textFill>
            <w14:solidFill>
              <w14:schemeClr w14:val="tx1"/>
            </w14:solidFill>
          </w14:textFill>
        </w:rPr>
        <w:t>的剪力</w:t>
      </w:r>
      <w:r>
        <w:rPr>
          <w:rFonts w:cs="Times New Roman"/>
          <w:color w:val="000000" w:themeColor="text1"/>
          <w:szCs w:val="21"/>
          <w14:textFill>
            <w14:solidFill>
              <w14:schemeClr w14:val="tx1"/>
            </w14:solidFill>
          </w14:textFill>
        </w:rPr>
        <w:t>Vr</w:t>
      </w:r>
      <w:r>
        <w:rPr>
          <w:rFonts w:hint="eastAsia" w:cs="Times New Roman"/>
          <w:color w:val="000000" w:themeColor="text1"/>
          <w:szCs w:val="21"/>
          <w14:textFill>
            <w14:solidFill>
              <w14:schemeClr w14:val="tx1"/>
            </w14:solidFill>
          </w14:textFill>
        </w:rPr>
        <w:t>可取为</w:t>
      </w:r>
      <w:r>
        <w:rPr>
          <w:rFonts w:cs="Times New Roman"/>
          <w:color w:val="000000" w:themeColor="text1"/>
          <w:szCs w:val="21"/>
          <w14:textFill>
            <w14:solidFill>
              <w14:schemeClr w14:val="tx1"/>
            </w14:solidFill>
          </w14:textFill>
        </w:rPr>
        <w:t>0.3Vp</w:t>
      </w:r>
      <w:r>
        <w:rPr>
          <w:rFonts w:hint="eastAsia" w:cs="Times New Roman"/>
          <w:color w:val="000000" w:themeColor="text1"/>
          <w:szCs w:val="21"/>
          <w14:textFill>
            <w14:solidFill>
              <w14:schemeClr w14:val="tx1"/>
            </w14:solidFill>
          </w14:textFill>
        </w:rPr>
        <w:t>；</w:t>
      </w:r>
    </w:p>
    <w:p>
      <w:pPr>
        <w:spacing w:line="360" w:lineRule="auto"/>
        <w:ind w:left="420" w:leftChars="200" w:firstLine="420"/>
        <w:rPr>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5）B</w:t>
      </w:r>
      <w:r>
        <w:rPr>
          <w:rFonts w:hint="eastAsia" w:hAnsi="宋体"/>
          <w:color w:val="000000" w:themeColor="text1"/>
          <w:szCs w:val="21"/>
          <w14:textFill>
            <w14:solidFill>
              <w14:schemeClr w14:val="tx1"/>
            </w14:solidFill>
          </w14:textFill>
        </w:rPr>
        <w:t>、IO、C、CP、E点的相对位移</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y</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IO</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p</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LS</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u</w:t>
      </w:r>
      <w:r>
        <w:rPr>
          <w:rFonts w:hint="eastAsia"/>
          <w:color w:val="000000" w:themeColor="text1"/>
          <w:szCs w:val="21"/>
          <w14:textFill>
            <w14:solidFill>
              <w14:schemeClr w14:val="tx1"/>
            </w14:solidFill>
          </w14:textFill>
        </w:rPr>
        <w:t>和(</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r</w:t>
      </w:r>
      <w:r>
        <w:rPr>
          <w:rFonts w:hint="eastAsia"/>
          <w:color w:val="000000" w:themeColor="text1"/>
          <w:szCs w:val="21"/>
          <w14:textFill>
            <w14:solidFill>
              <w14:schemeClr w14:val="tx1"/>
            </w14:solidFill>
          </w14:textFill>
        </w:rPr>
        <w:t>可参考表I</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4.10-</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确定；</w:t>
      </w:r>
    </w:p>
    <w:p>
      <w:pPr>
        <w:spacing w:line="360" w:lineRule="auto"/>
        <w:ind w:firstLine="420"/>
        <w:jc w:val="center"/>
        <w:rPr>
          <w:rFonts w:ascii="宋体" w:hAnsi="宋体"/>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表</w:t>
      </w:r>
      <w:r>
        <w:rPr>
          <w:rFonts w:hint="eastAsia" w:cs="Times New Roman"/>
          <w:color w:val="000000" w:themeColor="text1"/>
          <w:szCs w:val="21"/>
          <w14:textFill>
            <w14:solidFill>
              <w14:schemeClr w14:val="tx1"/>
            </w14:solidFill>
          </w14:textFill>
        </w:rPr>
        <w:t>I</w:t>
      </w: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10-2</w:t>
      </w:r>
      <w:r>
        <w:rPr>
          <w:rFonts w:cs="Times New Roman"/>
          <w:color w:val="000000" w:themeColor="text1"/>
          <w:szCs w:val="21"/>
          <w14:textFill>
            <w14:solidFill>
              <w14:schemeClr w14:val="tx1"/>
            </w14:solidFill>
          </w14:textFill>
        </w:rPr>
        <w:t xml:space="preserve"> </w:t>
      </w:r>
      <w:r>
        <w:rPr>
          <w:rFonts w:hint="eastAsia" w:hAnsi="宋体"/>
          <w:color w:val="000000" w:themeColor="text1"/>
          <w:szCs w:val="21"/>
          <w14:textFill>
            <w14:solidFill>
              <w14:schemeClr w14:val="tx1"/>
            </w14:solidFill>
          </w14:textFill>
        </w:rPr>
        <w:t>跨高比</w:t>
      </w:r>
      <w:r>
        <w:rPr>
          <w:rFonts w:cs="Times New Roman"/>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5</w:t>
      </w:r>
      <w:r>
        <w:rPr>
          <w:rFonts w:cs="Times New Roman"/>
          <w:color w:val="000000" w:themeColor="text1"/>
          <w:szCs w:val="21"/>
          <w14:textFill>
            <w14:solidFill>
              <w14:schemeClr w14:val="tx1"/>
            </w14:solidFill>
          </w14:textFill>
        </w:rPr>
        <w:t>钢</w:t>
      </w:r>
      <w:r>
        <w:rPr>
          <w:rFonts w:hint="eastAsia" w:ascii="宋体" w:hAnsi="宋体"/>
          <w:color w:val="000000" w:themeColor="text1"/>
          <w:szCs w:val="21"/>
          <w14:textFill>
            <w14:solidFill>
              <w14:schemeClr w14:val="tx1"/>
            </w14:solidFill>
          </w14:textFill>
        </w:rPr>
        <w:t>筋混凝土</w:t>
      </w:r>
      <w:r>
        <w:rPr>
          <w:rFonts w:hint="eastAsia" w:hAnsi="宋体"/>
          <w:color w:val="000000" w:themeColor="text1"/>
          <w:szCs w:val="21"/>
          <w14:textFill>
            <w14:solidFill>
              <w14:schemeClr w14:val="tx1"/>
            </w14:solidFill>
          </w14:textFill>
        </w:rPr>
        <w:t>两端相对变形</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y</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IO</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p</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LS</w:t>
      </w: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u</w:t>
      </w:r>
      <w:r>
        <w:rPr>
          <w:rFonts w:hint="eastAsia"/>
          <w:color w:val="000000" w:themeColor="text1"/>
          <w:szCs w:val="21"/>
          <w14:textFill>
            <w14:solidFill>
              <w14:schemeClr w14:val="tx1"/>
            </w14:solidFill>
          </w14:textFill>
        </w:rPr>
        <w:t>和(</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r</w:t>
      </w:r>
      <w:r>
        <w:rPr>
          <w:rFonts w:hint="eastAsia" w:ascii="宋体" w:hAnsi="宋体"/>
          <w:color w:val="000000" w:themeColor="text1"/>
          <w:szCs w:val="21"/>
          <w14:textFill>
            <w14:solidFill>
              <w14:schemeClr w14:val="tx1"/>
            </w14:solidFill>
          </w14:textFill>
        </w:rPr>
        <w:t>取值</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6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98"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骨架线参数</w:t>
            </w:r>
          </w:p>
        </w:tc>
        <w:tc>
          <w:tcPr>
            <w:tcW w:w="6524" w:type="dxa"/>
            <w:noWrap/>
          </w:tcPr>
          <w:p>
            <w:pPr>
              <w:spacing w:line="360" w:lineRule="auto"/>
              <w:ind w:firstLine="420"/>
              <w:jc w:val="center"/>
              <w:rPr>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相对转动相对变形</w:t>
            </w:r>
            <w:r>
              <w:rPr>
                <w:color w:val="000000" w:themeColor="text1"/>
                <w:szCs w:val="21"/>
                <w14:textFill>
                  <w14:solidFill>
                    <w14:schemeClr w14:val="tx1"/>
                  </w14:solidFill>
                </w14:textFill>
              </w:rPr>
              <w:t>/rad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98"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y</w:t>
            </w:r>
          </w:p>
        </w:tc>
        <w:tc>
          <w:tcPr>
            <w:tcW w:w="6524"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98"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IO</w:t>
            </w:r>
          </w:p>
        </w:tc>
        <w:tc>
          <w:tcPr>
            <w:tcW w:w="6524"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0.5 [(</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y</w:t>
            </w:r>
            <w:r>
              <w:rPr>
                <w:rFonts w:hint="eastAsia"/>
                <w:i/>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 xml:space="preserve"> (</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p</w:t>
            </w:r>
            <w:r>
              <w:rPr>
                <w:rFonts w:hint="eastAsia"/>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98"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p</w:t>
            </w:r>
          </w:p>
        </w:tc>
        <w:tc>
          <w:tcPr>
            <w:tcW w:w="6524"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25</w:t>
            </w:r>
            <w:r>
              <w:rPr>
                <w:rFonts w:hint="eastAsia"/>
                <w:i/>
                <w:color w:val="000000" w:themeColor="text1"/>
                <w:szCs w:val="21"/>
                <w14:textFill>
                  <w14:solidFill>
                    <w14:schemeClr w14:val="tx1"/>
                  </w14:solidFill>
                </w14:textFill>
              </w:rPr>
              <w:t>V</w:t>
            </w:r>
            <w:r>
              <w:rPr>
                <w:color w:val="000000" w:themeColor="text1"/>
                <w:szCs w:val="21"/>
                <w:vertAlign w:val="subscript"/>
                <w14:textFill>
                  <w14:solidFill>
                    <w14:schemeClr w14:val="tx1"/>
                  </w14:solidFill>
                </w14:textFill>
              </w:rPr>
              <w:t>p</w:t>
            </w:r>
            <w:r>
              <w:rPr>
                <w:color w:val="000000" w:themeColor="text1"/>
                <w:szCs w:val="21"/>
                <w14:textFill>
                  <w14:solidFill>
                    <w14:schemeClr w14:val="tx1"/>
                  </w14:solidFill>
                </w14:textFill>
              </w:rPr>
              <w:t>/</w:t>
            </w:r>
            <w:r>
              <w:rPr>
                <w:i/>
                <w:color w:val="000000" w:themeColor="text1"/>
                <w:szCs w:val="21"/>
                <w14:textFill>
                  <w14:solidFill>
                    <w14:schemeClr w14:val="tx1"/>
                  </w14:solidFill>
                </w14:textFill>
              </w:rPr>
              <w:t>E</w:t>
            </w:r>
            <w:r>
              <w:rPr>
                <w:rFonts w:hint="eastAsia"/>
                <w:i/>
                <w:color w:val="000000" w:themeColor="text1"/>
                <w:szCs w:val="21"/>
                <w14:textFill>
                  <w14:solidFill>
                    <w14:schemeClr w14:val="tx1"/>
                  </w14:solidFill>
                </w14:textFill>
              </w:rPr>
              <w:t>A</w:t>
            </w:r>
            <w:r>
              <w:rPr>
                <w:color w:val="000000" w:themeColor="text1"/>
                <w:szCs w:val="21"/>
                <w:vertAlign w:val="subscript"/>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98"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LS</w:t>
            </w:r>
          </w:p>
        </w:tc>
        <w:tc>
          <w:tcPr>
            <w:tcW w:w="6524"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98"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u</w:t>
            </w:r>
          </w:p>
        </w:tc>
        <w:tc>
          <w:tcPr>
            <w:tcW w:w="6524" w:type="dxa"/>
            <w:noWrap/>
          </w:tcPr>
          <w:p>
            <w:pPr>
              <w:spacing w:line="360" w:lineRule="auto"/>
              <w:ind w:firstLine="42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98" w:type="dxa"/>
            <w:noWrap/>
          </w:tcPr>
          <w:p>
            <w:pPr>
              <w:spacing w:line="360" w:lineRule="auto"/>
              <w:ind w:firstLine="420"/>
              <w:jc w:val="center"/>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ascii="Symbol" w:hAnsi="Symbol"/>
                <w:i/>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w:t>
            </w:r>
            <w:r>
              <w:rPr>
                <w:rFonts w:hint="eastAsia"/>
                <w:i/>
                <w:color w:val="000000" w:themeColor="text1"/>
                <w:szCs w:val="21"/>
                <w14:textFill>
                  <w14:solidFill>
                    <w14:schemeClr w14:val="tx1"/>
                  </w14:solidFill>
                </w14:textFill>
              </w:rPr>
              <w:t>L</w:t>
            </w:r>
            <w:r>
              <w:rPr>
                <w:rFonts w:hint="eastAsia"/>
                <w:color w:val="000000" w:themeColor="text1"/>
                <w:szCs w:val="21"/>
                <w14:textFill>
                  <w14:solidFill>
                    <w14:schemeClr w14:val="tx1"/>
                  </w14:solidFill>
                </w14:textFill>
              </w:rPr>
              <w:t>)</w:t>
            </w:r>
            <w:r>
              <w:rPr>
                <w:rFonts w:hint="eastAsia"/>
                <w:color w:val="000000" w:themeColor="text1"/>
                <w:szCs w:val="21"/>
                <w:vertAlign w:val="subscript"/>
                <w14:textFill>
                  <w14:solidFill>
                    <w14:schemeClr w14:val="tx1"/>
                  </w14:solidFill>
                </w14:textFill>
              </w:rPr>
              <w:t>r</w:t>
            </w:r>
          </w:p>
        </w:tc>
        <w:tc>
          <w:tcPr>
            <w:tcW w:w="6524" w:type="dxa"/>
            <w:noWrap/>
          </w:tcPr>
          <w:p>
            <w:pPr>
              <w:spacing w:line="360" w:lineRule="auto"/>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0.024</w:t>
            </w:r>
          </w:p>
        </w:tc>
      </w:tr>
    </w:tbl>
    <w:p>
      <w:pPr>
        <w:spacing w:line="360" w:lineRule="auto"/>
        <w:ind w:firstLine="420"/>
        <w:rPr>
          <w:rFonts w:cs="Times New Roman"/>
          <w:color w:val="000000" w:themeColor="text1"/>
          <w:szCs w:val="21"/>
          <w14:textFill>
            <w14:solidFill>
              <w14:schemeClr w14:val="tx1"/>
            </w14:solidFill>
          </w14:textFill>
        </w:rPr>
      </w:pPr>
      <w:r>
        <w:rPr>
          <w:rFonts w:hAnsi="宋体"/>
          <w:color w:val="000000" w:themeColor="text1"/>
          <w:szCs w:val="21"/>
          <w14:textFill>
            <w14:solidFill>
              <w14:schemeClr w14:val="tx1"/>
            </w14:solidFill>
          </w14:textFill>
        </w:rPr>
        <w:t xml:space="preserve"> </w:t>
      </w:r>
    </w:p>
    <w:p>
      <w:pPr>
        <w:spacing w:line="360" w:lineRule="auto"/>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drawing>
          <wp:inline distT="0" distB="0" distL="0" distR="0">
            <wp:extent cx="2857500" cy="1671320"/>
            <wp:effectExtent l="0" t="0" r="0" b="5080"/>
            <wp:docPr id="2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1"/>
                    <pic:cNvPicPr>
                      <a:picLocks noChangeAspect="1" noChangeArrowheads="1"/>
                    </pic:cNvPicPr>
                  </pic:nvPicPr>
                  <pic:blipFill>
                    <a:blip r:embed="rId245">
                      <a:extLst>
                        <a:ext uri="{28A0092B-C50C-407E-A947-70E740481C1C}">
                          <a14:useLocalDpi xmlns:a14="http://schemas.microsoft.com/office/drawing/2010/main" val="0"/>
                        </a:ext>
                      </a:extLst>
                    </a:blip>
                    <a:srcRect t="16264" b="8514"/>
                    <a:stretch>
                      <a:fillRect/>
                    </a:stretch>
                  </pic:blipFill>
                  <pic:spPr>
                    <a:xfrm>
                      <a:off x="0" y="0"/>
                      <a:ext cx="2862188" cy="1674407"/>
                    </a:xfrm>
                    <a:prstGeom prst="rect">
                      <a:avLst/>
                    </a:prstGeom>
                    <a:noFill/>
                    <a:ln>
                      <a:noFill/>
                    </a:ln>
                  </pic:spPr>
                </pic:pic>
              </a:graphicData>
            </a:graphic>
          </wp:inline>
        </w:drawing>
      </w: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图</w:t>
      </w:r>
      <w:r>
        <w:rPr>
          <w:rFonts w:cs="Times New Roman"/>
          <w:color w:val="000000" w:themeColor="text1"/>
          <w:szCs w:val="21"/>
          <w14:textFill>
            <w14:solidFill>
              <w14:schemeClr w14:val="tx1"/>
            </w14:solidFill>
          </w14:textFill>
        </w:rPr>
        <w:t xml:space="preserve">I.4.10-1 </w:t>
      </w:r>
      <w:r>
        <w:rPr>
          <w:rFonts w:hint="eastAsia" w:cs="Times New Roman"/>
          <w:color w:val="000000" w:themeColor="text1"/>
          <w:szCs w:val="21"/>
          <w14:textFill>
            <w14:solidFill>
              <w14:schemeClr w14:val="tx1"/>
            </w14:solidFill>
          </w14:textFill>
        </w:rPr>
        <w:t>钢筋混凝土连梁的相对变形角计算示意图</w:t>
      </w:r>
    </w:p>
    <w:p>
      <w:pPr>
        <w:autoSpaceDE w:val="0"/>
        <w:autoSpaceDN w:val="0"/>
        <w:spacing w:line="360" w:lineRule="auto"/>
        <w:ind w:firstLine="420"/>
        <w:jc w:val="left"/>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相对转角根据图</w:t>
      </w:r>
      <w:r>
        <w:rPr>
          <w:rFonts w:cs="Times New Roman"/>
          <w:color w:val="000000" w:themeColor="text1"/>
          <w:szCs w:val="21"/>
          <w14:textFill>
            <w14:solidFill>
              <w14:schemeClr w14:val="tx1"/>
            </w14:solidFill>
          </w14:textFill>
        </w:rPr>
        <w:t>I.4.10-1</w:t>
      </w:r>
      <w:r>
        <w:rPr>
          <w:rFonts w:hint="eastAsia" w:cs="Times New Roman"/>
          <w:color w:val="000000" w:themeColor="text1"/>
          <w:szCs w:val="21"/>
          <w14:textFill>
            <w14:solidFill>
              <w14:schemeClr w14:val="tx1"/>
            </w14:solidFill>
          </w14:textFill>
        </w:rPr>
        <w:t>进行计算。其中，</w:t>
      </w:r>
      <w:r>
        <w:rPr>
          <w:rFonts w:cs="Times New Roman"/>
          <w:color w:val="000000" w:themeColor="text1"/>
          <w:szCs w:val="21"/>
          <w14:textFill>
            <w14:solidFill>
              <w14:schemeClr w14:val="tx1"/>
            </w14:solidFill>
          </w14:textFill>
        </w:rPr>
        <w:t>Δ</w:t>
      </w:r>
      <w:r>
        <w:rPr>
          <w:rFonts w:hint="eastAsia" w:cs="Times New Roman"/>
          <w:color w:val="000000" w:themeColor="text1"/>
          <w:szCs w:val="21"/>
          <w14:textFill>
            <w14:solidFill>
              <w14:schemeClr w14:val="tx1"/>
            </w14:solidFill>
          </w14:textFill>
        </w:rPr>
        <w:t>为地震作用下钢筋混凝土连梁的两端相对变形，</w:t>
      </w:r>
      <w:r>
        <w:rPr>
          <w:rFonts w:cs="Times New Roman"/>
          <w:color w:val="000000" w:themeColor="text1"/>
          <w:szCs w:val="21"/>
          <w14:textFill>
            <w14:solidFill>
              <w14:schemeClr w14:val="tx1"/>
            </w14:solidFill>
          </w14:textFill>
        </w:rPr>
        <w:t>L</w:t>
      </w:r>
      <w:r>
        <w:rPr>
          <w:rFonts w:hint="eastAsia" w:cs="Times New Roman"/>
          <w:color w:val="000000" w:themeColor="text1"/>
          <w:szCs w:val="21"/>
          <w14:textFill>
            <w14:solidFill>
              <w14:schemeClr w14:val="tx1"/>
            </w14:solidFill>
          </w14:textFill>
        </w:rPr>
        <w:t>为连梁长度；</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I.4.11  </w:t>
      </w:r>
      <w:r>
        <w:rPr>
          <w:rFonts w:hint="eastAsia" w:cs="Times New Roman"/>
          <w:color w:val="000000" w:themeColor="text1"/>
          <w:szCs w:val="21"/>
          <w14:textFill>
            <w14:solidFill>
              <w14:schemeClr w14:val="tx1"/>
            </w14:solidFill>
          </w14:textFill>
        </w:rPr>
        <w:t>钢梁、钢柱与钢支撑的损伤等级及判别标准分为</w:t>
      </w:r>
      <w:r>
        <w:rPr>
          <w:rFonts w:cs="Times New Roman"/>
          <w:color w:val="000000" w:themeColor="text1"/>
          <w:szCs w:val="21"/>
          <w14:textFill>
            <w14:solidFill>
              <w14:schemeClr w14:val="tx1"/>
            </w14:solidFill>
          </w14:textFill>
        </w:rPr>
        <w:t>6</w:t>
      </w:r>
      <w:r>
        <w:rPr>
          <w:rFonts w:hint="eastAsia" w:cs="Times New Roman"/>
          <w:color w:val="000000" w:themeColor="text1"/>
          <w:szCs w:val="21"/>
          <w14:textFill>
            <w14:solidFill>
              <w14:schemeClr w14:val="tx1"/>
            </w14:solidFill>
          </w14:textFill>
        </w:rPr>
        <w:t>级，如表</w:t>
      </w:r>
      <w:r>
        <w:rPr>
          <w:rFonts w:cs="Times New Roman"/>
          <w:color w:val="000000" w:themeColor="text1"/>
          <w:szCs w:val="21"/>
          <w14:textFill>
            <w14:solidFill>
              <w14:schemeClr w14:val="tx1"/>
            </w14:solidFill>
          </w14:textFill>
        </w:rPr>
        <w:t>I.4.11-1</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p>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I.4.11-1 </w:t>
      </w:r>
      <w:r>
        <w:rPr>
          <w:rFonts w:hint="eastAsia" w:cs="Times New Roman"/>
          <w:color w:val="000000" w:themeColor="text1"/>
          <w:szCs w:val="21"/>
          <w14:textFill>
            <w14:solidFill>
              <w14:schemeClr w14:val="tx1"/>
            </w14:solidFill>
          </w14:textFill>
        </w:rPr>
        <w:t>钢构件基于变形的地震损坏等级判别标准</w:t>
      </w:r>
    </w:p>
    <w:tbl>
      <w:tblPr>
        <w:tblStyle w:val="32"/>
        <w:tblW w:w="56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2125"/>
        <w:gridCol w:w="20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59" w:type="dxa"/>
            <w:tcBorders>
              <w:top w:val="single" w:color="auto" w:sz="8" w:space="0"/>
              <w:left w:val="single" w:color="auto" w:sz="8"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损坏等级</w:t>
            </w:r>
          </w:p>
        </w:tc>
        <w:tc>
          <w:tcPr>
            <w:tcW w:w="2127" w:type="dxa"/>
            <w:tcBorders>
              <w:top w:val="single" w:color="auto" w:sz="8" w:space="0"/>
              <w:left w:val="single" w:color="auto" w:sz="4"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损坏程度</w:t>
            </w:r>
          </w:p>
        </w:tc>
        <w:tc>
          <w:tcPr>
            <w:tcW w:w="2005" w:type="dxa"/>
            <w:tcBorders>
              <w:top w:val="single" w:color="auto" w:sz="8" w:space="0"/>
              <w:left w:val="single" w:color="auto" w:sz="4" w:space="0"/>
              <w:bottom w:val="single" w:color="auto" w:sz="8"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判别标准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8"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级</w:t>
            </w:r>
          </w:p>
        </w:tc>
        <w:tc>
          <w:tcPr>
            <w:tcW w:w="2127" w:type="dxa"/>
            <w:tcBorders>
              <w:top w:val="single" w:color="auto" w:sz="8"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无损坏</w:t>
            </w:r>
          </w:p>
        </w:tc>
        <w:tc>
          <w:tcPr>
            <w:tcW w:w="2005" w:type="dxa"/>
            <w:tcBorders>
              <w:top w:val="single" w:color="auto" w:sz="8"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Δ ≤Δy</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轻微损坏</w:t>
            </w:r>
          </w:p>
        </w:tc>
        <w:tc>
          <w:tcPr>
            <w:tcW w:w="2005"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Δy&lt;Δ≤ΔIO</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轻度损坏</w:t>
            </w:r>
          </w:p>
        </w:tc>
        <w:tc>
          <w:tcPr>
            <w:tcW w:w="2005"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ΔIO&lt;Δ≤ΔK</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中度损坏</w:t>
            </w:r>
          </w:p>
        </w:tc>
        <w:tc>
          <w:tcPr>
            <w:tcW w:w="2005"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ΔK&lt;Δ≤ΔLS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比较严重损坏</w:t>
            </w:r>
          </w:p>
        </w:tc>
        <w:tc>
          <w:tcPr>
            <w:tcW w:w="2005" w:type="dxa"/>
            <w:tcBorders>
              <w:top w:val="single" w:color="auto" w:sz="4" w:space="0"/>
              <w:left w:val="single" w:color="auto" w:sz="4" w:space="0"/>
              <w:bottom w:val="single" w:color="auto" w:sz="4"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ΔLS&lt;Δ≤ΔCP</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559" w:type="dxa"/>
            <w:tcBorders>
              <w:top w:val="single" w:color="auto" w:sz="4" w:space="0"/>
              <w:left w:val="single" w:color="auto" w:sz="8"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w:t>
            </w:r>
            <w:r>
              <w:rPr>
                <w:rFonts w:hint="eastAsia" w:cs="Times New Roman"/>
                <w:color w:val="000000" w:themeColor="text1"/>
                <w:szCs w:val="21"/>
                <w14:textFill>
                  <w14:solidFill>
                    <w14:schemeClr w14:val="tx1"/>
                  </w14:solidFill>
                </w14:textFill>
              </w:rPr>
              <w:t>级</w:t>
            </w:r>
          </w:p>
        </w:tc>
        <w:tc>
          <w:tcPr>
            <w:tcW w:w="2127" w:type="dxa"/>
            <w:tcBorders>
              <w:top w:val="single" w:color="auto" w:sz="4" w:space="0"/>
              <w:left w:val="single" w:color="auto" w:sz="4" w:space="0"/>
              <w:bottom w:val="single" w:color="auto" w:sz="8" w:space="0"/>
              <w:right w:val="single" w:color="auto" w:sz="4"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严重损坏</w:t>
            </w:r>
          </w:p>
        </w:tc>
        <w:tc>
          <w:tcPr>
            <w:tcW w:w="2005" w:type="dxa"/>
            <w:tcBorders>
              <w:top w:val="single" w:color="auto" w:sz="4" w:space="0"/>
              <w:left w:val="single" w:color="auto" w:sz="4" w:space="0"/>
              <w:bottom w:val="single" w:color="auto" w:sz="8" w:space="0"/>
              <w:right w:val="single" w:color="auto" w:sz="8" w:space="0"/>
            </w:tcBorders>
          </w:tcPr>
          <w:p>
            <w:pPr>
              <w:spacing w:line="360" w:lineRule="auto"/>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Δ&gt;ΔCP</w:t>
            </w:r>
          </w:p>
        </w:tc>
      </w:tr>
    </w:tbl>
    <w:p>
      <w:pPr>
        <w:spacing w:line="360" w:lineRule="auto"/>
        <w:ind w:firstLine="1080" w:firstLineChars="60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w:t>
      </w:r>
      <w:r>
        <w:rPr>
          <w:rFonts w:cs="Times New Roman"/>
          <w:color w:val="000000" w:themeColor="text1"/>
          <w:sz w:val="18"/>
          <w:szCs w:val="18"/>
          <w14:textFill>
            <w14:solidFill>
              <w14:schemeClr w14:val="tx1"/>
            </w14:solidFill>
          </w14:textFill>
        </w:rPr>
        <w:t>1 Δ</w:t>
      </w:r>
      <w:r>
        <w:rPr>
          <w:rFonts w:hint="eastAsia" w:cs="Times New Roman"/>
          <w:color w:val="000000" w:themeColor="text1"/>
          <w:sz w:val="18"/>
          <w:szCs w:val="18"/>
          <w14:textFill>
            <w14:solidFill>
              <w14:schemeClr w14:val="tx1"/>
            </w14:solidFill>
          </w14:textFill>
        </w:rPr>
        <w:t>为地震作用下钢结构构件的最大变形（转角或轴向位移）；</w:t>
      </w:r>
    </w:p>
    <w:p>
      <w:pPr>
        <w:spacing w:line="360" w:lineRule="auto"/>
        <w:ind w:firstLine="1440" w:firstLineChars="80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2 Δy</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ΔIO</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ΔK</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ΔLS</w:t>
      </w:r>
      <w:r>
        <w:rPr>
          <w:rFonts w:hint="eastAsia" w:cs="Times New Roman"/>
          <w:color w:val="000000" w:themeColor="text1"/>
          <w:sz w:val="18"/>
          <w:szCs w:val="18"/>
          <w14:textFill>
            <w14:solidFill>
              <w14:schemeClr w14:val="tx1"/>
            </w14:solidFill>
          </w14:textFill>
        </w:rPr>
        <w:t>和</w:t>
      </w:r>
      <w:r>
        <w:rPr>
          <w:rFonts w:cs="Times New Roman"/>
          <w:color w:val="000000" w:themeColor="text1"/>
          <w:sz w:val="18"/>
          <w:szCs w:val="18"/>
          <w14:textFill>
            <w14:solidFill>
              <w14:schemeClr w14:val="tx1"/>
            </w14:solidFill>
          </w14:textFill>
        </w:rPr>
        <w:t>ΔCP</w:t>
      </w:r>
      <w:r>
        <w:rPr>
          <w:rFonts w:hint="eastAsia" w:cs="Times New Roman"/>
          <w:color w:val="000000" w:themeColor="text1"/>
          <w:sz w:val="18"/>
          <w:szCs w:val="18"/>
          <w14:textFill>
            <w14:solidFill>
              <w14:schemeClr w14:val="tx1"/>
            </w14:solidFill>
          </w14:textFill>
        </w:rPr>
        <w:t>分别为钢结构构件的名义屈服点</w:t>
      </w:r>
      <w:r>
        <w:rPr>
          <w:rFonts w:cs="Times New Roman"/>
          <w:color w:val="000000" w:themeColor="text1"/>
          <w:sz w:val="18"/>
          <w:szCs w:val="18"/>
          <w14:textFill>
            <w14:solidFill>
              <w14:schemeClr w14:val="tx1"/>
            </w14:solidFill>
          </w14:textFill>
        </w:rPr>
        <w:t>B</w:t>
      </w:r>
      <w:r>
        <w:rPr>
          <w:rFonts w:hint="eastAsia" w:cs="Times New Roman"/>
          <w:color w:val="000000" w:themeColor="text1"/>
          <w:sz w:val="18"/>
          <w:szCs w:val="18"/>
          <w14:textFill>
            <w14:solidFill>
              <w14:schemeClr w14:val="tx1"/>
            </w14:solidFill>
          </w14:textFill>
        </w:rPr>
        <w:t>的变形、性能点</w:t>
      </w:r>
      <w:r>
        <w:rPr>
          <w:rFonts w:cs="Times New Roman"/>
          <w:color w:val="000000" w:themeColor="text1"/>
          <w:sz w:val="18"/>
          <w:szCs w:val="18"/>
          <w14:textFill>
            <w14:solidFill>
              <w14:schemeClr w14:val="tx1"/>
            </w14:solidFill>
          </w14:textFill>
        </w:rPr>
        <w:t>IO</w:t>
      </w:r>
      <w:r>
        <w:rPr>
          <w:rFonts w:hint="eastAsia" w:cs="Times New Roman"/>
          <w:color w:val="000000" w:themeColor="text1"/>
          <w:sz w:val="18"/>
          <w:szCs w:val="18"/>
          <w14:textFill>
            <w14:solidFill>
              <w14:schemeClr w14:val="tx1"/>
            </w14:solidFill>
          </w14:textFill>
        </w:rPr>
        <w:t>的变形、性能点</w:t>
      </w:r>
      <w:r>
        <w:rPr>
          <w:rFonts w:cs="Times New Roman"/>
          <w:color w:val="000000" w:themeColor="text1"/>
          <w:sz w:val="18"/>
          <w:szCs w:val="18"/>
          <w14:textFill>
            <w14:solidFill>
              <w14:schemeClr w14:val="tx1"/>
            </w14:solidFill>
          </w14:textFill>
        </w:rPr>
        <w:t>IO</w:t>
      </w:r>
      <w:r>
        <w:rPr>
          <w:rFonts w:hint="eastAsia" w:cs="Times New Roman"/>
          <w:color w:val="000000" w:themeColor="text1"/>
          <w:sz w:val="18"/>
          <w:szCs w:val="18"/>
          <w14:textFill>
            <w14:solidFill>
              <w14:schemeClr w14:val="tx1"/>
            </w14:solidFill>
          </w14:textFill>
        </w:rPr>
        <w:t>和</w:t>
      </w:r>
      <w:r>
        <w:rPr>
          <w:rFonts w:cs="Times New Roman"/>
          <w:color w:val="000000" w:themeColor="text1"/>
          <w:sz w:val="18"/>
          <w:szCs w:val="18"/>
          <w14:textFill>
            <w14:solidFill>
              <w14:schemeClr w14:val="tx1"/>
            </w14:solidFill>
          </w14:textFill>
        </w:rPr>
        <w:t>LS</w:t>
      </w:r>
      <w:r>
        <w:rPr>
          <w:rFonts w:hint="eastAsia" w:cs="Times New Roman"/>
          <w:color w:val="000000" w:themeColor="text1"/>
          <w:sz w:val="18"/>
          <w:szCs w:val="18"/>
          <w14:textFill>
            <w14:solidFill>
              <w14:schemeClr w14:val="tx1"/>
            </w14:solidFill>
          </w14:textFill>
        </w:rPr>
        <w:t>变形的平均值、性能点</w:t>
      </w:r>
      <w:r>
        <w:rPr>
          <w:rFonts w:cs="Times New Roman"/>
          <w:color w:val="000000" w:themeColor="text1"/>
          <w:sz w:val="18"/>
          <w:szCs w:val="18"/>
          <w14:textFill>
            <w14:solidFill>
              <w14:schemeClr w14:val="tx1"/>
            </w14:solidFill>
          </w14:textFill>
        </w:rPr>
        <w:t>LS</w:t>
      </w:r>
      <w:r>
        <w:rPr>
          <w:rFonts w:hint="eastAsia" w:cs="Times New Roman"/>
          <w:color w:val="000000" w:themeColor="text1"/>
          <w:sz w:val="18"/>
          <w:szCs w:val="18"/>
          <w14:textFill>
            <w14:solidFill>
              <w14:schemeClr w14:val="tx1"/>
            </w14:solidFill>
          </w14:textFill>
        </w:rPr>
        <w:t>的变形和性能点</w:t>
      </w:r>
      <w:r>
        <w:rPr>
          <w:rFonts w:cs="Times New Roman"/>
          <w:color w:val="000000" w:themeColor="text1"/>
          <w:sz w:val="18"/>
          <w:szCs w:val="18"/>
          <w14:textFill>
            <w14:solidFill>
              <w14:schemeClr w14:val="tx1"/>
            </w14:solidFill>
          </w14:textFill>
        </w:rPr>
        <w:t>CP</w:t>
      </w:r>
      <w:r>
        <w:rPr>
          <w:rFonts w:hint="eastAsia" w:cs="Times New Roman"/>
          <w:color w:val="000000" w:themeColor="text1"/>
          <w:sz w:val="18"/>
          <w:szCs w:val="18"/>
          <w14:textFill>
            <w14:solidFill>
              <w14:schemeClr w14:val="tx1"/>
            </w14:solidFill>
          </w14:textFill>
        </w:rPr>
        <w:t>（即极限点）的变形。</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I.4.12  </w:t>
      </w:r>
      <w:r>
        <w:rPr>
          <w:rFonts w:hint="eastAsia" w:cs="Times New Roman"/>
          <w:color w:val="000000" w:themeColor="text1"/>
          <w:szCs w:val="21"/>
          <w14:textFill>
            <w14:solidFill>
              <w14:schemeClr w14:val="tx1"/>
            </w14:solidFill>
          </w14:textFill>
        </w:rPr>
        <w:t>钢框架柱与框架梁的弯矩</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转角（</w:t>
      </w:r>
      <w:r>
        <w:rPr>
          <w:rFonts w:cs="Times New Roman"/>
          <w:i/>
          <w:iCs/>
          <w:color w:val="000000" w:themeColor="text1"/>
          <w:szCs w:val="21"/>
          <w14:textFill>
            <w14:solidFill>
              <w14:schemeClr w14:val="tx1"/>
            </w14:solidFill>
          </w14:textFill>
        </w:rPr>
        <w:t>M-</w:t>
      </w:r>
      <w:r>
        <w:rPr>
          <w:rFonts w:ascii="Symbol" w:hAnsi="Symbol"/>
          <w:i/>
          <w:iCs/>
          <w:color w:val="000000" w:themeColor="text1"/>
          <w:sz w:val="24"/>
          <w:szCs w:val="21"/>
          <w14:textFill>
            <w14:solidFill>
              <w14:schemeClr w14:val="tx1"/>
            </w14:solidFill>
          </w14:textFill>
        </w:rPr>
        <w:t></w:t>
      </w:r>
      <w:r>
        <w:rPr>
          <w:rFonts w:hint="eastAsia" w:cs="Times New Roman"/>
          <w:color w:val="000000" w:themeColor="text1"/>
          <w:szCs w:val="21"/>
          <w14:textFill>
            <w14:solidFill>
              <w14:schemeClr w14:val="tx1"/>
            </w14:solidFill>
          </w14:textFill>
        </w:rPr>
        <w:t>）关系曲线的骨架线参数可按以下方法确定，或由试验确定。</w:t>
      </w:r>
    </w:p>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drawing>
          <wp:inline distT="0" distB="0" distL="0" distR="0">
            <wp:extent cx="4064000" cy="2009775"/>
            <wp:effectExtent l="0" t="0" r="0" b="9525"/>
            <wp:docPr id="2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a:xfrm>
                      <a:off x="0" y="0"/>
                      <a:ext cx="4065521" cy="2010745"/>
                    </a:xfrm>
                    <a:prstGeom prst="rect">
                      <a:avLst/>
                    </a:prstGeom>
                    <a:noFill/>
                    <a:ln>
                      <a:noFill/>
                    </a:ln>
                  </pic:spPr>
                </pic:pic>
              </a:graphicData>
            </a:graphic>
          </wp:inline>
        </w:drawing>
      </w:r>
    </w:p>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图</w:t>
      </w:r>
      <w:r>
        <w:rPr>
          <w:rFonts w:cs="Times New Roman"/>
          <w:color w:val="000000" w:themeColor="text1"/>
          <w:szCs w:val="21"/>
          <w14:textFill>
            <w14:solidFill>
              <w14:schemeClr w14:val="tx1"/>
            </w14:solidFill>
          </w14:textFill>
        </w:rPr>
        <w:t xml:space="preserve">I.4.12-1  </w:t>
      </w:r>
      <w:r>
        <w:rPr>
          <w:rFonts w:hint="eastAsia" w:cs="Times New Roman"/>
          <w:color w:val="000000" w:themeColor="text1"/>
          <w:szCs w:val="21"/>
          <w14:textFill>
            <w14:solidFill>
              <w14:schemeClr w14:val="tx1"/>
            </w14:solidFill>
          </w14:textFill>
        </w:rPr>
        <w:t>钢框架梁与框架柱的弯矩</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转角关系曲线的骨架线</w:t>
      </w:r>
    </w:p>
    <w:p>
      <w:pPr>
        <w:ind w:firstLine="420"/>
        <w:rPr>
          <w:rFonts w:cs="Times New Roman"/>
          <w:color w:val="000000" w:themeColor="text1"/>
          <w:szCs w:val="21"/>
          <w14:textFill>
            <w14:solidFill>
              <w14:schemeClr w14:val="tx1"/>
            </w14:solidFill>
          </w14:textFill>
        </w:rPr>
      </w:pP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w:t>
      </w:r>
      <w:r>
        <w:rPr>
          <w:rFonts w:cs="Times New Roman"/>
          <w:color w:val="000000" w:themeColor="text1"/>
          <w:szCs w:val="21"/>
          <w14:textFill>
            <w14:solidFill>
              <w14:schemeClr w14:val="tx1"/>
            </w14:solidFill>
          </w14:textFill>
        </w:rPr>
        <w:t xml:space="preserve"> </w:t>
      </w:r>
      <w:r>
        <w:rPr>
          <w:rFonts w:hint="eastAsia" w:cs="Times New Roman"/>
          <w:color w:val="000000" w:themeColor="text1"/>
          <w:szCs w:val="21"/>
          <w14:textFill>
            <w14:solidFill>
              <w14:schemeClr w14:val="tx1"/>
            </w14:solidFill>
          </w14:textFill>
        </w:rPr>
        <w:t>转折点处的转角</w:t>
      </w:r>
      <w:r>
        <w:rPr>
          <w:rFonts w:cs="Times New Roman"/>
          <w:color w:val="000000" w:themeColor="text1"/>
          <w:szCs w:val="21"/>
          <w14:textFill>
            <w14:solidFill>
              <w14:schemeClr w14:val="tx1"/>
            </w14:solidFill>
          </w14:textFill>
        </w:rPr>
        <w:t>Δy</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ΔC</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ΔE</w:t>
      </w:r>
      <w:r>
        <w:rPr>
          <w:rFonts w:hint="eastAsia" w:cs="Times New Roman"/>
          <w:color w:val="000000" w:themeColor="text1"/>
          <w:szCs w:val="21"/>
          <w14:textFill>
            <w14:solidFill>
              <w14:schemeClr w14:val="tx1"/>
            </w14:solidFill>
          </w14:textFill>
        </w:rPr>
        <w:t>以及其对应弯矩</w:t>
      </w:r>
      <w:r>
        <w:rPr>
          <w:rFonts w:cs="Times New Roman"/>
          <w:color w:val="000000" w:themeColor="text1"/>
          <w:szCs w:val="21"/>
          <w14:textFill>
            <w14:solidFill>
              <w14:schemeClr w14:val="tx1"/>
            </w14:solidFill>
          </w14:textFill>
        </w:rPr>
        <w:t>MB</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MC</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ME</w:t>
      </w:r>
      <w:r>
        <w:rPr>
          <w:rFonts w:hint="eastAsia" w:cs="Times New Roman"/>
          <w:color w:val="000000" w:themeColor="text1"/>
          <w:szCs w:val="21"/>
          <w14:textFill>
            <w14:solidFill>
              <w14:schemeClr w14:val="tx1"/>
            </w14:solidFill>
          </w14:textFill>
        </w:rPr>
        <w:t>可参照表</w:t>
      </w:r>
      <w:r>
        <w:rPr>
          <w:rFonts w:cs="Times New Roman"/>
          <w:color w:val="000000" w:themeColor="text1"/>
          <w:szCs w:val="21"/>
          <w14:textFill>
            <w14:solidFill>
              <w14:schemeClr w14:val="tx1"/>
            </w14:solidFill>
          </w14:textFill>
        </w:rPr>
        <w:t>I.4.12-1</w:t>
      </w:r>
      <w:r>
        <w:rPr>
          <w:rFonts w:hint="eastAsia" w:cs="Times New Roman"/>
          <w:color w:val="000000" w:themeColor="text1"/>
          <w:szCs w:val="21"/>
          <w14:textFill>
            <w14:solidFill>
              <w14:schemeClr w14:val="tx1"/>
            </w14:solidFill>
          </w14:textFill>
        </w:rPr>
        <w:t>确定；</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 xml:space="preserve"> 名义屈服点</w:t>
      </w:r>
      <w:r>
        <w:rPr>
          <w:rFonts w:cs="Times New Roman"/>
          <w:color w:val="000000" w:themeColor="text1"/>
          <w:szCs w:val="21"/>
          <w14:textFill>
            <w14:solidFill>
              <w14:schemeClr w14:val="tx1"/>
            </w14:solidFill>
          </w14:textFill>
        </w:rPr>
        <w:t>B</w:t>
      </w:r>
      <w:r>
        <w:rPr>
          <w:rFonts w:hint="eastAsia" w:cs="Times New Roman"/>
          <w:color w:val="000000" w:themeColor="text1"/>
          <w:szCs w:val="21"/>
          <w14:textFill>
            <w14:solidFill>
              <w14:schemeClr w14:val="tx1"/>
            </w14:solidFill>
          </w14:textFill>
        </w:rPr>
        <w:t>处的转角变形</w:t>
      </w:r>
      <w:r>
        <w:rPr>
          <w:rFonts w:cs="Times New Roman"/>
          <w:color w:val="000000" w:themeColor="text1"/>
          <w:szCs w:val="21"/>
          <w14:textFill>
            <w14:solidFill>
              <w14:schemeClr w14:val="tx1"/>
            </w14:solidFill>
          </w14:textFill>
        </w:rPr>
        <w:t>Δy</w:t>
      </w:r>
      <w:r>
        <w:rPr>
          <w:rFonts w:hint="eastAsia" w:cs="Times New Roman"/>
          <w:color w:val="000000" w:themeColor="text1"/>
          <w:szCs w:val="21"/>
          <w14:textFill>
            <w14:solidFill>
              <w14:schemeClr w14:val="tx1"/>
            </w14:solidFill>
          </w14:textFill>
        </w:rPr>
        <w:t>可取为：</w:t>
      </w: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对于梁：</w:t>
      </w:r>
      <w:r>
        <w:rPr>
          <w:rFonts w:cs="Times New Roman"/>
          <w:color w:val="000000" w:themeColor="text1"/>
          <w:szCs w:val="21"/>
          <w14:textFill>
            <w14:solidFill>
              <w14:schemeClr w14:val="tx1"/>
            </w14:solidFill>
          </w14:textFill>
        </w:rPr>
        <w:t>Δy=ZFylb/6EIb</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对于柱：</w:t>
      </w:r>
      <w:r>
        <w:rPr>
          <w:rFonts w:cs="Times New Roman"/>
          <w:color w:val="000000" w:themeColor="text1"/>
          <w:szCs w:val="21"/>
          <w14:textFill>
            <w14:solidFill>
              <w14:schemeClr w14:val="tx1"/>
            </w14:solidFill>
          </w14:textFill>
        </w:rPr>
        <w:t>Δy=(1-P/Py)ZFylc/6EIc</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其中</w:t>
      </w:r>
      <w:r>
        <w:rPr>
          <w:rFonts w:cs="Times New Roman"/>
          <w:color w:val="000000" w:themeColor="text1"/>
          <w:szCs w:val="21"/>
          <w14:textFill>
            <w14:solidFill>
              <w14:schemeClr w14:val="tx1"/>
            </w14:solidFill>
          </w14:textFill>
        </w:rPr>
        <w:t>Z</w:t>
      </w:r>
      <w:r>
        <w:rPr>
          <w:rFonts w:hint="eastAsia" w:cs="Times New Roman"/>
          <w:color w:val="000000" w:themeColor="text1"/>
          <w:szCs w:val="21"/>
          <w14:textFill>
            <w14:solidFill>
              <w14:schemeClr w14:val="tx1"/>
            </w14:solidFill>
          </w14:textFill>
        </w:rPr>
        <w:t>为塑性截面模量，</w:t>
      </w:r>
      <w:r>
        <w:rPr>
          <w:rFonts w:cs="Times New Roman"/>
          <w:color w:val="000000" w:themeColor="text1"/>
          <w:szCs w:val="21"/>
          <w14:textFill>
            <w14:solidFill>
              <w14:schemeClr w14:val="tx1"/>
            </w14:solidFill>
          </w14:textFill>
        </w:rPr>
        <w:t>Fy</w:t>
      </w:r>
      <w:r>
        <w:rPr>
          <w:rFonts w:hint="eastAsia" w:cs="Times New Roman"/>
          <w:color w:val="000000" w:themeColor="text1"/>
          <w:szCs w:val="21"/>
          <w14:textFill>
            <w14:solidFill>
              <w14:schemeClr w14:val="tx1"/>
            </w14:solidFill>
          </w14:textFill>
        </w:rPr>
        <w:t>为预期的材料屈服强度，</w:t>
      </w:r>
      <w:r>
        <w:rPr>
          <w:rFonts w:cs="Times New Roman"/>
          <w:color w:val="000000" w:themeColor="text1"/>
          <w:szCs w:val="21"/>
          <w14:textFill>
            <w14:solidFill>
              <w14:schemeClr w14:val="tx1"/>
            </w14:solidFill>
          </w14:textFill>
        </w:rPr>
        <w:t>lb</w:t>
      </w:r>
      <w:r>
        <w:rPr>
          <w:rFonts w:hint="eastAsia" w:cs="Times New Roman"/>
          <w:color w:val="000000" w:themeColor="text1"/>
          <w:szCs w:val="21"/>
          <w14:textFill>
            <w14:solidFill>
              <w14:schemeClr w14:val="tx1"/>
            </w14:solidFill>
          </w14:textFill>
        </w:rPr>
        <w:t>为梁长，</w:t>
      </w:r>
      <w:r>
        <w:rPr>
          <w:rFonts w:cs="Times New Roman"/>
          <w:color w:val="000000" w:themeColor="text1"/>
          <w:szCs w:val="21"/>
          <w14:textFill>
            <w14:solidFill>
              <w14:schemeClr w14:val="tx1"/>
            </w14:solidFill>
          </w14:textFill>
        </w:rPr>
        <w:t>Ib</w:t>
      </w:r>
      <w:r>
        <w:rPr>
          <w:rFonts w:hint="eastAsia" w:cs="Times New Roman"/>
          <w:color w:val="000000" w:themeColor="text1"/>
          <w:szCs w:val="21"/>
          <w14:textFill>
            <w14:solidFill>
              <w14:schemeClr w14:val="tx1"/>
            </w14:solidFill>
          </w14:textFill>
        </w:rPr>
        <w:t>为梁截面惯性矩，</w:t>
      </w:r>
      <w:r>
        <w:rPr>
          <w:rFonts w:cs="Times New Roman"/>
          <w:color w:val="000000" w:themeColor="text1"/>
          <w:szCs w:val="21"/>
          <w14:textFill>
            <w14:solidFill>
              <w14:schemeClr w14:val="tx1"/>
            </w14:solidFill>
          </w14:textFill>
        </w:rPr>
        <w:t>lc</w:t>
      </w:r>
      <w:r>
        <w:rPr>
          <w:rFonts w:hint="eastAsia" w:cs="Times New Roman"/>
          <w:color w:val="000000" w:themeColor="text1"/>
          <w:szCs w:val="21"/>
          <w14:textFill>
            <w14:solidFill>
              <w14:schemeClr w14:val="tx1"/>
            </w14:solidFill>
          </w14:textFill>
        </w:rPr>
        <w:t>为柱长，</w:t>
      </w:r>
      <w:r>
        <w:rPr>
          <w:rFonts w:cs="Times New Roman"/>
          <w:color w:val="000000" w:themeColor="text1"/>
          <w:szCs w:val="21"/>
          <w14:textFill>
            <w14:solidFill>
              <w14:schemeClr w14:val="tx1"/>
            </w14:solidFill>
          </w14:textFill>
        </w:rPr>
        <w:t>Ic</w:t>
      </w:r>
      <w:r>
        <w:rPr>
          <w:rFonts w:hint="eastAsia" w:cs="Times New Roman"/>
          <w:color w:val="000000" w:themeColor="text1"/>
          <w:szCs w:val="21"/>
          <w14:textFill>
            <w14:solidFill>
              <w14:schemeClr w14:val="tx1"/>
            </w14:solidFill>
          </w14:textFill>
        </w:rPr>
        <w:t>为柱截面惯性矩，</w:t>
      </w:r>
      <w:r>
        <w:rPr>
          <w:rFonts w:cs="Times New Roman"/>
          <w:color w:val="000000" w:themeColor="text1"/>
          <w:szCs w:val="21"/>
          <w14:textFill>
            <w14:solidFill>
              <w14:schemeClr w14:val="tx1"/>
            </w14:solidFill>
          </w14:textFill>
        </w:rPr>
        <w:t>P</w:t>
      </w:r>
      <w:r>
        <w:rPr>
          <w:rFonts w:hint="eastAsia" w:cs="Times New Roman"/>
          <w:color w:val="000000" w:themeColor="text1"/>
          <w:szCs w:val="21"/>
          <w14:textFill>
            <w14:solidFill>
              <w14:schemeClr w14:val="tx1"/>
            </w14:solidFill>
          </w14:textFill>
        </w:rPr>
        <w:t>为柱轴力，</w:t>
      </w:r>
      <w:r>
        <w:rPr>
          <w:rFonts w:cs="Times New Roman"/>
          <w:color w:val="000000" w:themeColor="text1"/>
          <w:szCs w:val="21"/>
          <w14:textFill>
            <w14:solidFill>
              <w14:schemeClr w14:val="tx1"/>
            </w14:solidFill>
          </w14:textFill>
        </w:rPr>
        <w:t>Py</w:t>
      </w:r>
      <w:r>
        <w:rPr>
          <w:rFonts w:hint="eastAsia" w:cs="Times New Roman"/>
          <w:color w:val="000000" w:themeColor="text1"/>
          <w:szCs w:val="21"/>
          <w14:textFill>
            <w14:solidFill>
              <w14:schemeClr w14:val="tx1"/>
            </w14:solidFill>
          </w14:textFill>
        </w:rPr>
        <w:t>为柱轴向屈服承载力，</w:t>
      </w:r>
      <w:r>
        <w:rPr>
          <w:rFonts w:cs="Times New Roman"/>
          <w:color w:val="000000" w:themeColor="text1"/>
          <w:szCs w:val="21"/>
          <w14:textFill>
            <w14:solidFill>
              <w14:schemeClr w14:val="tx1"/>
            </w14:solidFill>
          </w14:textFill>
        </w:rPr>
        <w:t>E</w:t>
      </w:r>
      <w:r>
        <w:rPr>
          <w:rFonts w:hint="eastAsia" w:cs="Times New Roman"/>
          <w:color w:val="000000" w:themeColor="text1"/>
          <w:szCs w:val="21"/>
          <w14:textFill>
            <w14:solidFill>
              <w14:schemeClr w14:val="tx1"/>
            </w14:solidFill>
          </w14:textFill>
        </w:rPr>
        <w:t>为材料弹性模量。</w:t>
      </w: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3 表</w:t>
      </w:r>
      <w:r>
        <w:rPr>
          <w:rFonts w:cs="Times New Roman"/>
          <w:color w:val="000000" w:themeColor="text1"/>
          <w:szCs w:val="21"/>
          <w14:textFill>
            <w14:solidFill>
              <w14:schemeClr w14:val="tx1"/>
            </w14:solidFill>
          </w14:textFill>
        </w:rPr>
        <w:t>I.4.12-1</w:t>
      </w:r>
      <w:r>
        <w:rPr>
          <w:rFonts w:hint="eastAsia" w:cs="Times New Roman"/>
          <w:color w:val="000000" w:themeColor="text1"/>
          <w:szCs w:val="21"/>
          <w14:textFill>
            <w14:solidFill>
              <w14:schemeClr w14:val="tx1"/>
            </w14:solidFill>
          </w14:textFill>
        </w:rPr>
        <w:t>中</w:t>
      </w:r>
      <w:r>
        <w:rPr>
          <w:rFonts w:cs="Times New Roman"/>
          <w:color w:val="000000" w:themeColor="text1"/>
          <w:szCs w:val="21"/>
          <w14:textFill>
            <w14:solidFill>
              <w14:schemeClr w14:val="tx1"/>
            </w14:solidFill>
          </w14:textFill>
        </w:rPr>
        <w:t>MB</w:t>
      </w:r>
      <w:r>
        <w:rPr>
          <w:rFonts w:hint="eastAsia" w:cs="Times New Roman"/>
          <w:color w:val="000000" w:themeColor="text1"/>
          <w:szCs w:val="21"/>
          <w14:textFill>
            <w14:solidFill>
              <w14:schemeClr w14:val="tx1"/>
            </w14:solidFill>
          </w14:textFill>
        </w:rPr>
        <w:t>可取为：</w:t>
      </w: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对于梁：</w:t>
      </w:r>
      <w:r>
        <w:rPr>
          <w:rFonts w:cs="Times New Roman"/>
          <w:color w:val="000000" w:themeColor="text1"/>
          <w:szCs w:val="21"/>
          <w14:textFill>
            <w14:solidFill>
              <w14:schemeClr w14:val="tx1"/>
            </w14:solidFill>
          </w14:textFill>
        </w:rPr>
        <w:t>MB=ZFy</w:t>
      </w:r>
      <w:r>
        <w:rPr>
          <w:rFonts w:hint="eastAsia" w:cs="Times New Roman"/>
          <w:color w:val="000000" w:themeColor="text1"/>
          <w:szCs w:val="21"/>
          <w14:textFill>
            <w14:solidFill>
              <w14:schemeClr w14:val="tx1"/>
            </w14:solidFill>
          </w14:textFill>
        </w:rPr>
        <w:t>；</w:t>
      </w: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对于柱：</w:t>
      </w:r>
      <w:r>
        <w:rPr>
          <w:rFonts w:cs="Times New Roman"/>
          <w:color w:val="000000" w:themeColor="text1"/>
          <w:szCs w:val="21"/>
          <w14:textFill>
            <w14:solidFill>
              <w14:schemeClr w14:val="tx1"/>
            </w14:solidFill>
          </w14:textFill>
        </w:rPr>
        <w:t>MB=1.18(1-P/Py)ZFy ≤ ZFy</w:t>
      </w:r>
      <w:r>
        <w:rPr>
          <w:rFonts w:hint="eastAsia" w:cs="Times New Roman"/>
          <w:color w:val="000000" w:themeColor="text1"/>
          <w:szCs w:val="21"/>
          <w14:textFill>
            <w14:solidFill>
              <w14:schemeClr w14:val="tx1"/>
            </w14:solidFill>
          </w14:textFill>
        </w:rPr>
        <w:t>。</w:t>
      </w:r>
    </w:p>
    <w:p>
      <w:pPr>
        <w:ind w:firstLine="420"/>
        <w:jc w:val="center"/>
        <w:rPr>
          <w:rFonts w:cs="Times New Roman"/>
          <w:color w:val="000000" w:themeColor="text1"/>
          <w:szCs w:val="21"/>
          <w14:textFill>
            <w14:solidFill>
              <w14:schemeClr w14:val="tx1"/>
            </w14:solidFill>
          </w14:textFill>
        </w:rPr>
      </w:pPr>
    </w:p>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I.4.12-1 </w:t>
      </w:r>
      <w:r>
        <w:rPr>
          <w:rFonts w:hint="eastAsia" w:cs="Times New Roman"/>
          <w:color w:val="000000" w:themeColor="text1"/>
          <w:szCs w:val="21"/>
          <w14:textFill>
            <w14:solidFill>
              <w14:schemeClr w14:val="tx1"/>
            </w14:solidFill>
          </w14:textFill>
        </w:rPr>
        <w:t>框架梁和框架柱</w:t>
      </w:r>
      <w:r>
        <w:rPr>
          <w:rFonts w:cs="Times New Roman"/>
          <w:color w:val="000000" w:themeColor="text1"/>
          <w:szCs w:val="21"/>
          <w14:textFill>
            <w14:solidFill>
              <w14:schemeClr w14:val="tx1"/>
            </w14:solidFill>
          </w14:textFill>
        </w:rPr>
        <w:t>ΔB</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ΔC</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ΔE</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MB</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MC</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ME</w:t>
      </w:r>
      <w:r>
        <w:rPr>
          <w:rFonts w:hint="eastAsia" w:cs="Times New Roman"/>
          <w:color w:val="000000" w:themeColor="text1"/>
          <w:szCs w:val="21"/>
          <w14:textFill>
            <w14:solidFill>
              <w14:schemeClr w14:val="tx1"/>
            </w14:solidFill>
          </w14:textFill>
        </w:rPr>
        <w:t>取值</w:t>
      </w:r>
    </w:p>
    <w:tbl>
      <w:tblPr>
        <w:tblStyle w:val="108"/>
        <w:tblpPr w:leftFromText="180" w:rightFromText="180" w:vertAnchor="text" w:tblpXSpec="center" w:tblpY="1"/>
        <w:tblOverlap w:val="never"/>
        <w:tblW w:w="8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835"/>
        <w:gridCol w:w="2114"/>
        <w:gridCol w:w="529"/>
        <w:gridCol w:w="981"/>
        <w:gridCol w:w="983"/>
        <w:gridCol w:w="753"/>
        <w:gridCol w:w="1096"/>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gridSpan w:val="3"/>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钢构件类型</w:t>
            </w:r>
          </w:p>
        </w:tc>
        <w:tc>
          <w:tcPr>
            <w:tcW w:w="2493" w:type="dxa"/>
            <w:gridSpan w:val="3"/>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转角</w:t>
            </w:r>
            <w:r>
              <w:rPr>
                <w:rFonts w:cs="Times New Roman"/>
                <w:color w:val="000000" w:themeColor="text1"/>
                <w:szCs w:val="21"/>
                <w14:textFill>
                  <w14:solidFill>
                    <w14:schemeClr w14:val="tx1"/>
                  </w14:solidFill>
                </w14:textFill>
              </w:rPr>
              <w:t>/Δy</w:t>
            </w:r>
          </w:p>
        </w:tc>
        <w:tc>
          <w:tcPr>
            <w:tcW w:w="2719" w:type="dxa"/>
            <w:gridSpan w:val="3"/>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弯矩</w:t>
            </w:r>
            <w:r>
              <w:rPr>
                <w:rFonts w:cs="Times New Roman"/>
                <w:color w:val="000000" w:themeColor="text1"/>
                <w:szCs w:val="21"/>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458" w:type="dxa"/>
            <w:gridSpan w:val="3"/>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5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bookmarkStart w:id="263" w:name="_Hlk496189258"/>
            <w:r>
              <w:rPr>
                <w:rFonts w:cstheme="minorBidi"/>
                <w:color w:val="000000" w:themeColor="text1"/>
                <w:szCs w:val="21"/>
                <w14:textFill>
                  <w14:solidFill>
                    <w14:schemeClr w14:val="tx1"/>
                  </w14:solidFill>
                </w14:textFill>
              </w:rPr>
              <w:object>
                <v:shape id="_x0000_i1076" o:spt="75" type="#_x0000_t75" style="height:15pt;width:11pt;" o:ole="t" filled="f" o:preferrelative="t" stroked="f" coordsize="21600,21600">
                  <v:path/>
                  <v:fill on="f" focussize="0,0"/>
                  <v:stroke on="f" joinstyle="miter"/>
                  <v:imagedata r:id="rId248" o:title=""/>
                  <o:lock v:ext="edit" aspectratio="t"/>
                  <w10:wrap type="none"/>
                  <w10:anchorlock/>
                </v:shape>
                <o:OLEObject Type="Embed" ProgID="Equation.DSMT4" ShapeID="_x0000_i1076" DrawAspect="Content" ObjectID="_1468075776" r:id="rId247">
                  <o:LockedField>false</o:LockedField>
                </o:OLEObject>
              </w:object>
            </w:r>
            <w:r>
              <w:rPr>
                <w:rFonts w:cs="Times New Roman"/>
                <w:color w:val="000000" w:themeColor="text1"/>
                <w:szCs w:val="21"/>
                <w14:textFill>
                  <w14:solidFill>
                    <w14:schemeClr w14:val="tx1"/>
                  </w14:solidFill>
                </w14:textFill>
              </w:rPr>
              <w:t>B</w:t>
            </w:r>
            <w:bookmarkEnd w:id="263"/>
          </w:p>
        </w:tc>
        <w:tc>
          <w:tcPr>
            <w:tcW w:w="981"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77"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77" DrawAspect="Content" ObjectID="_1468075777" r:id="rId249">
                  <o:LockedField>false</o:LockedField>
                </o:OLEObject>
              </w:object>
            </w:r>
            <w:r>
              <w:rPr>
                <w:rFonts w:cs="Times New Roman"/>
                <w:color w:val="000000" w:themeColor="text1"/>
                <w:szCs w:val="21"/>
                <w14:textFill>
                  <w14:solidFill>
                    <w14:schemeClr w14:val="tx1"/>
                  </w14:solidFill>
                </w14:textFill>
              </w:rPr>
              <w:t>C</w:t>
            </w:r>
          </w:p>
        </w:tc>
        <w:tc>
          <w:tcPr>
            <w:tcW w:w="98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78"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78" DrawAspect="Content" ObjectID="_1468075778" r:id="rId251">
                  <o:LockedField>false</o:LockedField>
                </o:OLEObject>
              </w:object>
            </w:r>
            <w:r>
              <w:rPr>
                <w:rFonts w:cs="Times New Roman"/>
                <w:color w:val="000000" w:themeColor="text1"/>
                <w:szCs w:val="21"/>
                <w14:textFill>
                  <w14:solidFill>
                    <w14:schemeClr w14:val="tx1"/>
                  </w14:solidFill>
                </w14:textFill>
              </w:rPr>
              <w:t>E</w:t>
            </w:r>
          </w:p>
        </w:tc>
        <w:tc>
          <w:tcPr>
            <w:tcW w:w="75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79" o:spt="75" type="#_x0000_t75" style="height:15pt;width:13pt;" o:ole="t" filled="f" o:preferrelative="t" stroked="f" coordsize="21600,21600">
                  <v:path/>
                  <v:fill on="f" focussize="0,0"/>
                  <v:stroke on="f" joinstyle="miter"/>
                  <v:imagedata r:id="rId253" o:title=""/>
                  <o:lock v:ext="edit" aspectratio="t"/>
                  <w10:wrap type="none"/>
                  <w10:anchorlock/>
                </v:shape>
                <o:OLEObject Type="Embed" ProgID="Equation.DSMT4" ShapeID="_x0000_i1079" DrawAspect="Content" ObjectID="_1468075779" r:id="rId252">
                  <o:LockedField>false</o:LockedField>
                </o:OLEObject>
              </w:object>
            </w:r>
            <w:r>
              <w:rPr>
                <w:rFonts w:cs="Times New Roman"/>
                <w:color w:val="000000" w:themeColor="text1"/>
                <w:szCs w:val="21"/>
                <w14:textFill>
                  <w14:solidFill>
                    <w14:schemeClr w14:val="tx1"/>
                  </w14:solidFill>
                </w14:textFill>
              </w:rPr>
              <w:t>B</w:t>
            </w:r>
          </w:p>
        </w:tc>
        <w:tc>
          <w:tcPr>
            <w:tcW w:w="1096"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80" o:spt="75" type="#_x0000_t75" style="height:15pt;width:13pt;" o:ole="t" filled="f" o:preferrelative="t" stroked="f" coordsize="21600,21600">
                  <v:path/>
                  <v:fill on="f" focussize="0,0"/>
                  <v:stroke on="f" joinstyle="miter"/>
                  <v:imagedata r:id="rId253" o:title=""/>
                  <o:lock v:ext="edit" aspectratio="t"/>
                  <w10:wrap type="none"/>
                  <w10:anchorlock/>
                </v:shape>
                <o:OLEObject Type="Embed" ProgID="Equation.DSMT4" ShapeID="_x0000_i1080" DrawAspect="Content" ObjectID="_1468075780" r:id="rId254">
                  <o:LockedField>false</o:LockedField>
                </o:OLEObject>
              </w:object>
            </w:r>
            <w:r>
              <w:rPr>
                <w:rFonts w:cs="Times New Roman"/>
                <w:color w:val="000000" w:themeColor="text1"/>
                <w:szCs w:val="21"/>
                <w14:textFill>
                  <w14:solidFill>
                    <w14:schemeClr w14:val="tx1"/>
                  </w14:solidFill>
                </w14:textFill>
              </w:rPr>
              <w:t>C</w:t>
            </w:r>
          </w:p>
        </w:tc>
        <w:tc>
          <w:tcPr>
            <w:tcW w:w="870"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81" o:spt="75" type="#_x0000_t75" style="height:15pt;width:13pt;" o:ole="t" filled="f" o:preferrelative="t" stroked="f" coordsize="21600,21600">
                  <v:path/>
                  <v:fill on="f" focussize="0,0"/>
                  <v:stroke on="f" joinstyle="miter"/>
                  <v:imagedata r:id="rId253" o:title=""/>
                  <o:lock v:ext="edit" aspectratio="t"/>
                  <w10:wrap type="none"/>
                  <w10:anchorlock/>
                </v:shape>
                <o:OLEObject Type="Embed" ProgID="Equation.DSMT4" ShapeID="_x0000_i1081" DrawAspect="Content" ObjectID="_1468075781" r:id="rId255">
                  <o:LockedField>false</o:LockedField>
                </o:OLEObject>
              </w:object>
            </w:r>
            <w:r>
              <w:rPr>
                <w:rFonts w:cs="Times New Roman"/>
                <w:color w:val="000000" w:themeColor="text1"/>
                <w:szCs w:val="21"/>
                <w14:textFill>
                  <w14:solidFill>
                    <w14:schemeClr w14:val="tx1"/>
                  </w14:solidFill>
                </w14:textFill>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48"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梁</w:t>
            </w:r>
          </w:p>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（H截面）</w:t>
            </w:r>
          </w:p>
        </w:tc>
        <w:tc>
          <w:tcPr>
            <w:tcW w:w="294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m:oMathPara>
              <m:oMath>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b</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2</m:t>
                    </m:r>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t</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9</m:t>
                    </m:r>
                    <m:ctrlPr>
                      <w:rPr>
                        <w:rFonts w:ascii="Cambria Math" w:hAnsi="Cambria Math" w:cs="Times New Roman"/>
                        <w:color w:val="000000" w:themeColor="text1"/>
                        <w:szCs w:val="21"/>
                        <w14:textFill>
                          <w14:solidFill>
                            <w14:schemeClr w14:val="tx1"/>
                          </w14:solidFill>
                        </w14:textFill>
                      </w:rPr>
                    </m:ctrlPr>
                  </m:num>
                  <m:den>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235</m:t>
                            </m:r>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ctrlPr>
                      <w:rPr>
                        <w:rFonts w:ascii="Cambria Math" w:hAnsi="Cambria Math" w:cs="Times New Roman"/>
                        <w:color w:val="000000" w:themeColor="text1"/>
                        <w:szCs w:val="21"/>
                        <w14:textFill>
                          <w14:solidFill>
                            <w14:schemeClr w14:val="tx1"/>
                          </w14:solidFill>
                        </w14:textFill>
                      </w:rPr>
                    </m:ctrlPr>
                  </m:den>
                </m:f>
                <m:r>
                  <m:rPr>
                    <m:sty m:val="p"/>
                  </m:rPr>
                  <w:rPr>
                    <w:rFonts w:hint="eastAsia" w:ascii="Cambria Math" w:hAnsi="Cambria Math" w:cs="Times New Roman"/>
                    <w:color w:val="000000" w:themeColor="text1"/>
                    <w:szCs w:val="21"/>
                    <w14:textFill>
                      <w14:solidFill>
                        <w14:schemeClr w14:val="tx1"/>
                      </w14:solidFill>
                    </w14:textFill>
                  </w:rPr>
                  <m:t>且</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h</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t</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w</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72</m:t>
                    </m:r>
                    <m:ctrlPr>
                      <w:rPr>
                        <w:rFonts w:ascii="Cambria Math" w:hAnsi="Cambria Math" w:cs="Times New Roman"/>
                        <w:color w:val="000000" w:themeColor="text1"/>
                        <w:szCs w:val="21"/>
                        <w14:textFill>
                          <w14:solidFill>
                            <w14:schemeClr w14:val="tx1"/>
                          </w14:solidFill>
                        </w14:textFill>
                      </w:rPr>
                    </m:ctrlPr>
                  </m:num>
                  <m:den>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/235</m:t>
                        </m:r>
                        <m:ctrlPr>
                          <w:rPr>
                            <w:rFonts w:ascii="Cambria Math" w:hAnsi="Cambria Math" w:cs="Times New Roman"/>
                            <w:color w:val="000000" w:themeColor="text1"/>
                            <w:szCs w:val="21"/>
                            <w14:textFill>
                              <w14:solidFill>
                                <w14:schemeClr w14:val="tx1"/>
                              </w14:solidFill>
                            </w14:textFill>
                          </w:rPr>
                        </m:ctrlPr>
                      </m:e>
                    </m:rad>
                    <m:ctrlPr>
                      <w:rPr>
                        <w:rFonts w:ascii="Cambria Math" w:hAnsi="Cambria Math" w:cs="Times New Roman"/>
                        <w:color w:val="000000" w:themeColor="text1"/>
                        <w:szCs w:val="21"/>
                        <w14:textFill>
                          <w14:solidFill>
                            <w14:schemeClr w14:val="tx1"/>
                          </w14:solidFill>
                        </w14:textFill>
                      </w:rPr>
                    </m:ctrlPr>
                  </m:den>
                </m:f>
              </m:oMath>
            </m:oMathPara>
          </w:p>
        </w:tc>
        <w:tc>
          <w:tcPr>
            <w:tcW w:w="5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w:t>
            </w:r>
          </w:p>
        </w:tc>
        <w:tc>
          <w:tcPr>
            <w:tcW w:w="75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1.27</w: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39520" cy="391160"/>
                      <wp:effectExtent l="0" t="0" r="0" b="0"/>
                      <wp:docPr id="198" name="文本框 60"/>
                      <wp:cNvGraphicFramePr/>
                      <a:graphic xmlns:a="http://schemas.openxmlformats.org/drawingml/2006/main">
                        <a:graphicData uri="http://schemas.microsoft.com/office/word/2010/wordprocessingShape">
                          <wps:wsp>
                            <wps:cNvSpPr txBox="1">
                              <a:spLocks noChangeArrowheads="1"/>
                            </wps:cNvSpPr>
                            <wps:spPr bwMode="auto">
                              <a:xfrm>
                                <a:off x="0" y="0"/>
                                <a:ext cx="1239520" cy="391160"/>
                              </a:xfrm>
                              <a:prstGeom prst="rect">
                                <a:avLst/>
                              </a:prstGeom>
                              <a:noFill/>
                              <a:ln>
                                <a:noFill/>
                              </a:ln>
                            </wps:spPr>
                            <wps:txbx>
                              <w:txbxContent>
                                <w:p>
                                  <w:pPr>
                                    <w:pStyle w:val="29"/>
                                    <w:spacing w:before="0" w:beforeAutospacing="0" w:after="0" w:afterAutospacing="0"/>
                                    <w:ind w:firstLine="260"/>
                                    <w:jc w:val="center"/>
                                    <w:rPr>
                                      <w:sz w:val="11"/>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color w:val="000000"/>
                                                      <w:sz w:val="13"/>
                                                      <w:szCs w:val="11"/>
                                                    </w:rPr>
                                                    <m:t>F</m:t>
                                                  </m:r>
                                                  <m:ctrlPr>
                                                    <w:rPr>
                                                      <w:rFonts w:ascii="Cambria Math" w:hAnsi="Cambria Math"/>
                                                      <w:i/>
                                                      <w:iCs/>
                                                      <w:color w:val="000000"/>
                                                      <w:sz w:val="13"/>
                                                      <w:szCs w:val="11"/>
                                                    </w:rPr>
                                                  </m:ctrlPr>
                                                </m:e>
                                                <m:sub>
                                                  <m:r>
                                                    <w:rPr>
                                                      <w:rFonts w:ascii="Cambria Math" w:hAnsi="Cambria Math"/>
                                                      <w:color w:val="000000"/>
                                                      <w:sz w:val="13"/>
                                                      <w:szCs w:val="11"/>
                                                    </w:rPr>
                                                    <m:t>y</m:t>
                                                  </m:r>
                                                  <m:ctrlPr>
                                                    <w:rPr>
                                                      <w:rFonts w:ascii="Cambria Math" w:hAnsi="Cambria Math"/>
                                                      <w:i/>
                                                      <w:iCs/>
                                                      <w:color w:val="000000"/>
                                                      <w:sz w:val="13"/>
                                                      <w:szCs w:val="11"/>
                                                    </w:rPr>
                                                  </m:ctrlPr>
                                                </m:sub>
                                              </m:sSub>
                                              <m:r>
                                                <w:rPr>
                                                  <w:rFonts w:ascii="Cambria Math" w:hAnsi="Cambria Math"/>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color w:val="000000"/>
                                                  <w:sz w:val="13"/>
                                                  <w:szCs w:val="11"/>
                                                </w:rPr>
                                                <m:t>t</m:t>
                                              </m:r>
                                              <m:ctrlPr>
                                                <w:rPr>
                                                  <w:rFonts w:ascii="Cambria Math" w:hAnsi="Cambria Math"/>
                                                  <w:i/>
                                                  <w:iCs/>
                                                  <w:color w:val="000000"/>
                                                  <w:sz w:val="13"/>
                                                  <w:szCs w:val="11"/>
                                                </w:rPr>
                                              </m:ctrlPr>
                                            </m:e>
                                            <m:sub>
                                              <m:r>
                                                <w:rPr>
                                                  <w:rFonts w:ascii="Cambria Math" w:hAnsi="Cambria Math"/>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color w:val="000000"/>
                                          <w:sz w:val="13"/>
                                          <w:szCs w:val="11"/>
                                        </w:rPr>
                                        <m:t>≥</m:t>
                                      </m:r>
                                      <m:f>
                                        <m:fPr>
                                          <m:ctrlPr>
                                            <w:rPr>
                                              <w:rFonts w:ascii="Cambria Math" w:hAnsi="Cambria Math"/>
                                              <w:i/>
                                              <w:iCs/>
                                              <w:color w:val="000000"/>
                                              <w:sz w:val="13"/>
                                              <w:szCs w:val="11"/>
                                            </w:rPr>
                                          </m:ctrlPr>
                                        </m:fPr>
                                        <m:num>
                                          <m:r>
                                            <w:rPr>
                                              <w:rFonts w:ascii="Cambria Math" w:hAnsi="Cambria Math"/>
                                              <w:color w:val="000000"/>
                                              <w:sz w:val="13"/>
                                              <w:szCs w:val="11"/>
                                            </w:rPr>
                                            <m:t>110</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color w:val="000000"/>
                                                      <w:sz w:val="13"/>
                                                      <w:szCs w:val="11"/>
                                                    </w:rPr>
                                                    <m:t>F</m:t>
                                                  </m:r>
                                                  <m:ctrlPr>
                                                    <w:rPr>
                                                      <w:rFonts w:ascii="Cambria Math" w:hAnsi="Cambria Math"/>
                                                      <w:i/>
                                                      <w:iCs/>
                                                      <w:color w:val="000000"/>
                                                      <w:sz w:val="13"/>
                                                      <w:szCs w:val="11"/>
                                                    </w:rPr>
                                                  </m:ctrlPr>
                                                </m:e>
                                                <m:sub>
                                                  <m:r>
                                                    <w:rPr>
                                                      <w:rFonts w:ascii="Cambria Math" w:hAnsi="Cambria Math"/>
                                                      <w:color w:val="000000"/>
                                                      <w:sz w:val="13"/>
                                                      <w:szCs w:val="11"/>
                                                    </w:rPr>
                                                    <m:t>y</m:t>
                                                  </m:r>
                                                  <m:ctrlPr>
                                                    <w:rPr>
                                                      <w:rFonts w:ascii="Cambria Math" w:hAnsi="Cambria Math"/>
                                                      <w:i/>
                                                      <w:iCs/>
                                                      <w:color w:val="000000"/>
                                                      <w:sz w:val="13"/>
                                                      <w:szCs w:val="11"/>
                                                    </w:rPr>
                                                  </m:ctrlPr>
                                                </m:sub>
                                              </m:sSub>
                                              <m:r>
                                                <w:rPr>
                                                  <w:rFonts w:ascii="Cambria Math" w:hAnsi="Cambria Math"/>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60" o:spid="_x0000_s1026" o:spt="202" type="#_x0000_t202" style="height:30.8pt;width:97.6pt;" filled="f" stroked="f" coordsize="21600,21600" o:gfxdata="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2x5RT9QAAAAEAQAADwAAAAAAAAABACAAAAAiAAAAZHJzL2Rvd25yZXYueG1sUEsBAhQAFAAA&#10;AAgAh07iQACpvTnzAQAAugMAAA4AAAAAAAAAAQAgAAAAIwEAAGRycy9lMm9Eb2MueG1sUEsFBgAA&#10;AAAGAAYAWQEAAIgFAAAAAA==&#10;">
                      <v:fill on="f" focussize="0,0"/>
                      <v:stroke on="f"/>
                      <v:imagedata o:title=""/>
                      <o:lock v:ext="edit" aspectratio="f"/>
                      <v:textbox inset="0mm,0mm,0mm,0mm">
                        <w:txbxContent>
                          <w:p>
                            <w:pPr>
                              <w:pStyle w:val="29"/>
                              <w:spacing w:before="0" w:beforeAutospacing="0" w:after="0" w:afterAutospacing="0"/>
                              <w:ind w:firstLine="260"/>
                              <w:jc w:val="center"/>
                              <w:rPr>
                                <w:sz w:val="11"/>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color w:val="000000"/>
                                                <w:sz w:val="13"/>
                                                <w:szCs w:val="11"/>
                                              </w:rPr>
                                              <m:t>F</m:t>
                                            </m:r>
                                            <m:ctrlPr>
                                              <w:rPr>
                                                <w:rFonts w:ascii="Cambria Math" w:hAnsi="Cambria Math"/>
                                                <w:i/>
                                                <w:iCs/>
                                                <w:color w:val="000000"/>
                                                <w:sz w:val="13"/>
                                                <w:szCs w:val="11"/>
                                              </w:rPr>
                                            </m:ctrlPr>
                                          </m:e>
                                          <m:sub>
                                            <m:r>
                                              <w:rPr>
                                                <w:rFonts w:ascii="Cambria Math" w:hAnsi="Cambria Math"/>
                                                <w:color w:val="000000"/>
                                                <w:sz w:val="13"/>
                                                <w:szCs w:val="11"/>
                                              </w:rPr>
                                              <m:t>y</m:t>
                                            </m:r>
                                            <m:ctrlPr>
                                              <w:rPr>
                                                <w:rFonts w:ascii="Cambria Math" w:hAnsi="Cambria Math"/>
                                                <w:i/>
                                                <w:iCs/>
                                                <w:color w:val="000000"/>
                                                <w:sz w:val="13"/>
                                                <w:szCs w:val="11"/>
                                              </w:rPr>
                                            </m:ctrlPr>
                                          </m:sub>
                                        </m:sSub>
                                        <m:r>
                                          <w:rPr>
                                            <w:rFonts w:ascii="Cambria Math" w:hAnsi="Cambria Math"/>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color w:val="000000"/>
                                            <w:sz w:val="13"/>
                                            <w:szCs w:val="11"/>
                                          </w:rPr>
                                          <m:t>t</m:t>
                                        </m:r>
                                        <m:ctrlPr>
                                          <w:rPr>
                                            <w:rFonts w:ascii="Cambria Math" w:hAnsi="Cambria Math"/>
                                            <w:i/>
                                            <w:iCs/>
                                            <w:color w:val="000000"/>
                                            <w:sz w:val="13"/>
                                            <w:szCs w:val="11"/>
                                          </w:rPr>
                                        </m:ctrlPr>
                                      </m:e>
                                      <m:sub>
                                        <m:r>
                                          <w:rPr>
                                            <w:rFonts w:ascii="Cambria Math" w:hAnsi="Cambria Math"/>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color w:val="000000"/>
                                    <w:sz w:val="13"/>
                                    <w:szCs w:val="11"/>
                                  </w:rPr>
                                  <m:t>≥</m:t>
                                </m:r>
                                <m:f>
                                  <m:fPr>
                                    <m:ctrlPr>
                                      <w:rPr>
                                        <w:rFonts w:ascii="Cambria Math" w:hAnsi="Cambria Math"/>
                                        <w:i/>
                                        <w:iCs/>
                                        <w:color w:val="000000"/>
                                        <w:sz w:val="13"/>
                                        <w:szCs w:val="11"/>
                                      </w:rPr>
                                    </m:ctrlPr>
                                  </m:fPr>
                                  <m:num>
                                    <m:r>
                                      <w:rPr>
                                        <w:rFonts w:ascii="Cambria Math" w:hAnsi="Cambria Math"/>
                                        <w:color w:val="000000"/>
                                        <w:sz w:val="13"/>
                                        <w:szCs w:val="11"/>
                                      </w:rPr>
                                      <m:t>110</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color w:val="000000"/>
                                                <w:sz w:val="13"/>
                                                <w:szCs w:val="11"/>
                                              </w:rPr>
                                              <m:t>F</m:t>
                                            </m:r>
                                            <m:ctrlPr>
                                              <w:rPr>
                                                <w:rFonts w:ascii="Cambria Math" w:hAnsi="Cambria Math"/>
                                                <w:i/>
                                                <w:iCs/>
                                                <w:color w:val="000000"/>
                                                <w:sz w:val="13"/>
                                                <w:szCs w:val="11"/>
                                              </w:rPr>
                                            </m:ctrlPr>
                                          </m:e>
                                          <m:sub>
                                            <m:r>
                                              <w:rPr>
                                                <w:rFonts w:ascii="Cambria Math" w:hAnsi="Cambria Math"/>
                                                <w:color w:val="000000"/>
                                                <w:sz w:val="13"/>
                                                <w:szCs w:val="11"/>
                                              </w:rPr>
                                              <m:t>y</m:t>
                                            </m:r>
                                            <m:ctrlPr>
                                              <w:rPr>
                                                <w:rFonts w:ascii="Cambria Math" w:hAnsi="Cambria Math"/>
                                                <w:i/>
                                                <w:iCs/>
                                                <w:color w:val="000000"/>
                                                <w:sz w:val="13"/>
                                                <w:szCs w:val="11"/>
                                              </w:rPr>
                                            </m:ctrlPr>
                                          </m:sub>
                                        </m:sSub>
                                        <m:r>
                                          <w:rPr>
                                            <w:rFonts w:ascii="Cambria Math" w:hAnsi="Cambria Math"/>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7</w:t>
            </w:r>
          </w:p>
        </w:tc>
        <w:tc>
          <w:tcPr>
            <w:tcW w:w="7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1.12</w: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5212" w:type="dxa"/>
            <w:gridSpan w:val="6"/>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48"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柱</w:t>
            </w:r>
          </w:p>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（H截面）</w:t>
            </w:r>
          </w:p>
        </w:tc>
        <w:tc>
          <w:tcPr>
            <w:tcW w:w="834"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521335" cy="396240"/>
                      <wp:effectExtent l="0" t="0" r="2540" b="3810"/>
                      <wp:docPr id="199" name="文本框 59"/>
                      <wp:cNvGraphicFramePr/>
                      <a:graphic xmlns:a="http://schemas.openxmlformats.org/drawingml/2006/main">
                        <a:graphicData uri="http://schemas.microsoft.com/office/word/2010/wordprocessingShape">
                          <wps:wsp>
                            <wps:cNvSpPr txBox="1">
                              <a:spLocks noChangeArrowheads="1"/>
                            </wps:cNvSpPr>
                            <wps:spPr bwMode="auto">
                              <a:xfrm>
                                <a:off x="0" y="0"/>
                                <a:ext cx="521335" cy="396240"/>
                              </a:xfrm>
                              <a:prstGeom prst="rect">
                                <a:avLst/>
                              </a:prstGeom>
                              <a:noFill/>
                              <a:ln>
                                <a:noFill/>
                              </a:ln>
                            </wps:spPr>
                            <wps:txbx>
                              <w:txbxContent>
                                <w:p>
                                  <w:pPr>
                                    <w:pStyle w:val="29"/>
                                    <w:spacing w:before="0" w:beforeAutospacing="0" w:after="0" w:afterAutospacing="0"/>
                                    <w:ind w:firstLine="300"/>
                                    <w:rPr>
                                      <w:sz w:val="15"/>
                                      <w:szCs w:val="11"/>
                                    </w:rPr>
                                  </w:pPr>
                                  <m:oMathPara>
                                    <m:oMathParaPr>
                                      <m:jc m:val="centerGroup"/>
                                    </m:oMathParaPr>
                                    <m:oMath>
                                      <m:f>
                                        <m:fPr>
                                          <m:ctrlPr>
                                            <w:rPr>
                                              <w:rFonts w:ascii="Cambria Math" w:hAnsi="Cambria Math" w:eastAsia="Cambria Math"/>
                                              <w:i/>
                                              <w:iCs/>
                                              <w:color w:val="000000"/>
                                              <w:sz w:val="15"/>
                                              <w:szCs w:val="11"/>
                                            </w:rPr>
                                          </m:ctrlPr>
                                        </m:fPr>
                                        <m:num>
                                          <m:r>
                                            <w:rPr>
                                              <w:rFonts w:ascii="Cambria Math" w:hAnsi="Cambria Math" w:eastAsia="Cambria Math" w:cs="Times New Roman"/>
                                              <w:color w:val="000000"/>
                                              <w:sz w:val="15"/>
                                              <w:szCs w:val="11"/>
                                            </w:rPr>
                                            <m:t>P</m:t>
                                          </m:r>
                                          <m:ctrlPr>
                                            <w:rPr>
                                              <w:rFonts w:ascii="Cambria Math" w:hAnsi="Cambria Math" w:eastAsia="Cambria Math"/>
                                              <w:i/>
                                              <w:iCs/>
                                              <w:color w:val="000000"/>
                                              <w:sz w:val="15"/>
                                              <w:szCs w:val="11"/>
                                            </w:rPr>
                                          </m:ctrlPr>
                                        </m:num>
                                        <m:den>
                                          <m:sSub>
                                            <m:sSubPr>
                                              <m:ctrlPr>
                                                <w:rPr>
                                                  <w:rFonts w:ascii="Cambria Math" w:hAnsi="Cambria Math" w:eastAsia="Cambria Math"/>
                                                  <w:i/>
                                                  <w:iCs/>
                                                  <w:color w:val="000000"/>
                                                  <w:sz w:val="15"/>
                                                  <w:szCs w:val="11"/>
                                                </w:rPr>
                                              </m:ctrlPr>
                                            </m:sSubPr>
                                            <m:e>
                                              <m:r>
                                                <w:rPr>
                                                  <w:rFonts w:ascii="Cambria Math" w:hAnsi="Cambria Math" w:eastAsia="Cambria Math" w:cs="Times New Roman"/>
                                                  <w:color w:val="000000"/>
                                                  <w:sz w:val="15"/>
                                                  <w:szCs w:val="11"/>
                                                </w:rPr>
                                                <m:t>P</m:t>
                                              </m:r>
                                              <m:ctrlPr>
                                                <w:rPr>
                                                  <w:rFonts w:ascii="Cambria Math" w:hAnsi="Cambria Math" w:eastAsia="Cambria Math"/>
                                                  <w:i/>
                                                  <w:iCs/>
                                                  <w:color w:val="000000"/>
                                                  <w:sz w:val="15"/>
                                                  <w:szCs w:val="11"/>
                                                </w:rPr>
                                              </m:ctrlPr>
                                            </m:e>
                                            <m:sub>
                                              <m:r>
                                                <w:rPr>
                                                  <w:rFonts w:ascii="Cambria Math" w:hAnsi="Cambria Math" w:eastAsia="Cambria Math" w:cs="Times New Roman"/>
                                                  <w:color w:val="000000"/>
                                                  <w:sz w:val="15"/>
                                                  <w:szCs w:val="11"/>
                                                </w:rPr>
                                                <m:t>CL</m:t>
                                              </m:r>
                                              <m:ctrlPr>
                                                <w:rPr>
                                                  <w:rFonts w:ascii="Cambria Math" w:hAnsi="Cambria Math" w:eastAsia="Cambria Math"/>
                                                  <w:i/>
                                                  <w:iCs/>
                                                  <w:color w:val="000000"/>
                                                  <w:sz w:val="15"/>
                                                  <w:szCs w:val="11"/>
                                                </w:rPr>
                                              </m:ctrlPr>
                                            </m:sub>
                                          </m:sSub>
                                          <m:ctrlPr>
                                            <w:rPr>
                                              <w:rFonts w:ascii="Cambria Math" w:hAnsi="Cambria Math" w:eastAsia="Cambria Math"/>
                                              <w:i/>
                                              <w:iCs/>
                                              <w:color w:val="000000"/>
                                              <w:sz w:val="15"/>
                                              <w:szCs w:val="11"/>
                                            </w:rPr>
                                          </m:ctrlPr>
                                        </m:den>
                                      </m:f>
                                      <m:r>
                                        <w:rPr>
                                          <w:rFonts w:ascii="Cambria Math" w:hAnsi="Cambria Math" w:eastAsia="等线" w:cs="Times New Roman"/>
                                          <w:color w:val="000000"/>
                                          <w:sz w:val="15"/>
                                          <w:szCs w:val="11"/>
                                        </w:rPr>
                                        <m:t>&lt;0.2</m:t>
                                      </m:r>
                                    </m:oMath>
                                  </m:oMathPara>
                                </w:p>
                              </w:txbxContent>
                            </wps:txbx>
                            <wps:bodyPr rot="0" vert="horz" wrap="square" lIns="0" tIns="0" rIns="0" bIns="0" anchor="t" anchorCtr="0" upright="1">
                              <a:spAutoFit/>
                            </wps:bodyPr>
                          </wps:wsp>
                        </a:graphicData>
                      </a:graphic>
                    </wp:inline>
                  </w:drawing>
                </mc:Choice>
                <mc:Fallback>
                  <w:pict>
                    <v:shape id="文本框 59" o:spid="_x0000_s1026" o:spt="202" type="#_x0000_t202" style="height:31.2pt;width:41.05pt;" filled="f" stroked="f" coordsize="21600,21600" o:gfxdata="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i2Ha90gAAAAMBAAAPAAAAAAAAAAEAIAAAACIAAABkcnMvZG93bnJldi54bWxQSwECFAAUAAAA&#10;CACHTuJA9cMYdfQBAAC5AwAADgAAAAAAAAABACAAAAAhAQAAZHJzL2Uyb0RvYy54bWxQSwUGAAAA&#10;AAYABgBZAQAAhwUAAAAA&#10;">
                      <v:fill on="f" focussize="0,0"/>
                      <v:stroke on="f"/>
                      <v:imagedata o:title=""/>
                      <o:lock v:ext="edit" aspectratio="f"/>
                      <v:textbox inset="0mm,0mm,0mm,0mm" style="mso-fit-shape-to-text:t;">
                        <w:txbxContent>
                          <w:p>
                            <w:pPr>
                              <w:pStyle w:val="29"/>
                              <w:spacing w:before="0" w:beforeAutospacing="0" w:after="0" w:afterAutospacing="0"/>
                              <w:ind w:firstLine="300"/>
                              <w:rPr>
                                <w:sz w:val="15"/>
                                <w:szCs w:val="11"/>
                              </w:rPr>
                            </w:pPr>
                            <m:oMathPara>
                              <m:oMathParaPr>
                                <m:jc m:val="centerGroup"/>
                              </m:oMathParaPr>
                              <m:oMath>
                                <m:f>
                                  <m:fPr>
                                    <m:ctrlPr>
                                      <w:rPr>
                                        <w:rFonts w:ascii="Cambria Math" w:hAnsi="Cambria Math" w:eastAsia="Cambria Math"/>
                                        <w:i/>
                                        <w:iCs/>
                                        <w:color w:val="000000"/>
                                        <w:sz w:val="15"/>
                                        <w:szCs w:val="11"/>
                                      </w:rPr>
                                    </m:ctrlPr>
                                  </m:fPr>
                                  <m:num>
                                    <m:r>
                                      <w:rPr>
                                        <w:rFonts w:ascii="Cambria Math" w:hAnsi="Cambria Math" w:eastAsia="Cambria Math" w:cs="Times New Roman"/>
                                        <w:color w:val="000000"/>
                                        <w:sz w:val="15"/>
                                        <w:szCs w:val="11"/>
                                      </w:rPr>
                                      <m:t>P</m:t>
                                    </m:r>
                                    <m:ctrlPr>
                                      <w:rPr>
                                        <w:rFonts w:ascii="Cambria Math" w:hAnsi="Cambria Math" w:eastAsia="Cambria Math"/>
                                        <w:i/>
                                        <w:iCs/>
                                        <w:color w:val="000000"/>
                                        <w:sz w:val="15"/>
                                        <w:szCs w:val="11"/>
                                      </w:rPr>
                                    </m:ctrlPr>
                                  </m:num>
                                  <m:den>
                                    <m:sSub>
                                      <m:sSubPr>
                                        <m:ctrlPr>
                                          <w:rPr>
                                            <w:rFonts w:ascii="Cambria Math" w:hAnsi="Cambria Math" w:eastAsia="Cambria Math"/>
                                            <w:i/>
                                            <w:iCs/>
                                            <w:color w:val="000000"/>
                                            <w:sz w:val="15"/>
                                            <w:szCs w:val="11"/>
                                          </w:rPr>
                                        </m:ctrlPr>
                                      </m:sSubPr>
                                      <m:e>
                                        <m:r>
                                          <w:rPr>
                                            <w:rFonts w:ascii="Cambria Math" w:hAnsi="Cambria Math" w:eastAsia="Cambria Math" w:cs="Times New Roman"/>
                                            <w:color w:val="000000"/>
                                            <w:sz w:val="15"/>
                                            <w:szCs w:val="11"/>
                                          </w:rPr>
                                          <m:t>P</m:t>
                                        </m:r>
                                        <m:ctrlPr>
                                          <w:rPr>
                                            <w:rFonts w:ascii="Cambria Math" w:hAnsi="Cambria Math" w:eastAsia="Cambria Math"/>
                                            <w:i/>
                                            <w:iCs/>
                                            <w:color w:val="000000"/>
                                            <w:sz w:val="15"/>
                                            <w:szCs w:val="11"/>
                                          </w:rPr>
                                        </m:ctrlPr>
                                      </m:e>
                                      <m:sub>
                                        <m:r>
                                          <w:rPr>
                                            <w:rFonts w:ascii="Cambria Math" w:hAnsi="Cambria Math" w:eastAsia="Cambria Math" w:cs="Times New Roman"/>
                                            <w:color w:val="000000"/>
                                            <w:sz w:val="15"/>
                                            <w:szCs w:val="11"/>
                                          </w:rPr>
                                          <m:t>CL</m:t>
                                        </m:r>
                                        <m:ctrlPr>
                                          <w:rPr>
                                            <w:rFonts w:ascii="Cambria Math" w:hAnsi="Cambria Math" w:eastAsia="Cambria Math"/>
                                            <w:i/>
                                            <w:iCs/>
                                            <w:color w:val="000000"/>
                                            <w:sz w:val="15"/>
                                            <w:szCs w:val="11"/>
                                          </w:rPr>
                                        </m:ctrlPr>
                                      </m:sub>
                                    </m:sSub>
                                    <m:ctrlPr>
                                      <w:rPr>
                                        <w:rFonts w:ascii="Cambria Math" w:hAnsi="Cambria Math" w:eastAsia="Cambria Math"/>
                                        <w:i/>
                                        <w:iCs/>
                                        <w:color w:val="000000"/>
                                        <w:sz w:val="15"/>
                                        <w:szCs w:val="11"/>
                                      </w:rPr>
                                    </m:ctrlPr>
                                  </m:den>
                                </m:f>
                                <m:r>
                                  <w:rPr>
                                    <w:rFonts w:ascii="Cambria Math" w:hAnsi="Cambria Math" w:eastAsia="等线" w:cs="Times New Roman"/>
                                    <w:color w:val="000000"/>
                                    <w:sz w:val="15"/>
                                    <w:szCs w:val="11"/>
                                  </w:rPr>
                                  <m:t>&lt;0.2</m:t>
                                </m:r>
                              </m:oMath>
                            </m:oMathPara>
                          </w:p>
                        </w:txbxContent>
                      </v:textbox>
                      <w10:wrap type="none"/>
                      <w10:anchorlock/>
                    </v:shape>
                  </w:pict>
                </mc:Fallback>
              </mc:AlternateContent>
            </w: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64920" cy="350520"/>
                      <wp:effectExtent l="0" t="0" r="1905" b="1905"/>
                      <wp:docPr id="200" name="文本框 58"/>
                      <wp:cNvGraphicFramePr/>
                      <a:graphic xmlns:a="http://schemas.openxmlformats.org/drawingml/2006/main">
                        <a:graphicData uri="http://schemas.microsoft.com/office/word/2010/wordprocessingShape">
                          <wps:wsp>
                            <wps:cNvSpPr txBox="1">
                              <a:spLocks noChangeArrowheads="1"/>
                            </wps:cNvSpPr>
                            <wps:spPr bwMode="auto">
                              <a:xfrm>
                                <a:off x="0" y="0"/>
                                <a:ext cx="1264920" cy="35052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51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58" o:spid="_x0000_s1026" o:spt="202" type="#_x0000_t202" style="height:27.6pt;width:99.6pt;" filled="f" stroked="f" coordsize="21600,21600" o:gfxdata="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ZrKY1AAAAAQBAAAPAAAAAAAAAAEAIAAAACIAAABkcnMvZG93bnJldi54bWxQSwECFAAUAAAA&#10;CACHTuJAupDZ/vIBAAC6AwAADgAAAAAAAAABACAAAAAjAQAAZHJzL2Uyb0RvYy54bWxQSwUGAAAA&#10;AAYABgBZAQAAhw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51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w:t>
            </w:r>
          </w:p>
        </w:tc>
        <w:tc>
          <w:tcPr>
            <w:tcW w:w="75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1.27</w: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59840" cy="396240"/>
                      <wp:effectExtent l="0" t="0" r="0" b="3810"/>
                      <wp:docPr id="201" name="文本框 57"/>
                      <wp:cNvGraphicFramePr/>
                      <a:graphic xmlns:a="http://schemas.openxmlformats.org/drawingml/2006/main">
                        <a:graphicData uri="http://schemas.microsoft.com/office/word/2010/wordprocessingShape">
                          <wps:wsp>
                            <wps:cNvSpPr txBox="1">
                              <a:spLocks noChangeArrowheads="1"/>
                            </wps:cNvSpPr>
                            <wps:spPr bwMode="auto">
                              <a:xfrm>
                                <a:off x="0" y="0"/>
                                <a:ext cx="125984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79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spAutoFit/>
                            </wps:bodyPr>
                          </wps:wsp>
                        </a:graphicData>
                      </a:graphic>
                    </wp:inline>
                  </w:drawing>
                </mc:Choice>
                <mc:Fallback>
                  <w:pict>
                    <v:shape id="文本框 57" o:spid="_x0000_s1026" o:spt="202" type="#_x0000_t202" style="height:31.2pt;width:99.2pt;" filled="f" stroked="f" coordsize="21600,21600" o:gfxdata="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R1CVdIAAAAEAQAADwAAAAAAAAABACAAAAAiAAAAZHJzL2Rvd25yZXYueG1sUEsBAhQAFAAAAAgA&#10;h07iQE7y80/yAQAAugMAAA4AAAAAAAAAAQAgAAAAIQEAAGRycy9lMm9Eb2MueG1sUEsFBgAAAAAG&#10;AAYAWQEAAIUFA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79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7</w:t>
            </w:r>
          </w:p>
        </w:tc>
        <w:tc>
          <w:tcPr>
            <w:tcW w:w="7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1.12</w: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5212" w:type="dxa"/>
            <w:gridSpan w:val="6"/>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834"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627380" cy="396240"/>
                      <wp:effectExtent l="0" t="0" r="1270" b="3810"/>
                      <wp:docPr id="202" name="文本框 56"/>
                      <wp:cNvGraphicFramePr/>
                      <a:graphic xmlns:a="http://schemas.openxmlformats.org/drawingml/2006/main">
                        <a:graphicData uri="http://schemas.microsoft.com/office/word/2010/wordprocessingShape">
                          <wps:wsp>
                            <wps:cNvSpPr txBox="1">
                              <a:spLocks noChangeArrowheads="1"/>
                            </wps:cNvSpPr>
                            <wps:spPr bwMode="auto">
                              <a:xfrm>
                                <a:off x="0" y="0"/>
                                <a:ext cx="627380" cy="396240"/>
                              </a:xfrm>
                              <a:prstGeom prst="rect">
                                <a:avLst/>
                              </a:prstGeom>
                              <a:noFill/>
                              <a:ln>
                                <a:noFill/>
                              </a:ln>
                            </wps:spPr>
                            <wps:txbx>
                              <w:txbxContent>
                                <w:p>
                                  <w:pPr>
                                    <w:pStyle w:val="29"/>
                                    <w:spacing w:before="0" w:beforeAutospacing="0" w:after="0" w:afterAutospacing="0"/>
                                    <w:ind w:firstLine="300"/>
                                    <w:rPr>
                                      <w:sz w:val="15"/>
                                      <w:szCs w:val="11"/>
                                    </w:rPr>
                                  </w:pPr>
                                  <m:oMathPara>
                                    <m:oMathParaPr>
                                      <m:jc m:val="centerGroup"/>
                                    </m:oMathParaPr>
                                    <m:oMath>
                                      <m:r>
                                        <m:rPr>
                                          <m:sty m:val="p"/>
                                        </m:rPr>
                                        <w:rPr>
                                          <w:rFonts w:ascii="Cambria Math" w:hAnsi="Cambria Math" w:eastAsia="等线" w:cs="Times New Roman"/>
                                          <w:color w:val="000000"/>
                                          <w:sz w:val="15"/>
                                          <w:szCs w:val="11"/>
                                        </w:rPr>
                                        <m:t>0.2≤</m:t>
                                      </m:r>
                                      <m:f>
                                        <m:fPr>
                                          <m:ctrlPr>
                                            <w:rPr>
                                              <w:rFonts w:ascii="Cambria Math" w:hAnsi="Cambria Math" w:eastAsia="Cambria Math"/>
                                              <w:i/>
                                              <w:iCs/>
                                              <w:color w:val="000000"/>
                                              <w:sz w:val="15"/>
                                              <w:szCs w:val="11"/>
                                            </w:rPr>
                                          </m:ctrlPr>
                                        </m:fPr>
                                        <m:num>
                                          <m:r>
                                            <w:rPr>
                                              <w:rFonts w:ascii="Cambria Math" w:hAnsi="Cambria Math" w:eastAsia="Cambria Math" w:cs="Times New Roman"/>
                                              <w:color w:val="000000"/>
                                              <w:sz w:val="15"/>
                                              <w:szCs w:val="11"/>
                                            </w:rPr>
                                            <m:t>P</m:t>
                                          </m:r>
                                          <m:ctrlPr>
                                            <w:rPr>
                                              <w:rFonts w:ascii="Cambria Math" w:hAnsi="Cambria Math" w:eastAsia="Cambria Math"/>
                                              <w:i/>
                                              <w:iCs/>
                                              <w:color w:val="000000"/>
                                              <w:sz w:val="15"/>
                                              <w:szCs w:val="11"/>
                                            </w:rPr>
                                          </m:ctrlPr>
                                        </m:num>
                                        <m:den>
                                          <m:sSub>
                                            <m:sSubPr>
                                              <m:ctrlPr>
                                                <w:rPr>
                                                  <w:rFonts w:ascii="Cambria Math" w:hAnsi="Cambria Math" w:eastAsia="Cambria Math"/>
                                                  <w:i/>
                                                  <w:iCs/>
                                                  <w:color w:val="000000"/>
                                                  <w:sz w:val="15"/>
                                                  <w:szCs w:val="11"/>
                                                </w:rPr>
                                              </m:ctrlPr>
                                            </m:sSubPr>
                                            <m:e>
                                              <m:r>
                                                <w:rPr>
                                                  <w:rFonts w:ascii="Cambria Math" w:hAnsi="Cambria Math" w:eastAsia="Cambria Math" w:cs="Times New Roman"/>
                                                  <w:color w:val="000000"/>
                                                  <w:sz w:val="15"/>
                                                  <w:szCs w:val="11"/>
                                                </w:rPr>
                                                <m:t>P</m:t>
                                              </m:r>
                                              <m:ctrlPr>
                                                <w:rPr>
                                                  <w:rFonts w:ascii="Cambria Math" w:hAnsi="Cambria Math" w:eastAsia="Cambria Math"/>
                                                  <w:i/>
                                                  <w:iCs/>
                                                  <w:color w:val="000000"/>
                                                  <w:sz w:val="15"/>
                                                  <w:szCs w:val="11"/>
                                                </w:rPr>
                                              </m:ctrlPr>
                                            </m:e>
                                            <m:sub>
                                              <m:r>
                                                <w:rPr>
                                                  <w:rFonts w:ascii="Cambria Math" w:hAnsi="Cambria Math" w:eastAsia="Cambria Math" w:cs="Times New Roman"/>
                                                  <w:color w:val="000000"/>
                                                  <w:sz w:val="15"/>
                                                  <w:szCs w:val="11"/>
                                                </w:rPr>
                                                <m:t>CL</m:t>
                                              </m:r>
                                              <m:ctrlPr>
                                                <w:rPr>
                                                  <w:rFonts w:ascii="Cambria Math" w:hAnsi="Cambria Math" w:eastAsia="Cambria Math"/>
                                                  <w:i/>
                                                  <w:iCs/>
                                                  <w:color w:val="000000"/>
                                                  <w:sz w:val="15"/>
                                                  <w:szCs w:val="11"/>
                                                </w:rPr>
                                              </m:ctrlPr>
                                            </m:sub>
                                          </m:sSub>
                                          <m:ctrlPr>
                                            <w:rPr>
                                              <w:rFonts w:ascii="Cambria Math" w:hAnsi="Cambria Math" w:eastAsia="Cambria Math"/>
                                              <w:i/>
                                              <w:iCs/>
                                              <w:color w:val="000000"/>
                                              <w:sz w:val="15"/>
                                              <w:szCs w:val="11"/>
                                            </w:rPr>
                                          </m:ctrlPr>
                                        </m:den>
                                      </m:f>
                                      <m:r>
                                        <m:rPr>
                                          <m:sty m:val="p"/>
                                        </m:rPr>
                                        <w:rPr>
                                          <w:rFonts w:ascii="Cambria Math" w:hAnsi="Cambria Math" w:eastAsia="等线" w:cs="Times New Roman"/>
                                          <w:color w:val="000000"/>
                                          <w:sz w:val="15"/>
                                          <w:szCs w:val="11"/>
                                        </w:rPr>
                                        <m:t>≤</m:t>
                                      </m:r>
                                      <m:r>
                                        <w:rPr>
                                          <w:rFonts w:ascii="Cambria Math" w:hAnsi="Cambria Math" w:eastAsia="等线" w:cs="Times New Roman"/>
                                          <w:color w:val="000000"/>
                                          <w:sz w:val="15"/>
                                          <w:szCs w:val="11"/>
                                        </w:rPr>
                                        <m:t>0.5</m:t>
                                      </m:r>
                                    </m:oMath>
                                  </m:oMathPara>
                                </w:p>
                              </w:txbxContent>
                            </wps:txbx>
                            <wps:bodyPr rot="0" vert="horz" wrap="none" lIns="0" tIns="0" rIns="0" bIns="0" anchor="t" anchorCtr="0" upright="1">
                              <a:spAutoFit/>
                            </wps:bodyPr>
                          </wps:wsp>
                        </a:graphicData>
                      </a:graphic>
                    </wp:inline>
                  </w:drawing>
                </mc:Choice>
                <mc:Fallback>
                  <w:pict>
                    <v:shape id="文本框 56" o:spid="_x0000_s1026" o:spt="202" type="#_x0000_t202" style="height:31.2pt;width:49.4pt;mso-wrap-style:none;" filled="f" stroked="f" coordsize="21600,21600" o:gfxdata="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QZ&#10;zTDRAAAAAwEAAA8AAAAAAAAAAQAgAAAAIgAAAGRycy9kb3ducmV2LnhtbFBLAQIUABQAAAAIAIdO&#10;4kBx7svV8QEAALcDAAAOAAAAAAAAAAEAIAAAACABAABkcnMvZTJvRG9jLnhtbFBLBQYAAAAABgAG&#10;AFkBAACDBQAAAAA=&#10;">
                      <v:fill on="f" focussize="0,0"/>
                      <v:stroke on="f"/>
                      <v:imagedata o:title=""/>
                      <o:lock v:ext="edit" aspectratio="f"/>
                      <v:textbox inset="0mm,0mm,0mm,0mm" style="mso-fit-shape-to-text:t;">
                        <w:txbxContent>
                          <w:p>
                            <w:pPr>
                              <w:pStyle w:val="29"/>
                              <w:spacing w:before="0" w:beforeAutospacing="0" w:after="0" w:afterAutospacing="0"/>
                              <w:ind w:firstLine="300"/>
                              <w:rPr>
                                <w:sz w:val="15"/>
                                <w:szCs w:val="11"/>
                              </w:rPr>
                            </w:pPr>
                            <m:oMathPara>
                              <m:oMathParaPr>
                                <m:jc m:val="centerGroup"/>
                              </m:oMathParaPr>
                              <m:oMath>
                                <m:r>
                                  <m:rPr>
                                    <m:sty m:val="p"/>
                                  </m:rPr>
                                  <w:rPr>
                                    <w:rFonts w:ascii="Cambria Math" w:hAnsi="Cambria Math" w:eastAsia="等线" w:cs="Times New Roman"/>
                                    <w:color w:val="000000"/>
                                    <w:sz w:val="15"/>
                                    <w:szCs w:val="11"/>
                                  </w:rPr>
                                  <m:t>0.2≤</m:t>
                                </m:r>
                                <m:f>
                                  <m:fPr>
                                    <m:ctrlPr>
                                      <w:rPr>
                                        <w:rFonts w:ascii="Cambria Math" w:hAnsi="Cambria Math" w:eastAsia="Cambria Math"/>
                                        <w:i/>
                                        <w:iCs/>
                                        <w:color w:val="000000"/>
                                        <w:sz w:val="15"/>
                                        <w:szCs w:val="11"/>
                                      </w:rPr>
                                    </m:ctrlPr>
                                  </m:fPr>
                                  <m:num>
                                    <m:r>
                                      <w:rPr>
                                        <w:rFonts w:ascii="Cambria Math" w:hAnsi="Cambria Math" w:eastAsia="Cambria Math" w:cs="Times New Roman"/>
                                        <w:color w:val="000000"/>
                                        <w:sz w:val="15"/>
                                        <w:szCs w:val="11"/>
                                      </w:rPr>
                                      <m:t>P</m:t>
                                    </m:r>
                                    <m:ctrlPr>
                                      <w:rPr>
                                        <w:rFonts w:ascii="Cambria Math" w:hAnsi="Cambria Math" w:eastAsia="Cambria Math"/>
                                        <w:i/>
                                        <w:iCs/>
                                        <w:color w:val="000000"/>
                                        <w:sz w:val="15"/>
                                        <w:szCs w:val="11"/>
                                      </w:rPr>
                                    </m:ctrlPr>
                                  </m:num>
                                  <m:den>
                                    <m:sSub>
                                      <m:sSubPr>
                                        <m:ctrlPr>
                                          <w:rPr>
                                            <w:rFonts w:ascii="Cambria Math" w:hAnsi="Cambria Math" w:eastAsia="Cambria Math"/>
                                            <w:i/>
                                            <w:iCs/>
                                            <w:color w:val="000000"/>
                                            <w:sz w:val="15"/>
                                            <w:szCs w:val="11"/>
                                          </w:rPr>
                                        </m:ctrlPr>
                                      </m:sSubPr>
                                      <m:e>
                                        <m:r>
                                          <w:rPr>
                                            <w:rFonts w:ascii="Cambria Math" w:hAnsi="Cambria Math" w:eastAsia="Cambria Math" w:cs="Times New Roman"/>
                                            <w:color w:val="000000"/>
                                            <w:sz w:val="15"/>
                                            <w:szCs w:val="11"/>
                                          </w:rPr>
                                          <m:t>P</m:t>
                                        </m:r>
                                        <m:ctrlPr>
                                          <w:rPr>
                                            <w:rFonts w:ascii="Cambria Math" w:hAnsi="Cambria Math" w:eastAsia="Cambria Math"/>
                                            <w:i/>
                                            <w:iCs/>
                                            <w:color w:val="000000"/>
                                            <w:sz w:val="15"/>
                                            <w:szCs w:val="11"/>
                                          </w:rPr>
                                        </m:ctrlPr>
                                      </m:e>
                                      <m:sub>
                                        <m:r>
                                          <w:rPr>
                                            <w:rFonts w:ascii="Cambria Math" w:hAnsi="Cambria Math" w:eastAsia="Cambria Math" w:cs="Times New Roman"/>
                                            <w:color w:val="000000"/>
                                            <w:sz w:val="15"/>
                                            <w:szCs w:val="11"/>
                                          </w:rPr>
                                          <m:t>CL</m:t>
                                        </m:r>
                                        <m:ctrlPr>
                                          <w:rPr>
                                            <w:rFonts w:ascii="Cambria Math" w:hAnsi="Cambria Math" w:eastAsia="Cambria Math"/>
                                            <w:i/>
                                            <w:iCs/>
                                            <w:color w:val="000000"/>
                                            <w:sz w:val="15"/>
                                            <w:szCs w:val="11"/>
                                          </w:rPr>
                                        </m:ctrlPr>
                                      </m:sub>
                                    </m:sSub>
                                    <m:ctrlPr>
                                      <w:rPr>
                                        <w:rFonts w:ascii="Cambria Math" w:hAnsi="Cambria Math" w:eastAsia="Cambria Math"/>
                                        <w:i/>
                                        <w:iCs/>
                                        <w:color w:val="000000"/>
                                        <w:sz w:val="15"/>
                                        <w:szCs w:val="11"/>
                                      </w:rPr>
                                    </m:ctrlPr>
                                  </m:den>
                                </m:f>
                                <m:r>
                                  <m:rPr>
                                    <m:sty m:val="p"/>
                                  </m:rPr>
                                  <w:rPr>
                                    <w:rFonts w:ascii="Cambria Math" w:hAnsi="Cambria Math" w:eastAsia="等线" w:cs="Times New Roman"/>
                                    <w:color w:val="000000"/>
                                    <w:sz w:val="15"/>
                                    <w:szCs w:val="11"/>
                                  </w:rPr>
                                  <m:t>≤</m:t>
                                </m:r>
                                <m:r>
                                  <w:rPr>
                                    <w:rFonts w:ascii="Cambria Math" w:hAnsi="Cambria Math" w:eastAsia="等线" w:cs="Times New Roman"/>
                                    <w:color w:val="000000"/>
                                    <w:sz w:val="15"/>
                                    <w:szCs w:val="11"/>
                                  </w:rPr>
                                  <m:t>0.5</m:t>
                                </m:r>
                              </m:oMath>
                            </m:oMathPara>
                          </w:p>
                        </w:txbxContent>
                      </v:textbox>
                      <w10:wrap type="none"/>
                      <w10:anchorlock/>
                    </v:shape>
                  </w:pict>
                </mc:Fallback>
              </mc:AlternateContent>
            </w: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37615" cy="355600"/>
                      <wp:effectExtent l="0" t="0" r="635" b="0"/>
                      <wp:docPr id="203" name="文本框 55"/>
                      <wp:cNvGraphicFramePr/>
                      <a:graphic xmlns:a="http://schemas.openxmlformats.org/drawingml/2006/main">
                        <a:graphicData uri="http://schemas.microsoft.com/office/word/2010/wordprocessingShape">
                          <wps:wsp>
                            <wps:cNvSpPr txBox="1">
                              <a:spLocks noChangeArrowheads="1"/>
                            </wps:cNvSpPr>
                            <wps:spPr bwMode="auto">
                              <a:xfrm>
                                <a:off x="0" y="0"/>
                                <a:ext cx="1237615" cy="35560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45</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55" o:spid="_x0000_s1026" o:spt="202" type="#_x0000_t202" style="height:28pt;width:97.45pt;" filled="f" stroked="f" coordsize="21600,21600" o:gfxdata="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sN3Q41AAAAAQBAAAPAAAAAAAAAAEAIAAAACIAAABkcnMvZG93bnJldi54bWxQSwECFAAU&#10;AAAACACHTuJAAQhbOvUBAAC6AwAADgAAAAAAAAABACAAAAAjAQAAZHJzL2Uyb0RvYy54bWxQSwUG&#10;AAAAAAYABgBZAQAAig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45</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670560" cy="396240"/>
                      <wp:effectExtent l="0" t="0" r="0" b="3810"/>
                      <wp:docPr id="204" name="文本框 54"/>
                      <wp:cNvGraphicFramePr/>
                      <a:graphic xmlns:a="http://schemas.openxmlformats.org/drawingml/2006/main">
                        <a:graphicData uri="http://schemas.microsoft.com/office/word/2010/wordprocessingShape">
                          <wps:wsp>
                            <wps:cNvSpPr txBox="1">
                              <a:spLocks noChangeArrowheads="1"/>
                            </wps:cNvSpPr>
                            <wps:spPr bwMode="auto">
                              <a:xfrm>
                                <a:off x="0" y="0"/>
                                <a:ext cx="67056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(12-</m:t>
                                      </m:r>
                                      <m:r>
                                        <w:rPr>
                                          <w:rFonts w:ascii="Cambria Math" w:hAnsi="Cambria Math" w:eastAsia="Cambria Math" w:cs="Times New Roman"/>
                                          <w:color w:val="000000"/>
                                          <w:sz w:val="13"/>
                                          <w:szCs w:val="11"/>
                                        </w:rPr>
                                        <m:t>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54" o:spid="_x0000_s1026" o:spt="202" type="#_x0000_t202" style="height:31.2pt;width:52.8pt;" filled="f" stroked="f" coordsize="21600,21600" o:gfxdata="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NZMT9EAAAAEAQAADwAAAAAAAAABACAAAAAiAAAAZHJzL2Rvd25yZXYueG1sUEsBAhQAFAAAAAgA&#10;h07iQC8YwdHzAQAAuQMAAA4AAAAAAAAAAQAgAAAAIAEAAGRycy9lMm9Eb2MueG1sUEsFBgAAAAAG&#10;AAYAWQEAAIUFA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(12-</m:t>
                                </m:r>
                                <m:r>
                                  <w:rPr>
                                    <w:rFonts w:ascii="Cambria Math" w:hAnsi="Cambria Math" w:eastAsia="Cambria Math" w:cs="Times New Roman"/>
                                    <w:color w:val="000000"/>
                                    <w:sz w:val="13"/>
                                    <w:szCs w:val="11"/>
                                  </w:rPr>
                                  <m:t>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660400" cy="396240"/>
                      <wp:effectExtent l="0" t="0" r="0" b="3810"/>
                      <wp:docPr id="205" name="文本框 53"/>
                      <wp:cNvGraphicFramePr/>
                      <a:graphic xmlns:a="http://schemas.openxmlformats.org/drawingml/2006/main">
                        <a:graphicData uri="http://schemas.microsoft.com/office/word/2010/wordprocessingShape">
                          <wps:wsp>
                            <wps:cNvSpPr txBox="1">
                              <a:spLocks noChangeArrowheads="1"/>
                            </wps:cNvSpPr>
                            <wps:spPr bwMode="auto">
                              <a:xfrm>
                                <a:off x="0" y="0"/>
                                <a:ext cx="66040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(18-</m:t>
                                      </m:r>
                                      <m:r>
                                        <w:rPr>
                                          <w:rFonts w:ascii="Cambria Math" w:hAnsi="Cambria Math" w:eastAsia="Cambria Math" w:cs="Times New Roman"/>
                                          <w:color w:val="000000"/>
                                          <w:sz w:val="13"/>
                                          <w:szCs w:val="11"/>
                                        </w:rPr>
                                        <m:t>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53" o:spid="_x0000_s1026" o:spt="202" type="#_x0000_t202" style="height:31.2pt;width:52pt;" filled="f" stroked="f" coordsize="21600,21600" o:gfxdata="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J2oPLRAAAABAEAAA8AAAAAAAAAAQAgAAAAIgAAAGRycy9kb3ducmV2LnhtbFBLAQIUABQAAAAI&#10;AIdO4kDGp/UY9AEAALkDAAAOAAAAAAAAAAEAIAAAACABAABkcnMvZTJvRG9jLnhtbFBLBQYAAAAA&#10;BgAGAFkBAACGBQ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(18-</m:t>
                                </m:r>
                                <m:r>
                                  <w:rPr>
                                    <w:rFonts w:ascii="Cambria Math" w:hAnsi="Cambria Math" w:eastAsia="Cambria Math" w:cs="Times New Roman"/>
                                    <w:color w:val="000000"/>
                                    <w:sz w:val="13"/>
                                    <w:szCs w:val="11"/>
                                  </w:rPr>
                                  <m:t>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75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772160" cy="396240"/>
                      <wp:effectExtent l="0" t="0" r="0" b="3810"/>
                      <wp:docPr id="206" name="文本框 52"/>
                      <wp:cNvGraphicFramePr/>
                      <a:graphic xmlns:a="http://schemas.openxmlformats.org/drawingml/2006/main">
                        <a:graphicData uri="http://schemas.microsoft.com/office/word/2010/wordprocessingShape">
                          <wps:wsp>
                            <wps:cNvSpPr txBox="1">
                              <a:spLocks noChangeArrowheads="1"/>
                            </wps:cNvSpPr>
                            <wps:spPr bwMode="auto">
                              <a:xfrm>
                                <a:off x="0" y="0"/>
                                <a:ext cx="77216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(1.33-0.55</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52" o:spid="_x0000_s1026" o:spt="202" type="#_x0000_t202" style="height:31.2pt;width:60.8pt;" filled="f" stroked="f" coordsize="21600,21600" o:gfxdata="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SQlI/SAAAABAEAAA8AAAAAAAAAAQAgAAAAIgAAAGRycy9kb3ducmV2LnhtbFBLAQIUABQAAAAI&#10;AIdO4kDgXmyE8wEAALkDAAAOAAAAAAAAAAEAIAAAACEBAABkcnMvZTJvRG9jLnhtbFBLBQYAAAAA&#10;BgAGAFkBAACGBQ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(1.33-0.55</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59840" cy="396240"/>
                      <wp:effectExtent l="0" t="0" r="0" b="3810"/>
                      <wp:docPr id="207" name="文本框 51"/>
                      <wp:cNvGraphicFramePr/>
                      <a:graphic xmlns:a="http://schemas.openxmlformats.org/drawingml/2006/main">
                        <a:graphicData uri="http://schemas.microsoft.com/office/word/2010/wordprocessingShape">
                          <wps:wsp>
                            <wps:cNvSpPr txBox="1">
                              <a:spLocks noChangeArrowheads="1"/>
                            </wps:cNvSpPr>
                            <wps:spPr bwMode="auto">
                              <a:xfrm>
                                <a:off x="0" y="0"/>
                                <a:ext cx="125984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68</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spAutoFit/>
                            </wps:bodyPr>
                          </wps:wsp>
                        </a:graphicData>
                      </a:graphic>
                    </wp:inline>
                  </w:drawing>
                </mc:Choice>
                <mc:Fallback>
                  <w:pict>
                    <v:shape id="文本框 51" o:spid="_x0000_s1026" o:spt="202" type="#_x0000_t202" style="height:31.2pt;width:99.2pt;" filled="f" stroked="f" coordsize="21600,21600" o:gfxdata="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R1CVdIAAAAEAQAADwAAAAAAAAABACAAAAAiAAAAZHJzL2Rvd25yZXYueG1sUEsBAhQAFAAAAAgA&#10;h07iQHfvK2PyAQAAugMAAA4AAAAAAAAAAQAgAAAAIQEAAGRycy9lMm9Eb2MueG1sUEsFBgAAAAAG&#10;AAYAWQEAAIUFA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68</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2.5</w:t>
            </w:r>
          </w:p>
        </w:tc>
        <w:tc>
          <w:tcPr>
            <w:tcW w:w="7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1.03</w: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5212" w:type="dxa"/>
            <w:gridSpan w:val="6"/>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48"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柱</w:t>
            </w:r>
          </w:p>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（方管截面）</w:t>
            </w:r>
          </w:p>
        </w:tc>
        <w:tc>
          <w:tcPr>
            <w:tcW w:w="834"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480695" cy="198120"/>
                      <wp:effectExtent l="0" t="0" r="0" b="1905"/>
                      <wp:docPr id="208" name="文本框 50"/>
                      <wp:cNvGraphicFramePr/>
                      <a:graphic xmlns:a="http://schemas.openxmlformats.org/drawingml/2006/main">
                        <a:graphicData uri="http://schemas.microsoft.com/office/word/2010/wordprocessingShape">
                          <wps:wsp>
                            <wps:cNvSpPr txBox="1">
                              <a:spLocks noChangeArrowheads="1"/>
                            </wps:cNvSpPr>
                            <wps:spPr bwMode="auto">
                              <a:xfrm>
                                <a:off x="0" y="0"/>
                                <a:ext cx="480695" cy="198120"/>
                              </a:xfrm>
                              <a:prstGeom prst="rect">
                                <a:avLst/>
                              </a:prstGeom>
                              <a:noFill/>
                              <a:ln>
                                <a:noFill/>
                              </a:ln>
                            </wps:spPr>
                            <wps:txbx>
                              <w:txbxContent>
                                <w:p>
                                  <w:pPr>
                                    <w:pStyle w:val="29"/>
                                    <w:spacing w:before="0" w:beforeAutospacing="0" w:after="0" w:afterAutospacing="0"/>
                                    <w:ind w:firstLine="220"/>
                                    <w:rPr>
                                      <w:sz w:val="11"/>
                                      <w:szCs w:val="11"/>
                                    </w:rPr>
                                  </w:pPr>
                                  <m:oMathPara>
                                    <m:oMathParaPr>
                                      <m:jc m:val="centerGroup"/>
                                    </m:oMathParaPr>
                                    <m:oMath>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w:rPr>
                                          <w:rFonts w:ascii="Cambria Math" w:hAnsi="Cambria Math" w:eastAsia="等线" w:cs="Times New Roman"/>
                                          <w:color w:val="000000"/>
                                          <w:sz w:val="11"/>
                                          <w:szCs w:val="11"/>
                                        </w:rPr>
                                        <m:t>&lt;0.2</m:t>
                                      </m:r>
                                    </m:oMath>
                                  </m:oMathPara>
                                </w:p>
                              </w:txbxContent>
                            </wps:txbx>
                            <wps:bodyPr rot="0" vert="horz" wrap="square" lIns="0" tIns="0" rIns="0" bIns="0" anchor="t" anchorCtr="0" upright="1">
                              <a:spAutoFit/>
                            </wps:bodyPr>
                          </wps:wsp>
                        </a:graphicData>
                      </a:graphic>
                    </wp:inline>
                  </w:drawing>
                </mc:Choice>
                <mc:Fallback>
                  <w:pict>
                    <v:shape id="文本框 50" o:spid="_x0000_s1026" o:spt="202" type="#_x0000_t202" style="height:15.6pt;width:37.85pt;" filled="f" stroked="f" coordsize="21600,21600" o:gfxdata="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e8rm0gAAAAMBAAAPAAAAAAAAAAEAIAAAACIAAABkcnMvZG93bnJldi54bWxQSwECFAAUAAAA&#10;CACHTuJAC99MbfQBAAC5AwAADgAAAAAAAAABACAAAAAhAQAAZHJzL2Uyb0RvYy54bWxQSwUGAAAA&#10;AAYABgBZAQAAhwUAAAAA&#10;">
                      <v:fill on="f" focussize="0,0"/>
                      <v:stroke on="f"/>
                      <v:imagedata o:title=""/>
                      <o:lock v:ext="edit" aspectratio="f"/>
                      <v:textbox inset="0mm,0mm,0mm,0mm" style="mso-fit-shape-to-text:t;">
                        <w:txbxContent>
                          <w:p>
                            <w:pPr>
                              <w:pStyle w:val="29"/>
                              <w:spacing w:before="0" w:beforeAutospacing="0" w:after="0" w:afterAutospacing="0"/>
                              <w:ind w:firstLine="220"/>
                              <w:rPr>
                                <w:sz w:val="11"/>
                                <w:szCs w:val="11"/>
                              </w:rPr>
                            </w:pPr>
                            <m:oMathPara>
                              <m:oMathParaPr>
                                <m:jc m:val="centerGroup"/>
                              </m:oMathParaPr>
                              <m:oMath>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w:rPr>
                                    <w:rFonts w:ascii="Cambria Math" w:hAnsi="Cambria Math" w:eastAsia="等线" w:cs="Times New Roman"/>
                                    <w:color w:val="000000"/>
                                    <w:sz w:val="11"/>
                                    <w:szCs w:val="11"/>
                                  </w:rPr>
                                  <m:t>&lt;0.2</m:t>
                                </m:r>
                              </m:oMath>
                            </m:oMathPara>
                          </w:p>
                        </w:txbxContent>
                      </v:textbox>
                      <w10:wrap type="none"/>
                      <w10:anchorlock/>
                    </v:shape>
                  </w:pict>
                </mc:Fallback>
              </mc:AlternateContent>
            </w: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14120" cy="370840"/>
                      <wp:effectExtent l="0" t="0" r="0" b="635"/>
                      <wp:docPr id="209" name="文本框 49"/>
                      <wp:cNvGraphicFramePr/>
                      <a:graphic xmlns:a="http://schemas.openxmlformats.org/drawingml/2006/main">
                        <a:graphicData uri="http://schemas.microsoft.com/office/word/2010/wordprocessingShape">
                          <wps:wsp>
                            <wps:cNvSpPr txBox="1">
                              <a:spLocks noChangeArrowheads="1"/>
                            </wps:cNvSpPr>
                            <wps:spPr bwMode="auto">
                              <a:xfrm>
                                <a:off x="0" y="0"/>
                                <a:ext cx="1214120" cy="3708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51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49" o:spid="_x0000_s1026" o:spt="202" type="#_x0000_t202" style="height:29.2pt;width:95.6pt;" filled="f" stroked="f" coordsize="21600,21600" o:gfxdata="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Jg5C+1AAAAAQBAAAPAAAAAAAAAAEAIAAAACIAAABkcnMvZG93bnJldi54bWxQSwECFAAU&#10;AAAACACHTuJA/H00p/UBAAC6AwAADgAAAAAAAAABACAAAAAjAQAAZHJzL2Uyb0RvYy54bWxQSwUG&#10;AAAAAAYABgBZAQAAig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51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w:t>
            </w:r>
          </w:p>
        </w:tc>
        <w:tc>
          <w:tcPr>
            <w:tcW w:w="75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1.27</w: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346200" cy="396240"/>
                      <wp:effectExtent l="0" t="0" r="0" b="3810"/>
                      <wp:docPr id="210" name="文本框 48"/>
                      <wp:cNvGraphicFramePr/>
                      <a:graphic xmlns:a="http://schemas.openxmlformats.org/drawingml/2006/main">
                        <a:graphicData uri="http://schemas.microsoft.com/office/word/2010/wordprocessingShape">
                          <wps:wsp>
                            <wps:cNvSpPr txBox="1">
                              <a:spLocks noChangeArrowheads="1"/>
                            </wps:cNvSpPr>
                            <wps:spPr bwMode="auto">
                              <a:xfrm>
                                <a:off x="0" y="0"/>
                                <a:ext cx="134620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33</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79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spAutoFit/>
                            </wps:bodyPr>
                          </wps:wsp>
                        </a:graphicData>
                      </a:graphic>
                    </wp:inline>
                  </w:drawing>
                </mc:Choice>
                <mc:Fallback>
                  <w:pict>
                    <v:shape id="文本框 48" o:spid="_x0000_s1026" o:spt="202" type="#_x0000_t202" style="height:31.2pt;width:106pt;" filled="f" stroked="f" coordsize="21600,21600" o:gfxdata="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IS60NEAAAAEAQAADwAAAAAAAAABACAAAAAiAAAAZHJzL2Rvd25yZXYueG1sUEsBAhQAFAAAAAgA&#10;h07iQAbmjovzAQAAugMAAA4AAAAAAAAAAQAgAAAAIAEAAGRycy9lMm9Eb2MueG1sUEsFBgAAAAAG&#10;AAYAWQEAAIUFA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33</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79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7</w:t>
            </w:r>
          </w:p>
        </w:tc>
        <w:tc>
          <w:tcPr>
            <w:tcW w:w="7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1.12</w: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5212" w:type="dxa"/>
            <w:gridSpan w:val="6"/>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834"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466090" cy="198120"/>
                      <wp:effectExtent l="0" t="0" r="635" b="1905"/>
                      <wp:docPr id="211" name="文本框 47"/>
                      <wp:cNvGraphicFramePr/>
                      <a:graphic xmlns:a="http://schemas.openxmlformats.org/drawingml/2006/main">
                        <a:graphicData uri="http://schemas.microsoft.com/office/word/2010/wordprocessingShape">
                          <wps:wsp>
                            <wps:cNvSpPr txBox="1">
                              <a:spLocks noChangeArrowheads="1"/>
                            </wps:cNvSpPr>
                            <wps:spPr bwMode="auto">
                              <a:xfrm>
                                <a:off x="0" y="0"/>
                                <a:ext cx="466090" cy="198120"/>
                              </a:xfrm>
                              <a:prstGeom prst="rect">
                                <a:avLst/>
                              </a:prstGeom>
                              <a:noFill/>
                              <a:ln>
                                <a:noFill/>
                              </a:ln>
                            </wps:spPr>
                            <wps:txbx>
                              <w:txbxContent>
                                <w:p>
                                  <w:pPr>
                                    <w:pStyle w:val="29"/>
                                    <w:spacing w:before="0" w:beforeAutospacing="0" w:after="0" w:afterAutospacing="0"/>
                                    <w:ind w:firstLine="220"/>
                                    <w:rPr>
                                      <w:sz w:val="11"/>
                                      <w:szCs w:val="11"/>
                                    </w:rPr>
                                  </w:pPr>
                                  <m:oMathPara>
                                    <m:oMathParaPr>
                                      <m:jc m:val="centerGroup"/>
                                    </m:oMathParaPr>
                                    <m:oMath>
                                      <m:r>
                                        <m:rPr>
                                          <m:sty m:val="p"/>
                                        </m:rPr>
                                        <w:rPr>
                                          <w:rFonts w:ascii="Cambria Math" w:hAnsi="Cambria Math" w:eastAsia="等线" w:cs="Times New Roman"/>
                                          <w:color w:val="000000"/>
                                          <w:sz w:val="11"/>
                                          <w:szCs w:val="11"/>
                                        </w:rPr>
                                        <m:t>0.2≤</m:t>
                                      </m:r>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m:rPr>
                                          <m:sty m:val="p"/>
                                        </m:rPr>
                                        <w:rPr>
                                          <w:rFonts w:ascii="Cambria Math" w:hAnsi="Cambria Math" w:eastAsia="等线" w:cs="Times New Roman"/>
                                          <w:color w:val="000000"/>
                                          <w:sz w:val="11"/>
                                          <w:szCs w:val="11"/>
                                        </w:rPr>
                                        <m:t>≤</m:t>
                                      </m:r>
                                      <m:r>
                                        <w:rPr>
                                          <w:rFonts w:ascii="Cambria Math" w:hAnsi="Cambria Math" w:eastAsia="等线" w:cs="Times New Roman"/>
                                          <w:color w:val="000000"/>
                                          <w:sz w:val="11"/>
                                          <w:szCs w:val="11"/>
                                        </w:rPr>
                                        <m:t>0.5</m:t>
                                      </m:r>
                                    </m:oMath>
                                  </m:oMathPara>
                                </w:p>
                              </w:txbxContent>
                            </wps:txbx>
                            <wps:bodyPr rot="0" vert="horz" wrap="none" lIns="0" tIns="0" rIns="0" bIns="0" anchor="t" anchorCtr="0" upright="1">
                              <a:spAutoFit/>
                            </wps:bodyPr>
                          </wps:wsp>
                        </a:graphicData>
                      </a:graphic>
                    </wp:inline>
                  </w:drawing>
                </mc:Choice>
                <mc:Fallback>
                  <w:pict>
                    <v:shape id="文本框 47" o:spid="_x0000_s1026" o:spt="202" type="#_x0000_t202" style="height:15.6pt;width:36.7pt;mso-wrap-style:none;" filled="f" stroked="f" coordsize="21600,21600" o:gfxdata="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z&#10;n5Qc0gAAAAMBAAAPAAAAAAAAAAEAIAAAACIAAABkcnMvZG93bnJldi54bWxQSwECFAAUAAAACACH&#10;TuJABtRIMPEBAAC3AwAADgAAAAAAAAABACAAAAAhAQAAZHJzL2Uyb0RvYy54bWxQSwUGAAAAAAYA&#10;BgBZAQAAhAUAAAAA&#10;">
                      <v:fill on="f" focussize="0,0"/>
                      <v:stroke on="f"/>
                      <v:imagedata o:title=""/>
                      <o:lock v:ext="edit" aspectratio="f"/>
                      <v:textbox inset="0mm,0mm,0mm,0mm" style="mso-fit-shape-to-text:t;">
                        <w:txbxContent>
                          <w:p>
                            <w:pPr>
                              <w:pStyle w:val="29"/>
                              <w:spacing w:before="0" w:beforeAutospacing="0" w:after="0" w:afterAutospacing="0"/>
                              <w:ind w:firstLine="220"/>
                              <w:rPr>
                                <w:sz w:val="11"/>
                                <w:szCs w:val="11"/>
                              </w:rPr>
                            </w:pPr>
                            <m:oMathPara>
                              <m:oMathParaPr>
                                <m:jc m:val="centerGroup"/>
                              </m:oMathParaPr>
                              <m:oMath>
                                <m:r>
                                  <m:rPr>
                                    <m:sty m:val="p"/>
                                  </m:rPr>
                                  <w:rPr>
                                    <w:rFonts w:ascii="Cambria Math" w:hAnsi="Cambria Math" w:eastAsia="等线" w:cs="Times New Roman"/>
                                    <w:color w:val="000000"/>
                                    <w:sz w:val="11"/>
                                    <w:szCs w:val="11"/>
                                  </w:rPr>
                                  <m:t>0.2≤</m:t>
                                </m:r>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m:rPr>
                                    <m:sty m:val="p"/>
                                  </m:rPr>
                                  <w:rPr>
                                    <w:rFonts w:ascii="Cambria Math" w:hAnsi="Cambria Math" w:eastAsia="等线" w:cs="Times New Roman"/>
                                    <w:color w:val="000000"/>
                                    <w:sz w:val="11"/>
                                    <w:szCs w:val="11"/>
                                  </w:rPr>
                                  <m:t>≤</m:t>
                                </m:r>
                                <m:r>
                                  <w:rPr>
                                    <w:rFonts w:ascii="Cambria Math" w:hAnsi="Cambria Math" w:eastAsia="等线" w:cs="Times New Roman"/>
                                    <w:color w:val="000000"/>
                                    <w:sz w:val="11"/>
                                    <w:szCs w:val="11"/>
                                  </w:rPr>
                                  <m:t>0.5</m:t>
                                </m:r>
                              </m:oMath>
                            </m:oMathPara>
                          </w:p>
                        </w:txbxContent>
                      </v:textbox>
                      <w10:wrap type="none"/>
                      <w10:anchorlock/>
                    </v:shape>
                  </w:pict>
                </mc:Fallback>
              </mc:AlternateContent>
            </w: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305560" cy="355600"/>
                      <wp:effectExtent l="0" t="0" r="0" b="0"/>
                      <wp:docPr id="212" name="文本框 46"/>
                      <wp:cNvGraphicFramePr/>
                      <a:graphic xmlns:a="http://schemas.openxmlformats.org/drawingml/2006/main">
                        <a:graphicData uri="http://schemas.microsoft.com/office/word/2010/wordprocessingShape">
                          <wps:wsp>
                            <wps:cNvSpPr txBox="1">
                              <a:spLocks noChangeArrowheads="1"/>
                            </wps:cNvSpPr>
                            <wps:spPr bwMode="auto">
                              <a:xfrm>
                                <a:off x="0" y="0"/>
                                <a:ext cx="1305560" cy="35560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45</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46" o:spid="_x0000_s1026" o:spt="202" type="#_x0000_t202" style="height:28pt;width:102.8pt;" filled="f" stroked="f" coordsize="21600,21600" o:gfxdata="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2PsoNQAAAAEAQAADwAAAAAAAAABACAAAAAiAAAAZHJzL2Rvd25yZXYueG1sUEsBAhQAFAAA&#10;AAgAh07iQJo2mn3zAQAAugMAAA4AAAAAAAAAAQAgAAAAIwEAAGRycy9lMm9Eb2MueG1sUEsFBgAA&#10;AAAGAAYAWQEAAIgFA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45</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670560" cy="202565"/>
                      <wp:effectExtent l="0" t="0" r="0" b="0"/>
                      <wp:docPr id="213" name="文本框 45"/>
                      <wp:cNvGraphicFramePr/>
                      <a:graphic xmlns:a="http://schemas.openxmlformats.org/drawingml/2006/main">
                        <a:graphicData uri="http://schemas.microsoft.com/office/word/2010/wordprocessingShape">
                          <wps:wsp>
                            <wps:cNvSpPr txBox="1">
                              <a:spLocks noChangeArrowheads="1"/>
                            </wps:cNvSpPr>
                            <wps:spPr bwMode="auto">
                              <a:xfrm>
                                <a:off x="0" y="0"/>
                                <a:ext cx="670560" cy="202565"/>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(12-</m:t>
                                      </m:r>
                                      <m:r>
                                        <w:rPr>
                                          <w:rFonts w:ascii="Cambria Math" w:hAnsi="Cambria Math" w:eastAsia="Cambria Math" w:cs="Times New Roman"/>
                                          <w:color w:val="000000"/>
                                          <w:sz w:val="13"/>
                                          <w:szCs w:val="11"/>
                                        </w:rPr>
                                        <m:t>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45" o:spid="_x0000_s1026" o:spt="202" type="#_x0000_t202" style="height:15.95pt;width:52.8pt;" filled="f" stroked="f" coordsize="21600,21600" o:gfxdata="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iM7VrSAAAABAEAAA8AAAAAAAAAAQAgAAAAIgAAAGRycy9kb3ducmV2LnhtbFBLAQIUABQAAAAI&#10;AIdO4kCONo3z8wEAALkDAAAOAAAAAAAAAAEAIAAAACEBAABkcnMvZTJvRG9jLnhtbFBLBQYAAAAA&#10;BgAGAFkBAACGBQ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(12-</m:t>
                                </m:r>
                                <m:r>
                                  <w:rPr>
                                    <w:rFonts w:ascii="Cambria Math" w:hAnsi="Cambria Math" w:eastAsia="Cambria Math" w:cs="Times New Roman"/>
                                    <w:color w:val="000000"/>
                                    <w:sz w:val="13"/>
                                    <w:szCs w:val="11"/>
                                  </w:rPr>
                                  <m:t>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660400" cy="396240"/>
                      <wp:effectExtent l="0" t="0" r="0" b="3810"/>
                      <wp:docPr id="214" name="文本框 44"/>
                      <wp:cNvGraphicFramePr/>
                      <a:graphic xmlns:a="http://schemas.openxmlformats.org/drawingml/2006/main">
                        <a:graphicData uri="http://schemas.microsoft.com/office/word/2010/wordprocessingShape">
                          <wps:wsp>
                            <wps:cNvSpPr txBox="1">
                              <a:spLocks noChangeArrowheads="1"/>
                            </wps:cNvSpPr>
                            <wps:spPr bwMode="auto">
                              <a:xfrm>
                                <a:off x="0" y="0"/>
                                <a:ext cx="66040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(18-</m:t>
                                      </m:r>
                                      <m:r>
                                        <w:rPr>
                                          <w:rFonts w:ascii="Cambria Math" w:hAnsi="Cambria Math" w:eastAsia="Cambria Math" w:cs="Times New Roman"/>
                                          <w:color w:val="000000"/>
                                          <w:sz w:val="13"/>
                                          <w:szCs w:val="11"/>
                                        </w:rPr>
                                        <m:t>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44" o:spid="_x0000_s1026" o:spt="202" type="#_x0000_t202" style="height:31.2pt;width:52pt;" filled="f" stroked="f" coordsize="21600,21600" o:gfxdata="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nag8tEAAAAEAQAADwAAAAAAAAABACAAAAAiAAAAZHJzL2Rvd25yZXYueG1sUEsBAhQAFAAAAAgA&#10;h07iQFNvsL7zAQAAuQMAAA4AAAAAAAAAAQAgAAAAIAEAAGRycy9lMm9Eb2MueG1sUEsFBgAAAAAG&#10;AAYAWQEAAIUFA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(18-</m:t>
                                </m:r>
                                <m:r>
                                  <w:rPr>
                                    <w:rFonts w:ascii="Cambria Math" w:hAnsi="Cambria Math" w:eastAsia="Cambria Math" w:cs="Times New Roman"/>
                                    <w:color w:val="000000"/>
                                    <w:sz w:val="13"/>
                                    <w:szCs w:val="11"/>
                                  </w:rPr>
                                  <m:t>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753"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772160" cy="396240"/>
                      <wp:effectExtent l="0" t="0" r="0" b="3810"/>
                      <wp:docPr id="215" name="文本框 43"/>
                      <wp:cNvGraphicFramePr/>
                      <a:graphic xmlns:a="http://schemas.openxmlformats.org/drawingml/2006/main">
                        <a:graphicData uri="http://schemas.microsoft.com/office/word/2010/wordprocessingShape">
                          <wps:wsp>
                            <wps:cNvSpPr txBox="1">
                              <a:spLocks noChangeArrowheads="1"/>
                            </wps:cNvSpPr>
                            <wps:spPr bwMode="auto">
                              <a:xfrm>
                                <a:off x="0" y="0"/>
                                <a:ext cx="77216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m:rPr>
                                          <m:sty m:val="p"/>
                                        </m:rPr>
                                        <w:rPr>
                                          <w:rFonts w:ascii="Cambria Math" w:hAnsi="Cambria Math" w:eastAsia="等线" w:cs="Times New Roman"/>
                                          <w:color w:val="000000"/>
                                          <w:sz w:val="13"/>
                                          <w:szCs w:val="11"/>
                                        </w:rPr>
                                        <m:t>(1.33-0.55</m:t>
                                      </m:r>
                                      <m:f>
                                        <m:fPr>
                                          <m:ctrlPr>
                                            <w:rPr>
                                              <w:rFonts w:ascii="Cambria Math" w:hAnsi="Cambria Math" w:eastAsia="Cambria Math"/>
                                              <w:iCs/>
                                              <w:color w:val="000000"/>
                                              <w:sz w:val="13"/>
                                              <w:szCs w:val="11"/>
                                            </w:rPr>
                                          </m:ctrlPr>
                                        </m:fPr>
                                        <m:num>
                                          <m:r>
                                            <m:rPr>
                                              <m:sty m:val="p"/>
                                            </m:rPr>
                                            <w:rPr>
                                              <w:rFonts w:ascii="Cambria Math" w:hAnsi="Cambria Math" w:eastAsia="Cambria Math" w:cs="Times New Roman"/>
                                              <w:color w:val="000000"/>
                                              <w:sz w:val="13"/>
                                              <w:szCs w:val="11"/>
                                            </w:rPr>
                                            <m:t>P</m:t>
                                          </m:r>
                                          <m:ctrlPr>
                                            <w:rPr>
                                              <w:rFonts w:ascii="Cambria Math" w:hAnsi="Cambria Math" w:eastAsia="Cambria Math"/>
                                              <w:iCs/>
                                              <w:color w:val="000000"/>
                                              <w:sz w:val="13"/>
                                              <w:szCs w:val="11"/>
                                            </w:rPr>
                                          </m:ctrlPr>
                                        </m:num>
                                        <m:den>
                                          <m:sSub>
                                            <m:sSubPr>
                                              <m:ctrlPr>
                                                <w:rPr>
                                                  <w:rFonts w:ascii="Cambria Math" w:hAnsi="Cambria Math" w:eastAsia="Cambria Math"/>
                                                  <w:iCs/>
                                                  <w:color w:val="000000"/>
                                                  <w:sz w:val="13"/>
                                                  <w:szCs w:val="11"/>
                                                </w:rPr>
                                              </m:ctrlPr>
                                            </m:sSubPr>
                                            <m:e>
                                              <m:r>
                                                <m:rPr>
                                                  <m:sty m:val="p"/>
                                                </m:rPr>
                                                <w:rPr>
                                                  <w:rFonts w:ascii="Cambria Math" w:hAnsi="Cambria Math" w:eastAsia="Cambria Math" w:cs="Times New Roman"/>
                                                  <w:color w:val="000000"/>
                                                  <w:sz w:val="13"/>
                                                  <w:szCs w:val="11"/>
                                                </w:rPr>
                                                <m:t>P</m:t>
                                              </m:r>
                                              <m:ctrlPr>
                                                <w:rPr>
                                                  <w:rFonts w:ascii="Cambria Math" w:hAnsi="Cambria Math" w:eastAsia="Cambria Math"/>
                                                  <w:iCs/>
                                                  <w:color w:val="000000"/>
                                                  <w:sz w:val="13"/>
                                                  <w:szCs w:val="11"/>
                                                </w:rPr>
                                              </m:ctrlPr>
                                            </m:e>
                                            <m:sub>
                                              <m:r>
                                                <m:rPr>
                                                  <m:sty m:val="p"/>
                                                </m:rPr>
                                                <w:rPr>
                                                  <w:rFonts w:ascii="Cambria Math" w:hAnsi="Cambria Math" w:eastAsia="Cambria Math" w:cs="Times New Roman"/>
                                                  <w:color w:val="000000"/>
                                                  <w:sz w:val="13"/>
                                                  <w:szCs w:val="11"/>
                                                </w:rPr>
                                                <m:t>CL</m:t>
                                              </m:r>
                                              <m:ctrlPr>
                                                <w:rPr>
                                                  <w:rFonts w:ascii="Cambria Math" w:hAnsi="Cambria Math" w:eastAsia="Cambria Math"/>
                                                  <w:iCs/>
                                                  <w:color w:val="000000"/>
                                                  <w:sz w:val="13"/>
                                                  <w:szCs w:val="11"/>
                                                </w:rPr>
                                              </m:ctrlPr>
                                            </m:sub>
                                          </m:sSub>
                                          <m:ctrlPr>
                                            <w:rPr>
                                              <w:rFonts w:ascii="Cambria Math" w:hAnsi="Cambria Math" w:eastAsia="Cambria Math"/>
                                              <w:iCs/>
                                              <w:color w:val="000000"/>
                                              <w:sz w:val="13"/>
                                              <w:szCs w:val="11"/>
                                            </w:rPr>
                                          </m:ctrlPr>
                                        </m:den>
                                      </m:f>
                                      <m:r>
                                        <m:rPr>
                                          <m:sty m:val="p"/>
                                        </m:rP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43" o:spid="_x0000_s1026" o:spt="202" type="#_x0000_t202" style="height:31.2pt;width:60.8pt;" filled="f" stroked="f" coordsize="21600,21600" o:gfxdata="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kkJSP0gAAAAQBAAAPAAAAAAAAAAEAIAAAACIAAABkcnMvZG93bnJldi54bWxQSwECFAAUAAAA&#10;CACHTuJA+FejNPQBAAC5AwAADgAAAAAAAAABACAAAAAhAQAAZHJzL2Uyb0RvYy54bWxQSwUGAAAA&#10;AAYABgBZAQAAhwU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m:rPr>
                                    <m:sty m:val="p"/>
                                  </m:rPr>
                                  <w:rPr>
                                    <w:rFonts w:ascii="Cambria Math" w:hAnsi="Cambria Math" w:eastAsia="等线" w:cs="Times New Roman"/>
                                    <w:color w:val="000000"/>
                                    <w:sz w:val="13"/>
                                    <w:szCs w:val="11"/>
                                  </w:rPr>
                                  <m:t>(1.33-0.55</m:t>
                                </m:r>
                                <m:f>
                                  <m:fPr>
                                    <m:ctrlPr>
                                      <w:rPr>
                                        <w:rFonts w:ascii="Cambria Math" w:hAnsi="Cambria Math" w:eastAsia="Cambria Math"/>
                                        <w:iCs/>
                                        <w:color w:val="000000"/>
                                        <w:sz w:val="13"/>
                                        <w:szCs w:val="11"/>
                                      </w:rPr>
                                    </m:ctrlPr>
                                  </m:fPr>
                                  <m:num>
                                    <m:r>
                                      <m:rPr>
                                        <m:sty m:val="p"/>
                                      </m:rPr>
                                      <w:rPr>
                                        <w:rFonts w:ascii="Cambria Math" w:hAnsi="Cambria Math" w:eastAsia="Cambria Math" w:cs="Times New Roman"/>
                                        <w:color w:val="000000"/>
                                        <w:sz w:val="13"/>
                                        <w:szCs w:val="11"/>
                                      </w:rPr>
                                      <m:t>P</m:t>
                                    </m:r>
                                    <m:ctrlPr>
                                      <w:rPr>
                                        <w:rFonts w:ascii="Cambria Math" w:hAnsi="Cambria Math" w:eastAsia="Cambria Math"/>
                                        <w:iCs/>
                                        <w:color w:val="000000"/>
                                        <w:sz w:val="13"/>
                                        <w:szCs w:val="11"/>
                                      </w:rPr>
                                    </m:ctrlPr>
                                  </m:num>
                                  <m:den>
                                    <m:sSub>
                                      <m:sSubPr>
                                        <m:ctrlPr>
                                          <w:rPr>
                                            <w:rFonts w:ascii="Cambria Math" w:hAnsi="Cambria Math" w:eastAsia="Cambria Math"/>
                                            <w:iCs/>
                                            <w:color w:val="000000"/>
                                            <w:sz w:val="13"/>
                                            <w:szCs w:val="11"/>
                                          </w:rPr>
                                        </m:ctrlPr>
                                      </m:sSubPr>
                                      <m:e>
                                        <m:r>
                                          <m:rPr>
                                            <m:sty m:val="p"/>
                                          </m:rPr>
                                          <w:rPr>
                                            <w:rFonts w:ascii="Cambria Math" w:hAnsi="Cambria Math" w:eastAsia="Cambria Math" w:cs="Times New Roman"/>
                                            <w:color w:val="000000"/>
                                            <w:sz w:val="13"/>
                                            <w:szCs w:val="11"/>
                                          </w:rPr>
                                          <m:t>P</m:t>
                                        </m:r>
                                        <m:ctrlPr>
                                          <w:rPr>
                                            <w:rFonts w:ascii="Cambria Math" w:hAnsi="Cambria Math" w:eastAsia="Cambria Math"/>
                                            <w:iCs/>
                                            <w:color w:val="000000"/>
                                            <w:sz w:val="13"/>
                                            <w:szCs w:val="11"/>
                                          </w:rPr>
                                        </m:ctrlPr>
                                      </m:e>
                                      <m:sub>
                                        <m:r>
                                          <m:rPr>
                                            <m:sty m:val="p"/>
                                          </m:rPr>
                                          <w:rPr>
                                            <w:rFonts w:ascii="Cambria Math" w:hAnsi="Cambria Math" w:eastAsia="Cambria Math" w:cs="Times New Roman"/>
                                            <w:color w:val="000000"/>
                                            <w:sz w:val="13"/>
                                            <w:szCs w:val="11"/>
                                          </w:rPr>
                                          <m:t>CL</m:t>
                                        </m:r>
                                        <m:ctrlPr>
                                          <w:rPr>
                                            <w:rFonts w:ascii="Cambria Math" w:hAnsi="Cambria Math" w:eastAsia="Cambria Math"/>
                                            <w:iCs/>
                                            <w:color w:val="000000"/>
                                            <w:sz w:val="13"/>
                                            <w:szCs w:val="11"/>
                                          </w:rPr>
                                        </m:ctrlPr>
                                      </m:sub>
                                    </m:sSub>
                                    <m:ctrlPr>
                                      <w:rPr>
                                        <w:rFonts w:ascii="Cambria Math" w:hAnsi="Cambria Math" w:eastAsia="Cambria Math"/>
                                        <w:iCs/>
                                        <w:color w:val="000000"/>
                                        <w:sz w:val="13"/>
                                        <w:szCs w:val="11"/>
                                      </w:rPr>
                                    </m:ctrlPr>
                                  </m:den>
                                </m:f>
                                <m:r>
                                  <m:rPr>
                                    <m:sty m:val="p"/>
                                  </m:rP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85240" cy="396240"/>
                      <wp:effectExtent l="0" t="0" r="635" b="3810"/>
                      <wp:docPr id="216" name="文本框 42"/>
                      <wp:cNvGraphicFramePr/>
                      <a:graphic xmlns:a="http://schemas.openxmlformats.org/drawingml/2006/main">
                        <a:graphicData uri="http://schemas.microsoft.com/office/word/2010/wordprocessingShape">
                          <wps:wsp>
                            <wps:cNvSpPr txBox="1">
                              <a:spLocks noChangeArrowheads="1"/>
                            </wps:cNvSpPr>
                            <wps:spPr bwMode="auto">
                              <a:xfrm>
                                <a:off x="0" y="0"/>
                                <a:ext cx="128524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33</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68</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spAutoFit/>
                            </wps:bodyPr>
                          </wps:wsp>
                        </a:graphicData>
                      </a:graphic>
                    </wp:inline>
                  </w:drawing>
                </mc:Choice>
                <mc:Fallback>
                  <w:pict>
                    <v:shape id="文本框 42" o:spid="_x0000_s1026" o:spt="202" type="#_x0000_t202" style="height:31.2pt;width:101.2pt;" filled="f" stroked="f" coordsize="21600,21600" o:gfxdata="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R&#10;NvzS0QAAAAQBAAAPAAAAAAAAAAEAIAAAACIAAABkcnMvZG93bnJldi54bWxQSwECFAAUAAAACACH&#10;TuJAuzN8gvIBAAC6AwAADgAAAAAAAAABACAAAAAgAQAAZHJzL2Uyb0RvYy54bWxQSwUGAAAAAAYA&#10;BgBZAQAAhAU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33</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68</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52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98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p>
        </w:tc>
        <w:tc>
          <w:tcPr>
            <w:tcW w:w="98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2.5</w:t>
            </w:r>
          </w:p>
        </w:tc>
        <w:tc>
          <w:tcPr>
            <w:tcW w:w="7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109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1.03</w:t>
            </w:r>
          </w:p>
        </w:tc>
        <w:tc>
          <w:tcPr>
            <w:tcW w:w="8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96"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948"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11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5212" w:type="dxa"/>
            <w:gridSpan w:val="6"/>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bl>
    <w:p>
      <w:pPr>
        <w:ind w:firstLine="36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注：1</w:t>
      </w:r>
      <w:r>
        <w:rPr>
          <w:rFonts w:cs="Times New Roman"/>
          <w:color w:val="000000" w:themeColor="text1"/>
          <w:sz w:val="18"/>
          <w:szCs w:val="18"/>
          <w14:textFill>
            <w14:solidFill>
              <w14:schemeClr w14:val="tx1"/>
            </w14:solidFill>
          </w14:textFill>
        </w:rPr>
        <w:t xml:space="preserve"> </w:t>
      </w:r>
      <w:r>
        <w:rPr>
          <w:rFonts w:cs="Times New Roman"/>
          <w:color w:val="000000" w:themeColor="text1"/>
          <w:sz w:val="18"/>
          <w:szCs w:val="18"/>
          <w14:textFill>
            <w14:solidFill>
              <w14:schemeClr w14:val="tx1"/>
            </w14:solidFill>
          </w14:textFill>
        </w:rPr>
        <w:object>
          <v:shape id="_x0000_i1082" o:spt="75" type="#_x0000_t75" style="height:15pt;width:11pt;" o:ole="t" filled="f" o:preferrelative="t" stroked="f" coordsize="21600,21600">
            <v:path/>
            <v:fill on="f" focussize="0,0"/>
            <v:stroke on="f" joinstyle="miter"/>
            <v:imagedata r:id="rId248" o:title=""/>
            <o:lock v:ext="edit" aspectratio="t"/>
            <w10:wrap type="none"/>
            <w10:anchorlock/>
          </v:shape>
          <o:OLEObject Type="Embed" ProgID="Equation.DSMT4" ShapeID="_x0000_i1082" DrawAspect="Content" ObjectID="_1468075782" r:id="rId256">
            <o:LockedField>false</o:LockedField>
          </o:OLEObject>
        </w:object>
      </w:r>
      <w:r>
        <w:rPr>
          <w:rFonts w:cs="Times New Roman"/>
          <w:color w:val="000000" w:themeColor="text1"/>
          <w:sz w:val="18"/>
          <w:szCs w:val="18"/>
          <w14:textFill>
            <w14:solidFill>
              <w14:schemeClr w14:val="tx1"/>
            </w14:solidFill>
          </w14:textFill>
        </w:rPr>
        <w:t>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083"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83" DrawAspect="Content" ObjectID="_1468075783" r:id="rId257">
            <o:LockedField>false</o:LockedField>
          </o:OLEObject>
        </w:object>
      </w:r>
      <w:r>
        <w:rPr>
          <w:rFonts w:cs="Times New Roman"/>
          <w:color w:val="000000" w:themeColor="text1"/>
          <w:sz w:val="18"/>
          <w:szCs w:val="18"/>
          <w14:textFill>
            <w14:solidFill>
              <w14:schemeClr w14:val="tx1"/>
            </w14:solidFill>
          </w14:textFill>
        </w:rPr>
        <w:t>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084"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84" DrawAspect="Content" ObjectID="_1468075784" r:id="rId258">
            <o:LockedField>false</o:LockedField>
          </o:OLEObject>
        </w:object>
      </w:r>
      <w:r>
        <w:rPr>
          <w:rFonts w:cs="Times New Roman"/>
          <w:color w:val="000000" w:themeColor="text1"/>
          <w:sz w:val="18"/>
          <w:szCs w:val="18"/>
          <w14:textFill>
            <w14:solidFill>
              <w14:schemeClr w14:val="tx1"/>
            </w14:solidFill>
          </w14:textFill>
        </w:rPr>
        <w:t>E</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ΔB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ΔE</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Δy</w:t>
      </w:r>
      <w:r>
        <w:rPr>
          <w:rFonts w:hint="eastAsia" w:cs="Times New Roman"/>
          <w:color w:val="000000" w:themeColor="text1"/>
          <w:sz w:val="18"/>
          <w:szCs w:val="18"/>
          <w14:textFill>
            <w14:solidFill>
              <w14:schemeClr w14:val="tx1"/>
            </w14:solidFill>
          </w14:textFill>
        </w:rPr>
        <w:t>的相对量；</w:t>
      </w:r>
    </w:p>
    <w:p>
      <w:pPr>
        <w:ind w:firstLine="720" w:firstLineChars="40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 xml:space="preserve">2 </w:t>
      </w:r>
      <w:r>
        <w:rPr>
          <w:rFonts w:cs="Times New Roman"/>
          <w:color w:val="000000" w:themeColor="text1"/>
          <w:sz w:val="18"/>
          <w:szCs w:val="18"/>
          <w14:textFill>
            <w14:solidFill>
              <w14:schemeClr w14:val="tx1"/>
            </w14:solidFill>
          </w14:textFill>
        </w:rPr>
        <w:object>
          <v:shape id="_x0000_i1085" o:spt="75" type="#_x0000_t75" style="height:15pt;width:13pt;" o:ole="t" filled="f" o:preferrelative="t" stroked="f" coordsize="21600,21600">
            <v:path/>
            <v:fill on="f" focussize="0,0"/>
            <v:stroke on="f" joinstyle="miter"/>
            <v:imagedata r:id="rId253" o:title=""/>
            <o:lock v:ext="edit" aspectratio="t"/>
            <w10:wrap type="none"/>
            <w10:anchorlock/>
          </v:shape>
          <o:OLEObject Type="Embed" ProgID="Equation.DSMT4" ShapeID="_x0000_i1085" DrawAspect="Content" ObjectID="_1468075785" r:id="rId259">
            <o:LockedField>false</o:LockedField>
          </o:OLEObject>
        </w:object>
      </w:r>
      <w:r>
        <w:rPr>
          <w:rFonts w:cs="Times New Roman"/>
          <w:color w:val="000000" w:themeColor="text1"/>
          <w:sz w:val="18"/>
          <w:szCs w:val="18"/>
          <w14:textFill>
            <w14:solidFill>
              <w14:schemeClr w14:val="tx1"/>
            </w14:solidFill>
          </w14:textFill>
        </w:rPr>
        <w:t>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086" o:spt="75" type="#_x0000_t75" style="height:15pt;width:13pt;" o:ole="t" filled="f" o:preferrelative="t" stroked="f" coordsize="21600,21600">
            <v:path/>
            <v:fill on="f" focussize="0,0"/>
            <v:stroke on="f" joinstyle="miter"/>
            <v:imagedata r:id="rId253" o:title=""/>
            <o:lock v:ext="edit" aspectratio="t"/>
            <w10:wrap type="none"/>
            <w10:anchorlock/>
          </v:shape>
          <o:OLEObject Type="Embed" ProgID="Equation.DSMT4" ShapeID="_x0000_i1086" DrawAspect="Content" ObjectID="_1468075786" r:id="rId260">
            <o:LockedField>false</o:LockedField>
          </o:OLEObject>
        </w:object>
      </w:r>
      <w:r>
        <w:rPr>
          <w:rFonts w:cs="Times New Roman"/>
          <w:color w:val="000000" w:themeColor="text1"/>
          <w:sz w:val="18"/>
          <w:szCs w:val="18"/>
          <w14:textFill>
            <w14:solidFill>
              <w14:schemeClr w14:val="tx1"/>
            </w14:solidFill>
          </w14:textFill>
        </w:rPr>
        <w:t>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087" o:spt="75" type="#_x0000_t75" style="height:15pt;width:13pt;" o:ole="t" filled="f" o:preferrelative="t" stroked="f" coordsize="21600,21600">
            <v:path/>
            <v:fill on="f" focussize="0,0"/>
            <v:stroke on="f" joinstyle="miter"/>
            <v:imagedata r:id="rId253" o:title=""/>
            <o:lock v:ext="edit" aspectratio="t"/>
            <w10:wrap type="none"/>
            <w10:anchorlock/>
          </v:shape>
          <o:OLEObject Type="Embed" ProgID="Equation.DSMT4" ShapeID="_x0000_i1087" DrawAspect="Content" ObjectID="_1468075787" r:id="rId261">
            <o:LockedField>false</o:LockedField>
          </o:OLEObject>
        </w:object>
      </w:r>
      <w:r>
        <w:rPr>
          <w:rFonts w:cs="Times New Roman"/>
          <w:color w:val="000000" w:themeColor="text1"/>
          <w:sz w:val="18"/>
          <w:szCs w:val="18"/>
          <w14:textFill>
            <w14:solidFill>
              <w14:schemeClr w14:val="tx1"/>
            </w14:solidFill>
          </w14:textFill>
        </w:rPr>
        <w:t>E</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MB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MC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ME</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MB</w:t>
      </w:r>
      <w:r>
        <w:rPr>
          <w:rFonts w:hint="eastAsia" w:cs="Times New Roman"/>
          <w:color w:val="000000" w:themeColor="text1"/>
          <w:sz w:val="18"/>
          <w:szCs w:val="18"/>
          <w14:textFill>
            <w14:solidFill>
              <w14:schemeClr w14:val="tx1"/>
            </w14:solidFill>
          </w14:textFill>
        </w:rPr>
        <w:t>的相对量；</w:t>
      </w:r>
    </w:p>
    <w:p>
      <w:pPr>
        <w:ind w:firstLine="720" w:firstLineChars="40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3  bf</w:t>
      </w:r>
      <w:r>
        <w:rPr>
          <w:rFonts w:hint="eastAsia" w:cs="Times New Roman"/>
          <w:color w:val="000000" w:themeColor="text1"/>
          <w:sz w:val="18"/>
          <w:szCs w:val="18"/>
          <w14:textFill>
            <w14:solidFill>
              <w14:schemeClr w14:val="tx1"/>
            </w14:solidFill>
          </w14:textFill>
        </w:rPr>
        <w:t>为翼缘宽度，</w:t>
      </w:r>
      <w:r>
        <w:rPr>
          <w:rFonts w:cs="Times New Roman"/>
          <w:color w:val="000000" w:themeColor="text1"/>
          <w:sz w:val="18"/>
          <w:szCs w:val="18"/>
          <w14:textFill>
            <w14:solidFill>
              <w14:schemeClr w14:val="tx1"/>
            </w14:solidFill>
          </w14:textFill>
        </w:rPr>
        <w:t>tf</w:t>
      </w:r>
      <w:r>
        <w:rPr>
          <w:rFonts w:hint="eastAsia" w:cs="Times New Roman"/>
          <w:color w:val="000000" w:themeColor="text1"/>
          <w:sz w:val="18"/>
          <w:szCs w:val="18"/>
          <w14:textFill>
            <w14:solidFill>
              <w14:schemeClr w14:val="tx1"/>
            </w14:solidFill>
          </w14:textFill>
        </w:rPr>
        <w:t>为翼缘厚度，</w:t>
      </w:r>
      <w:r>
        <w:rPr>
          <w:rFonts w:cs="Times New Roman"/>
          <w:color w:val="000000" w:themeColor="text1"/>
          <w:sz w:val="18"/>
          <w:szCs w:val="18"/>
          <w14:textFill>
            <w14:solidFill>
              <w14:schemeClr w14:val="tx1"/>
            </w14:solidFill>
          </w14:textFill>
        </w:rPr>
        <w:t>h</w:t>
      </w:r>
      <w:r>
        <w:rPr>
          <w:rFonts w:hint="eastAsia" w:cs="Times New Roman"/>
          <w:color w:val="000000" w:themeColor="text1"/>
          <w:sz w:val="18"/>
          <w:szCs w:val="18"/>
          <w14:textFill>
            <w14:solidFill>
              <w14:schemeClr w14:val="tx1"/>
            </w14:solidFill>
          </w14:textFill>
        </w:rPr>
        <w:t>为截面高度，</w:t>
      </w:r>
      <w:r>
        <w:rPr>
          <w:rFonts w:cs="Times New Roman"/>
          <w:color w:val="000000" w:themeColor="text1"/>
          <w:sz w:val="18"/>
          <w:szCs w:val="18"/>
          <w14:textFill>
            <w14:solidFill>
              <w14:schemeClr w14:val="tx1"/>
            </w14:solidFill>
          </w14:textFill>
        </w:rPr>
        <w:t>tw</w:t>
      </w:r>
      <w:r>
        <w:rPr>
          <w:rFonts w:hint="eastAsia" w:cs="Times New Roman"/>
          <w:color w:val="000000" w:themeColor="text1"/>
          <w:sz w:val="18"/>
          <w:szCs w:val="18"/>
          <w14:textFill>
            <w14:solidFill>
              <w14:schemeClr w14:val="tx1"/>
            </w14:solidFill>
          </w14:textFill>
        </w:rPr>
        <w:t>为腹板厚度，</w:t>
      </w:r>
      <w:r>
        <w:rPr>
          <w:rFonts w:cs="Times New Roman"/>
          <w:color w:val="000000" w:themeColor="text1"/>
          <w:sz w:val="18"/>
          <w:szCs w:val="18"/>
          <w14:textFill>
            <w14:solidFill>
              <w14:schemeClr w14:val="tx1"/>
            </w14:solidFill>
          </w14:textFill>
        </w:rPr>
        <w:t>Fy</w:t>
      </w:r>
      <w:r>
        <w:rPr>
          <w:rFonts w:hint="eastAsia" w:cs="Times New Roman"/>
          <w:color w:val="000000" w:themeColor="text1"/>
          <w:sz w:val="18"/>
          <w:szCs w:val="18"/>
          <w14:textFill>
            <w14:solidFill>
              <w14:schemeClr w14:val="tx1"/>
            </w14:solidFill>
          </w14:textFill>
        </w:rPr>
        <w:t>为材料屈服强度，</w:t>
      </w:r>
      <w:r>
        <w:rPr>
          <w:rFonts w:cs="Times New Roman"/>
          <w:color w:val="000000" w:themeColor="text1"/>
          <w:sz w:val="18"/>
          <w:szCs w:val="18"/>
          <w14:textFill>
            <w14:solidFill>
              <w14:schemeClr w14:val="tx1"/>
            </w14:solidFill>
          </w14:textFill>
        </w:rPr>
        <w:t>PCL</w:t>
      </w:r>
      <w:r>
        <w:rPr>
          <w:rFonts w:hint="eastAsia" w:cs="Times New Roman"/>
          <w:color w:val="000000" w:themeColor="text1"/>
          <w:sz w:val="18"/>
          <w:szCs w:val="18"/>
          <w14:textFill>
            <w14:solidFill>
              <w14:schemeClr w14:val="tx1"/>
            </w14:solidFill>
          </w14:textFill>
        </w:rPr>
        <w:t>为柱受压承载力。</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I.4.13  </w:t>
      </w:r>
      <w:r>
        <w:rPr>
          <w:rFonts w:hint="eastAsia" w:cs="Times New Roman"/>
          <w:color w:val="000000" w:themeColor="text1"/>
          <w:szCs w:val="21"/>
          <w14:textFill>
            <w14:solidFill>
              <w14:schemeClr w14:val="tx1"/>
            </w14:solidFill>
          </w14:textFill>
        </w:rPr>
        <w:t>钢框架柱与框架梁关键性能点各转角</w:t>
      </w:r>
      <w:r>
        <w:rPr>
          <w:rFonts w:cs="Times New Roman"/>
          <w:color w:val="000000" w:themeColor="text1"/>
          <w:szCs w:val="21"/>
          <w14:textFill>
            <w14:solidFill>
              <w14:schemeClr w14:val="tx1"/>
            </w14:solidFill>
          </w14:textFill>
        </w:rPr>
        <w:t>ΔIO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ΔK</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ΔLS</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ΔCP</w:t>
      </w:r>
      <w:r>
        <w:rPr>
          <w:rFonts w:hint="eastAsia" w:cs="Times New Roman"/>
          <w:color w:val="000000" w:themeColor="text1"/>
          <w:szCs w:val="21"/>
          <w14:textFill>
            <w14:solidFill>
              <w14:schemeClr w14:val="tx1"/>
            </w14:solidFill>
          </w14:textFill>
        </w:rPr>
        <w:t>可参照表</w:t>
      </w:r>
      <w:r>
        <w:rPr>
          <w:rFonts w:cs="Times New Roman"/>
          <w:color w:val="000000" w:themeColor="text1"/>
          <w:szCs w:val="21"/>
          <w14:textFill>
            <w14:solidFill>
              <w14:schemeClr w14:val="tx1"/>
            </w14:solidFill>
          </w14:textFill>
        </w:rPr>
        <w:t>I.4.13-1</w:t>
      </w:r>
      <w:r>
        <w:rPr>
          <w:rFonts w:hint="eastAsia" w:cs="Times New Roman"/>
          <w:color w:val="000000" w:themeColor="text1"/>
          <w:szCs w:val="21"/>
          <w14:textFill>
            <w14:solidFill>
              <w14:schemeClr w14:val="tx1"/>
            </w14:solidFill>
          </w14:textFill>
        </w:rPr>
        <w:t>确定。</w:t>
      </w:r>
    </w:p>
    <w:p>
      <w:pPr>
        <w:spacing w:line="360" w:lineRule="auto"/>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I.4.13-1 </w:t>
      </w:r>
      <w:r>
        <w:rPr>
          <w:rFonts w:hint="eastAsia" w:cs="Times New Roman"/>
          <w:color w:val="000000" w:themeColor="text1"/>
          <w:szCs w:val="21"/>
          <w14:textFill>
            <w14:solidFill>
              <w14:schemeClr w14:val="tx1"/>
            </w14:solidFill>
          </w14:textFill>
        </w:rPr>
        <w:t>钢梁与钢柱</w:t>
      </w:r>
      <w:r>
        <w:rPr>
          <w:rFonts w:cs="Times New Roman"/>
          <w:color w:val="000000" w:themeColor="text1"/>
          <w:szCs w:val="21"/>
          <w14:textFill>
            <w14:solidFill>
              <w14:schemeClr w14:val="tx1"/>
            </w14:solidFill>
          </w14:textFill>
        </w:rPr>
        <w:t>ΔIO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ΔK</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ΔLS</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ΔCP</w:t>
      </w:r>
      <w:r>
        <w:rPr>
          <w:rFonts w:hint="eastAsia" w:cs="Times New Roman"/>
          <w:color w:val="000000" w:themeColor="text1"/>
          <w:szCs w:val="21"/>
          <w14:textFill>
            <w14:solidFill>
              <w14:schemeClr w14:val="tx1"/>
            </w14:solidFill>
          </w14:textFill>
        </w:rPr>
        <w:t>取值</w:t>
      </w:r>
    </w:p>
    <w:tbl>
      <w:tblPr>
        <w:tblStyle w:val="108"/>
        <w:tblpPr w:leftFromText="180" w:rightFromText="180" w:vertAnchor="text" w:tblpXSpec="center" w:tblpY="1"/>
        <w:tblOverlap w:val="never"/>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957"/>
        <w:gridCol w:w="2377"/>
        <w:gridCol w:w="932"/>
        <w:gridCol w:w="1117"/>
        <w:gridCol w:w="1029"/>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trPr>
        <w:tc>
          <w:tcPr>
            <w:tcW w:w="3823" w:type="dxa"/>
            <w:gridSpan w:val="3"/>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钢构件类型</w:t>
            </w:r>
          </w:p>
        </w:tc>
        <w:tc>
          <w:tcPr>
            <w:tcW w:w="4473" w:type="dxa"/>
            <w:gridSpan w:val="4"/>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转角</w:t>
            </w:r>
            <w:r>
              <w:rPr>
                <w:rFonts w:cs="Times New Roman"/>
                <w:color w:val="000000" w:themeColor="text1"/>
                <w:szCs w:val="21"/>
                <w14:textFill>
                  <w14:solidFill>
                    <w14:schemeClr w14:val="tx1"/>
                  </w14:solidFill>
                </w14:textFill>
              </w:rPr>
              <w:t>/Δy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blHeader/>
        </w:trPr>
        <w:tc>
          <w:tcPr>
            <w:tcW w:w="9534" w:type="dxa"/>
            <w:gridSpan w:val="3"/>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932" w:type="dxa"/>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88"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88" DrawAspect="Content" ObjectID="_1468075788" r:id="rId262">
                  <o:LockedField>false</o:LockedField>
                </o:OLEObject>
              </w:object>
            </w:r>
            <w:r>
              <w:rPr>
                <w:rFonts w:cs="Times New Roman"/>
                <w:color w:val="000000" w:themeColor="text1"/>
                <w:szCs w:val="21"/>
                <w14:textFill>
                  <w14:solidFill>
                    <w14:schemeClr w14:val="tx1"/>
                  </w14:solidFill>
                </w14:textFill>
              </w:rPr>
              <w:t>IO</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89"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89" DrawAspect="Content" ObjectID="_1468075789" r:id="rId263">
                  <o:LockedField>false</o:LockedField>
                </o:OLEObject>
              </w:object>
            </w:r>
            <w:r>
              <w:rPr>
                <w:rFonts w:cs="Times New Roman"/>
                <w:color w:val="000000" w:themeColor="text1"/>
                <w:szCs w:val="21"/>
                <w14:textFill>
                  <w14:solidFill>
                    <w14:schemeClr w14:val="tx1"/>
                  </w14:solidFill>
                </w14:textFill>
              </w:rPr>
              <w:t>K</w:t>
            </w:r>
          </w:p>
        </w:tc>
        <w:tc>
          <w:tcPr>
            <w:tcW w:w="1029" w:type="dxa"/>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90"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90" DrawAspect="Content" ObjectID="_1468075790" r:id="rId264">
                  <o:LockedField>false</o:LockedField>
                </o:OLEObject>
              </w:object>
            </w:r>
            <w:r>
              <w:rPr>
                <w:rFonts w:cs="Times New Roman"/>
                <w:color w:val="000000" w:themeColor="text1"/>
                <w:szCs w:val="21"/>
                <w14:textFill>
                  <w14:solidFill>
                    <w14:schemeClr w14:val="tx1"/>
                  </w14:solidFill>
                </w14:textFill>
              </w:rPr>
              <w:t>LS</w:t>
            </w:r>
          </w:p>
        </w:tc>
        <w:tc>
          <w:tcPr>
            <w:tcW w:w="1395" w:type="dxa"/>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Times New Roman"/>
                <w:color w:val="000000" w:themeColor="text1"/>
                <w:szCs w:val="21"/>
                <w14:textFill>
                  <w14:solidFill>
                    <w14:schemeClr w14:val="tx1"/>
                  </w14:solidFill>
                </w14:textFill>
              </w:rPr>
            </w:pPr>
            <w:r>
              <w:rPr>
                <w:rFonts w:cstheme="minorBidi"/>
                <w:color w:val="000000" w:themeColor="text1"/>
                <w:szCs w:val="21"/>
                <w14:textFill>
                  <w14:solidFill>
                    <w14:schemeClr w14:val="tx1"/>
                  </w14:solidFill>
                </w14:textFill>
              </w:rPr>
              <w:object>
                <v:shape id="_x0000_i1091"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91" DrawAspect="Content" ObjectID="_1468075791" r:id="rId265">
                  <o:LockedField>false</o:LockedField>
                </o:OLEObject>
              </w:object>
            </w:r>
            <w:r>
              <w:rPr>
                <w:rFonts w:cs="Times New Roman"/>
                <w:color w:val="000000" w:themeColor="text1"/>
                <w:szCs w:val="21"/>
                <w14:textFill>
                  <w14:solidFill>
                    <w14:schemeClr w14:val="tx1"/>
                  </w14:solidFill>
                </w14:textFill>
              </w:rPr>
              <w:t>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89"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梁</w:t>
            </w:r>
          </w:p>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（H截面）</w:t>
            </w:r>
          </w:p>
        </w:tc>
        <w:tc>
          <w:tcPr>
            <w:tcW w:w="33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m:oMathPara>
              <m:oMath>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b</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2</m:t>
                    </m:r>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t</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9</m:t>
                    </m:r>
                    <m:ctrlPr>
                      <w:rPr>
                        <w:rFonts w:ascii="Cambria Math" w:hAnsi="Cambria Math" w:cs="Times New Roman"/>
                        <w:color w:val="000000" w:themeColor="text1"/>
                        <w:szCs w:val="21"/>
                        <w14:textFill>
                          <w14:solidFill>
                            <w14:schemeClr w14:val="tx1"/>
                          </w14:solidFill>
                        </w14:textFill>
                      </w:rPr>
                    </m:ctrlPr>
                  </m:num>
                  <m:den>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235</m:t>
                            </m:r>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ctrlPr>
                      <w:rPr>
                        <w:rFonts w:ascii="Cambria Math" w:hAnsi="Cambria Math" w:cs="Times New Roman"/>
                        <w:color w:val="000000" w:themeColor="text1"/>
                        <w:szCs w:val="21"/>
                        <w14:textFill>
                          <w14:solidFill>
                            <w14:schemeClr w14:val="tx1"/>
                          </w14:solidFill>
                        </w14:textFill>
                      </w:rPr>
                    </m:ctrlPr>
                  </m:den>
                </m:f>
                <m:r>
                  <m:rPr>
                    <m:sty m:val="p"/>
                  </m:rPr>
                  <w:rPr>
                    <w:rFonts w:hint="eastAsia" w:ascii="Cambria Math" w:hAnsi="Cambria Math" w:cs="Times New Roman"/>
                    <w:color w:val="000000" w:themeColor="text1"/>
                    <w:szCs w:val="21"/>
                    <w14:textFill>
                      <w14:solidFill>
                        <w14:schemeClr w14:val="tx1"/>
                      </w14:solidFill>
                    </w14:textFill>
                  </w:rPr>
                  <m:t>且</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h</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t</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w</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72</m:t>
                    </m:r>
                    <m:ctrlPr>
                      <w:rPr>
                        <w:rFonts w:ascii="Cambria Math" w:hAnsi="Cambria Math" w:cs="Times New Roman"/>
                        <w:color w:val="000000" w:themeColor="text1"/>
                        <w:szCs w:val="21"/>
                        <w14:textFill>
                          <w14:solidFill>
                            <w14:schemeClr w14:val="tx1"/>
                          </w14:solidFill>
                        </w14:textFill>
                      </w:rPr>
                    </m:ctrlPr>
                  </m:num>
                  <m:den>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/235</m:t>
                        </m:r>
                        <m:ctrlPr>
                          <w:rPr>
                            <w:rFonts w:ascii="Cambria Math" w:hAnsi="Cambria Math" w:cs="Times New Roman"/>
                            <w:color w:val="000000" w:themeColor="text1"/>
                            <w:szCs w:val="21"/>
                            <w14:textFill>
                              <w14:solidFill>
                                <w14:schemeClr w14:val="tx1"/>
                              </w14:solidFill>
                            </w14:textFill>
                          </w:rPr>
                        </m:ctrlPr>
                      </m:e>
                    </m:rad>
                    <m:ctrlPr>
                      <w:rPr>
                        <w:rFonts w:ascii="Cambria Math" w:hAnsi="Cambria Math" w:cs="Times New Roman"/>
                        <w:color w:val="000000" w:themeColor="text1"/>
                        <w:szCs w:val="21"/>
                        <w14:textFill>
                          <w14:solidFill>
                            <w14:schemeClr w14:val="tx1"/>
                          </w14:solidFill>
                        </w14:textFill>
                      </w:rPr>
                    </m:ctrlPr>
                  </m:den>
                </m:f>
              </m:oMath>
            </m:oMathPara>
          </w:p>
        </w:tc>
        <w:tc>
          <w:tcPr>
            <w:tcW w:w="932" w:type="dxa"/>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2.00</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6.00</w: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c>
          <w:tcPr>
            <w:tcW w:w="1395" w:type="dxa"/>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513840" cy="381000"/>
                      <wp:effectExtent l="0" t="0" r="635" b="0"/>
                      <wp:docPr id="217" name="文本框 41"/>
                      <wp:cNvGraphicFramePr/>
                      <a:graphic xmlns:a="http://schemas.openxmlformats.org/drawingml/2006/main">
                        <a:graphicData uri="http://schemas.microsoft.com/office/word/2010/wordprocessingShape">
                          <wps:wsp>
                            <wps:cNvSpPr txBox="1">
                              <a:spLocks noChangeArrowheads="1"/>
                            </wps:cNvSpPr>
                            <wps:spPr bwMode="auto">
                              <a:xfrm>
                                <a:off x="0" y="0"/>
                                <a:ext cx="1513840" cy="381000"/>
                              </a:xfrm>
                              <a:prstGeom prst="rect">
                                <a:avLst/>
                              </a:prstGeom>
                              <a:noFill/>
                              <a:ln>
                                <a:noFill/>
                              </a:ln>
                            </wps:spPr>
                            <wps:txbx>
                              <w:txbxContent>
                                <w:p>
                                  <w:pPr>
                                    <w:pStyle w:val="29"/>
                                    <w:spacing w:before="0" w:beforeAutospacing="0" w:after="0" w:afterAutospacing="0"/>
                                    <w:ind w:firstLine="260"/>
                                    <w:jc w:val="center"/>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color w:val="000000"/>
                                                      <w:sz w:val="13"/>
                                                      <w:szCs w:val="11"/>
                                                    </w:rPr>
                                                    <m:t>F</m:t>
                                                  </m:r>
                                                  <m:ctrlPr>
                                                    <w:rPr>
                                                      <w:rFonts w:ascii="Cambria Math" w:hAnsi="Cambria Math"/>
                                                      <w:i/>
                                                      <w:iCs/>
                                                      <w:color w:val="000000"/>
                                                      <w:sz w:val="13"/>
                                                      <w:szCs w:val="11"/>
                                                    </w:rPr>
                                                  </m:ctrlPr>
                                                </m:e>
                                                <m:sub>
                                                  <m:r>
                                                    <w:rPr>
                                                      <w:rFonts w:ascii="Cambria Math" w:hAnsi="Cambria Math"/>
                                                      <w:color w:val="000000"/>
                                                      <w:sz w:val="13"/>
                                                      <w:szCs w:val="11"/>
                                                    </w:rPr>
                                                    <m:t>y</m:t>
                                                  </m:r>
                                                  <m:ctrlPr>
                                                    <w:rPr>
                                                      <w:rFonts w:ascii="Cambria Math" w:hAnsi="Cambria Math"/>
                                                      <w:i/>
                                                      <w:iCs/>
                                                      <w:color w:val="000000"/>
                                                      <w:sz w:val="13"/>
                                                      <w:szCs w:val="11"/>
                                                    </w:rPr>
                                                  </m:ctrlPr>
                                                </m:sub>
                                              </m:sSub>
                                              <m:r>
                                                <w:rPr>
                                                  <w:rFonts w:ascii="Cambria Math" w:hAnsi="Cambria Math"/>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color w:val="000000"/>
                                                  <w:sz w:val="13"/>
                                                  <w:szCs w:val="11"/>
                                                </w:rPr>
                                                <m:t>t</m:t>
                                              </m:r>
                                              <m:ctrlPr>
                                                <w:rPr>
                                                  <w:rFonts w:ascii="Cambria Math" w:hAnsi="Cambria Math"/>
                                                  <w:i/>
                                                  <w:iCs/>
                                                  <w:color w:val="000000"/>
                                                  <w:sz w:val="13"/>
                                                  <w:szCs w:val="11"/>
                                                </w:rPr>
                                              </m:ctrlPr>
                                            </m:e>
                                            <m:sub>
                                              <m:r>
                                                <w:rPr>
                                                  <w:rFonts w:ascii="Cambria Math" w:hAnsi="Cambria Math"/>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color w:val="000000"/>
                                          <w:sz w:val="13"/>
                                          <w:szCs w:val="11"/>
                                        </w:rPr>
                                        <m:t>≥</m:t>
                                      </m:r>
                                      <m:f>
                                        <m:fPr>
                                          <m:ctrlPr>
                                            <w:rPr>
                                              <w:rFonts w:ascii="Cambria Math" w:hAnsi="Cambria Math"/>
                                              <w:i/>
                                              <w:iCs/>
                                              <w:color w:val="000000"/>
                                              <w:sz w:val="13"/>
                                              <w:szCs w:val="11"/>
                                            </w:rPr>
                                          </m:ctrlPr>
                                        </m:fPr>
                                        <m:num>
                                          <m:r>
                                            <w:rPr>
                                              <w:rFonts w:ascii="Cambria Math" w:hAnsi="Cambria Math"/>
                                              <w:color w:val="000000"/>
                                              <w:sz w:val="13"/>
                                              <w:szCs w:val="11"/>
                                            </w:rPr>
                                            <m:t>110</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color w:val="000000"/>
                                                      <w:sz w:val="13"/>
                                                      <w:szCs w:val="11"/>
                                                    </w:rPr>
                                                    <m:t>F</m:t>
                                                  </m:r>
                                                  <m:ctrlPr>
                                                    <w:rPr>
                                                      <w:rFonts w:ascii="Cambria Math" w:hAnsi="Cambria Math"/>
                                                      <w:i/>
                                                      <w:iCs/>
                                                      <w:color w:val="000000"/>
                                                      <w:sz w:val="13"/>
                                                      <w:szCs w:val="11"/>
                                                    </w:rPr>
                                                  </m:ctrlPr>
                                                </m:e>
                                                <m:sub>
                                                  <m:r>
                                                    <w:rPr>
                                                      <w:rFonts w:ascii="Cambria Math" w:hAnsi="Cambria Math"/>
                                                      <w:color w:val="000000"/>
                                                      <w:sz w:val="13"/>
                                                      <w:szCs w:val="11"/>
                                                    </w:rPr>
                                                    <m:t>y</m:t>
                                                  </m:r>
                                                  <m:ctrlPr>
                                                    <w:rPr>
                                                      <w:rFonts w:ascii="Cambria Math" w:hAnsi="Cambria Math"/>
                                                      <w:i/>
                                                      <w:iCs/>
                                                      <w:color w:val="000000"/>
                                                      <w:sz w:val="13"/>
                                                      <w:szCs w:val="11"/>
                                                    </w:rPr>
                                                  </m:ctrlPr>
                                                </m:sub>
                                              </m:sSub>
                                              <m:r>
                                                <w:rPr>
                                                  <w:rFonts w:ascii="Cambria Math" w:hAnsi="Cambria Math"/>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41" o:spid="_x0000_s1026" o:spt="202" type="#_x0000_t202" style="height:30pt;width:119.2pt;" filled="f" stroked="f" coordsize="21600,21600" o:gfxdata="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rADC3UAAAABAEAAA8AAAAAAAAAAQAgAAAAIgAAAGRycy9kb3ducmV2LnhtbFBLAQIUABQA&#10;AAAIAIdO4kB5X+aW9AEAALoDAAAOAAAAAAAAAAEAIAAAACMBAABkcnMvZTJvRG9jLnhtbFBLBQYA&#10;AAAABgAGAFkBAACJBQAAAAA=&#10;">
                      <v:fill on="f" focussize="0,0"/>
                      <v:stroke on="f"/>
                      <v:imagedata o:title=""/>
                      <o:lock v:ext="edit" aspectratio="f"/>
                      <v:textbox inset="0mm,0mm,0mm,0mm">
                        <w:txbxContent>
                          <w:p>
                            <w:pPr>
                              <w:pStyle w:val="29"/>
                              <w:spacing w:before="0" w:beforeAutospacing="0" w:after="0" w:afterAutospacing="0"/>
                              <w:ind w:firstLine="260"/>
                              <w:jc w:val="center"/>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color w:val="000000"/>
                                                <w:sz w:val="13"/>
                                                <w:szCs w:val="11"/>
                                              </w:rPr>
                                              <m:t>F</m:t>
                                            </m:r>
                                            <m:ctrlPr>
                                              <w:rPr>
                                                <w:rFonts w:ascii="Cambria Math" w:hAnsi="Cambria Math"/>
                                                <w:i/>
                                                <w:iCs/>
                                                <w:color w:val="000000"/>
                                                <w:sz w:val="13"/>
                                                <w:szCs w:val="11"/>
                                              </w:rPr>
                                            </m:ctrlPr>
                                          </m:e>
                                          <m:sub>
                                            <m:r>
                                              <w:rPr>
                                                <w:rFonts w:ascii="Cambria Math" w:hAnsi="Cambria Math"/>
                                                <w:color w:val="000000"/>
                                                <w:sz w:val="13"/>
                                                <w:szCs w:val="11"/>
                                              </w:rPr>
                                              <m:t>y</m:t>
                                            </m:r>
                                            <m:ctrlPr>
                                              <w:rPr>
                                                <w:rFonts w:ascii="Cambria Math" w:hAnsi="Cambria Math"/>
                                                <w:i/>
                                                <w:iCs/>
                                                <w:color w:val="000000"/>
                                                <w:sz w:val="13"/>
                                                <w:szCs w:val="11"/>
                                              </w:rPr>
                                            </m:ctrlPr>
                                          </m:sub>
                                        </m:sSub>
                                        <m:r>
                                          <w:rPr>
                                            <w:rFonts w:ascii="Cambria Math" w:hAnsi="Cambria Math"/>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color w:val="000000"/>
                                            <w:sz w:val="13"/>
                                            <w:szCs w:val="11"/>
                                          </w:rPr>
                                          <m:t>t</m:t>
                                        </m:r>
                                        <m:ctrlPr>
                                          <w:rPr>
                                            <w:rFonts w:ascii="Cambria Math" w:hAnsi="Cambria Math"/>
                                            <w:i/>
                                            <w:iCs/>
                                            <w:color w:val="000000"/>
                                            <w:sz w:val="13"/>
                                            <w:szCs w:val="11"/>
                                          </w:rPr>
                                        </m:ctrlPr>
                                      </m:e>
                                      <m:sub>
                                        <m:r>
                                          <w:rPr>
                                            <w:rFonts w:ascii="Cambria Math" w:hAnsi="Cambria Math"/>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color w:val="000000"/>
                                    <w:sz w:val="13"/>
                                    <w:szCs w:val="11"/>
                                  </w:rPr>
                                  <m:t>≥</m:t>
                                </m:r>
                                <m:f>
                                  <m:fPr>
                                    <m:ctrlPr>
                                      <w:rPr>
                                        <w:rFonts w:ascii="Cambria Math" w:hAnsi="Cambria Math"/>
                                        <w:i/>
                                        <w:iCs/>
                                        <w:color w:val="000000"/>
                                        <w:sz w:val="13"/>
                                        <w:szCs w:val="11"/>
                                      </w:rPr>
                                    </m:ctrlPr>
                                  </m:fPr>
                                  <m:num>
                                    <m:r>
                                      <w:rPr>
                                        <w:rFonts w:ascii="Cambria Math" w:hAnsi="Cambria Math"/>
                                        <w:color w:val="000000"/>
                                        <w:sz w:val="13"/>
                                        <w:szCs w:val="11"/>
                                      </w:rPr>
                                      <m:t>110</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color w:val="000000"/>
                                                <w:sz w:val="13"/>
                                                <w:szCs w:val="11"/>
                                              </w:rPr>
                                              <m:t>F</m:t>
                                            </m:r>
                                            <m:ctrlPr>
                                              <w:rPr>
                                                <w:rFonts w:ascii="Cambria Math" w:hAnsi="Cambria Math"/>
                                                <w:i/>
                                                <w:iCs/>
                                                <w:color w:val="000000"/>
                                                <w:sz w:val="13"/>
                                                <w:szCs w:val="11"/>
                                              </w:rPr>
                                            </m:ctrlPr>
                                          </m:e>
                                          <m:sub>
                                            <m:r>
                                              <w:rPr>
                                                <w:rFonts w:ascii="Cambria Math" w:hAnsi="Cambria Math"/>
                                                <w:color w:val="000000"/>
                                                <w:sz w:val="13"/>
                                                <w:szCs w:val="11"/>
                                              </w:rPr>
                                              <m:t>y</m:t>
                                            </m:r>
                                            <m:ctrlPr>
                                              <w:rPr>
                                                <w:rFonts w:ascii="Cambria Math" w:hAnsi="Cambria Math"/>
                                                <w:i/>
                                                <w:iCs/>
                                                <w:color w:val="000000"/>
                                                <w:sz w:val="13"/>
                                                <w:szCs w:val="11"/>
                                              </w:rPr>
                                            </m:ctrlPr>
                                          </m:sub>
                                        </m:sSub>
                                        <m:r>
                                          <w:rPr>
                                            <w:rFonts w:ascii="Cambria Math" w:hAnsi="Cambria Math"/>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1.25</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2.63</w: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gridSpan w:val="2"/>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4473" w:type="dxa"/>
            <w:gridSpan w:val="4"/>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89"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柱（H截面）</w:t>
            </w:r>
          </w:p>
        </w:tc>
        <w:tc>
          <w:tcPr>
            <w:tcW w:w="957"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480695" cy="198120"/>
                      <wp:effectExtent l="0" t="0" r="0" b="1905"/>
                      <wp:docPr id="218" name="文本框 40"/>
                      <wp:cNvGraphicFramePr/>
                      <a:graphic xmlns:a="http://schemas.openxmlformats.org/drawingml/2006/main">
                        <a:graphicData uri="http://schemas.microsoft.com/office/word/2010/wordprocessingShape">
                          <wps:wsp>
                            <wps:cNvSpPr txBox="1">
                              <a:spLocks noChangeArrowheads="1"/>
                            </wps:cNvSpPr>
                            <wps:spPr bwMode="auto">
                              <a:xfrm>
                                <a:off x="0" y="0"/>
                                <a:ext cx="480695" cy="198120"/>
                              </a:xfrm>
                              <a:prstGeom prst="rect">
                                <a:avLst/>
                              </a:prstGeom>
                              <a:noFill/>
                              <a:ln>
                                <a:noFill/>
                              </a:ln>
                            </wps:spPr>
                            <wps:txbx>
                              <w:txbxContent>
                                <w:p>
                                  <w:pPr>
                                    <w:pStyle w:val="29"/>
                                    <w:spacing w:before="0" w:beforeAutospacing="0" w:after="0" w:afterAutospacing="0"/>
                                    <w:ind w:firstLine="220"/>
                                    <w:rPr>
                                      <w:sz w:val="11"/>
                                      <w:szCs w:val="11"/>
                                    </w:rPr>
                                  </w:pPr>
                                  <m:oMathPara>
                                    <m:oMathParaPr>
                                      <m:jc m:val="centerGroup"/>
                                    </m:oMathParaPr>
                                    <m:oMath>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w:rPr>
                                          <w:rFonts w:ascii="Cambria Math" w:hAnsi="Cambria Math" w:eastAsia="等线" w:cs="Times New Roman"/>
                                          <w:color w:val="000000"/>
                                          <w:sz w:val="11"/>
                                          <w:szCs w:val="11"/>
                                        </w:rPr>
                                        <m:t>&lt;0.2</m:t>
                                      </m:r>
                                    </m:oMath>
                                  </m:oMathPara>
                                </w:p>
                              </w:txbxContent>
                            </wps:txbx>
                            <wps:bodyPr rot="0" vert="horz" wrap="square" lIns="0" tIns="0" rIns="0" bIns="0" anchor="t" anchorCtr="0" upright="1">
                              <a:spAutoFit/>
                            </wps:bodyPr>
                          </wps:wsp>
                        </a:graphicData>
                      </a:graphic>
                    </wp:inline>
                  </w:drawing>
                </mc:Choice>
                <mc:Fallback>
                  <w:pict>
                    <v:shape id="文本框 40" o:spid="_x0000_s1026" o:spt="202" type="#_x0000_t202" style="height:15.6pt;width:37.85pt;" filled="f" stroked="f" coordsize="21600,21600" o:gfxdata="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e8rm0gAAAAMBAAAPAAAAAAAAAAEAIAAAACIAAABkcnMvZG93bnJldi54bWxQSwECFAAUAAAA&#10;CACHTuJAn1v/O/QBAAC5AwAADgAAAAAAAAABACAAAAAhAQAAZHJzL2Uyb0RvYy54bWxQSwUGAAAA&#10;AAYABgBZAQAAhwUAAAAA&#10;">
                      <v:fill on="f" focussize="0,0"/>
                      <v:stroke on="f"/>
                      <v:imagedata o:title=""/>
                      <o:lock v:ext="edit" aspectratio="f"/>
                      <v:textbox inset="0mm,0mm,0mm,0mm" style="mso-fit-shape-to-text:t;">
                        <w:txbxContent>
                          <w:p>
                            <w:pPr>
                              <w:pStyle w:val="29"/>
                              <w:spacing w:before="0" w:beforeAutospacing="0" w:after="0" w:afterAutospacing="0"/>
                              <w:ind w:firstLine="220"/>
                              <w:rPr>
                                <w:sz w:val="11"/>
                                <w:szCs w:val="11"/>
                              </w:rPr>
                            </w:pPr>
                            <m:oMathPara>
                              <m:oMathParaPr>
                                <m:jc m:val="centerGroup"/>
                              </m:oMathParaPr>
                              <m:oMath>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w:rPr>
                                    <w:rFonts w:ascii="Cambria Math" w:hAnsi="Cambria Math" w:eastAsia="等线" w:cs="Times New Roman"/>
                                    <w:color w:val="000000"/>
                                    <w:sz w:val="11"/>
                                    <w:szCs w:val="11"/>
                                  </w:rPr>
                                  <m:t>&lt;0.2</m:t>
                                </m:r>
                              </m:oMath>
                            </m:oMathPara>
                          </w:p>
                        </w:txbxContent>
                      </v:textbox>
                      <w10:wrap type="none"/>
                      <w10:anchorlock/>
                    </v:shape>
                  </w:pict>
                </mc:Fallback>
              </mc:AlternateContent>
            </w: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14120" cy="370840"/>
                      <wp:effectExtent l="0" t="0" r="0" b="635"/>
                      <wp:docPr id="219" name="文本框 39"/>
                      <wp:cNvGraphicFramePr/>
                      <a:graphic xmlns:a="http://schemas.openxmlformats.org/drawingml/2006/main">
                        <a:graphicData uri="http://schemas.microsoft.com/office/word/2010/wordprocessingShape">
                          <wps:wsp>
                            <wps:cNvSpPr txBox="1">
                              <a:spLocks noChangeArrowheads="1"/>
                            </wps:cNvSpPr>
                            <wps:spPr bwMode="auto">
                              <a:xfrm>
                                <a:off x="0" y="0"/>
                                <a:ext cx="1214120" cy="3708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51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39" o:spid="_x0000_s1026" o:spt="202" type="#_x0000_t202" style="height:29.2pt;width:95.6pt;" filled="f" stroked="f" coordsize="21600,21600" o:gfxdata="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Jg5C+1AAAAAQBAAAPAAAAAAAAAAEAIAAAACIAAABkcnMvZG93bnJldi54bWxQSwECFAAU&#10;AAAACACHTuJA8LFFwfUBAAC6AwAADgAAAAAAAAABACAAAAAjAQAAZHJzL2Uyb0RvYy54bWxQSwUG&#10;AAAAAAYABgBZAQAAig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51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2.00</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6.00</w: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346200" cy="396240"/>
                      <wp:effectExtent l="0" t="0" r="0" b="3810"/>
                      <wp:docPr id="220" name="文本框 38"/>
                      <wp:cNvGraphicFramePr/>
                      <a:graphic xmlns:a="http://schemas.openxmlformats.org/drawingml/2006/main">
                        <a:graphicData uri="http://schemas.microsoft.com/office/word/2010/wordprocessingShape">
                          <wps:wsp>
                            <wps:cNvSpPr txBox="1">
                              <a:spLocks noChangeArrowheads="1"/>
                            </wps:cNvSpPr>
                            <wps:spPr bwMode="auto">
                              <a:xfrm>
                                <a:off x="0" y="0"/>
                                <a:ext cx="134620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79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spAutoFit/>
                            </wps:bodyPr>
                          </wps:wsp>
                        </a:graphicData>
                      </a:graphic>
                    </wp:inline>
                  </w:drawing>
                </mc:Choice>
                <mc:Fallback>
                  <w:pict>
                    <v:shape id="文本框 38" o:spid="_x0000_s1026" o:spt="202" type="#_x0000_t202" style="height:31.2pt;width:106pt;" filled="f" stroked="f" coordsize="21600,21600" o:gfxdata="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IS60NEAAAAEAQAADwAAAAAAAAABACAAAAAiAAAAZHJzL2Rvd25yZXYueG1sUEsBAhQAFAAAAAgA&#10;h07iQHUA9B7zAQAAugMAAA4AAAAAAAAAAQAgAAAAIAEAAGRycy9lMm9Eb2MueG1sUEsFBgAAAAAG&#10;AAYAWQEAAIUFA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79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1.25</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2.63</w: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4473" w:type="dxa"/>
            <w:gridSpan w:val="4"/>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957"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466090" cy="198120"/>
                      <wp:effectExtent l="0" t="0" r="635" b="1905"/>
                      <wp:docPr id="221" name="文本框 36"/>
                      <wp:cNvGraphicFramePr/>
                      <a:graphic xmlns:a="http://schemas.openxmlformats.org/drawingml/2006/main">
                        <a:graphicData uri="http://schemas.microsoft.com/office/word/2010/wordprocessingShape">
                          <wps:wsp>
                            <wps:cNvSpPr txBox="1">
                              <a:spLocks noChangeArrowheads="1"/>
                            </wps:cNvSpPr>
                            <wps:spPr bwMode="auto">
                              <a:xfrm>
                                <a:off x="0" y="0"/>
                                <a:ext cx="466090" cy="198120"/>
                              </a:xfrm>
                              <a:prstGeom prst="rect">
                                <a:avLst/>
                              </a:prstGeom>
                              <a:noFill/>
                              <a:ln>
                                <a:noFill/>
                              </a:ln>
                            </wps:spPr>
                            <wps:txbx>
                              <w:txbxContent>
                                <w:p>
                                  <w:pPr>
                                    <w:pStyle w:val="29"/>
                                    <w:spacing w:before="0" w:beforeAutospacing="0" w:after="0" w:afterAutospacing="0"/>
                                    <w:ind w:firstLine="220"/>
                                    <w:rPr>
                                      <w:sz w:val="11"/>
                                      <w:szCs w:val="11"/>
                                    </w:rPr>
                                  </w:pPr>
                                  <m:oMathPara>
                                    <m:oMathParaPr>
                                      <m:jc m:val="centerGroup"/>
                                    </m:oMathParaPr>
                                    <m:oMath>
                                      <m:r>
                                        <m:rPr>
                                          <m:sty m:val="p"/>
                                        </m:rPr>
                                        <w:rPr>
                                          <w:rFonts w:ascii="Cambria Math" w:hAnsi="Cambria Math" w:eastAsia="等线" w:cs="Times New Roman"/>
                                          <w:color w:val="000000"/>
                                          <w:sz w:val="11"/>
                                          <w:szCs w:val="11"/>
                                        </w:rPr>
                                        <m:t>0.2≤</m:t>
                                      </m:r>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m:rPr>
                                          <m:sty m:val="p"/>
                                        </m:rPr>
                                        <w:rPr>
                                          <w:rFonts w:ascii="Cambria Math" w:hAnsi="Cambria Math" w:eastAsia="等线" w:cs="Times New Roman"/>
                                          <w:color w:val="000000"/>
                                          <w:sz w:val="11"/>
                                          <w:szCs w:val="11"/>
                                        </w:rPr>
                                        <m:t>≤</m:t>
                                      </m:r>
                                      <m:r>
                                        <w:rPr>
                                          <w:rFonts w:ascii="Cambria Math" w:hAnsi="Cambria Math" w:eastAsia="等线" w:cs="Times New Roman"/>
                                          <w:color w:val="000000"/>
                                          <w:sz w:val="11"/>
                                          <w:szCs w:val="11"/>
                                        </w:rPr>
                                        <m:t>0.5</m:t>
                                      </m:r>
                                    </m:oMath>
                                  </m:oMathPara>
                                </w:p>
                              </w:txbxContent>
                            </wps:txbx>
                            <wps:bodyPr rot="0" vert="horz" wrap="none" lIns="0" tIns="0" rIns="0" bIns="0" anchor="t" anchorCtr="0" upright="1">
                              <a:spAutoFit/>
                            </wps:bodyPr>
                          </wps:wsp>
                        </a:graphicData>
                      </a:graphic>
                    </wp:inline>
                  </w:drawing>
                </mc:Choice>
                <mc:Fallback>
                  <w:pict>
                    <v:shape id="文本框 36" o:spid="_x0000_s1026" o:spt="202" type="#_x0000_t202" style="height:15.6pt;width:36.7pt;mso-wrap-style:none;" filled="f" stroked="f" coordsize="21600,21600" o:gfxdata="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z&#10;n5Qc0gAAAAMBAAAPAAAAAAAAAAEAIAAAACIAAABkcnMvZG93bnJldi54bWxQSwECFAAUAAAACACH&#10;TuJAj+/vIvEBAAC3AwAADgAAAAAAAAABACAAAAAhAQAAZHJzL2Uyb0RvYy54bWxQSwUGAAAAAAYA&#10;BgBZAQAAhAUAAAAA&#10;">
                      <v:fill on="f" focussize="0,0"/>
                      <v:stroke on="f"/>
                      <v:imagedata o:title=""/>
                      <o:lock v:ext="edit" aspectratio="f"/>
                      <v:textbox inset="0mm,0mm,0mm,0mm" style="mso-fit-shape-to-text:t;">
                        <w:txbxContent>
                          <w:p>
                            <w:pPr>
                              <w:pStyle w:val="29"/>
                              <w:spacing w:before="0" w:beforeAutospacing="0" w:after="0" w:afterAutospacing="0"/>
                              <w:ind w:firstLine="220"/>
                              <w:rPr>
                                <w:sz w:val="11"/>
                                <w:szCs w:val="11"/>
                              </w:rPr>
                            </w:pPr>
                            <m:oMathPara>
                              <m:oMathParaPr>
                                <m:jc m:val="centerGroup"/>
                              </m:oMathParaPr>
                              <m:oMath>
                                <m:r>
                                  <m:rPr>
                                    <m:sty m:val="p"/>
                                  </m:rPr>
                                  <w:rPr>
                                    <w:rFonts w:ascii="Cambria Math" w:hAnsi="Cambria Math" w:eastAsia="等线" w:cs="Times New Roman"/>
                                    <w:color w:val="000000"/>
                                    <w:sz w:val="11"/>
                                    <w:szCs w:val="11"/>
                                  </w:rPr>
                                  <m:t>0.2≤</m:t>
                                </m:r>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m:rPr>
                                    <m:sty m:val="p"/>
                                  </m:rPr>
                                  <w:rPr>
                                    <w:rFonts w:ascii="Cambria Math" w:hAnsi="Cambria Math" w:eastAsia="等线" w:cs="Times New Roman"/>
                                    <w:color w:val="000000"/>
                                    <w:sz w:val="11"/>
                                    <w:szCs w:val="11"/>
                                  </w:rPr>
                                  <m:t>≤</m:t>
                                </m:r>
                                <m:r>
                                  <w:rPr>
                                    <w:rFonts w:ascii="Cambria Math" w:hAnsi="Cambria Math" w:eastAsia="等线" w:cs="Times New Roman"/>
                                    <w:color w:val="000000"/>
                                    <w:sz w:val="11"/>
                                    <w:szCs w:val="11"/>
                                  </w:rPr>
                                  <m:t>0.5</m:t>
                                </m:r>
                              </m:oMath>
                            </m:oMathPara>
                          </w:p>
                        </w:txbxContent>
                      </v:textbox>
                      <w10:wrap type="none"/>
                      <w10:anchorlock/>
                    </v:shape>
                  </w:pict>
                </mc:Fallback>
              </mc:AlternateContent>
            </w: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305560" cy="355600"/>
                      <wp:effectExtent l="0" t="0" r="0" b="0"/>
                      <wp:docPr id="222" name="文本框 35"/>
                      <wp:cNvGraphicFramePr/>
                      <a:graphic xmlns:a="http://schemas.openxmlformats.org/drawingml/2006/main">
                        <a:graphicData uri="http://schemas.microsoft.com/office/word/2010/wordprocessingShape">
                          <wps:wsp>
                            <wps:cNvSpPr txBox="1">
                              <a:spLocks noChangeArrowheads="1"/>
                            </wps:cNvSpPr>
                            <wps:spPr bwMode="auto">
                              <a:xfrm>
                                <a:off x="0" y="0"/>
                                <a:ext cx="1305560" cy="35560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45</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35" o:spid="_x0000_s1026" o:spt="202" type="#_x0000_t202" style="height:28pt;width:102.8pt;" filled="f" stroked="f" coordsize="21600,21600" o:gfxdata="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jY+yg1AAAAAQBAAAPAAAAAAAAAAEAIAAAACIAAABkcnMvZG93bnJldi54bWxQSwECFAAUAAAA&#10;CACHTuJAzvFC+PIBAAC6AwAADgAAAAAAAAABACAAAAAjAQAAZHJzL2Uyb0RvYy54bWxQSwUGAAAA&#10;AAYABgBZAQAAhw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45</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1.25</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0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699135" cy="396240"/>
                      <wp:effectExtent l="0" t="0" r="0" b="3810"/>
                      <wp:docPr id="223"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699135"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(8.125-11.7</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34" o:spid="_x0000_s1026" o:spt="202" type="#_x0000_t202" style="height:31.2pt;width:55.05pt;" filled="f" stroked="f" coordsize="21600,21600" o:gfxdata="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NA/PnRAAAABAEAAA8AAAAAAAAAAQAgAAAAIgAAAGRycy9kb3ducmV2LnhtbFBLAQIUABQAAAAI&#10;AIdO4kDIWVnf9AEAALkDAAAOAAAAAAAAAAEAIAAAACABAABkcnMvZTJvRG9jLnhtbFBLBQYAAAAA&#10;BgAGAFkBAACGBQ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(8.125-11.7</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0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675640" cy="396240"/>
                      <wp:effectExtent l="0" t="0" r="635" b="3810"/>
                      <wp:docPr id="224"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67564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(15-23.3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27" o:spid="_x0000_s1026" o:spt="202" type="#_x0000_t202" style="height:31.2pt;width:53.2pt;" filled="f" stroked="f" coordsize="21600,21600" o:gfxdata="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9&#10;54qQ0QAAAAQBAAAPAAAAAAAAAAEAIAAAACIAAABkcnMvZG93bnJldi54bWxQSwECFAAUAAAACACH&#10;TuJA8jcD6fIBAAC5AwAADgAAAAAAAAABACAAAAAgAQAAZHJzL2Uyb0RvYy54bWxQSwUGAAAAAAYA&#10;BgBZAQAAhAU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(15-23.3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0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701040" cy="406400"/>
                      <wp:effectExtent l="0" t="0" r="3810" b="3175"/>
                      <wp:docPr id="225"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701040" cy="40640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(18-28.3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noAutofit/>
                            </wps:bodyPr>
                          </wps:wsp>
                        </a:graphicData>
                      </a:graphic>
                    </wp:inline>
                  </w:drawing>
                </mc:Choice>
                <mc:Fallback>
                  <w:pict>
                    <v:shape id="文本框 24" o:spid="_x0000_s1026" o:spt="202" type="#_x0000_t202" style="height:32pt;width:55.2pt;" filled="f" stroked="f" coordsize="21600,21600" o:gfxdata="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bVODs0wAAAAQBAAAPAAAAAAAAAAEAIAAAACIAAABkcnMvZG93bnJldi54bWxQSwECFAAUAAAA&#10;CACHTuJADDAcs/MBAAC5AwAADgAAAAAAAAABACAAAAAiAQAAZHJzL2Uyb0RvYy54bWxQSwUGAAAA&#10;AAYABgBZAQAAhw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(18-28.3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85240" cy="396240"/>
                      <wp:effectExtent l="0" t="0" r="635" b="3810"/>
                      <wp:docPr id="226"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128524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68</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spAutoFit/>
                            </wps:bodyPr>
                          </wps:wsp>
                        </a:graphicData>
                      </a:graphic>
                    </wp:inline>
                  </w:drawing>
                </mc:Choice>
                <mc:Fallback>
                  <w:pict>
                    <v:shape id="文本框 23" o:spid="_x0000_s1026" o:spt="202" type="#_x0000_t202" style="height:31.2pt;width:101.2pt;" filled="f" stroked="f" coordsize="21600,21600" o:gfxdata="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R&#10;NvzS0QAAAAQBAAAPAAAAAAAAAAEAIAAAACIAAABkcnMvZG93bnJldi54bWxQSwECFAAUAAAACACH&#10;TuJAEziRe/IBAAC6AwAADgAAAAAAAAABACAAAAAgAQAAZHJzL2Uyb0RvYy54bWxQSwUGAAAAAAYA&#10;BgBZAQAAhAU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r>
                                      <w:rPr>
                                        <w:rFonts w:ascii="Cambria Math" w:hAnsi="Cambria Math" w:eastAsia="等线" w:cs="Times New Roman"/>
                                        <w:color w:val="000000"/>
                                        <w:sz w:val="13"/>
                                        <w:szCs w:val="11"/>
                                      </w:rPr>
                                      <m:t>2</m:t>
                                    </m:r>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68</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1.25</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1.38</w: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4473" w:type="dxa"/>
            <w:gridSpan w:val="4"/>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89"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柱（方管截面）</w:t>
            </w:r>
          </w:p>
        </w:tc>
        <w:tc>
          <w:tcPr>
            <w:tcW w:w="957"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480695" cy="198120"/>
                      <wp:effectExtent l="0" t="0" r="0" b="1905"/>
                      <wp:docPr id="227"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480695" cy="198120"/>
                              </a:xfrm>
                              <a:prstGeom prst="rect">
                                <a:avLst/>
                              </a:prstGeom>
                              <a:noFill/>
                              <a:ln>
                                <a:noFill/>
                              </a:ln>
                            </wps:spPr>
                            <wps:txbx>
                              <w:txbxContent>
                                <w:p>
                                  <w:pPr>
                                    <w:pStyle w:val="29"/>
                                    <w:spacing w:before="0" w:beforeAutospacing="0" w:after="0" w:afterAutospacing="0"/>
                                    <w:ind w:firstLine="220"/>
                                    <w:rPr>
                                      <w:sz w:val="11"/>
                                      <w:szCs w:val="11"/>
                                    </w:rPr>
                                  </w:pPr>
                                  <m:oMathPara>
                                    <m:oMathParaPr>
                                      <m:jc m:val="centerGroup"/>
                                    </m:oMathParaPr>
                                    <m:oMath>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w:rPr>
                                          <w:rFonts w:ascii="Cambria Math" w:hAnsi="Cambria Math" w:eastAsia="等线" w:cs="Times New Roman"/>
                                          <w:color w:val="000000"/>
                                          <w:sz w:val="11"/>
                                          <w:szCs w:val="11"/>
                                        </w:rPr>
                                        <m:t>&lt;0.2</m:t>
                                      </m:r>
                                    </m:oMath>
                                  </m:oMathPara>
                                </w:p>
                              </w:txbxContent>
                            </wps:txbx>
                            <wps:bodyPr rot="0" vert="horz" wrap="square" lIns="0" tIns="0" rIns="0" bIns="0" anchor="t" anchorCtr="0" upright="1">
                              <a:spAutoFit/>
                            </wps:bodyPr>
                          </wps:wsp>
                        </a:graphicData>
                      </a:graphic>
                    </wp:inline>
                  </w:drawing>
                </mc:Choice>
                <mc:Fallback>
                  <w:pict>
                    <v:shape id="文本框 22" o:spid="_x0000_s1026" o:spt="202" type="#_x0000_t202" style="height:15.6pt;width:37.85pt;" filled="f" stroked="f" coordsize="21600,21600" o:gfxdata="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V7yubSAAAAAwEAAA8AAAAAAAAAAQAgAAAAIgAAAGRycy9kb3ducmV2LnhtbFBLAQIUABQAAAAI&#10;AIdO4kAJ0PFW8wEAALkDAAAOAAAAAAAAAAEAIAAAACEBAABkcnMvZTJvRG9jLnhtbFBLBQYAAAAA&#10;BgAGAFkBAACGBQAAAAA=&#10;">
                      <v:fill on="f" focussize="0,0"/>
                      <v:stroke on="f"/>
                      <v:imagedata o:title=""/>
                      <o:lock v:ext="edit" aspectratio="f"/>
                      <v:textbox inset="0mm,0mm,0mm,0mm" style="mso-fit-shape-to-text:t;">
                        <w:txbxContent>
                          <w:p>
                            <w:pPr>
                              <w:pStyle w:val="29"/>
                              <w:spacing w:before="0" w:beforeAutospacing="0" w:after="0" w:afterAutospacing="0"/>
                              <w:ind w:firstLine="220"/>
                              <w:rPr>
                                <w:sz w:val="11"/>
                                <w:szCs w:val="11"/>
                              </w:rPr>
                            </w:pPr>
                            <m:oMathPara>
                              <m:oMathParaPr>
                                <m:jc m:val="centerGroup"/>
                              </m:oMathParaPr>
                              <m:oMath>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w:rPr>
                                    <w:rFonts w:ascii="Cambria Math" w:hAnsi="Cambria Math" w:eastAsia="等线" w:cs="Times New Roman"/>
                                    <w:color w:val="000000"/>
                                    <w:sz w:val="11"/>
                                    <w:szCs w:val="11"/>
                                  </w:rPr>
                                  <m:t>&lt;0.2</m:t>
                                </m:r>
                              </m:oMath>
                            </m:oMathPara>
                          </w:p>
                        </w:txbxContent>
                      </v:textbox>
                      <w10:wrap type="none"/>
                      <w10:anchorlock/>
                    </v:shape>
                  </w:pict>
                </mc:Fallback>
              </mc:AlternateContent>
            </w: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14120" cy="370840"/>
                      <wp:effectExtent l="0" t="0" r="0" b="635"/>
                      <wp:docPr id="228"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1214120" cy="3708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51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21" o:spid="_x0000_s1026" o:spt="202" type="#_x0000_t202" style="height:29.2pt;width:95.6pt;" filled="f" stroked="f" coordsize="21600,21600" o:gfxdata="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Jg5C+1AAAAAQBAAAPAAAAAAAAAAEAIAAAACIAAABkcnMvZG93bnJldi54bWxQSwECFAAUAAAA&#10;CACHTuJANxyn4PIBAAC6AwAADgAAAAAAAAABACAAAAAjAQAAZHJzL2Uyb0RvYy54bWxQSwUGAAAA&#10;AAYABgBZAQAAhw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51</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2.00</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6.00</w: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346200" cy="396240"/>
                      <wp:effectExtent l="0" t="0" r="0" b="3810"/>
                      <wp:docPr id="229"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134620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33</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79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spAutoFit/>
                            </wps:bodyPr>
                          </wps:wsp>
                        </a:graphicData>
                      </a:graphic>
                    </wp:inline>
                  </w:drawing>
                </mc:Choice>
                <mc:Fallback>
                  <w:pict>
                    <v:shape id="文本框 20" o:spid="_x0000_s1026" o:spt="202" type="#_x0000_t202" style="height:31.2pt;width:106pt;" filled="f" stroked="f" coordsize="21600,21600" o:gfxdata="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CEutDRAAAABAEAAA8AAAAAAAAAAQAgAAAAIgAAAGRycy9kb3ducmV2LnhtbFBLAQIUABQAAAAI&#10;AIdO4kBZR9/89AEAALoDAAAOAAAAAAAAAAEAIAAAACABAABkcnMvZTJvRG9jLnhtbFBLBQYAAAAA&#10;BgAGAFkBAACGBQ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33</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79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1.25</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2.63</w: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w: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4473" w:type="dxa"/>
            <w:gridSpan w:val="4"/>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957"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466090" cy="198120"/>
                      <wp:effectExtent l="0" t="0" r="635" b="1905"/>
                      <wp:docPr id="230"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466090" cy="198120"/>
                              </a:xfrm>
                              <a:prstGeom prst="rect">
                                <a:avLst/>
                              </a:prstGeom>
                              <a:noFill/>
                              <a:ln>
                                <a:noFill/>
                              </a:ln>
                            </wps:spPr>
                            <wps:txbx>
                              <w:txbxContent>
                                <w:p>
                                  <w:pPr>
                                    <w:pStyle w:val="29"/>
                                    <w:spacing w:before="0" w:beforeAutospacing="0" w:after="0" w:afterAutospacing="0"/>
                                    <w:ind w:firstLine="220"/>
                                    <w:rPr>
                                      <w:sz w:val="11"/>
                                      <w:szCs w:val="11"/>
                                    </w:rPr>
                                  </w:pPr>
                                  <m:oMathPara>
                                    <m:oMathParaPr>
                                      <m:jc m:val="centerGroup"/>
                                    </m:oMathParaPr>
                                    <m:oMath>
                                      <m:r>
                                        <m:rPr>
                                          <m:sty m:val="p"/>
                                        </m:rPr>
                                        <w:rPr>
                                          <w:rFonts w:ascii="Cambria Math" w:hAnsi="Cambria Math" w:eastAsia="等线" w:cs="Times New Roman"/>
                                          <w:color w:val="000000"/>
                                          <w:sz w:val="11"/>
                                          <w:szCs w:val="11"/>
                                        </w:rPr>
                                        <m:t>0.2≤</m:t>
                                      </m:r>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m:rPr>
                                          <m:sty m:val="p"/>
                                        </m:rPr>
                                        <w:rPr>
                                          <w:rFonts w:ascii="Cambria Math" w:hAnsi="Cambria Math" w:eastAsia="等线" w:cs="Times New Roman"/>
                                          <w:color w:val="000000"/>
                                          <w:sz w:val="11"/>
                                          <w:szCs w:val="11"/>
                                        </w:rPr>
                                        <m:t>≤</m:t>
                                      </m:r>
                                      <m:r>
                                        <w:rPr>
                                          <w:rFonts w:ascii="Cambria Math" w:hAnsi="Cambria Math" w:eastAsia="等线" w:cs="Times New Roman"/>
                                          <w:color w:val="000000"/>
                                          <w:sz w:val="11"/>
                                          <w:szCs w:val="11"/>
                                        </w:rPr>
                                        <m:t>0.5</m:t>
                                      </m:r>
                                    </m:oMath>
                                  </m:oMathPara>
                                </w:p>
                              </w:txbxContent>
                            </wps:txbx>
                            <wps:bodyPr rot="0" vert="horz" wrap="none" lIns="0" tIns="0" rIns="0" bIns="0" anchor="t" anchorCtr="0" upright="1">
                              <a:spAutoFit/>
                            </wps:bodyPr>
                          </wps:wsp>
                        </a:graphicData>
                      </a:graphic>
                    </wp:inline>
                  </w:drawing>
                </mc:Choice>
                <mc:Fallback>
                  <w:pict>
                    <v:shape id="文本框 19" o:spid="_x0000_s1026" o:spt="202" type="#_x0000_t202" style="height:15.6pt;width:36.7pt;mso-wrap-style:none;" filled="f" stroked="f" coordsize="21600,21600" o:gfxdata="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z&#10;n5Qc0gAAAAMBAAAPAAAAAAAAAAEAIAAAACIAAABkcnMvZG93bnJldi54bWxQSwECFAAUAAAACACH&#10;TuJALDzX+PEBAAC3AwAADgAAAAAAAAABACAAAAAhAQAAZHJzL2Uyb0RvYy54bWxQSwUGAAAAAAYA&#10;BgBZAQAAhAUAAAAA&#10;">
                      <v:fill on="f" focussize="0,0"/>
                      <v:stroke on="f"/>
                      <v:imagedata o:title=""/>
                      <o:lock v:ext="edit" aspectratio="f"/>
                      <v:textbox inset="0mm,0mm,0mm,0mm" style="mso-fit-shape-to-text:t;">
                        <w:txbxContent>
                          <w:p>
                            <w:pPr>
                              <w:pStyle w:val="29"/>
                              <w:spacing w:before="0" w:beforeAutospacing="0" w:after="0" w:afterAutospacing="0"/>
                              <w:ind w:firstLine="220"/>
                              <w:rPr>
                                <w:sz w:val="11"/>
                                <w:szCs w:val="11"/>
                              </w:rPr>
                            </w:pPr>
                            <m:oMathPara>
                              <m:oMathParaPr>
                                <m:jc m:val="centerGroup"/>
                              </m:oMathParaPr>
                              <m:oMath>
                                <m:r>
                                  <m:rPr>
                                    <m:sty m:val="p"/>
                                  </m:rPr>
                                  <w:rPr>
                                    <w:rFonts w:ascii="Cambria Math" w:hAnsi="Cambria Math" w:eastAsia="等线" w:cs="Times New Roman"/>
                                    <w:color w:val="000000"/>
                                    <w:sz w:val="11"/>
                                    <w:szCs w:val="11"/>
                                  </w:rPr>
                                  <m:t>0.2≤</m:t>
                                </m:r>
                                <m:f>
                                  <m:fPr>
                                    <m:ctrlPr>
                                      <w:rPr>
                                        <w:rFonts w:ascii="Cambria Math" w:hAnsi="Cambria Math" w:eastAsia="Cambria Math"/>
                                        <w:i/>
                                        <w:iCs/>
                                        <w:color w:val="000000"/>
                                        <w:sz w:val="11"/>
                                        <w:szCs w:val="11"/>
                                      </w:rPr>
                                    </m:ctrlPr>
                                  </m:fPr>
                                  <m:num>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num>
                                  <m:den>
                                    <m:sSub>
                                      <m:sSubPr>
                                        <m:ctrlPr>
                                          <w:rPr>
                                            <w:rFonts w:ascii="Cambria Math" w:hAnsi="Cambria Math" w:eastAsia="Cambria Math"/>
                                            <w:i/>
                                            <w:iCs/>
                                            <w:color w:val="000000"/>
                                            <w:sz w:val="11"/>
                                            <w:szCs w:val="11"/>
                                          </w:rPr>
                                        </m:ctrlPr>
                                      </m:sSubPr>
                                      <m:e>
                                        <m:r>
                                          <w:rPr>
                                            <w:rFonts w:ascii="Cambria Math" w:hAnsi="Cambria Math" w:eastAsia="Cambria Math" w:cs="Times New Roman"/>
                                            <w:color w:val="000000"/>
                                            <w:sz w:val="11"/>
                                            <w:szCs w:val="11"/>
                                          </w:rPr>
                                          <m:t>P</m:t>
                                        </m:r>
                                        <m:ctrlPr>
                                          <w:rPr>
                                            <w:rFonts w:ascii="Cambria Math" w:hAnsi="Cambria Math" w:eastAsia="Cambria Math"/>
                                            <w:i/>
                                            <w:iCs/>
                                            <w:color w:val="000000"/>
                                            <w:sz w:val="11"/>
                                            <w:szCs w:val="11"/>
                                          </w:rPr>
                                        </m:ctrlPr>
                                      </m:e>
                                      <m:sub>
                                        <m:r>
                                          <w:rPr>
                                            <w:rFonts w:ascii="Cambria Math" w:hAnsi="Cambria Math" w:eastAsia="Cambria Math" w:cs="Times New Roman"/>
                                            <w:color w:val="000000"/>
                                            <w:sz w:val="11"/>
                                            <w:szCs w:val="11"/>
                                          </w:rPr>
                                          <m:t>CL</m:t>
                                        </m:r>
                                        <m:ctrlPr>
                                          <w:rPr>
                                            <w:rFonts w:ascii="Cambria Math" w:hAnsi="Cambria Math" w:eastAsia="Cambria Math"/>
                                            <w:i/>
                                            <w:iCs/>
                                            <w:color w:val="000000"/>
                                            <w:sz w:val="11"/>
                                            <w:szCs w:val="11"/>
                                          </w:rPr>
                                        </m:ctrlPr>
                                      </m:sub>
                                    </m:sSub>
                                    <m:ctrlPr>
                                      <w:rPr>
                                        <w:rFonts w:ascii="Cambria Math" w:hAnsi="Cambria Math" w:eastAsia="Cambria Math"/>
                                        <w:i/>
                                        <w:iCs/>
                                        <w:color w:val="000000"/>
                                        <w:sz w:val="11"/>
                                        <w:szCs w:val="11"/>
                                      </w:rPr>
                                    </m:ctrlPr>
                                  </m:den>
                                </m:f>
                                <m:r>
                                  <m:rPr>
                                    <m:sty m:val="p"/>
                                  </m:rPr>
                                  <w:rPr>
                                    <w:rFonts w:ascii="Cambria Math" w:hAnsi="Cambria Math" w:eastAsia="等线" w:cs="Times New Roman"/>
                                    <w:color w:val="000000"/>
                                    <w:sz w:val="11"/>
                                    <w:szCs w:val="11"/>
                                  </w:rPr>
                                  <m:t>≤</m:t>
                                </m:r>
                                <m:r>
                                  <w:rPr>
                                    <w:rFonts w:ascii="Cambria Math" w:hAnsi="Cambria Math" w:eastAsia="等线" w:cs="Times New Roman"/>
                                    <w:color w:val="000000"/>
                                    <w:sz w:val="11"/>
                                    <w:szCs w:val="11"/>
                                  </w:rPr>
                                  <m:t>0.5</m:t>
                                </m:r>
                              </m:oMath>
                            </m:oMathPara>
                          </w:p>
                        </w:txbxContent>
                      </v:textbox>
                      <w10:wrap type="none"/>
                      <w10:anchorlock/>
                    </v:shape>
                  </w:pict>
                </mc:Fallback>
              </mc:AlternateContent>
            </w: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305560" cy="355600"/>
                      <wp:effectExtent l="0" t="0" r="0" b="0"/>
                      <wp:docPr id="231"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305560" cy="35560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45</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noAutofit/>
                            </wps:bodyPr>
                          </wps:wsp>
                        </a:graphicData>
                      </a:graphic>
                    </wp:inline>
                  </w:drawing>
                </mc:Choice>
                <mc:Fallback>
                  <w:pict>
                    <v:shape id="文本框 15" o:spid="_x0000_s1026" o:spt="202" type="#_x0000_t202" style="height:28pt;width:102.8pt;" filled="f" stroked="f" coordsize="21600,21600" o:gfxdata="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jY+yg1AAAAAQBAAAPAAAAAAAAAAEAIAAAACIAAABkcnMvZG93bnJldi54bWxQSwECFAAUAAAA&#10;CACHTuJAxq4aQfIBAAC6AwAADgAAAAAAAAABACAAAAAjAQAAZHJzL2Uyb0RvYy54bWxQSwUGAAAA&#10;AAYABgBZAQAAhw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19</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f>
                                          <m:fPr>
                                            <m:ctrlPr>
                                              <w:rPr>
                                                <w:rFonts w:ascii="Cambria Math" w:hAnsi="Cambria Math"/>
                                                <w:i/>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ctrlPr>
                                              <w:rPr>
                                                <w:rFonts w:ascii="Cambria Math" w:hAnsi="Cambria Math"/>
                                                <w:i/>
                                                <w:color w:val="000000"/>
                                                <w:sz w:val="13"/>
                                                <w:szCs w:val="11"/>
                                              </w:rPr>
                                            </m:ctrlPr>
                                          </m:num>
                                          <m:den>
                                            <m:r>
                                              <w:rPr>
                                                <w:rFonts w:ascii="Cambria Math" w:hAnsi="Cambria Math" w:eastAsia="等线" w:cs="Times New Roman"/>
                                                <w:color w:val="000000"/>
                                                <w:sz w:val="13"/>
                                                <w:szCs w:val="11"/>
                                              </w:rPr>
                                              <m:t>235</m:t>
                                            </m:r>
                                            <m:ctrlPr>
                                              <w:rPr>
                                                <w:rFonts w:ascii="Cambria Math" w:hAnsi="Cambria Math"/>
                                                <w:i/>
                                                <w:color w:val="000000"/>
                                                <w:sz w:val="13"/>
                                                <w:szCs w:val="11"/>
                                              </w:rPr>
                                            </m:ctrlPr>
                                          </m:den>
                                        </m:f>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且</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hint="eastAsia"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45</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1.25</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0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792480" cy="396240"/>
                      <wp:effectExtent l="0" t="0" r="0" b="3810"/>
                      <wp:docPr id="232"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79248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(8.125-11.7</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14" o:spid="_x0000_s1026" o:spt="202" type="#_x0000_t202" style="height:31.2pt;width:62.4pt;" filled="f" stroked="f" coordsize="21600,21600" o:gfxdata="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Ei320gAAAAQBAAAPAAAAAAAAAAEAIAAAACIAAABkcnMvZG93bnJldi54bWxQSwECFAAUAAAA&#10;CACHTuJAo+d9cPQBAAC5AwAADgAAAAAAAAABACAAAAAhAQAAZHJzL2Uyb0RvYy54bWxQSwUGAAAA&#10;AAYABgBZAQAAhwU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(8.125-11.7</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0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675640" cy="396240"/>
                      <wp:effectExtent l="0" t="0" r="635" b="3810"/>
                      <wp:docPr id="23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67564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(15-23.3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spAutoFit/>
                            </wps:bodyPr>
                          </wps:wsp>
                        </a:graphicData>
                      </a:graphic>
                    </wp:inline>
                  </w:drawing>
                </mc:Choice>
                <mc:Fallback>
                  <w:pict>
                    <v:shape id="文本框 13" o:spid="_x0000_s1026" o:spt="202" type="#_x0000_t202" style="height:31.2pt;width:53.2pt;" filled="f" stroked="f" coordsize="21600,21600" o:gfxdata="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3n&#10;ipDRAAAABAEAAA8AAAAAAAAAAQAgAAAAIgAAAGRycy9kb3ducmV2LnhtbFBLAQIUABQAAAAIAIdO&#10;4kBN9RTZ8QEAALkDAAAOAAAAAAAAAAEAIAAAACABAABkcnMvZTJvRG9jLnhtbFBLBQYAAAAABgAG&#10;AFkBAACDBQ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(15-23.3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0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701040" cy="406400"/>
                      <wp:effectExtent l="0" t="0" r="3810" b="3175"/>
                      <wp:docPr id="234"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701040" cy="406400"/>
                              </a:xfrm>
                              <a:prstGeom prst="rect">
                                <a:avLst/>
                              </a:prstGeom>
                              <a:noFill/>
                              <a:ln>
                                <a:noFill/>
                              </a:ln>
                            </wps:spPr>
                            <wps:txbx>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(18-28.3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wps:txbx>
                            <wps:bodyPr rot="0" vert="horz" wrap="square" lIns="0" tIns="0" rIns="0" bIns="0" anchor="t" anchorCtr="0" upright="1">
                              <a:noAutofit/>
                            </wps:bodyPr>
                          </wps:wsp>
                        </a:graphicData>
                      </a:graphic>
                    </wp:inline>
                  </w:drawing>
                </mc:Choice>
                <mc:Fallback>
                  <w:pict>
                    <v:shape id="文本框 12" o:spid="_x0000_s1026" o:spt="202" type="#_x0000_t202" style="height:32pt;width:55.2pt;" filled="f" stroked="f" coordsize="21600,21600" o:gfxdata="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bVODs0wAAAAQBAAAPAAAAAAAAAAEAIAAAACIAAABkcnMvZG93bnJldi54bWxQSwECFAAUAAAA&#10;CACHTuJA6u+DlPMBAAC5AwAADgAAAAAAAAABACAAAAAiAQAAZHJzL2Uyb0RvYy54bWxQSwUGAAAA&#10;AAYABgBZAQAAhwUAAAAA&#10;">
                      <v:fill on="f" focussize="0,0"/>
                      <v:stroke on="f"/>
                      <v:imagedata o:title=""/>
                      <o:lock v:ext="edit" aspectratio="f"/>
                      <v:textbox inset="0mm,0mm,0mm,0mm">
                        <w:txbxContent>
                          <w:p>
                            <w:pPr>
                              <w:pStyle w:val="29"/>
                              <w:spacing w:before="0" w:beforeAutospacing="0" w:after="0" w:afterAutospacing="0"/>
                              <w:ind w:firstLine="260"/>
                              <w:rPr>
                                <w:sz w:val="13"/>
                                <w:szCs w:val="11"/>
                              </w:rPr>
                            </w:pPr>
                            <m:oMathPara>
                              <m:oMathParaPr>
                                <m:jc m:val="left"/>
                              </m:oMathParaPr>
                              <m:oMath>
                                <m:r>
                                  <w:rPr>
                                    <w:rFonts w:ascii="Cambria Math" w:hAnsi="Cambria Math" w:eastAsia="等线" w:cs="Times New Roman"/>
                                    <w:color w:val="000000"/>
                                    <w:sz w:val="13"/>
                                    <w:szCs w:val="11"/>
                                  </w:rPr>
                                  <m:t>(18-28.3</m:t>
                                </m:r>
                                <m:f>
                                  <m:fPr>
                                    <m:ctrlPr>
                                      <w:rPr>
                                        <w:rFonts w:ascii="Cambria Math" w:hAnsi="Cambria Math" w:eastAsia="Cambria Math"/>
                                        <w:i/>
                                        <w:iCs/>
                                        <w:color w:val="000000"/>
                                        <w:sz w:val="13"/>
                                        <w:szCs w:val="11"/>
                                      </w:rPr>
                                    </m:ctrlPr>
                                  </m:fPr>
                                  <m:num>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num>
                                  <m:den>
                                    <m:sSub>
                                      <m:sSubPr>
                                        <m:ctrlPr>
                                          <w:rPr>
                                            <w:rFonts w:ascii="Cambria Math" w:hAnsi="Cambria Math" w:eastAsia="Cambria Math"/>
                                            <w:i/>
                                            <w:iCs/>
                                            <w:color w:val="000000"/>
                                            <w:sz w:val="13"/>
                                            <w:szCs w:val="11"/>
                                          </w:rPr>
                                        </m:ctrlPr>
                                      </m:sSubPr>
                                      <m:e>
                                        <m:r>
                                          <w:rPr>
                                            <w:rFonts w:ascii="Cambria Math" w:hAnsi="Cambria Math" w:eastAsia="Cambria Math" w:cs="Times New Roman"/>
                                            <w:color w:val="000000"/>
                                            <w:sz w:val="13"/>
                                            <w:szCs w:val="11"/>
                                          </w:rPr>
                                          <m:t>P</m:t>
                                        </m:r>
                                        <m:ctrlPr>
                                          <w:rPr>
                                            <w:rFonts w:ascii="Cambria Math" w:hAnsi="Cambria Math" w:eastAsia="Cambria Math"/>
                                            <w:i/>
                                            <w:iCs/>
                                            <w:color w:val="000000"/>
                                            <w:sz w:val="13"/>
                                            <w:szCs w:val="11"/>
                                          </w:rPr>
                                        </m:ctrlPr>
                                      </m:e>
                                      <m:sub>
                                        <m:r>
                                          <w:rPr>
                                            <w:rFonts w:ascii="Cambria Math" w:hAnsi="Cambria Math" w:eastAsia="Cambria Math" w:cs="Times New Roman"/>
                                            <w:color w:val="000000"/>
                                            <w:sz w:val="13"/>
                                            <w:szCs w:val="11"/>
                                          </w:rPr>
                                          <m:t>CL</m:t>
                                        </m:r>
                                        <m:ctrlPr>
                                          <w:rPr>
                                            <w:rFonts w:ascii="Cambria Math" w:hAnsi="Cambria Math" w:eastAsia="Cambria Math"/>
                                            <w:i/>
                                            <w:iCs/>
                                            <w:color w:val="000000"/>
                                            <w:sz w:val="13"/>
                                            <w:szCs w:val="11"/>
                                          </w:rPr>
                                        </m:ctrlPr>
                                      </m:sub>
                                    </m:sSub>
                                    <m:ctrlPr>
                                      <w:rPr>
                                        <w:rFonts w:ascii="Cambria Math" w:hAnsi="Cambria Math" w:eastAsia="Cambria Math"/>
                                        <w:i/>
                                        <w:iCs/>
                                        <w:color w:val="000000"/>
                                        <w:sz w:val="13"/>
                                        <w:szCs w:val="11"/>
                                      </w:rPr>
                                    </m:ctrlPr>
                                  </m:den>
                                </m:f>
                                <m:r>
                                  <w:rPr>
                                    <w:rFonts w:ascii="Cambria Math" w:hAnsi="Cambria Math" w:eastAsia="Cambria Math" w:cs="Times New Roman"/>
                                    <w:color w:val="000000"/>
                                    <w:sz w:val="13"/>
                                    <w:szCs w:val="11"/>
                                  </w:rPr>
                                  <m:t>)</m:t>
                                </m:r>
                              </m:oMath>
                            </m:oMathPara>
                          </w:p>
                        </w:txbxContent>
                      </v:textbox>
                      <w10:wrap type="none"/>
                      <w10:anchorlock/>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kern w:val="0"/>
                <w:sz w:val="20"/>
                <w:szCs w:val="21"/>
                <w14:textFill>
                  <w14:solidFill>
                    <w14:schemeClr w14:val="tx1"/>
                  </w14:solidFill>
                </w14:textFill>
              </w:rPr>
              <mc:AlternateContent>
                <mc:Choice Requires="wps">
                  <w:drawing>
                    <wp:inline distT="0" distB="0" distL="0" distR="0">
                      <wp:extent cx="1285240" cy="396240"/>
                      <wp:effectExtent l="0" t="0" r="635" b="3810"/>
                      <wp:docPr id="235"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285240" cy="396240"/>
                              </a:xfrm>
                              <a:prstGeom prst="rect">
                                <a:avLst/>
                              </a:prstGeom>
                              <a:noFill/>
                              <a:ln>
                                <a:noFill/>
                              </a:ln>
                            </wps:spPr>
                            <wps:txbx>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33</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68</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wps:txbx>
                            <wps:bodyPr rot="0" vert="horz" wrap="square" lIns="0" tIns="0" rIns="0" bIns="0" anchor="t" anchorCtr="0" upright="1">
                              <a:spAutoFit/>
                            </wps:bodyPr>
                          </wps:wsp>
                        </a:graphicData>
                      </a:graphic>
                    </wp:inline>
                  </w:drawing>
                </mc:Choice>
                <mc:Fallback>
                  <w:pict>
                    <v:shape id="文本框 11" o:spid="_x0000_s1026" o:spt="202" type="#_x0000_t202" style="height:31.2pt;width:101.2pt;" filled="f" stroked="f" coordsize="21600,21600" o:gfxdata="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E2&#10;/NLRAAAABAEAAA8AAAAAAAAAAQAgAAAAIgAAAGRycy9kb3ducmV2LnhtbFBLAQIUABQAAAAIAIdO&#10;4kDnq/y+8QEAALoDAAAOAAAAAAAAAAEAIAAAACABAABkcnMvZTJvRG9jLnhtbFBLBQYAAAAABgAG&#10;AFkBAACDBQAAAAA=&#10;">
                      <v:fill on="f" focussize="0,0"/>
                      <v:stroke on="f"/>
                      <v:imagedata o:title=""/>
                      <o:lock v:ext="edit" aspectratio="f"/>
                      <v:textbox inset="0mm,0mm,0mm,0mm" style="mso-fit-shape-to-text:t;">
                        <w:txbxContent>
                          <w:p>
                            <w:pPr>
                              <w:pStyle w:val="29"/>
                              <w:spacing w:before="0" w:beforeAutospacing="0" w:after="0" w:afterAutospacing="0"/>
                              <w:ind w:firstLine="260"/>
                              <w:rPr>
                                <w:sz w:val="13"/>
                                <w:szCs w:val="11"/>
                              </w:rPr>
                            </w:pPr>
                            <m:oMathPara>
                              <m:oMathParaPr>
                                <m:jc m:val="centerGroup"/>
                              </m:oMathParaPr>
                              <m:oMath>
                                <m:f>
                                  <m:fPr>
                                    <m:ctrlPr>
                                      <w:rPr>
                                        <w:rFonts w:ascii="Cambria Math" w:hAnsi="Cambria Math"/>
                                        <w:i/>
                                        <w:iCs/>
                                        <w:color w:val="000000"/>
                                        <w:sz w:val="13"/>
                                        <w:szCs w:val="11"/>
                                      </w:rPr>
                                    </m:ctrlPr>
                                  </m:fPr>
                                  <m:num>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b</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f</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33</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r>
                                  <m:rPr>
                                    <m:sty m:val="p"/>
                                  </m:rPr>
                                  <w:rPr>
                                    <w:rFonts w:hint="eastAsia" w:ascii="Cambria Math" w:hAnsi="Cambria Math" w:eastAsia="等线" w:cs="Times New Roman"/>
                                    <w:color w:val="000000"/>
                                    <w:sz w:val="13"/>
                                    <w:szCs w:val="11"/>
                                  </w:rPr>
                                  <m:t>或</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h</m:t>
                                    </m:r>
                                    <m:ctrlPr>
                                      <w:rPr>
                                        <w:rFonts w:ascii="Cambria Math" w:hAnsi="Cambria Math"/>
                                        <w:i/>
                                        <w:iCs/>
                                        <w:color w:val="000000"/>
                                        <w:sz w:val="13"/>
                                        <w:szCs w:val="11"/>
                                      </w:rPr>
                                    </m:ctrlPr>
                                  </m:num>
                                  <m:den>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t</m:t>
                                        </m:r>
                                        <m:ctrlPr>
                                          <w:rPr>
                                            <w:rFonts w:ascii="Cambria Math" w:hAnsi="Cambria Math"/>
                                            <w:i/>
                                            <w:iCs/>
                                            <w:color w:val="000000"/>
                                            <w:sz w:val="13"/>
                                            <w:szCs w:val="11"/>
                                          </w:rPr>
                                        </m:ctrlPr>
                                      </m:e>
                                      <m:sub>
                                        <m:r>
                                          <w:rPr>
                                            <w:rFonts w:ascii="Cambria Math" w:hAnsi="Cambria Math" w:eastAsia="等线" w:cs="Times New Roman"/>
                                            <w:color w:val="000000"/>
                                            <w:sz w:val="13"/>
                                            <w:szCs w:val="11"/>
                                          </w:rPr>
                                          <m:t>w</m:t>
                                        </m:r>
                                        <m:ctrlPr>
                                          <w:rPr>
                                            <w:rFonts w:ascii="Cambria Math" w:hAnsi="Cambria Math"/>
                                            <w:i/>
                                            <w:iCs/>
                                            <w:color w:val="000000"/>
                                            <w:sz w:val="13"/>
                                            <w:szCs w:val="11"/>
                                          </w:rPr>
                                        </m:ctrlPr>
                                      </m:sub>
                                    </m:sSub>
                                    <m:ctrlPr>
                                      <w:rPr>
                                        <w:rFonts w:ascii="Cambria Math" w:hAnsi="Cambria Math"/>
                                        <w:i/>
                                        <w:iCs/>
                                        <w:color w:val="000000"/>
                                        <w:sz w:val="13"/>
                                        <w:szCs w:val="11"/>
                                      </w:rPr>
                                    </m:ctrlPr>
                                  </m:den>
                                </m:f>
                                <m:r>
                                  <w:rPr>
                                    <w:rFonts w:ascii="Cambria Math" w:hAnsi="Cambria Math" w:eastAsia="等线" w:cs="Times New Roman"/>
                                    <w:color w:val="000000"/>
                                    <w:sz w:val="13"/>
                                    <w:szCs w:val="11"/>
                                  </w:rPr>
                                  <m:t>≥</m:t>
                                </m:r>
                                <m:f>
                                  <m:fPr>
                                    <m:ctrlPr>
                                      <w:rPr>
                                        <w:rFonts w:ascii="Cambria Math" w:hAnsi="Cambria Math"/>
                                        <w:i/>
                                        <w:iCs/>
                                        <w:color w:val="000000"/>
                                        <w:sz w:val="13"/>
                                        <w:szCs w:val="11"/>
                                      </w:rPr>
                                    </m:ctrlPr>
                                  </m:fPr>
                                  <m:num>
                                    <m:r>
                                      <w:rPr>
                                        <w:rFonts w:ascii="Cambria Math" w:hAnsi="Cambria Math" w:eastAsia="等线" w:cs="Times New Roman"/>
                                        <w:color w:val="000000"/>
                                        <w:sz w:val="13"/>
                                        <w:szCs w:val="11"/>
                                      </w:rPr>
                                      <m:t>68</m:t>
                                    </m:r>
                                    <m:ctrlPr>
                                      <w:rPr>
                                        <w:rFonts w:ascii="Cambria Math" w:hAnsi="Cambria Math"/>
                                        <w:i/>
                                        <w:iCs/>
                                        <w:color w:val="000000"/>
                                        <w:sz w:val="13"/>
                                        <w:szCs w:val="11"/>
                                      </w:rPr>
                                    </m:ctrlPr>
                                  </m:num>
                                  <m:den>
                                    <m:rad>
                                      <m:radPr>
                                        <m:degHide m:val="1"/>
                                        <m:ctrlPr>
                                          <w:rPr>
                                            <w:rFonts w:ascii="Cambria Math" w:hAnsi="Cambria Math"/>
                                            <w:i/>
                                            <w:iCs/>
                                            <w:color w:val="000000"/>
                                            <w:sz w:val="13"/>
                                            <w:szCs w:val="11"/>
                                          </w:rPr>
                                        </m:ctrlPr>
                                      </m:radPr>
                                      <m:deg>
                                        <m:ctrlPr>
                                          <w:rPr>
                                            <w:rFonts w:ascii="Cambria Math" w:hAnsi="Cambria Math"/>
                                            <w:i/>
                                            <w:iCs/>
                                            <w:color w:val="000000"/>
                                            <w:sz w:val="13"/>
                                            <w:szCs w:val="11"/>
                                          </w:rPr>
                                        </m:ctrlPr>
                                      </m:deg>
                                      <m:e>
                                        <m:sSub>
                                          <m:sSubPr>
                                            <m:ctrlPr>
                                              <w:rPr>
                                                <w:rFonts w:ascii="Cambria Math" w:hAnsi="Cambria Math"/>
                                                <w:i/>
                                                <w:iCs/>
                                                <w:color w:val="000000"/>
                                                <w:sz w:val="13"/>
                                                <w:szCs w:val="11"/>
                                              </w:rPr>
                                            </m:ctrlPr>
                                          </m:sSubPr>
                                          <m:e>
                                            <m:r>
                                              <w:rPr>
                                                <w:rFonts w:ascii="Cambria Math" w:hAnsi="Cambria Math" w:eastAsia="等线" w:cs="Times New Roman"/>
                                                <w:color w:val="000000"/>
                                                <w:sz w:val="13"/>
                                                <w:szCs w:val="11"/>
                                              </w:rPr>
                                              <m:t>F</m:t>
                                            </m:r>
                                            <m:ctrlPr>
                                              <w:rPr>
                                                <w:rFonts w:ascii="Cambria Math" w:hAnsi="Cambria Math"/>
                                                <w:i/>
                                                <w:iCs/>
                                                <w:color w:val="000000"/>
                                                <w:sz w:val="13"/>
                                                <w:szCs w:val="11"/>
                                              </w:rPr>
                                            </m:ctrlPr>
                                          </m:e>
                                          <m:sub>
                                            <m:r>
                                              <w:rPr>
                                                <w:rFonts w:ascii="Cambria Math" w:hAnsi="Cambria Math" w:eastAsia="等线" w:cs="Times New Roman"/>
                                                <w:color w:val="000000"/>
                                                <w:sz w:val="13"/>
                                                <w:szCs w:val="11"/>
                                              </w:rPr>
                                              <m:t>y</m:t>
                                            </m:r>
                                            <m:ctrlPr>
                                              <w:rPr>
                                                <w:rFonts w:ascii="Cambria Math" w:hAnsi="Cambria Math"/>
                                                <w:i/>
                                                <w:iCs/>
                                                <w:color w:val="000000"/>
                                                <w:sz w:val="13"/>
                                                <w:szCs w:val="11"/>
                                              </w:rPr>
                                            </m:ctrlPr>
                                          </m:sub>
                                        </m:sSub>
                                        <m:r>
                                          <w:rPr>
                                            <w:rFonts w:ascii="Cambria Math" w:hAnsi="Cambria Math" w:eastAsia="等线" w:cs="Times New Roman"/>
                                            <w:color w:val="000000"/>
                                            <w:sz w:val="13"/>
                                            <w:szCs w:val="11"/>
                                          </w:rPr>
                                          <m:t>/235</m:t>
                                        </m:r>
                                        <m:ctrlPr>
                                          <w:rPr>
                                            <w:rFonts w:ascii="Cambria Math" w:hAnsi="Cambria Math"/>
                                            <w:i/>
                                            <w:iCs/>
                                            <w:color w:val="000000"/>
                                            <w:sz w:val="13"/>
                                            <w:szCs w:val="11"/>
                                          </w:rPr>
                                        </m:ctrlPr>
                                      </m:e>
                                    </m:rad>
                                    <m:ctrlPr>
                                      <w:rPr>
                                        <w:rFonts w:ascii="Cambria Math" w:hAnsi="Cambria Math"/>
                                        <w:i/>
                                        <w:iCs/>
                                        <w:color w:val="000000"/>
                                        <w:sz w:val="13"/>
                                        <w:szCs w:val="11"/>
                                      </w:rPr>
                                    </m:ctrlPr>
                                  </m:den>
                                </m:f>
                              </m:oMath>
                            </m:oMathPara>
                          </w:p>
                        </w:txbxContent>
                      </v:textbox>
                      <w10:wrap type="none"/>
                      <w10:anchorlock/>
                    </v:shape>
                  </w:pict>
                </mc:Fallback>
              </mc:AlternateContent>
            </w:r>
          </w:p>
        </w:tc>
        <w:tc>
          <w:tcPr>
            <w:tcW w:w="932"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1.25</w:t>
            </w:r>
          </w:p>
        </w:tc>
        <w:tc>
          <w:tcPr>
            <w:tcW w:w="1117"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1.38</w:t>
            </w:r>
          </w:p>
        </w:tc>
        <w:tc>
          <w:tcPr>
            <w:tcW w:w="1029"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1395" w:type="dxa"/>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823"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3334" w:type="dxa"/>
            <w:vMerge w:val="continue"/>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p>
        </w:tc>
        <w:tc>
          <w:tcPr>
            <w:tcW w:w="237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其他</w:t>
            </w:r>
          </w:p>
        </w:tc>
        <w:tc>
          <w:tcPr>
            <w:tcW w:w="4473" w:type="dxa"/>
            <w:gridSpan w:val="4"/>
            <w:tcBorders>
              <w:top w:val="single" w:color="auto" w:sz="4" w:space="0"/>
              <w:left w:val="single" w:color="auto" w:sz="4" w:space="0"/>
              <w:bottom w:val="single" w:color="auto" w:sz="4" w:space="0"/>
              <w:right w:val="single" w:color="auto" w:sz="4" w:space="0"/>
            </w:tcBorders>
            <w:vAlign w:val="center"/>
          </w:tcPr>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分别根据翼缘宽厚比（第</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项）和腹板高厚比（第</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项）进行线性插值，并取较小值</w:t>
            </w:r>
          </w:p>
        </w:tc>
      </w:tr>
    </w:tbl>
    <w:p>
      <w:pPr>
        <w:ind w:firstLine="36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w:t>
      </w:r>
      <w:r>
        <w:rPr>
          <w:rFonts w:cs="Times New Roman"/>
          <w:color w:val="000000" w:themeColor="text1"/>
          <w:sz w:val="18"/>
          <w:szCs w:val="18"/>
          <w14:textFill>
            <w14:solidFill>
              <w14:schemeClr w14:val="tx1"/>
            </w14:solidFill>
          </w14:textFill>
        </w:rPr>
        <w:object>
          <v:shape id="_x0000_i1092" o:spt="75" type="#_x0000_t75" style="height:15pt;width:11pt;" o:ole="t" filled="f" o:preferrelative="t" stroked="f" coordsize="21600,21600">
            <v:path/>
            <v:fill on="f" focussize="0,0"/>
            <v:stroke on="f" joinstyle="miter"/>
            <v:imagedata r:id="rId248" o:title=""/>
            <o:lock v:ext="edit" aspectratio="t"/>
            <w10:wrap type="none"/>
            <w10:anchorlock/>
          </v:shape>
          <o:OLEObject Type="Embed" ProgID="Equation.DSMT4" ShapeID="_x0000_i1092" DrawAspect="Content" ObjectID="_1468075792" r:id="rId266">
            <o:LockedField>false</o:LockedField>
          </o:OLEObject>
        </w:object>
      </w:r>
      <w:r>
        <w:rPr>
          <w:rFonts w:cs="Times New Roman"/>
          <w:color w:val="000000" w:themeColor="text1"/>
          <w:sz w:val="18"/>
          <w:szCs w:val="18"/>
          <w14:textFill>
            <w14:solidFill>
              <w14:schemeClr w14:val="tx1"/>
            </w14:solidFill>
          </w14:textFill>
        </w:rPr>
        <w:t>IO</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093"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93" DrawAspect="Content" ObjectID="_1468075793" r:id="rId267">
            <o:LockedField>false</o:LockedField>
          </o:OLEObject>
        </w:object>
      </w:r>
      <w:r>
        <w:rPr>
          <w:rFonts w:cs="Times New Roman"/>
          <w:color w:val="000000" w:themeColor="text1"/>
          <w:sz w:val="18"/>
          <w:szCs w:val="18"/>
          <w14:textFill>
            <w14:solidFill>
              <w14:schemeClr w14:val="tx1"/>
            </w14:solidFill>
          </w14:textFill>
        </w:rPr>
        <w:t>K</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094"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94" DrawAspect="Content" ObjectID="_1468075794" r:id="rId268">
            <o:LockedField>false</o:LockedField>
          </o:OLEObject>
        </w:object>
      </w:r>
      <w:r>
        <w:rPr>
          <w:rFonts w:cs="Times New Roman"/>
          <w:color w:val="000000" w:themeColor="text1"/>
          <w:sz w:val="18"/>
          <w:szCs w:val="18"/>
          <w14:textFill>
            <w14:solidFill>
              <w14:schemeClr w14:val="tx1"/>
            </w14:solidFill>
          </w14:textFill>
        </w:rPr>
        <w:t>LS</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095"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95" DrawAspect="Content" ObjectID="_1468075795" r:id="rId269">
            <o:LockedField>false</o:LockedField>
          </o:OLEObject>
        </w:object>
      </w:r>
      <w:r>
        <w:rPr>
          <w:rFonts w:cs="Times New Roman"/>
          <w:color w:val="000000" w:themeColor="text1"/>
          <w:sz w:val="18"/>
          <w:szCs w:val="18"/>
          <w14:textFill>
            <w14:solidFill>
              <w14:schemeClr w14:val="tx1"/>
            </w14:solidFill>
          </w14:textFill>
        </w:rPr>
        <w:t>CP</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ΔIO</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ΔK</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ΔLS</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ΔCP</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Δy</w:t>
      </w:r>
      <w:r>
        <w:rPr>
          <w:rFonts w:hint="eastAsia" w:cs="Times New Roman"/>
          <w:color w:val="000000" w:themeColor="text1"/>
          <w:sz w:val="18"/>
          <w:szCs w:val="18"/>
          <w14:textFill>
            <w14:solidFill>
              <w14:schemeClr w14:val="tx1"/>
            </w14:solidFill>
          </w14:textFill>
        </w:rPr>
        <w:t>的相对量。</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I.4.14  </w:t>
      </w:r>
      <w:r>
        <w:rPr>
          <w:rFonts w:hint="eastAsia" w:cs="Times New Roman"/>
          <w:color w:val="000000" w:themeColor="text1"/>
          <w:szCs w:val="21"/>
          <w14:textFill>
            <w14:solidFill>
              <w14:schemeClr w14:val="tx1"/>
            </w14:solidFill>
          </w14:textFill>
        </w:rPr>
        <w:t>钢支撑的轴向力</w:t>
      </w:r>
      <w:r>
        <w:rPr>
          <w:rFonts w:cs="Times New Roman"/>
          <w:color w:val="000000" w:themeColor="text1"/>
          <w:szCs w:val="21"/>
          <w14:textFill>
            <w14:solidFill>
              <w14:schemeClr w14:val="tx1"/>
            </w14:solidFill>
          </w14:textFill>
        </w:rPr>
        <w:t>-</w:t>
      </w:r>
      <w:r>
        <w:rPr>
          <w:rFonts w:hint="eastAsia" w:cs="Times New Roman"/>
          <w:color w:val="000000" w:themeColor="text1"/>
          <w:szCs w:val="21"/>
          <w14:textFill>
            <w14:solidFill>
              <w14:schemeClr w14:val="tx1"/>
            </w14:solidFill>
          </w14:textFill>
        </w:rPr>
        <w:t>位移（</w:t>
      </w:r>
      <w:r>
        <w:rPr>
          <w:rFonts w:cs="Times New Roman"/>
          <w:color w:val="000000" w:themeColor="text1"/>
          <w:szCs w:val="21"/>
          <w14:textFill>
            <w14:solidFill>
              <w14:schemeClr w14:val="tx1"/>
            </w14:solidFill>
          </w14:textFill>
        </w:rPr>
        <w:t>N-Δ</w:t>
      </w:r>
      <w:r>
        <w:rPr>
          <w:rFonts w:hint="eastAsia" w:cs="Times New Roman"/>
          <w:color w:val="000000" w:themeColor="text1"/>
          <w:szCs w:val="21"/>
          <w14:textFill>
            <w14:solidFill>
              <w14:schemeClr w14:val="tx1"/>
            </w14:solidFill>
          </w14:textFill>
        </w:rPr>
        <w:t>）关系曲线的骨架线参数可按以下方法确定，或由试验确定。</w:t>
      </w: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1</w:t>
      </w:r>
      <w:r>
        <w:rPr>
          <w:rFonts w:hint="eastAsia" w:cs="Times New Roman"/>
          <w:color w:val="000000" w:themeColor="text1"/>
          <w:szCs w:val="21"/>
          <w14:textFill>
            <w14:solidFill>
              <w14:schemeClr w14:val="tx1"/>
            </w14:solidFill>
          </w14:textFill>
        </w:rPr>
        <w:t>）钢支撑受拉和受压宜分别采用不同的骨架线参数；</w:t>
      </w:r>
    </w:p>
    <w:p>
      <w:pPr>
        <w:spacing w:line="360" w:lineRule="auto"/>
        <w:ind w:firstLine="420"/>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2</w:t>
      </w:r>
      <w:r>
        <w:rPr>
          <w:rFonts w:hint="eastAsia" w:cs="Times New Roman"/>
          <w:color w:val="000000" w:themeColor="text1"/>
          <w:szCs w:val="21"/>
          <w14:textFill>
            <w14:solidFill>
              <w14:schemeClr w14:val="tx1"/>
            </w14:solidFill>
          </w14:textFill>
        </w:rPr>
        <w:t>）钢支撑的骨架线参数取值可参照表</w:t>
      </w:r>
      <w:r>
        <w:rPr>
          <w:rFonts w:cs="Times New Roman"/>
          <w:color w:val="000000" w:themeColor="text1"/>
          <w:szCs w:val="21"/>
          <w14:textFill>
            <w14:solidFill>
              <w14:schemeClr w14:val="tx1"/>
            </w14:solidFill>
          </w14:textFill>
        </w:rPr>
        <w:t>I4.14-1</w:t>
      </w:r>
      <w:r>
        <w:rPr>
          <w:rFonts w:hint="eastAsia" w:cs="Times New Roman"/>
          <w:color w:val="000000" w:themeColor="text1"/>
          <w:szCs w:val="21"/>
          <w14:textFill>
            <w14:solidFill>
              <w14:schemeClr w14:val="tx1"/>
            </w14:solidFill>
          </w14:textFill>
        </w:rPr>
        <w:t>与表</w:t>
      </w:r>
      <w:r>
        <w:rPr>
          <w:rFonts w:cs="Times New Roman"/>
          <w:color w:val="000000" w:themeColor="text1"/>
          <w:szCs w:val="21"/>
          <w14:textFill>
            <w14:solidFill>
              <w14:schemeClr w14:val="tx1"/>
            </w14:solidFill>
          </w14:textFill>
        </w:rPr>
        <w:t>I4.14-2</w:t>
      </w:r>
      <w:r>
        <w:rPr>
          <w:rFonts w:hint="eastAsia" w:cs="Times New Roman"/>
          <w:color w:val="000000" w:themeColor="text1"/>
          <w:szCs w:val="21"/>
          <w14:textFill>
            <w14:solidFill>
              <w14:schemeClr w14:val="tx1"/>
            </w14:solidFill>
          </w14:textFill>
        </w:rPr>
        <w:t>；</w:t>
      </w:r>
    </w:p>
    <w:p>
      <w:pPr>
        <w:ind w:firstLine="42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drawing>
          <wp:inline distT="0" distB="0" distL="0" distR="0">
            <wp:extent cx="3777615" cy="1962150"/>
            <wp:effectExtent l="0" t="0" r="0" b="0"/>
            <wp:docPr id="2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a:xfrm>
                      <a:off x="0" y="0"/>
                      <a:ext cx="3779944" cy="1963117"/>
                    </a:xfrm>
                    <a:prstGeom prst="rect">
                      <a:avLst/>
                    </a:prstGeom>
                    <a:noFill/>
                    <a:ln>
                      <a:noFill/>
                    </a:ln>
                  </pic:spPr>
                </pic:pic>
              </a:graphicData>
            </a:graphic>
          </wp:inline>
        </w:drawing>
      </w:r>
    </w:p>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图</w:t>
      </w:r>
      <w:r>
        <w:rPr>
          <w:rFonts w:cs="Times New Roman"/>
          <w:color w:val="000000" w:themeColor="text1"/>
          <w:szCs w:val="21"/>
          <w14:textFill>
            <w14:solidFill>
              <w14:schemeClr w14:val="tx1"/>
            </w14:solidFill>
          </w14:textFill>
        </w:rPr>
        <w:t>I.</w:t>
      </w:r>
      <w:r>
        <w:rPr>
          <w:rFonts w:hint="eastAsia" w:cs="Times New Roman"/>
          <w:color w:val="000000" w:themeColor="text1"/>
          <w:szCs w:val="21"/>
          <w14:textFill>
            <w14:solidFill>
              <w14:schemeClr w14:val="tx1"/>
            </w14:solidFill>
          </w14:textFill>
        </w:rPr>
        <w:t>4.1</w:t>
      </w:r>
      <w:r>
        <w:rPr>
          <w:rFonts w:cs="Times New Roman"/>
          <w:color w:val="000000" w:themeColor="text1"/>
          <w:szCs w:val="21"/>
          <w14:textFill>
            <w14:solidFill>
              <w14:schemeClr w14:val="tx1"/>
            </w14:solidFill>
          </w14:textFill>
        </w:rPr>
        <w:t>4-1</w:t>
      </w:r>
      <w:r>
        <w:rPr>
          <w:rFonts w:hint="eastAsia" w:cs="Times New Roman"/>
          <w:color w:val="000000" w:themeColor="text1"/>
          <w:szCs w:val="21"/>
          <w14:textFill>
            <w14:solidFill>
              <w14:schemeClr w14:val="tx1"/>
            </w14:solidFill>
          </w14:textFill>
        </w:rPr>
        <w:t xml:space="preserve"> 钢支撑轴力-轴向变形关系曲线的骨架线</w:t>
      </w:r>
    </w:p>
    <w:p>
      <w:pPr>
        <w:ind w:firstLine="420"/>
        <w:jc w:val="center"/>
        <w:rPr>
          <w:rFonts w:cs="Times New Roman"/>
          <w:color w:val="000000" w:themeColor="text1"/>
          <w:szCs w:val="21"/>
          <w14:textFill>
            <w14:solidFill>
              <w14:schemeClr w14:val="tx1"/>
            </w14:solidFill>
          </w14:textFill>
        </w:rPr>
      </w:pPr>
    </w:p>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I.4.14-1 </w:t>
      </w:r>
      <w:r>
        <w:rPr>
          <w:rFonts w:hint="eastAsia" w:cs="Times New Roman"/>
          <w:color w:val="000000" w:themeColor="text1"/>
          <w:szCs w:val="21"/>
          <w14:textFill>
            <w14:solidFill>
              <w14:schemeClr w14:val="tx1"/>
            </w14:solidFill>
          </w14:textFill>
        </w:rPr>
        <w:t>钢支撑受拉骨架线参数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6"/>
        <w:gridCol w:w="908"/>
        <w:gridCol w:w="908"/>
        <w:gridCol w:w="908"/>
        <w:gridCol w:w="908"/>
        <w:gridCol w:w="908"/>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056" w:type="pct"/>
            <w:vMerge w:val="restar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钢支撑类型</w:t>
            </w:r>
          </w:p>
        </w:tc>
        <w:tc>
          <w:tcPr>
            <w:tcW w:w="1476" w:type="pct"/>
            <w:gridSpan w:val="3"/>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轴向位移/</w:t>
            </w:r>
            <w:r>
              <w:rPr>
                <w:rFonts w:cs="Times New Roman"/>
                <w:color w:val="000000" w:themeColor="text1"/>
                <w:szCs w:val="21"/>
                <w14:textFill>
                  <w14:solidFill>
                    <w14:schemeClr w14:val="tx1"/>
                  </w14:solidFill>
                </w14:textFill>
              </w:rPr>
              <w:t>ΔT</w:t>
            </w:r>
          </w:p>
        </w:tc>
        <w:tc>
          <w:tcPr>
            <w:tcW w:w="1468" w:type="pct"/>
            <w:gridSpan w:val="3"/>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轴向拉力/</w:t>
            </w:r>
            <w:r>
              <w:rPr>
                <w:rFonts w:cs="Times New Roman"/>
                <w:color w:val="000000" w:themeColor="text1"/>
                <w:szCs w:val="21"/>
                <w14:textFill>
                  <w14:solidFill>
                    <w14:schemeClr w14:val="tx1"/>
                  </w14:solidFill>
                </w14:textFill>
              </w:rPr>
              <w:t>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p>
        </w:tc>
        <w:tc>
          <w:tcPr>
            <w:tcW w:w="492"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096"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96" DrawAspect="Content" ObjectID="_1468075796" r:id="rId271">
                  <o:LockedField>false</o:LockedField>
                </o:OLEObject>
              </w:object>
            </w:r>
            <w:r>
              <w:rPr>
                <w:rFonts w:cs="Times New Roman"/>
                <w:color w:val="000000" w:themeColor="text1"/>
                <w:szCs w:val="21"/>
                <w14:textFill>
                  <w14:solidFill>
                    <w14:schemeClr w14:val="tx1"/>
                  </w14:solidFill>
                </w14:textFill>
              </w:rPr>
              <w:t>B</w:t>
            </w:r>
          </w:p>
        </w:tc>
        <w:tc>
          <w:tcPr>
            <w:tcW w:w="492"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097"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97" DrawAspect="Content" ObjectID="_1468075797" r:id="rId272">
                  <o:LockedField>false</o:LockedField>
                </o:OLEObject>
              </w:object>
            </w:r>
            <w:r>
              <w:rPr>
                <w:rFonts w:cs="Times New Roman"/>
                <w:color w:val="000000" w:themeColor="text1"/>
                <w:szCs w:val="21"/>
                <w14:textFill>
                  <w14:solidFill>
                    <w14:schemeClr w14:val="tx1"/>
                  </w14:solidFill>
                </w14:textFill>
              </w:rPr>
              <w:t>C</w:t>
            </w:r>
          </w:p>
        </w:tc>
        <w:tc>
          <w:tcPr>
            <w:tcW w:w="492"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098"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098" DrawAspect="Content" ObjectID="_1468075798" r:id="rId273">
                  <o:LockedField>false</o:LockedField>
                </o:OLEObject>
              </w:object>
            </w:r>
            <w:r>
              <w:rPr>
                <w:rFonts w:cs="Times New Roman"/>
                <w:color w:val="000000" w:themeColor="text1"/>
                <w:szCs w:val="21"/>
                <w14:textFill>
                  <w14:solidFill>
                    <w14:schemeClr w14:val="tx1"/>
                  </w14:solidFill>
                </w14:textFill>
              </w:rPr>
              <w:t>E</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099"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099" DrawAspect="Content" ObjectID="_1468075799" r:id="rId274">
                  <o:LockedField>false</o:LockedField>
                </o:OLEObject>
              </w:object>
            </w:r>
            <w:r>
              <w:rPr>
                <w:rFonts w:cs="Times New Roman"/>
                <w:color w:val="000000" w:themeColor="text1"/>
                <w:szCs w:val="21"/>
                <w14:textFill>
                  <w14:solidFill>
                    <w14:schemeClr w14:val="tx1"/>
                  </w14:solidFill>
                </w14:textFill>
              </w:rPr>
              <w:t>B</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00"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00" DrawAspect="Content" ObjectID="_1468075800" r:id="rId276">
                  <o:LockedField>false</o:LockedField>
                </o:OLEObject>
              </w:object>
            </w:r>
            <w:r>
              <w:rPr>
                <w:rFonts w:cs="Times New Roman"/>
                <w:color w:val="000000" w:themeColor="text1"/>
                <w:szCs w:val="21"/>
                <w14:textFill>
                  <w14:solidFill>
                    <w14:schemeClr w14:val="tx1"/>
                  </w14:solidFill>
                </w14:textFill>
              </w:rPr>
              <w:t>C</w:t>
            </w:r>
          </w:p>
        </w:tc>
        <w:tc>
          <w:tcPr>
            <w:tcW w:w="484"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01"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01" DrawAspect="Content" ObjectID="_1468075801" r:id="rId277">
                  <o:LockedField>false</o:LockedField>
                </o:OLEObject>
              </w:object>
            </w:r>
            <w:r>
              <w:rPr>
                <w:rFonts w:cs="Times New Roman"/>
                <w:color w:val="000000" w:themeColor="text1"/>
                <w:szCs w:val="21"/>
                <w14:textFill>
                  <w14:solidFill>
                    <w14:schemeClr w14:val="tx1"/>
                  </w14:solidFill>
                </w14:textFill>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205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H截面、工字截面</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11</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14</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1.3</w:t>
            </w:r>
          </w:p>
        </w:tc>
        <w:tc>
          <w:tcPr>
            <w:tcW w:w="484"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205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矩形或圆形钢管</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9</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10</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w:t>
            </w:r>
          </w:p>
        </w:tc>
        <w:tc>
          <w:tcPr>
            <w:tcW w:w="49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1.24</w:t>
            </w:r>
          </w:p>
        </w:tc>
        <w:tc>
          <w:tcPr>
            <w:tcW w:w="484"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0.6</w:t>
            </w:r>
          </w:p>
        </w:tc>
      </w:tr>
    </w:tbl>
    <w:p>
      <w:pPr>
        <w:ind w:firstLine="36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w:t>
      </w:r>
      <w:r>
        <w:rPr>
          <w:rFonts w:cs="Times New Roman"/>
          <w:color w:val="000000" w:themeColor="text1"/>
          <w:sz w:val="18"/>
          <w:szCs w:val="18"/>
          <w14:textFill>
            <w14:solidFill>
              <w14:schemeClr w14:val="tx1"/>
            </w14:solidFill>
          </w14:textFill>
        </w:rPr>
        <w:t xml:space="preserve">1 </w:t>
      </w:r>
      <w:r>
        <w:rPr>
          <w:rFonts w:cs="Times New Roman"/>
          <w:color w:val="000000" w:themeColor="text1"/>
          <w:sz w:val="18"/>
          <w:szCs w:val="18"/>
          <w14:textFill>
            <w14:solidFill>
              <w14:schemeClr w14:val="tx1"/>
            </w14:solidFill>
          </w14:textFill>
        </w:rPr>
        <w:object>
          <v:shape id="_x0000_i1102" o:spt="75" type="#_x0000_t75" style="height:15pt;width:11pt;" o:ole="t" filled="f" o:preferrelative="t" stroked="f" coordsize="21600,21600">
            <v:path/>
            <v:fill on="f" focussize="0,0"/>
            <v:stroke on="f" joinstyle="miter"/>
            <v:imagedata r:id="rId248" o:title=""/>
            <o:lock v:ext="edit" aspectratio="t"/>
            <w10:wrap type="none"/>
            <w10:anchorlock/>
          </v:shape>
          <o:OLEObject Type="Embed" ProgID="Equation.DSMT4" ShapeID="_x0000_i1102" DrawAspect="Content" ObjectID="_1468075802" r:id="rId278">
            <o:LockedField>false</o:LockedField>
          </o:OLEObject>
        </w:object>
      </w:r>
      <w:r>
        <w:rPr>
          <w:rFonts w:cs="Times New Roman"/>
          <w:color w:val="000000" w:themeColor="text1"/>
          <w:sz w:val="18"/>
          <w:szCs w:val="18"/>
          <w14:textFill>
            <w14:solidFill>
              <w14:schemeClr w14:val="tx1"/>
            </w14:solidFill>
          </w14:textFill>
        </w:rPr>
        <w:t>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03"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03" DrawAspect="Content" ObjectID="_1468075803" r:id="rId279">
            <o:LockedField>false</o:LockedField>
          </o:OLEObject>
        </w:object>
      </w:r>
      <w:r>
        <w:rPr>
          <w:rFonts w:cs="Times New Roman"/>
          <w:color w:val="000000" w:themeColor="text1"/>
          <w:sz w:val="18"/>
          <w:szCs w:val="18"/>
          <w14:textFill>
            <w14:solidFill>
              <w14:schemeClr w14:val="tx1"/>
            </w14:solidFill>
          </w14:textFill>
        </w:rPr>
        <w:t>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04"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04" DrawAspect="Content" ObjectID="_1468075804" r:id="rId280">
            <o:LockedField>false</o:LockedField>
          </o:OLEObject>
        </w:object>
      </w:r>
      <w:r>
        <w:rPr>
          <w:rFonts w:cs="Times New Roman"/>
          <w:color w:val="000000" w:themeColor="text1"/>
          <w:sz w:val="18"/>
          <w:szCs w:val="18"/>
          <w14:textFill>
            <w14:solidFill>
              <w14:schemeClr w14:val="tx1"/>
            </w14:solidFill>
          </w14:textFill>
        </w:rPr>
        <w:t>E</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ΔB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ΔE</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ΔT</w:t>
      </w:r>
      <w:r>
        <w:rPr>
          <w:rFonts w:hint="eastAsia" w:cs="Times New Roman"/>
          <w:color w:val="000000" w:themeColor="text1"/>
          <w:sz w:val="18"/>
          <w:szCs w:val="18"/>
          <w14:textFill>
            <w14:solidFill>
              <w14:schemeClr w14:val="tx1"/>
            </w14:solidFill>
          </w14:textFill>
        </w:rPr>
        <w:t>的相对量；</w:t>
      </w:r>
    </w:p>
    <w:p>
      <w:pPr>
        <w:ind w:firstLine="720" w:firstLineChars="40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 xml:space="preserve">2 </w:t>
      </w:r>
      <w:r>
        <w:rPr>
          <w:rFonts w:cs="Times New Roman"/>
          <w:color w:val="000000" w:themeColor="text1"/>
          <w:sz w:val="18"/>
          <w:szCs w:val="18"/>
          <w14:textFill>
            <w14:solidFill>
              <w14:schemeClr w14:val="tx1"/>
            </w14:solidFill>
          </w14:textFill>
        </w:rPr>
        <w:object>
          <v:shape id="_x0000_i1105"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05" DrawAspect="Content" ObjectID="_1468075805" r:id="rId281">
            <o:LockedField>false</o:LockedField>
          </o:OLEObject>
        </w:object>
      </w:r>
      <w:r>
        <w:rPr>
          <w:rFonts w:cs="Times New Roman"/>
          <w:color w:val="000000" w:themeColor="text1"/>
          <w:sz w:val="18"/>
          <w:szCs w:val="18"/>
          <w14:textFill>
            <w14:solidFill>
              <w14:schemeClr w14:val="tx1"/>
            </w14:solidFill>
          </w14:textFill>
        </w:rPr>
        <w:t>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06"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06" DrawAspect="Content" ObjectID="_1468075806" r:id="rId282">
            <o:LockedField>false</o:LockedField>
          </o:OLEObject>
        </w:object>
      </w:r>
      <w:r>
        <w:rPr>
          <w:rFonts w:cs="Times New Roman"/>
          <w:color w:val="000000" w:themeColor="text1"/>
          <w:sz w:val="18"/>
          <w:szCs w:val="18"/>
          <w14:textFill>
            <w14:solidFill>
              <w14:schemeClr w14:val="tx1"/>
            </w14:solidFill>
          </w14:textFill>
        </w:rPr>
        <w:t>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07"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07" DrawAspect="Content" ObjectID="_1468075807" r:id="rId283">
            <o:LockedField>false</o:LockedField>
          </o:OLEObject>
        </w:object>
      </w:r>
      <w:r>
        <w:rPr>
          <w:rFonts w:cs="Times New Roman"/>
          <w:color w:val="000000" w:themeColor="text1"/>
          <w:sz w:val="18"/>
          <w:szCs w:val="18"/>
          <w14:textFill>
            <w14:solidFill>
              <w14:schemeClr w14:val="tx1"/>
            </w14:solidFill>
          </w14:textFill>
        </w:rPr>
        <w:t>E</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NB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NC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NE</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NT</w:t>
      </w:r>
      <w:r>
        <w:rPr>
          <w:rFonts w:hint="eastAsia" w:cs="Times New Roman"/>
          <w:color w:val="000000" w:themeColor="text1"/>
          <w:sz w:val="18"/>
          <w:szCs w:val="18"/>
          <w14:textFill>
            <w14:solidFill>
              <w14:schemeClr w14:val="tx1"/>
            </w14:solidFill>
          </w14:textFill>
        </w:rPr>
        <w:t>的相对量；</w:t>
      </w:r>
    </w:p>
    <w:p>
      <w:pPr>
        <w:ind w:firstLine="720" w:firstLineChars="40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3 NT</w:t>
      </w:r>
      <w:r>
        <w:rPr>
          <w:rFonts w:hint="eastAsia" w:cs="Times New Roman"/>
          <w:color w:val="000000" w:themeColor="text1"/>
          <w:sz w:val="18"/>
          <w:szCs w:val="18"/>
          <w14:textFill>
            <w14:solidFill>
              <w14:schemeClr w14:val="tx1"/>
            </w14:solidFill>
          </w14:textFill>
        </w:rPr>
        <w:t>为支撑截面受拉屈服轴力；</w:t>
      </w:r>
    </w:p>
    <w:p>
      <w:pPr>
        <w:ind w:firstLine="720" w:firstLineChars="400"/>
        <w:rPr>
          <w:rFonts w:cs="Times New Roman"/>
          <w:color w:val="000000" w:themeColor="text1"/>
          <w:sz w:val="18"/>
          <w:szCs w:val="18"/>
          <w14:textFill>
            <w14:solidFill>
              <w14:schemeClr w14:val="tx1"/>
            </w14:solidFill>
          </w14:textFill>
        </w:rPr>
      </w:pPr>
      <w:r>
        <w:rPr>
          <w:rFonts w:cs="Times New Roman"/>
          <w:color w:val="000000" w:themeColor="text1"/>
          <w:sz w:val="18"/>
          <w:szCs w:val="18"/>
          <w14:textFill>
            <w14:solidFill>
              <w14:schemeClr w14:val="tx1"/>
            </w14:solidFill>
          </w14:textFill>
        </w:rPr>
        <w:t>4 ΔT</w:t>
      </w:r>
      <w:r>
        <w:rPr>
          <w:rFonts w:hint="eastAsia" w:cs="Times New Roman"/>
          <w:color w:val="000000" w:themeColor="text1"/>
          <w:sz w:val="18"/>
          <w:szCs w:val="18"/>
          <w14:textFill>
            <w14:solidFill>
              <w14:schemeClr w14:val="tx1"/>
            </w14:solidFill>
          </w14:textFill>
        </w:rPr>
        <w:t>为</w:t>
      </w:r>
      <w:r>
        <w:rPr>
          <w:rFonts w:cs="Times New Roman"/>
          <w:color w:val="000000" w:themeColor="text1"/>
          <w:sz w:val="18"/>
          <w:szCs w:val="18"/>
          <w14:textFill>
            <w14:solidFill>
              <w14:schemeClr w14:val="tx1"/>
            </w14:solidFill>
          </w14:textFill>
        </w:rPr>
        <w:t>NT</w:t>
      </w:r>
      <w:r>
        <w:rPr>
          <w:rFonts w:hint="eastAsia" w:cs="Times New Roman"/>
          <w:color w:val="000000" w:themeColor="text1"/>
          <w:sz w:val="18"/>
          <w:szCs w:val="18"/>
          <w14:textFill>
            <w14:solidFill>
              <w14:schemeClr w14:val="tx1"/>
            </w14:solidFill>
          </w14:textFill>
        </w:rPr>
        <w:t>作用下构件的轴向弹性受拉位移。</w:t>
      </w:r>
    </w:p>
    <w:p>
      <w:pPr>
        <w:ind w:firstLine="420"/>
        <w:rPr>
          <w:rFonts w:cs="Times New Roman"/>
          <w:color w:val="000000" w:themeColor="text1"/>
          <w:szCs w:val="21"/>
          <w14:textFill>
            <w14:solidFill>
              <w14:schemeClr w14:val="tx1"/>
            </w14:solidFill>
          </w14:textFill>
        </w:rPr>
      </w:pPr>
    </w:p>
    <w:p>
      <w:pPr>
        <w:ind w:firstLine="420"/>
        <w:rPr>
          <w:rFonts w:cs="Times New Roman"/>
          <w:color w:val="000000" w:themeColor="text1"/>
          <w:szCs w:val="21"/>
          <w14:textFill>
            <w14:solidFill>
              <w14:schemeClr w14:val="tx1"/>
            </w14:solidFill>
          </w14:textFill>
        </w:rPr>
      </w:pPr>
    </w:p>
    <w:p>
      <w:pPr>
        <w:ind w:firstLine="420"/>
        <w:rPr>
          <w:rFonts w:cs="Times New Roman"/>
          <w:color w:val="000000" w:themeColor="text1"/>
          <w:szCs w:val="21"/>
          <w14:textFill>
            <w14:solidFill>
              <w14:schemeClr w14:val="tx1"/>
            </w14:solidFill>
          </w14:textFill>
        </w:rPr>
      </w:pPr>
    </w:p>
    <w:p>
      <w:pPr>
        <w:ind w:firstLine="420"/>
        <w:rPr>
          <w:rFonts w:cs="Times New Roman"/>
          <w:color w:val="000000" w:themeColor="text1"/>
          <w:szCs w:val="21"/>
          <w14:textFill>
            <w14:solidFill>
              <w14:schemeClr w14:val="tx1"/>
            </w14:solidFill>
          </w14:textFill>
        </w:rPr>
      </w:pPr>
    </w:p>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I.4.14-2 </w:t>
      </w:r>
      <w:r>
        <w:rPr>
          <w:rFonts w:hint="eastAsia" w:cs="Times New Roman"/>
          <w:color w:val="000000" w:themeColor="text1"/>
          <w:szCs w:val="21"/>
          <w14:textFill>
            <w14:solidFill>
              <w14:schemeClr w14:val="tx1"/>
            </w14:solidFill>
          </w14:textFill>
        </w:rPr>
        <w:t>钢支撑受压骨架线参数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6"/>
        <w:gridCol w:w="3218"/>
        <w:gridCol w:w="687"/>
        <w:gridCol w:w="687"/>
        <w:gridCol w:w="689"/>
        <w:gridCol w:w="687"/>
        <w:gridCol w:w="687"/>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765"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钢支撑类型</w:t>
            </w:r>
          </w:p>
        </w:tc>
        <w:tc>
          <w:tcPr>
            <w:tcW w:w="1117" w:type="pct"/>
            <w:gridSpan w:val="3"/>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轴向位移/</w:t>
            </w:r>
            <w:r>
              <w:rPr>
                <w:rFonts w:cs="Times New Roman"/>
                <w:color w:val="000000" w:themeColor="text1"/>
                <w:szCs w:val="21"/>
                <w14:textFill>
                  <w14:solidFill>
                    <w14:schemeClr w14:val="tx1"/>
                  </w14:solidFill>
                </w14:textFill>
              </w:rPr>
              <w:t>ΔP</w:t>
            </w:r>
          </w:p>
        </w:tc>
        <w:tc>
          <w:tcPr>
            <w:tcW w:w="1118" w:type="pct"/>
            <w:gridSpan w:val="3"/>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轴向压力/</w:t>
            </w:r>
            <w:r>
              <w:rPr>
                <w:rFonts w:cs="Times New Roman"/>
                <w:color w:val="000000" w:themeColor="text1"/>
                <w:szCs w:val="21"/>
                <w14:textFill>
                  <w14:solidFill>
                    <w14:schemeClr w14:val="tx1"/>
                  </w14:solidFill>
                </w14:textFill>
              </w:rPr>
              <w:t>NP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p>
        </w:tc>
        <w:tc>
          <w:tcPr>
            <w:tcW w:w="372"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08"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08" DrawAspect="Content" ObjectID="_1468075808" r:id="rId284">
                  <o:LockedField>false</o:LockedField>
                </o:OLEObject>
              </w:object>
            </w:r>
            <w:r>
              <w:rPr>
                <w:rFonts w:cs="Times New Roman"/>
                <w:color w:val="000000" w:themeColor="text1"/>
                <w:szCs w:val="21"/>
                <w14:textFill>
                  <w14:solidFill>
                    <w14:schemeClr w14:val="tx1"/>
                  </w14:solidFill>
                </w14:textFill>
              </w:rPr>
              <w:t>B</w:t>
            </w:r>
          </w:p>
        </w:tc>
        <w:tc>
          <w:tcPr>
            <w:tcW w:w="372"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09"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09" DrawAspect="Content" ObjectID="_1468075809" r:id="rId285">
                  <o:LockedField>false</o:LockedField>
                </o:OLEObject>
              </w:object>
            </w:r>
            <w:r>
              <w:rPr>
                <w:rFonts w:cs="Times New Roman"/>
                <w:color w:val="000000" w:themeColor="text1"/>
                <w:szCs w:val="21"/>
                <w14:textFill>
                  <w14:solidFill>
                    <w14:schemeClr w14:val="tx1"/>
                  </w14:solidFill>
                </w14:textFill>
              </w:rPr>
              <w:t>C</w:t>
            </w:r>
          </w:p>
        </w:tc>
        <w:tc>
          <w:tcPr>
            <w:tcW w:w="373"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10"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10" DrawAspect="Content" ObjectID="_1468075810" r:id="rId286">
                  <o:LockedField>false</o:LockedField>
                </o:OLEObject>
              </w:object>
            </w:r>
            <w:r>
              <w:rPr>
                <w:rFonts w:cs="Times New Roman"/>
                <w:color w:val="000000" w:themeColor="text1"/>
                <w:szCs w:val="21"/>
                <w14:textFill>
                  <w14:solidFill>
                    <w14:schemeClr w14:val="tx1"/>
                  </w14:solidFill>
                </w14:textFill>
              </w:rPr>
              <w:t>E</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11"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11" DrawAspect="Content" ObjectID="_1468075811" r:id="rId287">
                  <o:LockedField>false</o:LockedField>
                </o:OLEObject>
              </w:object>
            </w:r>
            <w:r>
              <w:rPr>
                <w:rFonts w:cs="Times New Roman"/>
                <w:color w:val="000000" w:themeColor="text1"/>
                <w:szCs w:val="21"/>
                <w14:textFill>
                  <w14:solidFill>
                    <w14:schemeClr w14:val="tx1"/>
                  </w14:solidFill>
                </w14:textFill>
              </w:rPr>
              <w:t>B</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12"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12" DrawAspect="Content" ObjectID="_1468075812" r:id="rId288">
                  <o:LockedField>false</o:LockedField>
                </o:OLEObject>
              </w:object>
            </w:r>
            <w:r>
              <w:rPr>
                <w:rFonts w:cs="Times New Roman"/>
                <w:color w:val="000000" w:themeColor="text1"/>
                <w:szCs w:val="21"/>
                <w14:textFill>
                  <w14:solidFill>
                    <w14:schemeClr w14:val="tx1"/>
                  </w14:solidFill>
                </w14:textFill>
              </w:rPr>
              <w:t>C</w:t>
            </w:r>
          </w:p>
        </w:tc>
        <w:tc>
          <w:tcPr>
            <w:tcW w:w="374"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13"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13" DrawAspect="Content" ObjectID="_1468075813" r:id="rId289">
                  <o:LockedField>false</o:LockedField>
                </o:OLEObject>
              </w:object>
            </w:r>
            <w:r>
              <w:rPr>
                <w:rFonts w:cs="Times New Roman"/>
                <w:color w:val="000000" w:themeColor="text1"/>
                <w:szCs w:val="21"/>
                <w14:textFill>
                  <w14:solidFill>
                    <w14:schemeClr w14:val="tx1"/>
                  </w14:solidFill>
                </w14:textFill>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2" w:type="pct"/>
            <w:vMerge w:val="restar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长细比</w:t>
            </w:r>
          </w:p>
          <w:p>
            <w:pPr>
              <w:widowControl/>
              <w:ind w:firstLine="0" w:firstLineChars="0"/>
              <w:jc w:val="center"/>
              <w:rPr>
                <w:rFonts w:cs="Times New Roman"/>
                <w:color w:val="000000" w:themeColor="text1"/>
                <w:szCs w:val="21"/>
                <w14:textFill>
                  <w14:solidFill>
                    <w14:schemeClr w14:val="tx1"/>
                  </w14:solidFill>
                </w14:textFill>
              </w:rPr>
            </w:pPr>
            <m:oMathPara>
              <m:oMath>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Kl</m:t>
                    </m:r>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≥4.2</m:t>
                </m:r>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oMath>
            </m:oMathPara>
          </w:p>
        </w:tc>
        <w:tc>
          <w:tcPr>
            <w:tcW w:w="1743"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截面、工字截面</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373"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4"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p>
        </w:tc>
        <w:tc>
          <w:tcPr>
            <w:tcW w:w="1743"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矩形或圆形钢管</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373"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4"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022" w:type="pct"/>
            <w:vMerge w:val="restar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长细比</w:t>
            </w:r>
          </w:p>
          <w:p>
            <w:pPr>
              <w:widowControl/>
              <w:ind w:firstLine="0" w:firstLineChars="0"/>
              <w:jc w:val="center"/>
              <w:rPr>
                <w:rFonts w:cs="Times New Roman"/>
                <w:color w:val="000000" w:themeColor="text1"/>
                <w:szCs w:val="21"/>
                <w14:textFill>
                  <w14:solidFill>
                    <w14:schemeClr w14:val="tx1"/>
                  </w14:solidFill>
                </w14:textFill>
              </w:rPr>
            </w:pPr>
            <m:oMathPara>
              <m:oMath>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Kl</m:t>
                    </m:r>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≤2.1</m:t>
                </m:r>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oMath>
            </m:oMathPara>
          </w:p>
        </w:tc>
        <w:tc>
          <w:tcPr>
            <w:tcW w:w="1743"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截面、工字截面</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p>
        </w:tc>
        <w:tc>
          <w:tcPr>
            <w:tcW w:w="373"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9</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4"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p>
        </w:tc>
        <w:tc>
          <w:tcPr>
            <w:tcW w:w="1743"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矩形或圆形钢管</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w:t>
            </w:r>
          </w:p>
        </w:tc>
        <w:tc>
          <w:tcPr>
            <w:tcW w:w="373"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8</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2"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w:t>
            </w:r>
          </w:p>
        </w:tc>
        <w:tc>
          <w:tcPr>
            <w:tcW w:w="374"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765" w:type="pct"/>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长细比</w:t>
            </w:r>
            <m:oMath>
              <m:r>
                <m:rPr>
                  <m:sty m:val="p"/>
                </m:rPr>
                <w:rPr>
                  <w:rFonts w:ascii="Cambria Math" w:hAnsi="Cambria Math" w:cs="Times New Roman"/>
                  <w:color w:val="000000" w:themeColor="text1"/>
                  <w:szCs w:val="21"/>
                  <w14:textFill>
                    <w14:solidFill>
                      <w14:schemeClr w14:val="tx1"/>
                    </w14:solidFill>
                  </w14:textFill>
                </w:rPr>
                <m:t>2.1</m:t>
              </m:r>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r>
                <m:rPr>
                  <m:sty m:val="p"/>
                </m:rPr>
                <w:rPr>
                  <w:rFonts w:ascii="Cambria Math" w:hAnsi="Cambria Math" w:cs="Times New Roman"/>
                  <w:color w:val="000000" w:themeColor="text1"/>
                  <w:szCs w:val="21"/>
                  <w14:textFill>
                    <w14:solidFill>
                      <w14:schemeClr w14:val="tx1"/>
                    </w14:solidFill>
                  </w14:textFill>
                </w:rPr>
                <m:t>&lt;</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Kl</m:t>
                  </m:r>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&lt;4.2</m:t>
              </m:r>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oMath>
          </w:p>
        </w:tc>
        <w:tc>
          <w:tcPr>
            <w:tcW w:w="2235" w:type="pct"/>
            <w:gridSpan w:val="6"/>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线性插值</w:t>
            </w:r>
          </w:p>
        </w:tc>
      </w:tr>
    </w:tbl>
    <w:p>
      <w:pPr>
        <w:ind w:firstLine="36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注：1</w:t>
      </w:r>
      <w:r>
        <w:rPr>
          <w:rFonts w:cs="Times New Roman"/>
          <w:color w:val="000000" w:themeColor="text1"/>
          <w:sz w:val="18"/>
          <w:szCs w:val="18"/>
          <w14:textFill>
            <w14:solidFill>
              <w14:schemeClr w14:val="tx1"/>
            </w14:solidFill>
          </w14:textFill>
        </w:rPr>
        <w:t xml:space="preserve"> </w:t>
      </w:r>
      <w:r>
        <w:rPr>
          <w:rFonts w:cs="Times New Roman"/>
          <w:color w:val="000000" w:themeColor="text1"/>
          <w:sz w:val="18"/>
          <w:szCs w:val="18"/>
          <w14:textFill>
            <w14:solidFill>
              <w14:schemeClr w14:val="tx1"/>
            </w14:solidFill>
          </w14:textFill>
        </w:rPr>
        <w:object>
          <v:shape id="_x0000_i1114" o:spt="75" type="#_x0000_t75" style="height:15pt;width:11pt;" o:ole="t" filled="f" o:preferrelative="t" stroked="f" coordsize="21600,21600">
            <v:path/>
            <v:fill on="f" focussize="0,0"/>
            <v:stroke on="f" joinstyle="miter"/>
            <v:imagedata r:id="rId248" o:title=""/>
            <o:lock v:ext="edit" aspectratio="t"/>
            <w10:wrap type="none"/>
            <w10:anchorlock/>
          </v:shape>
          <o:OLEObject Type="Embed" ProgID="Equation.DSMT4" ShapeID="_x0000_i1114" DrawAspect="Content" ObjectID="_1468075814" r:id="rId290">
            <o:LockedField>false</o:LockedField>
          </o:OLEObject>
        </w:object>
      </w:r>
      <w:r>
        <w:rPr>
          <w:rFonts w:cs="Times New Roman"/>
          <w:color w:val="000000" w:themeColor="text1"/>
          <w:sz w:val="18"/>
          <w:szCs w:val="18"/>
          <w14:textFill>
            <w14:solidFill>
              <w14:schemeClr w14:val="tx1"/>
            </w14:solidFill>
          </w14:textFill>
        </w:rPr>
        <w:t>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15"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15" DrawAspect="Content" ObjectID="_1468075815" r:id="rId291">
            <o:LockedField>false</o:LockedField>
          </o:OLEObject>
        </w:object>
      </w:r>
      <w:r>
        <w:rPr>
          <w:rFonts w:cs="Times New Roman"/>
          <w:color w:val="000000" w:themeColor="text1"/>
          <w:sz w:val="18"/>
          <w:szCs w:val="18"/>
          <w14:textFill>
            <w14:solidFill>
              <w14:schemeClr w14:val="tx1"/>
            </w14:solidFill>
          </w14:textFill>
        </w:rPr>
        <w:t>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16"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16" DrawAspect="Content" ObjectID="_1468075816" r:id="rId292">
            <o:LockedField>false</o:LockedField>
          </o:OLEObject>
        </w:object>
      </w:r>
      <w:r>
        <w:rPr>
          <w:rFonts w:cs="Times New Roman"/>
          <w:color w:val="000000" w:themeColor="text1"/>
          <w:sz w:val="18"/>
          <w:szCs w:val="18"/>
          <w14:textFill>
            <w14:solidFill>
              <w14:schemeClr w14:val="tx1"/>
            </w14:solidFill>
          </w14:textFill>
        </w:rPr>
        <w:t>E</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ΔB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ΔE</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ΔP</w:t>
      </w:r>
      <w:r>
        <w:rPr>
          <w:rFonts w:hint="eastAsia" w:cs="Times New Roman"/>
          <w:color w:val="000000" w:themeColor="text1"/>
          <w:sz w:val="18"/>
          <w:szCs w:val="18"/>
          <w14:textFill>
            <w14:solidFill>
              <w14:schemeClr w14:val="tx1"/>
            </w14:solidFill>
          </w14:textFill>
        </w:rPr>
        <w:t>的相对量；</w:t>
      </w:r>
    </w:p>
    <w:p>
      <w:pPr>
        <w:ind w:firstLine="720" w:firstLineChars="40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2</w:t>
      </w:r>
      <w:r>
        <w:rPr>
          <w:rFonts w:cs="Times New Roman"/>
          <w:color w:val="000000" w:themeColor="text1"/>
          <w:sz w:val="18"/>
          <w:szCs w:val="18"/>
          <w14:textFill>
            <w14:solidFill>
              <w14:schemeClr w14:val="tx1"/>
            </w14:solidFill>
          </w14:textFill>
        </w:rPr>
        <w:t xml:space="preserve"> </w:t>
      </w:r>
      <w:r>
        <w:rPr>
          <w:rFonts w:cs="Times New Roman"/>
          <w:color w:val="000000" w:themeColor="text1"/>
          <w:sz w:val="18"/>
          <w:szCs w:val="18"/>
          <w14:textFill>
            <w14:solidFill>
              <w14:schemeClr w14:val="tx1"/>
            </w14:solidFill>
          </w14:textFill>
        </w:rPr>
        <w:object>
          <v:shape id="_x0000_i1117"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17" DrawAspect="Content" ObjectID="_1468075817" r:id="rId293">
            <o:LockedField>false</o:LockedField>
          </o:OLEObject>
        </w:object>
      </w:r>
      <w:r>
        <w:rPr>
          <w:rFonts w:cs="Times New Roman"/>
          <w:color w:val="000000" w:themeColor="text1"/>
          <w:sz w:val="18"/>
          <w:szCs w:val="18"/>
          <w14:textFill>
            <w14:solidFill>
              <w14:schemeClr w14:val="tx1"/>
            </w14:solidFill>
          </w14:textFill>
        </w:rPr>
        <w:t>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18"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18" DrawAspect="Content" ObjectID="_1468075818" r:id="rId294">
            <o:LockedField>false</o:LockedField>
          </o:OLEObject>
        </w:object>
      </w:r>
      <w:r>
        <w:rPr>
          <w:rFonts w:cs="Times New Roman"/>
          <w:color w:val="000000" w:themeColor="text1"/>
          <w:sz w:val="18"/>
          <w:szCs w:val="18"/>
          <w14:textFill>
            <w14:solidFill>
              <w14:schemeClr w14:val="tx1"/>
            </w14:solidFill>
          </w14:textFill>
        </w:rPr>
        <w:t>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19" o:spt="75" type="#_x0000_t75" style="height:15pt;width:13pt;" o:ole="t" filled="f" o:preferrelative="t" stroked="f" coordsize="21600,21600">
            <v:path/>
            <v:fill on="f" focussize="0,0"/>
            <v:stroke on="f" joinstyle="miter"/>
            <v:imagedata r:id="rId275" o:title=""/>
            <o:lock v:ext="edit" aspectratio="t"/>
            <w10:wrap type="none"/>
            <w10:anchorlock/>
          </v:shape>
          <o:OLEObject Type="Embed" ProgID="Equation.DSMT4" ShapeID="_x0000_i1119" DrawAspect="Content" ObjectID="_1468075819" r:id="rId295">
            <o:LockedField>false</o:LockedField>
          </o:OLEObject>
        </w:object>
      </w:r>
      <w:r>
        <w:rPr>
          <w:rFonts w:cs="Times New Roman"/>
          <w:color w:val="000000" w:themeColor="text1"/>
          <w:sz w:val="18"/>
          <w:szCs w:val="18"/>
          <w14:textFill>
            <w14:solidFill>
              <w14:schemeClr w14:val="tx1"/>
            </w14:solidFill>
          </w14:textFill>
        </w:rPr>
        <w:t>E</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NB</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NC</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NE</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NP</w:t>
      </w:r>
      <w:r>
        <w:rPr>
          <w:rFonts w:hint="eastAsia" w:cs="Times New Roman"/>
          <w:color w:val="000000" w:themeColor="text1"/>
          <w:sz w:val="18"/>
          <w:szCs w:val="18"/>
          <w14:textFill>
            <w14:solidFill>
              <w14:schemeClr w14:val="tx1"/>
            </w14:solidFill>
          </w14:textFill>
        </w:rPr>
        <w:t>的相对量；</w:t>
      </w:r>
    </w:p>
    <w:p>
      <w:pPr>
        <w:ind w:firstLine="720" w:firstLineChars="40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3</w:t>
      </w:r>
      <w:r>
        <w:rPr>
          <w:rFonts w:cs="Times New Roman"/>
          <w:color w:val="000000" w:themeColor="text1"/>
          <w:sz w:val="18"/>
          <w:szCs w:val="18"/>
          <w14:textFill>
            <w14:solidFill>
              <w14:schemeClr w14:val="tx1"/>
            </w14:solidFill>
          </w14:textFill>
        </w:rPr>
        <w:t xml:space="preserve"> NP</w:t>
      </w:r>
      <w:r>
        <w:rPr>
          <w:rFonts w:hint="eastAsia" w:cs="Times New Roman"/>
          <w:color w:val="000000" w:themeColor="text1"/>
          <w:sz w:val="18"/>
          <w:szCs w:val="18"/>
          <w14:textFill>
            <w14:solidFill>
              <w14:schemeClr w14:val="tx1"/>
            </w14:solidFill>
          </w14:textFill>
        </w:rPr>
        <w:t>为支撑受压承载力（取受拉屈服承载力与受压稳定承载力较小值）；</w:t>
      </w:r>
    </w:p>
    <w:p>
      <w:pPr>
        <w:ind w:firstLine="720" w:firstLineChars="40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4</w:t>
      </w:r>
      <w:r>
        <w:rPr>
          <w:rFonts w:cs="Times New Roman"/>
          <w:color w:val="000000" w:themeColor="text1"/>
          <w:sz w:val="18"/>
          <w:szCs w:val="18"/>
          <w14:textFill>
            <w14:solidFill>
              <w14:schemeClr w14:val="tx1"/>
            </w14:solidFill>
          </w14:textFill>
        </w:rPr>
        <w:t xml:space="preserve"> ΔP</w:t>
      </w:r>
      <w:r>
        <w:rPr>
          <w:rFonts w:hint="eastAsia" w:cs="Times New Roman"/>
          <w:color w:val="000000" w:themeColor="text1"/>
          <w:sz w:val="18"/>
          <w:szCs w:val="18"/>
          <w14:textFill>
            <w14:solidFill>
              <w14:schemeClr w14:val="tx1"/>
            </w14:solidFill>
          </w14:textFill>
        </w:rPr>
        <w:t>为</w:t>
      </w:r>
      <w:r>
        <w:rPr>
          <w:rFonts w:cs="Times New Roman"/>
          <w:color w:val="000000" w:themeColor="text1"/>
          <w:sz w:val="18"/>
          <w:szCs w:val="18"/>
          <w14:textFill>
            <w14:solidFill>
              <w14:schemeClr w14:val="tx1"/>
            </w14:solidFill>
          </w14:textFill>
        </w:rPr>
        <w:t>NP</w:t>
      </w:r>
      <w:r>
        <w:rPr>
          <w:rFonts w:hint="eastAsia" w:cs="Times New Roman"/>
          <w:color w:val="000000" w:themeColor="text1"/>
          <w:sz w:val="18"/>
          <w:szCs w:val="18"/>
          <w14:textFill>
            <w14:solidFill>
              <w14:schemeClr w14:val="tx1"/>
            </w14:solidFill>
          </w14:textFill>
        </w:rPr>
        <w:t>压力作用下构件的弹性受压位移；</w:t>
      </w:r>
    </w:p>
    <w:p>
      <w:pPr>
        <w:ind w:firstLine="720" w:firstLineChars="40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5</w:t>
      </w:r>
      <w:r>
        <w:rPr>
          <w:rFonts w:cs="Times New Roman"/>
          <w:color w:val="000000" w:themeColor="text1"/>
          <w:sz w:val="18"/>
          <w:szCs w:val="18"/>
          <w14:textFill>
            <w14:solidFill>
              <w14:schemeClr w14:val="tx1"/>
            </w14:solidFill>
          </w14:textFill>
        </w:rPr>
        <w:t xml:space="preserve"> K</w:t>
      </w:r>
      <w:r>
        <w:rPr>
          <w:rFonts w:hint="eastAsia" w:cs="Times New Roman"/>
          <w:color w:val="000000" w:themeColor="text1"/>
          <w:sz w:val="18"/>
          <w:szCs w:val="18"/>
          <w14:textFill>
            <w14:solidFill>
              <w14:schemeClr w14:val="tx1"/>
            </w14:solidFill>
          </w14:textFill>
        </w:rPr>
        <w:t>为支撑计算长度系数，</w:t>
      </w:r>
      <w:r>
        <w:rPr>
          <w:rFonts w:cs="Times New Roman"/>
          <w:color w:val="000000" w:themeColor="text1"/>
          <w:sz w:val="18"/>
          <w:szCs w:val="18"/>
          <w14:textFill>
            <w14:solidFill>
              <w14:schemeClr w14:val="tx1"/>
            </w14:solidFill>
          </w14:textFill>
        </w:rPr>
        <w:t>l</w:t>
      </w:r>
      <w:r>
        <w:rPr>
          <w:rFonts w:hint="eastAsia" w:cs="Times New Roman"/>
          <w:color w:val="000000" w:themeColor="text1"/>
          <w:sz w:val="18"/>
          <w:szCs w:val="18"/>
          <w14:textFill>
            <w14:solidFill>
              <w14:schemeClr w14:val="tx1"/>
            </w14:solidFill>
          </w14:textFill>
        </w:rPr>
        <w:t>为支撑净长度，</w:t>
      </w:r>
      <w:r>
        <w:rPr>
          <w:rFonts w:cs="Times New Roman"/>
          <w:color w:val="000000" w:themeColor="text1"/>
          <w:sz w:val="18"/>
          <w:szCs w:val="18"/>
          <w14:textFill>
            <w14:solidFill>
              <w14:schemeClr w14:val="tx1"/>
            </w14:solidFill>
          </w14:textFill>
        </w:rPr>
        <w:t>i</w:t>
      </w:r>
      <w:r>
        <w:rPr>
          <w:rFonts w:hint="eastAsia" w:cs="Times New Roman"/>
          <w:color w:val="000000" w:themeColor="text1"/>
          <w:sz w:val="18"/>
          <w:szCs w:val="18"/>
          <w14:textFill>
            <w14:solidFill>
              <w14:schemeClr w14:val="tx1"/>
            </w14:solidFill>
          </w14:textFill>
        </w:rPr>
        <w:t>为回转半径，</w:t>
      </w:r>
      <w:r>
        <w:rPr>
          <w:rFonts w:cs="Times New Roman"/>
          <w:color w:val="000000" w:themeColor="text1"/>
          <w:sz w:val="18"/>
          <w:szCs w:val="18"/>
          <w14:textFill>
            <w14:solidFill>
              <w14:schemeClr w14:val="tx1"/>
            </w14:solidFill>
          </w14:textFill>
        </w:rPr>
        <w:t>E</w:t>
      </w:r>
      <w:r>
        <w:rPr>
          <w:rFonts w:hint="eastAsia" w:cs="Times New Roman"/>
          <w:color w:val="000000" w:themeColor="text1"/>
          <w:sz w:val="18"/>
          <w:szCs w:val="18"/>
          <w14:textFill>
            <w14:solidFill>
              <w14:schemeClr w14:val="tx1"/>
            </w14:solidFill>
          </w14:textFill>
        </w:rPr>
        <w:t>为钢材弹性模量，</w:t>
      </w:r>
      <w:r>
        <w:rPr>
          <w:rFonts w:cs="Times New Roman"/>
          <w:color w:val="000000" w:themeColor="text1"/>
          <w:sz w:val="18"/>
          <w:szCs w:val="18"/>
          <w14:textFill>
            <w14:solidFill>
              <w14:schemeClr w14:val="tx1"/>
            </w14:solidFill>
          </w14:textFill>
        </w:rPr>
        <w:t>Fy</w:t>
      </w:r>
      <w:r>
        <w:rPr>
          <w:rFonts w:hint="eastAsia" w:cs="Times New Roman"/>
          <w:color w:val="000000" w:themeColor="text1"/>
          <w:sz w:val="18"/>
          <w:szCs w:val="18"/>
          <w14:textFill>
            <w14:solidFill>
              <w14:schemeClr w14:val="tx1"/>
            </w14:solidFill>
          </w14:textFill>
        </w:rPr>
        <w:t>为钢材屈服强度。</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I.4.15  </w:t>
      </w:r>
      <w:r>
        <w:rPr>
          <w:rFonts w:hint="eastAsia" w:cs="Times New Roman"/>
          <w:color w:val="000000" w:themeColor="text1"/>
          <w:szCs w:val="21"/>
          <w14:textFill>
            <w14:solidFill>
              <w14:schemeClr w14:val="tx1"/>
            </w14:solidFill>
          </w14:textFill>
        </w:rPr>
        <w:t>钢支撑的损伤等级评定时，宜分别根据最大受拉位移和最大受压位移进行评定，并取二者较严重的结果。钢支撑关键性能点的各位移</w:t>
      </w:r>
      <w:r>
        <w:rPr>
          <w:rFonts w:cs="Times New Roman"/>
          <w:color w:val="000000" w:themeColor="text1"/>
          <w:szCs w:val="21"/>
          <w14:textFill>
            <w14:solidFill>
              <w14:schemeClr w14:val="tx1"/>
            </w14:solidFill>
          </w14:textFill>
        </w:rPr>
        <w:t>ΔIO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ΔK</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ΔLS</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ΔCP</w:t>
      </w:r>
      <w:r>
        <w:rPr>
          <w:rFonts w:hint="eastAsia" w:cs="Times New Roman"/>
          <w:color w:val="000000" w:themeColor="text1"/>
          <w:szCs w:val="21"/>
          <w14:textFill>
            <w14:solidFill>
              <w14:schemeClr w14:val="tx1"/>
            </w14:solidFill>
          </w14:textFill>
        </w:rPr>
        <w:t>可按照表</w:t>
      </w:r>
      <w:r>
        <w:rPr>
          <w:rFonts w:cs="Times New Roman"/>
          <w:color w:val="000000" w:themeColor="text1"/>
          <w:szCs w:val="21"/>
          <w14:textFill>
            <w14:solidFill>
              <w14:schemeClr w14:val="tx1"/>
            </w14:solidFill>
          </w14:textFill>
        </w:rPr>
        <w:t>I.4.15-1</w:t>
      </w:r>
      <w:r>
        <w:rPr>
          <w:rFonts w:hint="eastAsia" w:cs="Times New Roman"/>
          <w:color w:val="000000" w:themeColor="text1"/>
          <w:szCs w:val="21"/>
          <w14:textFill>
            <w14:solidFill>
              <w14:schemeClr w14:val="tx1"/>
            </w14:solidFill>
          </w14:textFill>
        </w:rPr>
        <w:t>与表</w:t>
      </w:r>
      <w:r>
        <w:rPr>
          <w:rFonts w:cs="Times New Roman"/>
          <w:color w:val="000000" w:themeColor="text1"/>
          <w:szCs w:val="21"/>
          <w14:textFill>
            <w14:solidFill>
              <w14:schemeClr w14:val="tx1"/>
            </w14:solidFill>
          </w14:textFill>
        </w:rPr>
        <w:t>I.4.15-2</w:t>
      </w:r>
      <w:r>
        <w:rPr>
          <w:rFonts w:hint="eastAsia" w:cs="Times New Roman"/>
          <w:color w:val="000000" w:themeColor="text1"/>
          <w:szCs w:val="21"/>
          <w14:textFill>
            <w14:solidFill>
              <w14:schemeClr w14:val="tx1"/>
            </w14:solidFill>
          </w14:textFill>
        </w:rPr>
        <w:t>确定，或由试验确定。</w:t>
      </w:r>
    </w:p>
    <w:p>
      <w:pPr>
        <w:ind w:firstLine="420"/>
        <w:rPr>
          <w:rFonts w:cs="Times New Roman"/>
          <w:color w:val="000000" w:themeColor="text1"/>
          <w:szCs w:val="21"/>
          <w14:textFill>
            <w14:solidFill>
              <w14:schemeClr w14:val="tx1"/>
            </w14:solidFill>
          </w14:textFill>
        </w:rPr>
      </w:pPr>
    </w:p>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I.4.15-1 </w:t>
      </w:r>
      <w:r>
        <w:rPr>
          <w:rFonts w:hint="eastAsia" w:cs="Times New Roman"/>
          <w:color w:val="000000" w:themeColor="text1"/>
          <w:szCs w:val="21"/>
          <w14:textFill>
            <w14:solidFill>
              <w14:schemeClr w14:val="tx1"/>
            </w14:solidFill>
          </w14:textFill>
        </w:rPr>
        <w:t>钢支撑受拉</w:t>
      </w:r>
      <w:r>
        <w:rPr>
          <w:rFonts w:cs="Times New Roman"/>
          <w:color w:val="000000" w:themeColor="text1"/>
          <w:szCs w:val="21"/>
          <w14:textFill>
            <w14:solidFill>
              <w14:schemeClr w14:val="tx1"/>
            </w14:solidFill>
          </w14:textFill>
        </w:rPr>
        <w:t>ΔIO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ΔK</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ΔLS</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ΔCP</w:t>
      </w:r>
      <w:r>
        <w:rPr>
          <w:rFonts w:hint="eastAsia" w:cs="Times New Roman"/>
          <w:color w:val="000000" w:themeColor="text1"/>
          <w:szCs w:val="21"/>
          <w14:textFill>
            <w14:solidFill>
              <w14:schemeClr w14:val="tx1"/>
            </w14:solidFill>
          </w14:textFill>
        </w:rPr>
        <w:t>取值</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7"/>
        <w:gridCol w:w="1270"/>
        <w:gridCol w:w="1270"/>
        <w:gridCol w:w="1270"/>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2246" w:type="pct"/>
            <w:vMerge w:val="restar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构件类型</w:t>
            </w:r>
          </w:p>
        </w:tc>
        <w:tc>
          <w:tcPr>
            <w:tcW w:w="2754" w:type="pct"/>
            <w:gridSpan w:val="4"/>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轴向位移/</w:t>
            </w:r>
            <w:r>
              <w:rPr>
                <w:rFonts w:cs="Times New Roman"/>
                <w:color w:val="000000" w:themeColor="text1"/>
                <w:szCs w:val="21"/>
                <w14:textFill>
                  <w14:solidFill>
                    <w14:schemeClr w14:val="tx1"/>
                  </w14:solidFill>
                </w14:textFill>
              </w:rPr>
              <w:t>ΔT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p>
        </w:tc>
        <w:tc>
          <w:tcPr>
            <w:tcW w:w="688"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20"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0" DrawAspect="Content" ObjectID="_1468075820" r:id="rId296">
                  <o:LockedField>false</o:LockedField>
                </o:OLEObject>
              </w:object>
            </w:r>
            <w:r>
              <w:rPr>
                <w:rFonts w:cs="Times New Roman"/>
                <w:color w:val="000000" w:themeColor="text1"/>
                <w:szCs w:val="21"/>
                <w14:textFill>
                  <w14:solidFill>
                    <w14:schemeClr w14:val="tx1"/>
                  </w14:solidFill>
                </w14:textFill>
              </w:rPr>
              <w:t>IO</w:t>
            </w:r>
          </w:p>
        </w:tc>
        <w:tc>
          <w:tcPr>
            <w:tcW w:w="688"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21"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1" DrawAspect="Content" ObjectID="_1468075821" r:id="rId297">
                  <o:LockedField>false</o:LockedField>
                </o:OLEObject>
              </w:object>
            </w:r>
            <w:r>
              <w:rPr>
                <w:rFonts w:cs="Times New Roman"/>
                <w:color w:val="000000" w:themeColor="text1"/>
                <w:szCs w:val="21"/>
                <w14:textFill>
                  <w14:solidFill>
                    <w14:schemeClr w14:val="tx1"/>
                  </w14:solidFill>
                </w14:textFill>
              </w:rPr>
              <w:t>K</w:t>
            </w:r>
          </w:p>
        </w:tc>
        <w:tc>
          <w:tcPr>
            <w:tcW w:w="688" w:type="pct"/>
            <w:tcBorders>
              <w:top w:val="single" w:color="auto" w:sz="4" w:space="0"/>
              <w:left w:val="single" w:color="auto" w:sz="4" w:space="0"/>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22"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2" DrawAspect="Content" ObjectID="_1468075822" r:id="rId298">
                  <o:LockedField>false</o:LockedField>
                </o:OLEObject>
              </w:object>
            </w:r>
            <w:r>
              <w:rPr>
                <w:rFonts w:cs="Times New Roman"/>
                <w:color w:val="000000" w:themeColor="text1"/>
                <w:szCs w:val="21"/>
                <w14:textFill>
                  <w14:solidFill>
                    <w14:schemeClr w14:val="tx1"/>
                  </w14:solidFill>
                </w14:textFill>
              </w:rPr>
              <w:t>LS</w:t>
            </w:r>
          </w:p>
        </w:tc>
        <w:tc>
          <w:tcPr>
            <w:tcW w:w="690"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23"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3" DrawAspect="Content" ObjectID="_1468075823" r:id="rId299">
                  <o:LockedField>false</o:LockedField>
                </o:OLEObject>
              </w:object>
            </w:r>
            <w:r>
              <w:rPr>
                <w:rFonts w:cs="Times New Roman"/>
                <w:color w:val="000000" w:themeColor="text1"/>
                <w:szCs w:val="21"/>
                <w14:textFill>
                  <w14:solidFill>
                    <w14:schemeClr w14:val="tx1"/>
                  </w14:solidFill>
                </w14:textFill>
              </w:rPr>
              <w:t>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224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截面、工字截面</w:t>
            </w:r>
          </w:p>
        </w:tc>
        <w:tc>
          <w:tcPr>
            <w:tcW w:w="688"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688"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6.25</w:t>
            </w:r>
          </w:p>
        </w:tc>
        <w:tc>
          <w:tcPr>
            <w:tcW w:w="688"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11</w:t>
            </w:r>
          </w:p>
        </w:tc>
        <w:tc>
          <w:tcPr>
            <w:tcW w:w="690"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2246"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矩形或圆形钢管</w:t>
            </w:r>
          </w:p>
        </w:tc>
        <w:tc>
          <w:tcPr>
            <w:tcW w:w="688"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688"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4.75</w:t>
            </w:r>
          </w:p>
        </w:tc>
        <w:tc>
          <w:tcPr>
            <w:tcW w:w="688"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8</w:t>
            </w:r>
          </w:p>
        </w:tc>
        <w:tc>
          <w:tcPr>
            <w:tcW w:w="690" w:type="pc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r>
    </w:tbl>
    <w:p>
      <w:pPr>
        <w:ind w:firstLine="360"/>
        <w:rPr>
          <w:rFonts w:cs="Times New Roman"/>
          <w:color w:val="000000" w:themeColor="text1"/>
          <w:sz w:val="18"/>
          <w:szCs w:val="18"/>
          <w14:textFill>
            <w14:solidFill>
              <w14:schemeClr w14:val="tx1"/>
            </w14:solidFill>
          </w14:textFill>
        </w:rPr>
      </w:pPr>
      <w:r>
        <w:rPr>
          <w:rFonts w:hint="eastAsia" w:cs="Times New Roman"/>
          <w:color w:val="000000" w:themeColor="text1"/>
          <w:sz w:val="18"/>
          <w:szCs w:val="18"/>
          <w14:textFill>
            <w14:solidFill>
              <w14:schemeClr w14:val="tx1"/>
            </w14:solidFill>
          </w14:textFill>
        </w:rPr>
        <w:t>注：1</w:t>
      </w:r>
      <w:r>
        <w:rPr>
          <w:rFonts w:cs="Times New Roman"/>
          <w:color w:val="000000" w:themeColor="text1"/>
          <w:sz w:val="18"/>
          <w:szCs w:val="18"/>
          <w14:textFill>
            <w14:solidFill>
              <w14:schemeClr w14:val="tx1"/>
            </w14:solidFill>
          </w14:textFill>
        </w:rPr>
        <w:t xml:space="preserve"> </w:t>
      </w:r>
      <w:r>
        <w:rPr>
          <w:rFonts w:cs="Times New Roman"/>
          <w:color w:val="000000" w:themeColor="text1"/>
          <w:sz w:val="18"/>
          <w:szCs w:val="18"/>
          <w14:textFill>
            <w14:solidFill>
              <w14:schemeClr w14:val="tx1"/>
            </w14:solidFill>
          </w14:textFill>
        </w:rPr>
        <w:object>
          <v:shape id="_x0000_i1124" o:spt="75" type="#_x0000_t75" style="height:15pt;width:11pt;" o:ole="t" filled="f" o:preferrelative="t" stroked="f" coordsize="21600,21600">
            <v:path/>
            <v:fill on="f" focussize="0,0"/>
            <v:stroke on="f" joinstyle="miter"/>
            <v:imagedata r:id="rId248" o:title=""/>
            <o:lock v:ext="edit" aspectratio="t"/>
            <w10:wrap type="none"/>
            <w10:anchorlock/>
          </v:shape>
          <o:OLEObject Type="Embed" ProgID="Equation.DSMT4" ShapeID="_x0000_i1124" DrawAspect="Content" ObjectID="_1468075824" r:id="rId300">
            <o:LockedField>false</o:LockedField>
          </o:OLEObject>
        </w:object>
      </w:r>
      <w:r>
        <w:rPr>
          <w:rFonts w:cs="Times New Roman"/>
          <w:color w:val="000000" w:themeColor="text1"/>
          <w:sz w:val="18"/>
          <w:szCs w:val="18"/>
          <w14:textFill>
            <w14:solidFill>
              <w14:schemeClr w14:val="tx1"/>
            </w14:solidFill>
          </w14:textFill>
        </w:rPr>
        <w:t>IO</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25"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5" DrawAspect="Content" ObjectID="_1468075825" r:id="rId301">
            <o:LockedField>false</o:LockedField>
          </o:OLEObject>
        </w:object>
      </w:r>
      <w:r>
        <w:rPr>
          <w:rFonts w:cs="Times New Roman"/>
          <w:color w:val="000000" w:themeColor="text1"/>
          <w:sz w:val="18"/>
          <w:szCs w:val="18"/>
          <w14:textFill>
            <w14:solidFill>
              <w14:schemeClr w14:val="tx1"/>
            </w14:solidFill>
          </w14:textFill>
        </w:rPr>
        <w:t>K</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26"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6" DrawAspect="Content" ObjectID="_1468075826" r:id="rId302">
            <o:LockedField>false</o:LockedField>
          </o:OLEObject>
        </w:object>
      </w:r>
      <w:r>
        <w:rPr>
          <w:rFonts w:cs="Times New Roman"/>
          <w:color w:val="000000" w:themeColor="text1"/>
          <w:sz w:val="18"/>
          <w:szCs w:val="18"/>
          <w14:textFill>
            <w14:solidFill>
              <w14:schemeClr w14:val="tx1"/>
            </w14:solidFill>
          </w14:textFill>
        </w:rPr>
        <w:t>LS</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27"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7" DrawAspect="Content" ObjectID="_1468075827" r:id="rId303">
            <o:LockedField>false</o:LockedField>
          </o:OLEObject>
        </w:object>
      </w:r>
      <w:r>
        <w:rPr>
          <w:rFonts w:cs="Times New Roman"/>
          <w:color w:val="000000" w:themeColor="text1"/>
          <w:sz w:val="18"/>
          <w:szCs w:val="18"/>
          <w14:textFill>
            <w14:solidFill>
              <w14:schemeClr w14:val="tx1"/>
            </w14:solidFill>
          </w14:textFill>
        </w:rPr>
        <w:t>CP</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ΔIO</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ΔK</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ΔLS</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ΔCP</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ΔT</w:t>
      </w:r>
      <w:r>
        <w:rPr>
          <w:rFonts w:hint="eastAsia" w:cs="Times New Roman"/>
          <w:color w:val="000000" w:themeColor="text1"/>
          <w:sz w:val="18"/>
          <w:szCs w:val="18"/>
          <w14:textFill>
            <w14:solidFill>
              <w14:schemeClr w14:val="tx1"/>
            </w14:solidFill>
          </w14:textFill>
        </w:rPr>
        <w:t>的相对量。</w:t>
      </w:r>
    </w:p>
    <w:p>
      <w:pPr>
        <w:ind w:firstLine="420"/>
        <w:rPr>
          <w:rFonts w:cs="Times New Roman"/>
          <w:color w:val="000000" w:themeColor="text1"/>
          <w:szCs w:val="21"/>
          <w14:textFill>
            <w14:solidFill>
              <w14:schemeClr w14:val="tx1"/>
            </w14:solidFill>
          </w14:textFill>
        </w:rPr>
      </w:pPr>
    </w:p>
    <w:p>
      <w:pPr>
        <w:ind w:firstLine="42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表</w:t>
      </w:r>
      <w:r>
        <w:rPr>
          <w:rFonts w:cs="Times New Roman"/>
          <w:color w:val="000000" w:themeColor="text1"/>
          <w:szCs w:val="21"/>
          <w14:textFill>
            <w14:solidFill>
              <w14:schemeClr w14:val="tx1"/>
            </w14:solidFill>
          </w14:textFill>
        </w:rPr>
        <w:t xml:space="preserve">I.4.15-2 </w:t>
      </w:r>
      <w:r>
        <w:rPr>
          <w:rFonts w:hint="eastAsia" w:cs="Times New Roman"/>
          <w:color w:val="000000" w:themeColor="text1"/>
          <w:szCs w:val="21"/>
          <w14:textFill>
            <w14:solidFill>
              <w14:schemeClr w14:val="tx1"/>
            </w14:solidFill>
          </w14:textFill>
        </w:rPr>
        <w:t>钢支撑受压</w:t>
      </w:r>
      <w:r>
        <w:rPr>
          <w:rFonts w:cs="Times New Roman"/>
          <w:color w:val="000000" w:themeColor="text1"/>
          <w:szCs w:val="21"/>
          <w14:textFill>
            <w14:solidFill>
              <w14:schemeClr w14:val="tx1"/>
            </w14:solidFill>
          </w14:textFill>
        </w:rPr>
        <w:t>ΔIO</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ΔK</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t>ΔLS</w:t>
      </w:r>
      <w:r>
        <w:rPr>
          <w:rFonts w:hint="eastAsia" w:cs="Times New Roman"/>
          <w:color w:val="000000" w:themeColor="text1"/>
          <w:szCs w:val="21"/>
          <w14:textFill>
            <w14:solidFill>
              <w14:schemeClr w14:val="tx1"/>
            </w14:solidFill>
          </w14:textFill>
        </w:rPr>
        <w:t>和</w:t>
      </w:r>
      <w:r>
        <w:rPr>
          <w:rFonts w:cs="Times New Roman"/>
          <w:color w:val="000000" w:themeColor="text1"/>
          <w:szCs w:val="21"/>
          <w14:textFill>
            <w14:solidFill>
              <w14:schemeClr w14:val="tx1"/>
            </w14:solidFill>
          </w14:textFill>
        </w:rPr>
        <w:t>ΔCP</w:t>
      </w:r>
      <w:r>
        <w:rPr>
          <w:rFonts w:hint="eastAsia" w:cs="Times New Roman"/>
          <w:color w:val="000000" w:themeColor="text1"/>
          <w:szCs w:val="21"/>
          <w14:textFill>
            <w14:solidFill>
              <w14:schemeClr w14:val="tx1"/>
            </w14:solidFill>
          </w14:textFill>
        </w:rPr>
        <w:t>取值</w:t>
      </w:r>
    </w:p>
    <w:tbl>
      <w:tblPr>
        <w:tblStyle w:val="32"/>
        <w:tblW w:w="8160" w:type="dxa"/>
        <w:tblInd w:w="0" w:type="dxa"/>
        <w:tblLayout w:type="fixed"/>
        <w:tblCellMar>
          <w:top w:w="0" w:type="dxa"/>
          <w:left w:w="108" w:type="dxa"/>
          <w:bottom w:w="0" w:type="dxa"/>
          <w:right w:w="108" w:type="dxa"/>
        </w:tblCellMar>
      </w:tblPr>
      <w:tblGrid>
        <w:gridCol w:w="1696"/>
        <w:gridCol w:w="2835"/>
        <w:gridCol w:w="907"/>
        <w:gridCol w:w="907"/>
        <w:gridCol w:w="907"/>
        <w:gridCol w:w="908"/>
      </w:tblGrid>
      <w:tr>
        <w:tblPrEx>
          <w:tblCellMar>
            <w:top w:w="0" w:type="dxa"/>
            <w:left w:w="108" w:type="dxa"/>
            <w:bottom w:w="0" w:type="dxa"/>
            <w:right w:w="108" w:type="dxa"/>
          </w:tblCellMar>
        </w:tblPrEx>
        <w:trPr>
          <w:trHeight w:val="399" w:hRule="atLeast"/>
          <w:tblHeader/>
        </w:trPr>
        <w:tc>
          <w:tcPr>
            <w:tcW w:w="453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构件类型</w:t>
            </w:r>
          </w:p>
        </w:tc>
        <w:tc>
          <w:tcPr>
            <w:tcW w:w="3629" w:type="dxa"/>
            <w:gridSpan w:val="4"/>
            <w:tcBorders>
              <w:top w:val="single" w:color="auto" w:sz="4" w:space="0"/>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轴向位移/</w:t>
            </w:r>
            <w:r>
              <w:rPr>
                <w:rFonts w:cs="Times New Roman"/>
                <w:color w:val="000000" w:themeColor="text1"/>
                <w:szCs w:val="21"/>
                <w14:textFill>
                  <w14:solidFill>
                    <w14:schemeClr w14:val="tx1"/>
                  </w14:solidFill>
                </w14:textFill>
              </w:rPr>
              <w:t>ΔP</w:t>
            </w:r>
          </w:p>
        </w:tc>
      </w:tr>
      <w:tr>
        <w:tblPrEx>
          <w:tblCellMar>
            <w:top w:w="0" w:type="dxa"/>
            <w:left w:w="108" w:type="dxa"/>
            <w:bottom w:w="0" w:type="dxa"/>
            <w:right w:w="108" w:type="dxa"/>
          </w:tblCellMar>
        </w:tblPrEx>
        <w:trPr>
          <w:trHeight w:val="399" w:hRule="atLeast"/>
          <w:tblHeader/>
        </w:trPr>
        <w:tc>
          <w:tcPr>
            <w:tcW w:w="73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p>
        </w:tc>
        <w:tc>
          <w:tcPr>
            <w:tcW w:w="907" w:type="dxa"/>
            <w:tcBorders>
              <w:top w:val="nil"/>
              <w:left w:val="nil"/>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28"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8" DrawAspect="Content" ObjectID="_1468075828" r:id="rId304">
                  <o:LockedField>false</o:LockedField>
                </o:OLEObject>
              </w:object>
            </w:r>
            <w:r>
              <w:rPr>
                <w:rFonts w:cs="Times New Roman"/>
                <w:color w:val="000000" w:themeColor="text1"/>
                <w:szCs w:val="21"/>
                <w14:textFill>
                  <w14:solidFill>
                    <w14:schemeClr w14:val="tx1"/>
                  </w14:solidFill>
                </w14:textFill>
              </w:rPr>
              <w:t>IO</w:t>
            </w:r>
          </w:p>
        </w:tc>
        <w:tc>
          <w:tcPr>
            <w:tcW w:w="907" w:type="dxa"/>
            <w:tcBorders>
              <w:top w:val="nil"/>
              <w:left w:val="nil"/>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29"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29" DrawAspect="Content" ObjectID="_1468075829" r:id="rId305">
                  <o:LockedField>false</o:LockedField>
                </o:OLEObject>
              </w:object>
            </w:r>
            <w:r>
              <w:rPr>
                <w:rFonts w:cs="Times New Roman"/>
                <w:color w:val="000000" w:themeColor="text1"/>
                <w:szCs w:val="21"/>
                <w14:textFill>
                  <w14:solidFill>
                    <w14:schemeClr w14:val="tx1"/>
                  </w14:solidFill>
                </w14:textFill>
              </w:rPr>
              <w:t>K</w:t>
            </w:r>
          </w:p>
        </w:tc>
        <w:tc>
          <w:tcPr>
            <w:tcW w:w="907" w:type="dxa"/>
            <w:tcBorders>
              <w:top w:val="nil"/>
              <w:left w:val="nil"/>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30"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30" DrawAspect="Content" ObjectID="_1468075830" r:id="rId306">
                  <o:LockedField>false</o:LockedField>
                </o:OLEObject>
              </w:object>
            </w:r>
            <w:r>
              <w:rPr>
                <w:rFonts w:cs="Times New Roman"/>
                <w:color w:val="000000" w:themeColor="text1"/>
                <w:szCs w:val="21"/>
                <w14:textFill>
                  <w14:solidFill>
                    <w14:schemeClr w14:val="tx1"/>
                  </w14:solidFill>
                </w14:textFill>
              </w:rPr>
              <w:t>LS</w:t>
            </w:r>
          </w:p>
        </w:tc>
        <w:tc>
          <w:tcPr>
            <w:tcW w:w="908" w:type="dxa"/>
            <w:tcBorders>
              <w:top w:val="nil"/>
              <w:left w:val="nil"/>
              <w:bottom w:val="single" w:color="auto" w:sz="4" w:space="0"/>
              <w:right w:val="single" w:color="auto" w:sz="4" w:space="0"/>
            </w:tcBorders>
            <w:noWrap/>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object>
                <v:shape id="_x0000_i1131"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31" DrawAspect="Content" ObjectID="_1468075831" r:id="rId307">
                  <o:LockedField>false</o:LockedField>
                </o:OLEObject>
              </w:object>
            </w:r>
            <w:r>
              <w:rPr>
                <w:rFonts w:cs="Times New Roman"/>
                <w:color w:val="000000" w:themeColor="text1"/>
                <w:szCs w:val="21"/>
                <w14:textFill>
                  <w14:solidFill>
                    <w14:schemeClr w14:val="tx1"/>
                  </w14:solidFill>
                </w14:textFill>
              </w:rPr>
              <w:t>CP</w:t>
            </w:r>
          </w:p>
        </w:tc>
      </w:tr>
      <w:tr>
        <w:tblPrEx>
          <w:tblCellMar>
            <w:top w:w="0" w:type="dxa"/>
            <w:left w:w="108" w:type="dxa"/>
            <w:bottom w:w="0" w:type="dxa"/>
            <w:right w:w="108" w:type="dxa"/>
          </w:tblCellMar>
        </w:tblPrEx>
        <w:trPr>
          <w:trHeight w:val="688" w:hRule="atLeast"/>
        </w:trPr>
        <w:tc>
          <w:tcPr>
            <w:tcW w:w="1696" w:type="dxa"/>
            <w:vMerge w:val="restart"/>
            <w:tcBorders>
              <w:top w:val="single" w:color="auto" w:sz="4" w:space="0"/>
              <w:left w:val="single" w:color="auto" w:sz="4" w:space="0"/>
              <w:bottom w:val="nil"/>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长细比</w:t>
            </w:r>
          </w:p>
          <w:p>
            <w:pPr>
              <w:widowControl/>
              <w:ind w:firstLine="0" w:firstLineChars="0"/>
              <w:jc w:val="center"/>
              <w:rPr>
                <w:rFonts w:cs="Times New Roman"/>
                <w:color w:val="000000" w:themeColor="text1"/>
                <w:szCs w:val="21"/>
                <w14:textFill>
                  <w14:solidFill>
                    <w14:schemeClr w14:val="tx1"/>
                  </w14:solidFill>
                </w14:textFill>
              </w:rPr>
            </w:pPr>
            <m:oMathPara>
              <m:oMath>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Kl</m:t>
                    </m:r>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≥4.2</m:t>
                </m:r>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oMath>
            </m:oMathPara>
          </w:p>
        </w:tc>
        <w:tc>
          <w:tcPr>
            <w:tcW w:w="283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截面、工字截面</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5.25</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9</w:t>
            </w:r>
          </w:p>
        </w:tc>
        <w:tc>
          <w:tcPr>
            <w:tcW w:w="908"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11</w:t>
            </w:r>
          </w:p>
        </w:tc>
      </w:tr>
      <w:tr>
        <w:tblPrEx>
          <w:tblCellMar>
            <w:top w:w="0" w:type="dxa"/>
            <w:left w:w="108" w:type="dxa"/>
            <w:bottom w:w="0" w:type="dxa"/>
            <w:right w:w="108" w:type="dxa"/>
          </w:tblCellMar>
        </w:tblPrEx>
        <w:trPr>
          <w:trHeight w:val="399" w:hRule="atLeast"/>
        </w:trPr>
        <w:tc>
          <w:tcPr>
            <w:tcW w:w="4531" w:type="dxa"/>
            <w:vMerge w:val="continue"/>
            <w:tcBorders>
              <w:top w:val="single" w:color="auto" w:sz="4" w:space="0"/>
              <w:left w:val="single" w:color="auto" w:sz="4" w:space="0"/>
              <w:bottom w:val="nil"/>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矩形或圆形钢管</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4.75</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8</w:t>
            </w:r>
          </w:p>
        </w:tc>
        <w:tc>
          <w:tcPr>
            <w:tcW w:w="908"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10</w:t>
            </w:r>
          </w:p>
        </w:tc>
      </w:tr>
      <w:tr>
        <w:tblPrEx>
          <w:tblCellMar>
            <w:top w:w="0" w:type="dxa"/>
            <w:left w:w="108" w:type="dxa"/>
            <w:bottom w:w="0" w:type="dxa"/>
            <w:right w:w="108" w:type="dxa"/>
          </w:tblCellMar>
        </w:tblPrEx>
        <w:trPr>
          <w:trHeight w:val="578" w:hRule="atLeast"/>
        </w:trPr>
        <w:tc>
          <w:tcPr>
            <w:tcW w:w="1696" w:type="dxa"/>
            <w:vMerge w:val="restart"/>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长细比</w:t>
            </w:r>
          </w:p>
          <w:p>
            <w:pPr>
              <w:widowControl/>
              <w:ind w:firstLine="0" w:firstLineChars="0"/>
              <w:jc w:val="center"/>
              <w:rPr>
                <w:rFonts w:cs="Times New Roman"/>
                <w:color w:val="000000" w:themeColor="text1"/>
                <w:szCs w:val="21"/>
                <w14:textFill>
                  <w14:solidFill>
                    <w14:schemeClr w14:val="tx1"/>
                  </w14:solidFill>
                </w14:textFill>
              </w:rPr>
            </w:pPr>
            <m:oMathPara>
              <m:oMath>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Kl</m:t>
                    </m:r>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≤2.1</m:t>
                </m:r>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oMath>
            </m:oMathPara>
          </w:p>
        </w:tc>
        <w:tc>
          <w:tcPr>
            <w:tcW w:w="283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H</w:t>
            </w:r>
            <w:r>
              <w:rPr>
                <w:rFonts w:hint="eastAsia" w:cs="Times New Roman"/>
                <w:color w:val="000000" w:themeColor="text1"/>
                <w:szCs w:val="21"/>
                <w14:textFill>
                  <w14:solidFill>
                    <w14:schemeClr w14:val="tx1"/>
                  </w14:solidFill>
                </w14:textFill>
              </w:rPr>
              <w:t>截面、工字截面</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4.75</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8</w:t>
            </w:r>
          </w:p>
        </w:tc>
        <w:tc>
          <w:tcPr>
            <w:tcW w:w="908"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9</w:t>
            </w:r>
          </w:p>
        </w:tc>
      </w:tr>
      <w:tr>
        <w:tblPrEx>
          <w:tblCellMar>
            <w:top w:w="0" w:type="dxa"/>
            <w:left w:w="108" w:type="dxa"/>
            <w:bottom w:w="0" w:type="dxa"/>
            <w:right w:w="108" w:type="dxa"/>
          </w:tblCellMar>
        </w:tblPrEx>
        <w:trPr>
          <w:trHeight w:val="399" w:hRule="atLeast"/>
        </w:trPr>
        <w:tc>
          <w:tcPr>
            <w:tcW w:w="4531" w:type="dxa"/>
            <w:vMerge w:val="continue"/>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矩形或圆形钢管</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1.5</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4.25</w:t>
            </w:r>
          </w:p>
        </w:tc>
        <w:tc>
          <w:tcPr>
            <w:tcW w:w="907"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7</w:t>
            </w:r>
          </w:p>
        </w:tc>
        <w:tc>
          <w:tcPr>
            <w:tcW w:w="908" w:type="dxa"/>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8</w:t>
            </w:r>
          </w:p>
        </w:tc>
      </w:tr>
      <w:tr>
        <w:tblPrEx>
          <w:tblCellMar>
            <w:top w:w="0" w:type="dxa"/>
            <w:left w:w="108" w:type="dxa"/>
            <w:bottom w:w="0" w:type="dxa"/>
            <w:right w:w="108" w:type="dxa"/>
          </w:tblCellMar>
        </w:tblPrEx>
        <w:trPr>
          <w:trHeight w:val="399" w:hRule="atLeast"/>
        </w:trPr>
        <w:tc>
          <w:tcPr>
            <w:tcW w:w="45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长细比</w:t>
            </w:r>
            <m:oMath>
              <m:r>
                <m:rPr>
                  <m:sty m:val="p"/>
                </m:rPr>
                <w:rPr>
                  <w:rFonts w:ascii="Cambria Math" w:hAnsi="Cambria Math" w:cs="Times New Roman"/>
                  <w:color w:val="000000" w:themeColor="text1"/>
                  <w:szCs w:val="21"/>
                  <w14:textFill>
                    <w14:solidFill>
                      <w14:schemeClr w14:val="tx1"/>
                    </w14:solidFill>
                  </w14:textFill>
                </w:rPr>
                <m:t>2.1</m:t>
              </m:r>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r>
                <m:rPr>
                  <m:sty m:val="p"/>
                </m:rPr>
                <w:rPr>
                  <w:rFonts w:ascii="Cambria Math" w:hAnsi="Cambria Math" w:cs="Times New Roman"/>
                  <w:color w:val="000000" w:themeColor="text1"/>
                  <w:szCs w:val="21"/>
                  <w14:textFill>
                    <w14:solidFill>
                      <w14:schemeClr w14:val="tx1"/>
                    </w14:solidFill>
                  </w14:textFill>
                </w:rPr>
                <m:t>&lt;</m:t>
              </m:r>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Kl</m:t>
                  </m:r>
                  <m:ctrlPr>
                    <w:rPr>
                      <w:rFonts w:ascii="Cambria Math" w:hAnsi="Cambria Math" w:cs="Times New Roman"/>
                      <w:color w:val="000000" w:themeColor="text1"/>
                      <w:szCs w:val="21"/>
                      <w14:textFill>
                        <w14:solidFill>
                          <w14:schemeClr w14:val="tx1"/>
                        </w14:solidFill>
                      </w14:textFill>
                    </w:rPr>
                  </m:ctrlPr>
                </m:num>
                <m:den>
                  <m:r>
                    <m:rPr>
                      <m:sty m:val="p"/>
                    </m:rPr>
                    <w:rPr>
                      <w:rFonts w:ascii="Cambria Math" w:hAnsi="Cambria Math" w:cs="Times New Roman"/>
                      <w:color w:val="000000" w:themeColor="text1"/>
                      <w:szCs w:val="21"/>
                      <w14:textFill>
                        <w14:solidFill>
                          <w14:schemeClr w14:val="tx1"/>
                        </w14:solidFill>
                      </w14:textFill>
                    </w:rPr>
                    <m:t>i</m:t>
                  </m:r>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&lt;4.2</m:t>
              </m:r>
              <m:rad>
                <m:radPr>
                  <m:degHide m:val="1"/>
                  <m:ctrlPr>
                    <w:rPr>
                      <w:rFonts w:ascii="Cambria Math" w:hAnsi="Cambria Math" w:cs="Times New Roman"/>
                      <w:color w:val="000000" w:themeColor="text1"/>
                      <w:szCs w:val="21"/>
                      <w14:textFill>
                        <w14:solidFill>
                          <w14:schemeClr w14:val="tx1"/>
                        </w14:solidFill>
                      </w14:textFill>
                    </w:rPr>
                  </m:ctrlPr>
                </m:radPr>
                <m:deg>
                  <m:ctrlPr>
                    <w:rPr>
                      <w:rFonts w:ascii="Cambria Math" w:hAnsi="Cambria Math" w:cs="Times New Roman"/>
                      <w:color w:val="000000" w:themeColor="text1"/>
                      <w:szCs w:val="21"/>
                      <w14:textFill>
                        <w14:solidFill>
                          <w14:schemeClr w14:val="tx1"/>
                        </w14:solidFill>
                      </w14:textFill>
                    </w:rPr>
                  </m:ctrlPr>
                </m:deg>
                <m:e>
                  <m:f>
                    <m:fPr>
                      <m:ctrlPr>
                        <w:rPr>
                          <w:rFonts w:ascii="Cambria Math" w:hAnsi="Cambria Math" w:cs="Times New Roman"/>
                          <w:color w:val="000000" w:themeColor="text1"/>
                          <w:szCs w:val="21"/>
                          <w14:textFill>
                            <w14:solidFill>
                              <w14:schemeClr w14:val="tx1"/>
                            </w14:solidFill>
                          </w14:textFill>
                        </w:rPr>
                      </m:ctrlPr>
                    </m:fPr>
                    <m:num>
                      <m:r>
                        <m:rPr>
                          <m:sty m:val="p"/>
                        </m:rP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num>
                    <m:den>
                      <m:sSub>
                        <m:sSubPr>
                          <m:ctrlPr>
                            <w:rPr>
                              <w:rFonts w:ascii="Cambria Math" w:hAnsi="Cambria Math" w:cs="Times New Roman"/>
                              <w:color w:val="000000" w:themeColor="text1"/>
                              <w:szCs w:val="21"/>
                              <w14:textFill>
                                <w14:solidFill>
                                  <w14:schemeClr w14:val="tx1"/>
                                </w14:solidFill>
                              </w14:textFill>
                            </w:rPr>
                          </m:ctrlPr>
                        </m:sSubPr>
                        <m:e>
                          <m:r>
                            <m:rPr>
                              <m:sty m:val="p"/>
                            </m:rP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m:rPr>
                              <m:sty m:val="p"/>
                            </m:rPr>
                            <w:rPr>
                              <w:rFonts w:ascii="Cambria Math" w:hAnsi="Cambria Math" w:cs="Times New Roman"/>
                              <w:color w:val="000000" w:themeColor="text1"/>
                              <w:szCs w:val="21"/>
                              <w14:textFill>
                                <w14:solidFill>
                                  <w14:schemeClr w14:val="tx1"/>
                                </w14:solidFill>
                              </w14:textFill>
                            </w:rPr>
                            <m:t>y</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den>
                  </m:f>
                  <m:ctrlPr>
                    <w:rPr>
                      <w:rFonts w:ascii="Cambria Math" w:hAnsi="Cambria Math" w:cs="Times New Roman"/>
                      <w:color w:val="000000" w:themeColor="text1"/>
                      <w:szCs w:val="21"/>
                      <w14:textFill>
                        <w14:solidFill>
                          <w14:schemeClr w14:val="tx1"/>
                        </w14:solidFill>
                      </w14:textFill>
                    </w:rPr>
                  </m:ctrlPr>
                </m:e>
              </m:rad>
            </m:oMath>
          </w:p>
        </w:tc>
        <w:tc>
          <w:tcPr>
            <w:tcW w:w="3629" w:type="dxa"/>
            <w:gridSpan w:val="4"/>
            <w:tcBorders>
              <w:top w:val="nil"/>
              <w:left w:val="nil"/>
              <w:bottom w:val="single" w:color="auto" w:sz="4" w:space="0"/>
              <w:right w:val="single" w:color="auto" w:sz="4" w:space="0"/>
            </w:tcBorders>
            <w:vAlign w:val="center"/>
          </w:tcPr>
          <w:p>
            <w:pPr>
              <w:widowControl/>
              <w:ind w:firstLine="0" w:firstLineChars="0"/>
              <w:jc w:val="center"/>
              <w:rPr>
                <w:rFonts w:cs="Times New Roman"/>
                <w:color w:val="000000" w:themeColor="text1"/>
                <w:szCs w:val="21"/>
                <w14:textFill>
                  <w14:solidFill>
                    <w14:schemeClr w14:val="tx1"/>
                  </w14:solidFill>
                </w14:textFill>
              </w:rPr>
            </w:pPr>
            <w:r>
              <w:rPr>
                <w:rFonts w:hint="eastAsia" w:cs="Times New Roman"/>
                <w:color w:val="000000" w:themeColor="text1"/>
                <w:szCs w:val="21"/>
                <w14:textFill>
                  <w14:solidFill>
                    <w14:schemeClr w14:val="tx1"/>
                  </w14:solidFill>
                </w14:textFill>
              </w:rPr>
              <w:t>线性插值</w:t>
            </w:r>
          </w:p>
        </w:tc>
      </w:tr>
    </w:tbl>
    <w:p>
      <w:pPr>
        <w:widowControl/>
        <w:adjustRightInd/>
        <w:snapToGrid/>
        <w:ind w:firstLine="0" w:firstLineChars="0"/>
        <w:jc w:val="left"/>
        <w:rPr>
          <w:b/>
          <w:color w:val="000000" w:themeColor="text1"/>
          <w:sz w:val="30"/>
          <w14:textFill>
            <w14:solidFill>
              <w14:schemeClr w14:val="tx1"/>
            </w14:solidFill>
          </w14:textFill>
        </w:rPr>
      </w:pPr>
      <w:r>
        <w:rPr>
          <w:rFonts w:hint="eastAsia" w:cs="Times New Roman"/>
          <w:color w:val="000000" w:themeColor="text1"/>
          <w:sz w:val="18"/>
          <w:szCs w:val="18"/>
          <w14:textFill>
            <w14:solidFill>
              <w14:schemeClr w14:val="tx1"/>
            </w14:solidFill>
          </w14:textFill>
        </w:rPr>
        <w:t>注：1</w:t>
      </w:r>
      <w:r>
        <w:rPr>
          <w:rFonts w:cs="Times New Roman"/>
          <w:color w:val="000000" w:themeColor="text1"/>
          <w:sz w:val="18"/>
          <w:szCs w:val="18"/>
          <w14:textFill>
            <w14:solidFill>
              <w14:schemeClr w14:val="tx1"/>
            </w14:solidFill>
          </w14:textFill>
        </w:rPr>
        <w:t xml:space="preserve"> </w:t>
      </w:r>
      <w:r>
        <w:rPr>
          <w:rFonts w:cs="Times New Roman"/>
          <w:color w:val="000000" w:themeColor="text1"/>
          <w:sz w:val="18"/>
          <w:szCs w:val="18"/>
          <w14:textFill>
            <w14:solidFill>
              <w14:schemeClr w14:val="tx1"/>
            </w14:solidFill>
          </w14:textFill>
        </w:rPr>
        <w:object>
          <v:shape id="_x0000_i1132" o:spt="75" type="#_x0000_t75" style="height:15pt;width:11pt;" o:ole="t" filled="f" o:preferrelative="t" stroked="f" coordsize="21600,21600">
            <v:path/>
            <v:fill on="f" focussize="0,0"/>
            <v:stroke on="f" joinstyle="miter"/>
            <v:imagedata r:id="rId248" o:title=""/>
            <o:lock v:ext="edit" aspectratio="t"/>
            <w10:wrap type="none"/>
            <w10:anchorlock/>
          </v:shape>
          <o:OLEObject Type="Embed" ProgID="Equation.DSMT4" ShapeID="_x0000_i1132" DrawAspect="Content" ObjectID="_1468075832" r:id="rId308">
            <o:LockedField>false</o:LockedField>
          </o:OLEObject>
        </w:object>
      </w:r>
      <w:r>
        <w:rPr>
          <w:rFonts w:cs="Times New Roman"/>
          <w:color w:val="000000" w:themeColor="text1"/>
          <w:sz w:val="18"/>
          <w:szCs w:val="18"/>
          <w14:textFill>
            <w14:solidFill>
              <w14:schemeClr w14:val="tx1"/>
            </w14:solidFill>
          </w14:textFill>
        </w:rPr>
        <w:t>IO</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33"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33" DrawAspect="Content" ObjectID="_1468075833" r:id="rId309">
            <o:LockedField>false</o:LockedField>
          </o:OLEObject>
        </w:object>
      </w:r>
      <w:r>
        <w:rPr>
          <w:rFonts w:cs="Times New Roman"/>
          <w:color w:val="000000" w:themeColor="text1"/>
          <w:sz w:val="18"/>
          <w:szCs w:val="18"/>
          <w14:textFill>
            <w14:solidFill>
              <w14:schemeClr w14:val="tx1"/>
            </w14:solidFill>
          </w14:textFill>
        </w:rPr>
        <w:t>K</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34"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34" DrawAspect="Content" ObjectID="_1468075834" r:id="rId310">
            <o:LockedField>false</o:LockedField>
          </o:OLEObject>
        </w:object>
      </w:r>
      <w:r>
        <w:rPr>
          <w:rFonts w:cs="Times New Roman"/>
          <w:color w:val="000000" w:themeColor="text1"/>
          <w:sz w:val="18"/>
          <w:szCs w:val="18"/>
          <w14:textFill>
            <w14:solidFill>
              <w14:schemeClr w14:val="tx1"/>
            </w14:solidFill>
          </w14:textFill>
        </w:rPr>
        <w:t>LS</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object>
          <v:shape id="_x0000_i1135" o:spt="75" type="#_x0000_t75" style="height:15pt;width:11pt;" o:ole="t" filled="f" o:preferrelative="t" stroked="f" coordsize="21600,21600">
            <v:path/>
            <v:fill on="f" focussize="0,0"/>
            <v:stroke on="f" joinstyle="miter"/>
            <v:imagedata r:id="rId250" o:title=""/>
            <o:lock v:ext="edit" aspectratio="t"/>
            <w10:wrap type="none"/>
            <w10:anchorlock/>
          </v:shape>
          <o:OLEObject Type="Embed" ProgID="Equation.DSMT4" ShapeID="_x0000_i1135" DrawAspect="Content" ObjectID="_1468075835" r:id="rId311">
            <o:LockedField>false</o:LockedField>
          </o:OLEObject>
        </w:object>
      </w:r>
      <w:r>
        <w:rPr>
          <w:rFonts w:cs="Times New Roman"/>
          <w:color w:val="000000" w:themeColor="text1"/>
          <w:sz w:val="18"/>
          <w:szCs w:val="18"/>
          <w14:textFill>
            <w14:solidFill>
              <w14:schemeClr w14:val="tx1"/>
            </w14:solidFill>
          </w14:textFill>
        </w:rPr>
        <w:t>CP</w:t>
      </w:r>
      <w:r>
        <w:rPr>
          <w:rFonts w:hint="eastAsia" w:cs="Times New Roman"/>
          <w:color w:val="000000" w:themeColor="text1"/>
          <w:sz w:val="18"/>
          <w:szCs w:val="18"/>
          <w14:textFill>
            <w14:solidFill>
              <w14:schemeClr w14:val="tx1"/>
            </w14:solidFill>
          </w14:textFill>
        </w:rPr>
        <w:t>分别为</w:t>
      </w:r>
      <w:r>
        <w:rPr>
          <w:rFonts w:cs="Times New Roman"/>
          <w:color w:val="000000" w:themeColor="text1"/>
          <w:sz w:val="18"/>
          <w:szCs w:val="18"/>
          <w14:textFill>
            <w14:solidFill>
              <w14:schemeClr w14:val="tx1"/>
            </w14:solidFill>
          </w14:textFill>
        </w:rPr>
        <w:t>ΔIO</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ΔK</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ΔLS</w:t>
      </w:r>
      <w:r>
        <w:rPr>
          <w:rFonts w:hint="eastAsia" w:cs="Times New Roman"/>
          <w:color w:val="000000" w:themeColor="text1"/>
          <w:sz w:val="18"/>
          <w:szCs w:val="18"/>
          <w14:textFill>
            <w14:solidFill>
              <w14:schemeClr w14:val="tx1"/>
            </w14:solidFill>
          </w14:textFill>
        </w:rPr>
        <w:t>、</w:t>
      </w:r>
      <w:r>
        <w:rPr>
          <w:rFonts w:cs="Times New Roman"/>
          <w:color w:val="000000" w:themeColor="text1"/>
          <w:sz w:val="18"/>
          <w:szCs w:val="18"/>
          <w14:textFill>
            <w14:solidFill>
              <w14:schemeClr w14:val="tx1"/>
            </w14:solidFill>
          </w14:textFill>
        </w:rPr>
        <w:t>ΔCP</w:t>
      </w:r>
      <w:r>
        <w:rPr>
          <w:rFonts w:hint="eastAsia" w:cs="Times New Roman"/>
          <w:color w:val="000000" w:themeColor="text1"/>
          <w:sz w:val="18"/>
          <w:szCs w:val="18"/>
          <w14:textFill>
            <w14:solidFill>
              <w14:schemeClr w14:val="tx1"/>
            </w14:solidFill>
          </w14:textFill>
        </w:rPr>
        <w:t>除以</w:t>
      </w:r>
      <w:r>
        <w:rPr>
          <w:rFonts w:cs="Times New Roman"/>
          <w:color w:val="000000" w:themeColor="text1"/>
          <w:sz w:val="18"/>
          <w:szCs w:val="18"/>
          <w14:textFill>
            <w14:solidFill>
              <w14:schemeClr w14:val="tx1"/>
            </w14:solidFill>
          </w14:textFill>
        </w:rPr>
        <w:t>ΔP</w:t>
      </w:r>
      <w:r>
        <w:rPr>
          <w:rFonts w:hint="eastAsia" w:cs="Times New Roman"/>
          <w:color w:val="000000" w:themeColor="text1"/>
          <w:sz w:val="18"/>
          <w:szCs w:val="18"/>
          <w14:textFill>
            <w14:solidFill>
              <w14:schemeClr w14:val="tx1"/>
            </w14:solidFill>
          </w14:textFill>
        </w:rPr>
        <w:t>的相对量。</w:t>
      </w:r>
      <w:r>
        <w:rPr>
          <w:color w:val="000000" w:themeColor="text1"/>
          <w14:textFill>
            <w14:solidFill>
              <w14:schemeClr w14:val="tx1"/>
            </w14:solidFill>
          </w14:textFill>
        </w:rPr>
        <w:br w:type="page"/>
      </w:r>
    </w:p>
    <w:p>
      <w:pPr>
        <w:pStyle w:val="134"/>
        <w:ind w:firstLine="0" w:firstLineChars="0"/>
        <w:rPr>
          <w:color w:val="000000" w:themeColor="text1"/>
          <w14:textFill>
            <w14:solidFill>
              <w14:schemeClr w14:val="tx1"/>
            </w14:solidFill>
          </w14:textFill>
        </w:rPr>
      </w:pPr>
      <w:bookmarkStart w:id="264" w:name="_Toc48841074"/>
      <w:r>
        <w:rPr>
          <w:rFonts w:hint="eastAsia"/>
          <w:color w:val="000000" w:themeColor="text1"/>
          <w14:textFill>
            <w14:solidFill>
              <w14:schemeClr w14:val="tx1"/>
            </w14:solidFill>
          </w14:textFill>
        </w:rPr>
        <w:t>附录</w:t>
      </w:r>
      <w:r>
        <w:rPr>
          <w:color w:val="000000" w:themeColor="text1"/>
          <w14:textFill>
            <w14:solidFill>
              <w14:schemeClr w14:val="tx1"/>
            </w14:solidFill>
          </w14:textFill>
        </w:rPr>
        <w:t>J 屈曲约束支撑</w:t>
      </w:r>
      <w:bookmarkEnd w:id="264"/>
    </w:p>
    <w:p>
      <w:pPr>
        <w:spacing w:line="360" w:lineRule="auto"/>
        <w:ind w:firstLine="420"/>
        <w:jc w:val="center"/>
        <w:rPr>
          <w:rFonts w:cs="Times New Roman"/>
          <w:color w:val="000000" w:themeColor="text1"/>
          <w:szCs w:val="21"/>
          <w14:textFill>
            <w14:solidFill>
              <w14:schemeClr w14:val="tx1"/>
            </w14:solidFill>
          </w14:textFill>
        </w:rPr>
      </w:pP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J.0.1 屈曲约束支撑结构的设计应满足下列要求：</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 屈曲约束支撑应按仅承受轴心力作用设计，其布置可选用人字形、V形、单斜杆等中心支撑形式，不应选用K形或X形。</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 屈曲约束支撑在风荷载和地震基本组合下应保持弹性状态，在设防烈度地震和罕遇地震作用下应能显著屈服耗能。</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J.0.2 屈曲约束支撑的设计应满足下列要求：</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1 核心钢支撑的钢材可采用普通钢材和低屈服点钢，钢材的屈服强度实测值和抗拉强度实测值的比值不应大于0.85，伸长率不宜低于25%，并根据工作温度确定其冲击韧性的要求。</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2 核心钢支撑应采用整根材料，不允许有对接接头。</w:t>
      </w:r>
    </w:p>
    <w:p>
      <w:pPr>
        <w:spacing w:line="360" w:lineRule="auto"/>
        <w:ind w:left="105" w:leftChars="50" w:firstLine="315" w:firstLineChars="15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3 核心钢支撑工作段与外约束单元之间的间隙应尽量小，一般取核心钢支撑工作段宽度的0.5%～2.0%。</w:t>
      </w:r>
    </w:p>
    <w:p>
      <w:pPr>
        <w:spacing w:line="360" w:lineRule="auto"/>
        <w:ind w:firstLine="42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4 核心钢支撑过渡段与外约束单元之间应留有间隙，确保核心钢支撑在大变形时可自由伸缩。</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J.0.3 屈曲约束支撑的轴向力由核心钢支撑承受全部承受，其轴心承载力设计值</w:t>
      </w:r>
      <w:r>
        <w:rPr>
          <w:rFonts w:cs="Times New Roman"/>
          <w:color w:val="000000" w:themeColor="text1"/>
          <w:szCs w:val="21"/>
          <w14:textFill>
            <w14:solidFill>
              <w14:schemeClr w14:val="tx1"/>
            </w14:solidFill>
          </w14:textFill>
        </w:rPr>
        <w:object>
          <v:shape id="_x0000_i1136" o:spt="75" type="#_x0000_t75" style="height:17pt;width:16pt;" o:ole="t" filled="f" o:preferrelative="t" stroked="f" coordsize="21600,21600">
            <v:path/>
            <v:fill on="f" focussize="0,0"/>
            <v:stroke on="f" joinstyle="miter"/>
            <v:imagedata r:id="rId313" o:title=""/>
            <o:lock v:ext="edit" aspectratio="t"/>
            <w10:wrap type="none"/>
            <w10:anchorlock/>
          </v:shape>
          <o:OLEObject Type="Embed" ProgID="Equation.3" ShapeID="_x0000_i1136" DrawAspect="Content" ObjectID="_1468075836" r:id="rId312">
            <o:LockedField>false</o:LockedField>
          </o:OLEObject>
        </w:object>
      </w:r>
      <w:r>
        <w:rPr>
          <w:rFonts w:cs="Times New Roman"/>
          <w:color w:val="000000" w:themeColor="text1"/>
          <w:szCs w:val="21"/>
          <w14:textFill>
            <w14:solidFill>
              <w14:schemeClr w14:val="tx1"/>
            </w14:solidFill>
          </w14:textFill>
        </w:rPr>
        <w:t>可按下式计算：</w:t>
      </w:r>
    </w:p>
    <w:p>
      <w:pPr>
        <w:wordWrap w:val="0"/>
        <w:spacing w:line="360" w:lineRule="auto"/>
        <w:ind w:firstLine="420"/>
        <w:jc w:val="right"/>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 xml:space="preserve">       </w:t>
      </w:r>
      <m:oMath>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d</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color w:val="000000" w:themeColor="text1"/>
                <w:szCs w:val="21"/>
                <w14:textFill>
                  <w14:solidFill>
                    <w14:schemeClr w14:val="tx1"/>
                  </w14:solidFill>
                </w14:textFill>
              </w:rPr>
            </m:ctrlPr>
          </m:sub>
        </m:sSub>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f</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cor</m:t>
            </m:r>
            <m:ctrlPr>
              <w:rPr>
                <w:rFonts w:ascii="Cambria Math" w:hAnsi="Cambria Math" w:cs="Times New Roman"/>
                <w:color w:val="000000" w:themeColor="text1"/>
                <w:szCs w:val="21"/>
                <w14:textFill>
                  <w14:solidFill>
                    <w14:schemeClr w14:val="tx1"/>
                  </w14:solidFill>
                </w14:textFill>
              </w:rPr>
            </m:ctrlPr>
          </m:sub>
        </m:sSub>
      </m:oMath>
      <w:r>
        <w:rPr>
          <w:rFonts w:cs="Times New Roman"/>
          <w:color w:val="000000" w:themeColor="text1"/>
          <w:szCs w:val="21"/>
          <w14:textFill>
            <w14:solidFill>
              <w14:schemeClr w14:val="tx1"/>
            </w14:solidFill>
          </w14:textFill>
        </w:rPr>
        <w:t xml:space="preserve">                          （J.0.3-1）</w:t>
      </w:r>
    </w:p>
    <w:p>
      <w:pPr>
        <w:spacing w:line="360" w:lineRule="auto"/>
        <w:ind w:left="1470" w:hanging="1470" w:hangingChars="70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式中</w:t>
      </w:r>
      <w:r>
        <w:rPr>
          <w:rFonts w:hint="eastAsia"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object>
          <v:shape id="_x0000_i1137" o:spt="75" type="#_x0000_t75" style="height:16pt;width:15pt;" o:ole="t" filled="f" o:preferrelative="t" stroked="f" coordsize="21600,21600">
            <v:path/>
            <v:fill on="f" focussize="0,0"/>
            <v:stroke on="f" joinstyle="miter"/>
            <v:imagedata r:id="rId315" o:title=""/>
            <o:lock v:ext="edit" aspectratio="t"/>
            <w10:wrap type="none"/>
            <w10:anchorlock/>
          </v:shape>
          <o:OLEObject Type="Embed" ProgID="Equation.3" ShapeID="_x0000_i1137" DrawAspect="Content" ObjectID="_1468075837" r:id="rId314">
            <o:LockedField>false</o:LockedField>
          </o:OLEObject>
        </w:object>
      </w:r>
      <w:r>
        <w:rPr>
          <w:rFonts w:cs="Times New Roman"/>
          <w:color w:val="000000" w:themeColor="text1"/>
          <w:szCs w:val="21"/>
          <w14:textFill>
            <w14:solidFill>
              <w14:schemeClr w14:val="tx1"/>
            </w14:solidFill>
          </w14:textFill>
        </w:rPr>
        <w:t>、</w:t>
      </w:r>
      <w:r>
        <w:rPr>
          <w:rFonts w:cs="Times New Roman"/>
          <w:color w:val="000000" w:themeColor="text1"/>
          <w:szCs w:val="21"/>
          <w14:textFill>
            <w14:solidFill>
              <w14:schemeClr w14:val="tx1"/>
            </w14:solidFill>
          </w14:textFill>
        </w:rPr>
        <w:object>
          <v:shape id="_x0000_i1138" o:spt="75" type="#_x0000_t75" style="height:20pt;width:20pt;" o:ole="t" filled="f" o:preferrelative="t" stroked="f" coordsize="21600,21600">
            <v:path/>
            <v:fill on="f" focussize="0,0"/>
            <v:stroke on="f" joinstyle="miter"/>
            <v:imagedata r:id="rId317" o:title=""/>
            <o:lock v:ext="edit" aspectratio="t"/>
            <w10:wrap type="none"/>
            <w10:anchorlock/>
          </v:shape>
          <o:OLEObject Type="Embed" ProgID="Equation.3" ShapeID="_x0000_i1138" DrawAspect="Content" ObjectID="_1468075838" r:id="rId316">
            <o:LockedField>false</o:LockedField>
          </o:OLEObject>
        </w:object>
      </w:r>
      <w:r>
        <w:rPr>
          <w:rFonts w:cs="Times New Roman"/>
          <w:color w:val="000000" w:themeColor="text1"/>
          <w:szCs w:val="21"/>
          <w14:textFill>
            <w14:solidFill>
              <w14:schemeClr w14:val="tx1"/>
            </w14:solidFill>
          </w14:textFill>
        </w:rPr>
        <w:t>—分别为核心钢支撑工作段净截面面积及钢材强度设计值。</w:t>
      </w:r>
    </w:p>
    <w:p>
      <w:pPr>
        <w:spacing w:line="360" w:lineRule="auto"/>
        <w:ind w:firstLine="0" w:firstLineChars="0"/>
        <w:rPr>
          <w:rFonts w:cs="Times New Roman"/>
          <w:color w:val="000000" w:themeColor="text1"/>
          <w:szCs w:val="21"/>
          <w14:textFill>
            <w14:solidFill>
              <w14:schemeClr w14:val="tx1"/>
            </w14:solidFill>
          </w14:textFill>
        </w:rPr>
      </w:pPr>
      <w:r>
        <w:rPr>
          <w:rFonts w:cs="Times New Roman"/>
          <w:color w:val="000000" w:themeColor="text1"/>
          <w:szCs w:val="21"/>
          <w14:textFill>
            <w14:solidFill>
              <w14:schemeClr w14:val="tx1"/>
            </w14:solidFill>
          </w14:textFill>
        </w:rPr>
        <w:t>J.0.4 屈曲约束支撑的外约束单元应能可靠约束核心钢支撑的整体屈曲，其抗弯刚度应满足下式要求：</w:t>
      </w:r>
    </w:p>
    <w:p>
      <w:pPr>
        <w:spacing w:line="360" w:lineRule="auto"/>
        <w:ind w:firstLine="420"/>
        <w:jc w:val="right"/>
        <w:rPr>
          <w:rFonts w:cs="Times New Roman"/>
          <w:color w:val="000000" w:themeColor="text1"/>
          <w:szCs w:val="21"/>
          <w14:textFill>
            <w14:solidFill>
              <w14:schemeClr w14:val="tx1"/>
            </w14:solidFill>
          </w14:textFill>
        </w:rPr>
      </w:pPr>
      <m:oMath>
        <m:f>
          <m:fPr>
            <m:ctrlPr>
              <w:rPr>
                <w:rFonts w:ascii="Cambria Math" w:hAnsi="Cambria Math" w:cs="Times New Roman"/>
                <w:color w:val="000000" w:themeColor="text1"/>
                <w:szCs w:val="21"/>
                <w14:textFill>
                  <w14:solidFill>
                    <w14:schemeClr w14:val="tx1"/>
                  </w14:solidFill>
                </w14:textFill>
              </w:rPr>
            </m:ctrlPr>
          </m:fPr>
          <m:num>
            <m:sSup>
              <m:sSupPr>
                <m:ctrlPr>
                  <w:rPr>
                    <w:rFonts w:ascii="Cambria Math" w:hAnsi="Cambria Math" w:cs="Times New Roman"/>
                    <w:color w:val="000000" w:themeColor="text1"/>
                    <w:szCs w:val="21"/>
                    <w14:textFill>
                      <w14:solidFill>
                        <w14:schemeClr w14:val="tx1"/>
                      </w14:solidFill>
                    </w14:textFill>
                  </w:rPr>
                </m:ctrlPr>
              </m:sSupPr>
              <m:e>
                <m:r>
                  <w:rPr>
                    <w:rFonts w:ascii="Cambria Math" w:hAnsi="Cambria Math" w:cs="Times New Roman"/>
                    <w:color w:val="000000" w:themeColor="text1"/>
                    <w:szCs w:val="21"/>
                    <w14:textFill>
                      <w14:solidFill>
                        <w14:schemeClr w14:val="tx1"/>
                      </w14:solidFill>
                    </w14:textFill>
                  </w:rPr>
                  <m:t>π</m:t>
                </m:r>
                <m:ctrlPr>
                  <w:rPr>
                    <w:rFonts w:ascii="Cambria Math" w:hAnsi="Cambria Math" w:cs="Times New Roman"/>
                    <w:color w:val="000000" w:themeColor="text1"/>
                    <w:szCs w:val="21"/>
                    <w14:textFill>
                      <w14:solidFill>
                        <w14:schemeClr w14:val="tx1"/>
                      </w14:solidFill>
                    </w14:textFill>
                  </w:rPr>
                </m:ctrlPr>
              </m:e>
              <m:sup>
                <m:r>
                  <m:rPr>
                    <m:sty m:val="p"/>
                  </m:rPr>
                  <w:rPr>
                    <w:rFonts w:ascii="Cambria Math" w:hAnsi="Cambria Math" w:cs="Times New Roman"/>
                    <w:color w:val="000000" w:themeColor="text1"/>
                    <w:szCs w:val="21"/>
                    <w14:textFill>
                      <w14:solidFill>
                        <w14:schemeClr w14:val="tx1"/>
                      </w14:solidFill>
                    </w14:textFill>
                  </w:rPr>
                  <m:t>2</m:t>
                </m:r>
                <m:ctrlPr>
                  <w:rPr>
                    <w:rFonts w:ascii="Cambria Math" w:hAnsi="Cambria Math" w:cs="Times New Roman"/>
                    <w:color w:val="000000" w:themeColor="text1"/>
                    <w:szCs w:val="21"/>
                    <w14:textFill>
                      <w14:solidFill>
                        <w14:schemeClr w14:val="tx1"/>
                      </w14:solidFill>
                    </w14:textFill>
                  </w:rPr>
                </m:ctrlPr>
              </m:sup>
            </m:sSup>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EI</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B</m:t>
                </m:r>
                <m:ctrlPr>
                  <w:rPr>
                    <w:rFonts w:ascii="Cambria Math" w:hAnsi="Cambria Math" w:cs="Times New Roman"/>
                    <w:color w:val="000000" w:themeColor="text1"/>
                    <w:szCs w:val="21"/>
                    <w14:textFill>
                      <w14:solidFill>
                        <w14:schemeClr w14:val="tx1"/>
                      </w14:solidFill>
                    </w14:textFill>
                  </w:rPr>
                </m:ctrlPr>
              </m:sub>
            </m:sSub>
            <m:ctrlPr>
              <w:rPr>
                <w:rFonts w:ascii="Cambria Math" w:hAnsi="Cambria Math" w:cs="Times New Roman"/>
                <w:color w:val="000000" w:themeColor="text1"/>
                <w:szCs w:val="21"/>
                <w14:textFill>
                  <w14:solidFill>
                    <w14:schemeClr w14:val="tx1"/>
                  </w14:solidFill>
                </w14:textFill>
              </w:rPr>
            </m:ctrlPr>
          </m:num>
          <m:den>
            <m:sSubSup>
              <m:sSubSupPr>
                <m:ctrlPr>
                  <w:rPr>
                    <w:rFonts w:ascii="Cambria Math" w:hAnsi="Cambria Math" w:cs="Times New Roman"/>
                    <w:color w:val="000000" w:themeColor="text1"/>
                    <w:szCs w:val="21"/>
                    <w14:textFill>
                      <w14:solidFill>
                        <w14:schemeClr w14:val="tx1"/>
                      </w14:solidFill>
                    </w14:textFill>
                  </w:rPr>
                </m:ctrlPr>
              </m:sSubSupPr>
              <m:e>
                <m:r>
                  <w:rPr>
                    <w:rFonts w:ascii="Cambria Math" w:hAnsi="Cambria Math" w:cs="Times New Roman"/>
                    <w:color w:val="000000" w:themeColor="text1"/>
                    <w:szCs w:val="21"/>
                    <w14:textFill>
                      <w14:solidFill>
                        <w14:schemeClr w14:val="tx1"/>
                      </w14:solidFill>
                    </w14:textFill>
                  </w:rPr>
                  <m:t>L</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t</m:t>
                </m:r>
                <m:ctrlPr>
                  <w:rPr>
                    <w:rFonts w:ascii="Cambria Math" w:hAnsi="Cambria Math" w:cs="Times New Roman"/>
                    <w:color w:val="000000" w:themeColor="text1"/>
                    <w:szCs w:val="21"/>
                    <w14:textFill>
                      <w14:solidFill>
                        <w14:schemeClr w14:val="tx1"/>
                      </w14:solidFill>
                    </w14:textFill>
                  </w:rPr>
                </m:ctrlPr>
              </m:sub>
              <m:sup>
                <m:r>
                  <m:rPr>
                    <m:sty m:val="p"/>
                  </m:rPr>
                  <w:rPr>
                    <w:rFonts w:ascii="Cambria Math" w:hAnsi="Cambria Math" w:cs="Times New Roman"/>
                    <w:color w:val="000000" w:themeColor="text1"/>
                    <w:szCs w:val="21"/>
                    <w14:textFill>
                      <w14:solidFill>
                        <w14:schemeClr w14:val="tx1"/>
                      </w14:solidFill>
                    </w14:textFill>
                  </w:rPr>
                  <m:t>2</m:t>
                </m:r>
                <m:ctrlPr>
                  <w:rPr>
                    <w:rFonts w:ascii="Cambria Math" w:hAnsi="Cambria Math" w:cs="Times New Roman"/>
                    <w:color w:val="000000" w:themeColor="text1"/>
                    <w:szCs w:val="21"/>
                    <w14:textFill>
                      <w14:solidFill>
                        <w14:schemeClr w14:val="tx1"/>
                      </w14:solidFill>
                    </w14:textFill>
                  </w:rPr>
                </m:ctrlPr>
              </m:sup>
            </m:sSubSup>
            <m:ctrlPr>
              <w:rPr>
                <w:rFonts w:ascii="Cambria Math" w:hAnsi="Cambria Math" w:cs="Times New Roman"/>
                <w:color w:val="000000" w:themeColor="text1"/>
                <w:szCs w:val="21"/>
                <w14:textFill>
                  <w14:solidFill>
                    <w14:schemeClr w14:val="tx1"/>
                  </w14:solidFill>
                </w14:textFill>
              </w:rPr>
            </m:ctrlPr>
          </m:den>
        </m:f>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α</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e</m:t>
            </m:r>
            <m:ctrlPr>
              <w:rPr>
                <w:rFonts w:ascii="Cambria Math" w:hAnsi="Cambria Math" w:cs="Times New Roman"/>
                <w:color w:val="000000" w:themeColor="text1"/>
                <w:szCs w:val="21"/>
                <w14:textFill>
                  <w14:solidFill>
                    <w14:schemeClr w14:val="tx1"/>
                  </w14:solidFill>
                </w14:textFill>
              </w:rPr>
            </m:ctrlPr>
          </m:sub>
        </m:sSub>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cu</m:t>
            </m:r>
            <m:ctrlPr>
              <w:rPr>
                <w:rFonts w:ascii="Cambria Math" w:hAnsi="Cambria Math" w:cs="Times New Roman"/>
                <w:color w:val="000000" w:themeColor="text1"/>
                <w:szCs w:val="21"/>
                <w14:textFill>
                  <w14:solidFill>
                    <w14:schemeClr w14:val="tx1"/>
                  </w14:solidFill>
                </w14:textFill>
              </w:rPr>
            </m:ctrlPr>
          </m:sub>
        </m:sSub>
      </m:oMath>
      <w:r>
        <w:rPr>
          <w:rFonts w:cs="Times New Roman"/>
          <w:color w:val="000000" w:themeColor="text1"/>
          <w:szCs w:val="21"/>
          <w14:textFill>
            <w14:solidFill>
              <w14:schemeClr w14:val="tx1"/>
            </w14:solidFill>
          </w14:textFill>
        </w:rPr>
        <w:t xml:space="preserve">                   （J.0.4-1）</w:t>
      </w:r>
    </w:p>
    <w:p>
      <w:pPr>
        <w:spacing w:line="360" w:lineRule="auto"/>
        <w:ind w:firstLine="420"/>
        <w:jc w:val="right"/>
        <w:rPr>
          <w:rFonts w:cs="Times New Roman"/>
          <w:color w:val="000000" w:themeColor="text1"/>
          <w:szCs w:val="21"/>
          <w14:textFill>
            <w14:solidFill>
              <w14:schemeClr w14:val="tx1"/>
            </w14:solidFill>
          </w14:textFill>
        </w:rPr>
      </w:pPr>
      <m:oMath>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cu</m:t>
            </m:r>
            <m:ctrlPr>
              <w:rPr>
                <w:rFonts w:ascii="Cambria Math" w:hAnsi="Cambria Math" w:cs="Times New Roman"/>
                <w:color w:val="000000" w:themeColor="text1"/>
                <w:szCs w:val="21"/>
                <w14:textFill>
                  <w14:solidFill>
                    <w14:schemeClr w14:val="tx1"/>
                  </w14:solidFill>
                </w14:textFill>
              </w:rPr>
            </m:ctrlPr>
          </m:sub>
        </m:sSub>
        <m:r>
          <m:rPr>
            <m:sty m:val="p"/>
          </m:rPr>
          <w:rPr>
            <w:rFonts w:ascii="Cambria Math" w:hAnsi="Cambria Math" w:cs="Times New Roman"/>
            <w:color w:val="000000" w:themeColor="text1"/>
            <w:szCs w:val="21"/>
            <w14:textFill>
              <w14:solidFill>
                <w14:schemeClr w14:val="tx1"/>
              </w14:solidFill>
            </w14:textFill>
          </w:rPr>
          <m:t>=</m:t>
        </m:r>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α</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s</m:t>
            </m:r>
            <m:ctrlPr>
              <w:rPr>
                <w:rFonts w:ascii="Cambria Math" w:hAnsi="Cambria Math" w:cs="Times New Roman"/>
                <w:color w:val="000000" w:themeColor="text1"/>
                <w:szCs w:val="21"/>
                <w14:textFill>
                  <w14:solidFill>
                    <w14:schemeClr w14:val="tx1"/>
                  </w14:solidFill>
                </w14:textFill>
              </w:rPr>
            </m:ctrlPr>
          </m:sub>
        </m:sSub>
        <m:sSub>
          <m:sSubPr>
            <m:ctrlPr>
              <w:rPr>
                <w:rFonts w:ascii="Cambria Math" w:hAnsi="Cambria Math" w:cs="Times New Roman"/>
                <w:color w:val="000000" w:themeColor="text1"/>
                <w:szCs w:val="21"/>
                <w14:textFill>
                  <w14:solidFill>
                    <w14:schemeClr w14:val="tx1"/>
                  </w14:solidFill>
                </w14:textFill>
              </w:rPr>
            </m:ctrlPr>
          </m:sSubPr>
          <m:e>
            <m:r>
              <w:rPr>
                <w:rFonts w:ascii="Cambria Math" w:hAnsi="Cambria Math" w:cs="Times New Roman"/>
                <w:color w:val="000000" w:themeColor="text1"/>
                <w:szCs w:val="21"/>
                <w14:textFill>
                  <w14:solidFill>
                    <w14:schemeClr w14:val="tx1"/>
                  </w14:solidFill>
                </w14:textFill>
              </w:rPr>
              <m:t>A</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n</m:t>
            </m:r>
            <m:ctrlPr>
              <w:rPr>
                <w:rFonts w:ascii="Cambria Math" w:hAnsi="Cambria Math" w:cs="Times New Roman"/>
                <w:color w:val="000000" w:themeColor="text1"/>
                <w:szCs w:val="21"/>
                <w14:textFill>
                  <w14:solidFill>
                    <w14:schemeClr w14:val="tx1"/>
                  </w14:solidFill>
                </w14:textFill>
              </w:rPr>
            </m:ctrlPr>
          </m:sub>
        </m:sSub>
        <m:sSub>
          <m:sSubPr>
            <m:ctrlPr>
              <w:rPr>
                <w:rFonts w:ascii="Cambria Math" w:hAnsi="Cambria Math" w:cs="Times New Roman"/>
                <w:color w:val="000000" w:themeColor="text1"/>
                <w:szCs w:val="21"/>
                <w14:textFill>
                  <w14:solidFill>
                    <w14:schemeClr w14:val="tx1"/>
                  </w14:solidFill>
                </w14:textFill>
              </w:rPr>
            </m:ctrlPr>
          </m:sSubPr>
          <m:e>
            <m:r>
              <m:rPr>
                <m:sty m:val="p"/>
              </m:rPr>
              <w:rPr>
                <w:rFonts w:hint="eastAsia" w:ascii="Cambria Math" w:hAnsi="Cambria Math" w:cs="Times New Roman"/>
                <w:color w:val="000000" w:themeColor="text1"/>
                <w:szCs w:val="21"/>
                <w14:textFill>
                  <w14:solidFill>
                    <w14:schemeClr w14:val="tx1"/>
                  </w14:solidFill>
                </w14:textFill>
              </w:rPr>
              <m:t>ƒ</m:t>
            </m:r>
            <m:ctrlPr>
              <w:rPr>
                <w:rFonts w:ascii="Cambria Math" w:hAnsi="Cambria Math" w:cs="Times New Roman"/>
                <w:color w:val="000000" w:themeColor="text1"/>
                <w:szCs w:val="21"/>
                <w14:textFill>
                  <w14:solidFill>
                    <w14:schemeClr w14:val="tx1"/>
                  </w14:solidFill>
                </w14:textFill>
              </w:rPr>
            </m:ctrlPr>
          </m:e>
          <m:sub>
            <m:r>
              <w:rPr>
                <w:rFonts w:ascii="Cambria Math" w:hAnsi="Cambria Math" w:cs="Times New Roman"/>
                <w:color w:val="000000" w:themeColor="text1"/>
                <w:szCs w:val="21"/>
                <w14:textFill>
                  <w14:solidFill>
                    <w14:schemeClr w14:val="tx1"/>
                  </w14:solidFill>
                </w14:textFill>
              </w:rPr>
              <m:t>y</m:t>
            </m:r>
            <m:r>
              <m:rPr>
                <m:sty m:val="p"/>
              </m:rPr>
              <w:rPr>
                <w:rFonts w:ascii="Cambria Math" w:hAnsi="Cambria Math" w:cs="Times New Roman"/>
                <w:color w:val="000000" w:themeColor="text1"/>
                <w:szCs w:val="21"/>
                <w14:textFill>
                  <w14:solidFill>
                    <w14:schemeClr w14:val="tx1"/>
                  </w14:solidFill>
                </w14:textFill>
              </w:rPr>
              <m:t>,</m:t>
            </m:r>
            <m:r>
              <w:rPr>
                <w:rFonts w:ascii="Cambria Math" w:hAnsi="Cambria Math" w:cs="Times New Roman"/>
                <w:color w:val="000000" w:themeColor="text1"/>
                <w:szCs w:val="21"/>
                <w14:textFill>
                  <w14:solidFill>
                    <w14:schemeClr w14:val="tx1"/>
                  </w14:solidFill>
                </w14:textFill>
              </w:rPr>
              <m:t>cor</m:t>
            </m:r>
            <m:ctrlPr>
              <w:rPr>
                <w:rFonts w:ascii="Cambria Math" w:hAnsi="Cambria Math" w:cs="Times New Roman"/>
                <w:color w:val="000000" w:themeColor="text1"/>
                <w:szCs w:val="21"/>
                <w14:textFill>
                  <w14:solidFill>
                    <w14:schemeClr w14:val="tx1"/>
                  </w14:solidFill>
                </w14:textFill>
              </w:rPr>
            </m:ctrlPr>
          </m:sub>
        </m:sSub>
      </m:oMath>
      <w:r>
        <w:rPr>
          <w:rFonts w:cs="Times New Roman"/>
          <w:color w:val="000000" w:themeColor="text1"/>
          <w:szCs w:val="21"/>
          <w14:textFill>
            <w14:solidFill>
              <w14:schemeClr w14:val="tx1"/>
            </w14:solidFill>
          </w14:textFill>
        </w:rPr>
        <w:t xml:space="preserve">                   （J.0.4-2）</w:t>
      </w:r>
    </w:p>
    <w:p>
      <w:pPr>
        <w:spacing w:line="360" w:lineRule="auto"/>
        <w:ind w:firstLine="0" w:firstLineChars="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式中</w:t>
      </w:r>
      <w:r>
        <w:rPr>
          <w:rFonts w:hint="eastAsia" w:ascii="宋体" w:hAnsi="宋体"/>
          <w:bCs/>
          <w:color w:val="000000" w:themeColor="text1"/>
          <w:szCs w:val="21"/>
          <w14:textFill>
            <w14:solidFill>
              <w14:schemeClr w14:val="tx1"/>
            </w14:solidFill>
          </w14:textFill>
        </w:rPr>
        <w:t>：</w:t>
      </w:r>
      <w:r>
        <w:rPr>
          <w:rFonts w:ascii="宋体" w:hAnsi="宋体"/>
          <w:bCs/>
          <w:color w:val="000000" w:themeColor="text1"/>
          <w:szCs w:val="21"/>
          <w14:textFill>
            <w14:solidFill>
              <w14:schemeClr w14:val="tx1"/>
            </w14:solidFill>
          </w14:textFill>
        </w:rPr>
        <w:t>E</w:t>
      </w:r>
      <w:r>
        <w:rPr>
          <w:rFonts w:hint="eastAsia" w:ascii="宋体" w:hAnsi="宋体"/>
          <w:bCs/>
          <w:color w:val="000000" w:themeColor="text1"/>
          <w:szCs w:val="21"/>
          <w14:textFill>
            <w14:solidFill>
              <w14:schemeClr w14:val="tx1"/>
            </w14:solidFill>
          </w14:textFill>
        </w:rPr>
        <w:t>、</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I</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B</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—分别为外约束单元的弹性模量和抗弯模量；</w:t>
      </w:r>
    </w:p>
    <w:p>
      <w:pPr>
        <w:spacing w:line="360" w:lineRule="auto"/>
        <w:ind w:firstLine="630" w:firstLineChars="300"/>
        <w:rPr>
          <w:rFonts w:ascii="宋体" w:hAnsi="宋体"/>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L</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t</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—屈曲约束支撑的长度；</w:t>
      </w:r>
    </w:p>
    <w:p>
      <w:pPr>
        <w:spacing w:line="360" w:lineRule="auto"/>
        <w:ind w:left="1058" w:leftChars="304" w:hanging="420" w:hangingChars="200"/>
        <w:rPr>
          <w:rFonts w:ascii="宋体" w:hAnsi="宋体"/>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α</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e</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—考虑核心钢支撑与外约束单元间的间隙和初始缺陷等的安全系数，一般可取1.5～2.0；</w:t>
      </w:r>
    </w:p>
    <w:p>
      <w:pPr>
        <w:spacing w:line="360" w:lineRule="auto"/>
        <w:ind w:firstLine="630" w:firstLineChars="300"/>
        <w:rPr>
          <w:rFonts w:ascii="宋体" w:hAnsi="宋体"/>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N</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cu</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—屈曲约束支撑的极限承载力；</w:t>
      </w:r>
    </w:p>
    <w:p>
      <w:pPr>
        <w:spacing w:line="360" w:lineRule="auto"/>
        <w:ind w:firstLine="630" w:firstLineChars="300"/>
        <w:rPr>
          <w:rFonts w:ascii="宋体" w:hAnsi="宋体"/>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m:rPr>
                <m:sty m:val="p"/>
              </m:rPr>
              <w:rPr>
                <w:rFonts w:hint="eastAsia" w:ascii="Cambria Math" w:hAnsi="Cambria Math"/>
                <w:color w:val="000000" w:themeColor="text1"/>
                <w:szCs w:val="21"/>
                <w14:textFill>
                  <w14:solidFill>
                    <w14:schemeClr w14:val="tx1"/>
                  </w14:solidFill>
                </w14:textFill>
              </w:rPr>
              <m:t>ƒ</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y,cor</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—核心钢支撑的钢材屈服强度；</w:t>
      </w:r>
    </w:p>
    <w:p>
      <w:pPr>
        <w:spacing w:line="360" w:lineRule="auto"/>
        <w:ind w:left="1056" w:leftChars="303" w:hanging="420" w:hangingChars="200"/>
        <w:rPr>
          <w:rFonts w:ascii="宋体" w:hAnsi="宋体"/>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α</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s</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—考虑屈服强度离散性和反复荷载作用下钢材的强度强化系数，对于Q235、Q3</w:t>
      </w:r>
      <w:r>
        <w:rPr>
          <w:rFonts w:hint="eastAsia" w:ascii="宋体" w:hAnsi="宋体"/>
          <w:bCs/>
          <w:color w:val="000000" w:themeColor="text1"/>
          <w:szCs w:val="21"/>
          <w14:textFill>
            <w14:solidFill>
              <w14:schemeClr w14:val="tx1"/>
            </w14:solidFill>
          </w14:textFill>
        </w:rPr>
        <w:t>5</w:t>
      </w:r>
      <w:r>
        <w:rPr>
          <w:rFonts w:ascii="宋体" w:hAnsi="宋体"/>
          <w:bCs/>
          <w:color w:val="000000" w:themeColor="text1"/>
          <w:szCs w:val="21"/>
          <w14:textFill>
            <w14:solidFill>
              <w14:schemeClr w14:val="tx1"/>
            </w14:solidFill>
          </w14:textFill>
        </w:rPr>
        <w:t>5钢可取1.4～1.5，对于LY100</w:t>
      </w:r>
      <w:r>
        <w:rPr>
          <w:rFonts w:hint="eastAsia" w:ascii="宋体" w:hAnsi="宋体"/>
          <w:bCs/>
          <w:color w:val="000000" w:themeColor="text1"/>
          <w:szCs w:val="21"/>
          <w14:textFill>
            <w14:solidFill>
              <w14:schemeClr w14:val="tx1"/>
            </w14:solidFill>
          </w14:textFill>
        </w:rPr>
        <w:t>、L</w:t>
      </w:r>
      <w:r>
        <w:rPr>
          <w:rFonts w:ascii="宋体" w:hAnsi="宋体"/>
          <w:bCs/>
          <w:color w:val="000000" w:themeColor="text1"/>
          <w:szCs w:val="21"/>
          <w14:textFill>
            <w14:solidFill>
              <w14:schemeClr w14:val="tx1"/>
            </w14:solidFill>
          </w14:textFill>
        </w:rPr>
        <w:t>Y160钢可取2.0。如有材料机械性能测试数据，则以实测的为准。</w:t>
      </w:r>
    </w:p>
    <w:p>
      <w:pPr>
        <w:spacing w:line="360" w:lineRule="auto"/>
        <w:ind w:firstLine="0" w:firstLineChars="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J.0.5 屈曲约束支撑结构进行结构计算时，弹性阶段屈曲约束支撑的等效刚度可按下式计算：</w:t>
      </w:r>
    </w:p>
    <w:p>
      <w:pPr>
        <w:wordWrap w:val="0"/>
        <w:spacing w:line="360" w:lineRule="auto"/>
        <w:ind w:firstLine="420"/>
        <w:jc w:val="right"/>
        <w:rPr>
          <w:rFonts w:ascii="宋体" w:hAnsi="宋体"/>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K</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eq</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m:t>
        </m:r>
        <m:f>
          <m:fPr>
            <m:ctrlPr>
              <w:rPr>
                <w:rFonts w:ascii="Cambria Math" w:hAnsi="Cambria Math"/>
                <w:bCs/>
                <w:i/>
                <w:color w:val="000000" w:themeColor="text1"/>
                <w:szCs w:val="21"/>
                <w14:textFill>
                  <w14:solidFill>
                    <w14:schemeClr w14:val="tx1"/>
                  </w14:solidFill>
                </w14:textFill>
              </w:rPr>
            </m:ctrlPr>
          </m:fPr>
          <m:num>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EA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n</m:t>
                </m:r>
                <m:ctrlPr>
                  <w:rPr>
                    <w:rFonts w:ascii="Cambria Math" w:hAnsi="Cambria Math"/>
                    <w:bCs/>
                    <w:i/>
                    <w:color w:val="000000" w:themeColor="text1"/>
                    <w:szCs w:val="21"/>
                    <w14:textFill>
                      <w14:solidFill>
                        <w14:schemeClr w14:val="tx1"/>
                      </w14:solidFill>
                    </w14:textFill>
                  </w:rPr>
                </m:ctrlPr>
              </m:sub>
            </m:sSub>
            <m:ctrlPr>
              <w:rPr>
                <w:rFonts w:ascii="Cambria Math" w:hAnsi="Cambria Math"/>
                <w:bCs/>
                <w:i/>
                <w:color w:val="000000" w:themeColor="text1"/>
                <w:szCs w:val="21"/>
                <w14:textFill>
                  <w14:solidFill>
                    <w14:schemeClr w14:val="tx1"/>
                  </w14:solidFill>
                </w14:textFill>
              </w:rPr>
            </m:ctrlPr>
          </m:num>
          <m:den>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L</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t</m:t>
                </m:r>
                <m:ctrlPr>
                  <w:rPr>
                    <w:rFonts w:ascii="Cambria Math" w:hAnsi="Cambria Math"/>
                    <w:bCs/>
                    <w:i/>
                    <w:color w:val="000000" w:themeColor="text1"/>
                    <w:szCs w:val="21"/>
                    <w14:textFill>
                      <w14:solidFill>
                        <w14:schemeClr w14:val="tx1"/>
                      </w14:solidFill>
                    </w14:textFill>
                  </w:rPr>
                </m:ctrlPr>
              </m:sub>
            </m:sSub>
            <m:ctrlPr>
              <w:rPr>
                <w:rFonts w:ascii="Cambria Math" w:hAnsi="Cambria Math"/>
                <w:bCs/>
                <w:i/>
                <w:color w:val="000000" w:themeColor="text1"/>
                <w:szCs w:val="21"/>
                <w14:textFill>
                  <w14:solidFill>
                    <w14:schemeClr w14:val="tx1"/>
                  </w14:solidFill>
                </w14:textFill>
              </w:rPr>
            </m:ctrlPr>
          </m:den>
        </m:f>
        <m:r>
          <w:rPr>
            <w:rFonts w:ascii="Cambria Math" w:hAnsi="Cambria Math"/>
            <w:color w:val="000000" w:themeColor="text1"/>
            <w:szCs w:val="21"/>
            <w14:textFill>
              <w14:solidFill>
                <w14:schemeClr w14:val="tx1"/>
              </w14:solidFill>
            </w14:textFill>
          </w:rPr>
          <m:t>×</m:t>
        </m:r>
        <m:f>
          <m:fPr>
            <m:ctrlPr>
              <w:rPr>
                <w:rFonts w:ascii="Cambria Math" w:hAnsi="Cambria Math"/>
                <w:bCs/>
                <w:i/>
                <w:color w:val="000000" w:themeColor="text1"/>
                <w:szCs w:val="21"/>
                <w14:textFill>
                  <w14:solidFill>
                    <w14:schemeClr w14:val="tx1"/>
                  </w14:solidFill>
                </w14:textFill>
              </w:rPr>
            </m:ctrlPr>
          </m:fPr>
          <m:num>
            <m:r>
              <w:rPr>
                <w:rFonts w:ascii="Cambria Math" w:hAnsi="Cambria Math"/>
                <w:color w:val="000000" w:themeColor="text1"/>
                <w:szCs w:val="21"/>
                <w14:textFill>
                  <w14:solidFill>
                    <w14:schemeClr w14:val="tx1"/>
                  </w14:solidFill>
                </w14:textFill>
              </w:rPr>
              <m:t>1</m:t>
            </m:r>
            <m:ctrlPr>
              <w:rPr>
                <w:rFonts w:ascii="Cambria Math" w:hAnsi="Cambria Math"/>
                <w:bCs/>
                <w:i/>
                <w:color w:val="000000" w:themeColor="text1"/>
                <w:szCs w:val="21"/>
                <w14:textFill>
                  <w14:solidFill>
                    <w14:schemeClr w14:val="tx1"/>
                  </w14:solidFill>
                </w14:textFill>
              </w:rPr>
            </m:ctrlPr>
          </m:num>
          <m:den>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β</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c</m:t>
                </m:r>
                <m:ctrlPr>
                  <w:rPr>
                    <w:rFonts w:ascii="Cambria Math" w:hAnsi="Cambria Math"/>
                    <w:bCs/>
                    <w:i/>
                    <w:color w:val="000000" w:themeColor="text1"/>
                    <w:szCs w:val="21"/>
                    <w14:textFill>
                      <w14:solidFill>
                        <w14:schemeClr w14:val="tx1"/>
                      </w14:solidFill>
                    </w14:textFill>
                  </w:rPr>
                </m:ctrlPr>
              </m:sub>
            </m:sSub>
            <m:r>
              <w:rPr>
                <w:rFonts w:ascii="Cambria Math" w:hAnsi="Cambria Math"/>
                <w:color w:val="000000" w:themeColor="text1"/>
                <w:szCs w:val="21"/>
                <w14:textFill>
                  <w14:solidFill>
                    <w14:schemeClr w14:val="tx1"/>
                  </w14:solidFill>
                </w14:textFill>
              </w:rPr>
              <m:t>+2</m:t>
            </m:r>
            <m:d>
              <m:dPr>
                <m:ctrlPr>
                  <w:rPr>
                    <w:rFonts w:ascii="Cambria Math" w:hAnsi="Cambria Math"/>
                    <w:bCs/>
                    <w:i/>
                    <w:color w:val="000000" w:themeColor="text1"/>
                    <w:szCs w:val="21"/>
                    <w14:textFill>
                      <w14:solidFill>
                        <w14:schemeClr w14:val="tx1"/>
                      </w14:solidFill>
                    </w14:textFill>
                  </w:rPr>
                </m:ctrlPr>
              </m:dPr>
              <m:e>
                <m:r>
                  <w:rPr>
                    <w:rFonts w:ascii="Cambria Math" w:hAnsi="Cambria Math"/>
                    <w:color w:val="000000" w:themeColor="text1"/>
                    <w:szCs w:val="21"/>
                    <w14:textFill>
                      <w14:solidFill>
                        <w14:schemeClr w14:val="tx1"/>
                      </w14:solidFill>
                    </w14:textFill>
                  </w:rPr>
                  <m:t>1+</m:t>
                </m:r>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β</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c</m:t>
                    </m:r>
                    <m:ctrlPr>
                      <w:rPr>
                        <w:rFonts w:ascii="Cambria Math" w:hAnsi="Cambria Math"/>
                        <w:bCs/>
                        <w:i/>
                        <w:color w:val="000000" w:themeColor="text1"/>
                        <w:szCs w:val="21"/>
                        <w14:textFill>
                          <w14:solidFill>
                            <w14:schemeClr w14:val="tx1"/>
                          </w14:solidFill>
                        </w14:textFill>
                      </w:rPr>
                    </m:ctrlPr>
                  </m:sub>
                </m:sSub>
                <m:ctrlPr>
                  <w:rPr>
                    <w:rFonts w:ascii="Cambria Math" w:hAnsi="Cambria Math"/>
                    <w:bCs/>
                    <w:i/>
                    <w:color w:val="000000" w:themeColor="text1"/>
                    <w:szCs w:val="21"/>
                    <w14:textFill>
                      <w14:solidFill>
                        <w14:schemeClr w14:val="tx1"/>
                      </w14:solidFill>
                    </w14:textFill>
                  </w:rPr>
                </m:ctrlPr>
              </m:e>
            </m:d>
            <m:f>
              <m:fPr>
                <m:ctrlPr>
                  <w:rPr>
                    <w:rFonts w:ascii="Cambria Math" w:hAnsi="Cambria Math"/>
                    <w:bCs/>
                    <w:i/>
                    <w:color w:val="000000" w:themeColor="text1"/>
                    <w:szCs w:val="21"/>
                    <w14:textFill>
                      <w14:solidFill>
                        <w14:schemeClr w14:val="tx1"/>
                      </w14:solidFill>
                    </w14:textFill>
                  </w:rPr>
                </m:ctrlPr>
              </m:fPr>
              <m:num>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n</m:t>
                    </m:r>
                    <m:ctrlPr>
                      <w:rPr>
                        <w:rFonts w:ascii="Cambria Math" w:hAnsi="Cambria Math"/>
                        <w:bCs/>
                        <w:i/>
                        <w:color w:val="000000" w:themeColor="text1"/>
                        <w:szCs w:val="21"/>
                        <w14:textFill>
                          <w14:solidFill>
                            <w14:schemeClr w14:val="tx1"/>
                          </w14:solidFill>
                        </w14:textFill>
                      </w:rPr>
                    </m:ctrlPr>
                  </m:sub>
                </m:sSub>
                <m:ctrlPr>
                  <w:rPr>
                    <w:rFonts w:ascii="Cambria Math" w:hAnsi="Cambria Math"/>
                    <w:bCs/>
                    <w:i/>
                    <w:color w:val="000000" w:themeColor="text1"/>
                    <w:szCs w:val="21"/>
                    <w14:textFill>
                      <w14:solidFill>
                        <w14:schemeClr w14:val="tx1"/>
                      </w14:solidFill>
                    </w14:textFill>
                  </w:rPr>
                </m:ctrlPr>
              </m:num>
              <m:den>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e</m:t>
                    </m:r>
                    <m:ctrlPr>
                      <w:rPr>
                        <w:rFonts w:ascii="Cambria Math" w:hAnsi="Cambria Math"/>
                        <w:bCs/>
                        <w:i/>
                        <w:color w:val="000000" w:themeColor="text1"/>
                        <w:szCs w:val="21"/>
                        <w14:textFill>
                          <w14:solidFill>
                            <w14:schemeClr w14:val="tx1"/>
                          </w14:solidFill>
                        </w14:textFill>
                      </w:rPr>
                    </m:ctrlPr>
                  </m:sub>
                </m:sSub>
                <m:ctrlPr>
                  <w:rPr>
                    <w:rFonts w:ascii="Cambria Math" w:hAnsi="Cambria Math"/>
                    <w:bCs/>
                    <w:i/>
                    <w:color w:val="000000" w:themeColor="text1"/>
                    <w:szCs w:val="21"/>
                    <w14:textFill>
                      <w14:solidFill>
                        <w14:schemeClr w14:val="tx1"/>
                      </w14:solidFill>
                    </w14:textFill>
                  </w:rPr>
                </m:ctrlPr>
              </m:den>
            </m:f>
            <m:ctrlPr>
              <w:rPr>
                <w:rFonts w:ascii="Cambria Math" w:hAnsi="Cambria Math"/>
                <w:bCs/>
                <w:i/>
                <w:color w:val="000000" w:themeColor="text1"/>
                <w:szCs w:val="21"/>
                <w14:textFill>
                  <w14:solidFill>
                    <w14:schemeClr w14:val="tx1"/>
                  </w14:solidFill>
                </w14:textFill>
              </w:rPr>
            </m:ctrlPr>
          </m:den>
        </m:f>
      </m:oMath>
      <w:r>
        <w:rPr>
          <w:rFonts w:ascii="宋体" w:hAnsi="宋体"/>
          <w:bCs/>
          <w:color w:val="000000" w:themeColor="text1"/>
          <w:szCs w:val="21"/>
          <w14:textFill>
            <w14:solidFill>
              <w14:schemeClr w14:val="tx1"/>
            </w14:solidFill>
          </w14:textFill>
        </w:rPr>
        <w:t xml:space="preserve">                   （J.0.5-1）</w:t>
      </w:r>
    </w:p>
    <w:p>
      <w:pPr>
        <w:spacing w:line="360" w:lineRule="auto"/>
        <w:ind w:firstLine="0" w:firstLineChars="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式中</w:t>
      </w:r>
      <w:r>
        <w:rPr>
          <w:rFonts w:hint="eastAsia" w:ascii="宋体" w:hAnsi="宋体"/>
          <w:bCs/>
          <w:color w:val="000000" w:themeColor="text1"/>
          <w:szCs w:val="21"/>
          <w14:textFill>
            <w14:solidFill>
              <w14:schemeClr w14:val="tx1"/>
            </w14:solidFill>
          </w14:textFill>
        </w:rPr>
        <w:t>：</w:t>
      </w: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L</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t</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—屈曲约束支撑的长度；</w:t>
      </w:r>
    </w:p>
    <w:p>
      <w:pPr>
        <w:spacing w:line="360" w:lineRule="auto"/>
        <w:ind w:firstLine="630" w:firstLineChars="300"/>
        <w:rPr>
          <w:rFonts w:ascii="宋体" w:hAnsi="宋体"/>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β</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c</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—核心钢支撑工作段长度L</w:t>
      </w:r>
      <w:r>
        <w:rPr>
          <w:rFonts w:ascii="宋体" w:hAnsi="宋体"/>
          <w:bCs/>
          <w:color w:val="000000" w:themeColor="text1"/>
          <w:szCs w:val="21"/>
          <w:vertAlign w:val="subscript"/>
          <w14:textFill>
            <w14:solidFill>
              <w14:schemeClr w14:val="tx1"/>
            </w14:solidFill>
          </w14:textFill>
        </w:rPr>
        <w:t>c</w:t>
      </w:r>
      <w:r>
        <w:rPr>
          <w:rFonts w:ascii="宋体" w:hAnsi="宋体"/>
          <w:bCs/>
          <w:color w:val="000000" w:themeColor="text1"/>
          <w:szCs w:val="21"/>
          <w14:textFill>
            <w14:solidFill>
              <w14:schemeClr w14:val="tx1"/>
            </w14:solidFill>
          </w14:textFill>
        </w:rPr>
        <w:t>与支撑长度L</w:t>
      </w:r>
      <w:r>
        <w:rPr>
          <w:rFonts w:ascii="宋体" w:hAnsi="宋体"/>
          <w:bCs/>
          <w:color w:val="000000" w:themeColor="text1"/>
          <w:szCs w:val="21"/>
          <w:vertAlign w:val="subscript"/>
          <w14:textFill>
            <w14:solidFill>
              <w14:schemeClr w14:val="tx1"/>
            </w14:solidFill>
          </w14:textFill>
        </w:rPr>
        <w:t>t</w:t>
      </w:r>
      <w:r>
        <w:rPr>
          <w:rFonts w:ascii="宋体" w:hAnsi="宋体"/>
          <w:bCs/>
          <w:color w:val="000000" w:themeColor="text1"/>
          <w:szCs w:val="21"/>
          <w14:textFill>
            <w14:solidFill>
              <w14:schemeClr w14:val="tx1"/>
            </w14:solidFill>
          </w14:textFill>
        </w:rPr>
        <w:t>的比值；</w:t>
      </w:r>
    </w:p>
    <w:p>
      <w:pPr>
        <w:spacing w:line="360" w:lineRule="auto"/>
        <w:ind w:firstLine="630" w:firstLineChars="300"/>
        <w:rPr>
          <w:rFonts w:ascii="宋体" w:hAnsi="宋体"/>
          <w:bCs/>
          <w:color w:val="000000" w:themeColor="text1"/>
          <w:szCs w:val="21"/>
          <w14:textFill>
            <w14:solidFill>
              <w14:schemeClr w14:val="tx1"/>
            </w14:solidFill>
          </w14:textFill>
        </w:rPr>
      </w:pPr>
      <m:oMath>
        <m:sSub>
          <m:sSubPr>
            <m:ctrlPr>
              <w:rPr>
                <w:rFonts w:ascii="Cambria Math" w:hAnsi="Cambria Math"/>
                <w:bCs/>
                <w:i/>
                <w:color w:val="000000" w:themeColor="text1"/>
                <w:szCs w:val="21"/>
                <w14:textFill>
                  <w14:solidFill>
                    <w14:schemeClr w14:val="tx1"/>
                  </w14:solidFill>
                </w14:textFill>
              </w:rPr>
            </m:ctrlPr>
          </m:sSubPr>
          <m:e>
            <m:r>
              <w:rPr>
                <w:rFonts w:ascii="Cambria Math" w:hAnsi="Cambria Math"/>
                <w:color w:val="000000" w:themeColor="text1"/>
                <w:szCs w:val="21"/>
                <w14:textFill>
                  <w14:solidFill>
                    <w14:schemeClr w14:val="tx1"/>
                  </w14:solidFill>
                </w14:textFill>
              </w:rPr>
              <m:t>A</m:t>
            </m:r>
            <m:ctrlPr>
              <w:rPr>
                <w:rFonts w:ascii="Cambria Math" w:hAnsi="Cambria Math"/>
                <w:bCs/>
                <w:i/>
                <w:color w:val="000000" w:themeColor="text1"/>
                <w:szCs w:val="21"/>
                <w14:textFill>
                  <w14:solidFill>
                    <w14:schemeClr w14:val="tx1"/>
                  </w14:solidFill>
                </w14:textFill>
              </w:rPr>
            </m:ctrlPr>
          </m:e>
          <m:sub>
            <m:r>
              <w:rPr>
                <w:rFonts w:ascii="Cambria Math" w:hAnsi="Cambria Math"/>
                <w:color w:val="000000" w:themeColor="text1"/>
                <w:szCs w:val="21"/>
                <w14:textFill>
                  <w14:solidFill>
                    <w14:schemeClr w14:val="tx1"/>
                  </w14:solidFill>
                </w14:textFill>
              </w:rPr>
              <m:t>e</m:t>
            </m:r>
            <m:ctrlPr>
              <w:rPr>
                <w:rFonts w:ascii="Cambria Math" w:hAnsi="Cambria Math"/>
                <w:bCs/>
                <w:i/>
                <w:color w:val="000000" w:themeColor="text1"/>
                <w:szCs w:val="21"/>
                <w14:textFill>
                  <w14:solidFill>
                    <w14:schemeClr w14:val="tx1"/>
                  </w14:solidFill>
                </w14:textFill>
              </w:rPr>
            </m:ctrlPr>
          </m:sub>
        </m:sSub>
      </m:oMath>
      <w:r>
        <w:rPr>
          <w:rFonts w:ascii="宋体" w:hAnsi="宋体"/>
          <w:bCs/>
          <w:color w:val="000000" w:themeColor="text1"/>
          <w:szCs w:val="21"/>
          <w14:textFill>
            <w14:solidFill>
              <w14:schemeClr w14:val="tx1"/>
            </w14:solidFill>
          </w14:textFill>
        </w:rPr>
        <w:t>—核心钢支撑弹性段的截面积。</w:t>
      </w:r>
    </w:p>
    <w:p>
      <w:pPr>
        <w:spacing w:line="360" w:lineRule="auto"/>
        <w:ind w:firstLine="42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进行弹塑性分析时，可采用双折线滞回模型，塑性段的刚度可取为弹性阶段的1%。</w:t>
      </w:r>
    </w:p>
    <w:p>
      <w:pPr>
        <w:spacing w:line="360" w:lineRule="auto"/>
        <w:ind w:firstLine="0" w:firstLineChars="0"/>
        <w:jc w:val="center"/>
        <w:rPr>
          <w:rFonts w:ascii="宋体" w:hAnsi="宋体" w:cs="Times New Roman"/>
          <w:bCs/>
          <w:color w:val="000000" w:themeColor="text1"/>
          <w:szCs w:val="21"/>
          <w14:textFill>
            <w14:solidFill>
              <w14:schemeClr w14:val="tx1"/>
            </w14:solidFill>
          </w14:textFill>
        </w:rPr>
      </w:pPr>
      <w:r>
        <w:rPr>
          <w:rFonts w:ascii="宋体" w:hAnsi="宋体" w:cs="Times New Roman"/>
          <w:bCs/>
          <w:color w:val="000000" w:themeColor="text1"/>
          <w:szCs w:val="21"/>
          <w14:textFill>
            <w14:solidFill>
              <w14:schemeClr w14:val="tx1"/>
            </w14:solidFill>
          </w14:textFill>
        </w:rPr>
        <w:drawing>
          <wp:inline distT="0" distB="0" distL="0" distR="0">
            <wp:extent cx="3657600" cy="1143000"/>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noChangeArrowheads="1"/>
                    </pic:cNvPicPr>
                  </pic:nvPicPr>
                  <pic:blipFill>
                    <a:blip r:embed="rId318">
                      <a:extLst>
                        <a:ext uri="{28A0092B-C50C-407E-A947-70E740481C1C}">
                          <a14:useLocalDpi xmlns:a14="http://schemas.microsoft.com/office/drawing/2010/main" val="0"/>
                        </a:ext>
                      </a:extLst>
                    </a:blip>
                    <a:srcRect l="18660" t="53967" r="17516" b="21568"/>
                    <a:stretch>
                      <a:fillRect/>
                    </a:stretch>
                  </pic:blipFill>
                  <pic:spPr>
                    <a:xfrm>
                      <a:off x="0" y="0"/>
                      <a:ext cx="3657600" cy="1143000"/>
                    </a:xfrm>
                    <a:prstGeom prst="rect">
                      <a:avLst/>
                    </a:prstGeom>
                    <a:noFill/>
                    <a:ln>
                      <a:noFill/>
                    </a:ln>
                  </pic:spPr>
                </pic:pic>
              </a:graphicData>
            </a:graphic>
          </wp:inline>
        </w:drawing>
      </w:r>
    </w:p>
    <w:p>
      <w:pPr>
        <w:spacing w:line="360" w:lineRule="auto"/>
        <w:ind w:firstLine="420"/>
        <w:jc w:val="center"/>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图J.0.5-1  屈曲约束支撑的核心钢支撑</w:t>
      </w:r>
    </w:p>
    <w:p>
      <w:pPr>
        <w:spacing w:line="360" w:lineRule="auto"/>
        <w:ind w:firstLine="0" w:firstLineChars="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J.0.6 屈曲约束支撑与梁柱的连接应能可靠传递支撑弹性阶段的内力，其极限承载力应不低于支撑极限承载力的1.1倍。</w:t>
      </w:r>
    </w:p>
    <w:p>
      <w:pPr>
        <w:spacing w:line="360" w:lineRule="auto"/>
        <w:ind w:firstLine="0" w:firstLineChars="0"/>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J.0.7 屈曲约束支撑采用V形或Λ形时，应在支撑与梁连接处设置侧向支承，侧向支承力可取屈曲约束支撑极限承载力的2%。</w:t>
      </w: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spacing w:line="360" w:lineRule="auto"/>
        <w:ind w:firstLine="0" w:firstLineChars="0"/>
        <w:rPr>
          <w:rFonts w:ascii="宋体" w:hAnsi="宋体"/>
          <w:bCs/>
          <w:snapToGrid w:val="0"/>
          <w:color w:val="000000" w:themeColor="text1"/>
          <w:kern w:val="0"/>
          <w:szCs w:val="2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ind w:firstLine="420"/>
        <w:rPr>
          <w:color w:val="000000" w:themeColor="text1"/>
          <w14:textFill>
            <w14:solidFill>
              <w14:schemeClr w14:val="tx1"/>
            </w14:solidFill>
          </w14:textFill>
        </w:rPr>
      </w:pPr>
    </w:p>
    <w:p>
      <w:pPr>
        <w:pStyle w:val="15"/>
        <w:spacing w:line="240" w:lineRule="auto"/>
        <w:ind w:firstLine="420"/>
        <w:rPr>
          <w:color w:val="000000"/>
        </w:rPr>
      </w:pPr>
    </w:p>
    <w:p>
      <w:pPr>
        <w:pStyle w:val="15"/>
        <w:spacing w:line="240" w:lineRule="auto"/>
        <w:ind w:firstLine="420"/>
        <w:rPr>
          <w:color w:val="000000"/>
        </w:rPr>
      </w:pPr>
    </w:p>
    <w:p>
      <w:pPr>
        <w:pStyle w:val="15"/>
        <w:spacing w:line="240" w:lineRule="auto"/>
        <w:ind w:firstLine="420"/>
        <w:rPr>
          <w:color w:val="000000"/>
        </w:rPr>
      </w:pPr>
    </w:p>
    <w:p>
      <w:pPr>
        <w:pStyle w:val="15"/>
        <w:spacing w:line="240" w:lineRule="auto"/>
        <w:ind w:firstLine="420"/>
        <w:rPr>
          <w:color w:val="000000"/>
        </w:rPr>
      </w:pPr>
    </w:p>
    <w:p>
      <w:pPr>
        <w:pStyle w:val="15"/>
        <w:spacing w:line="240" w:lineRule="auto"/>
        <w:jc w:val="both"/>
        <w:rPr>
          <w:color w:val="000000"/>
        </w:rPr>
      </w:pPr>
      <w:r>
        <w:rPr>
          <w:color w:val="000000"/>
        </w:rPr>
        <w:t>UDC</w:t>
      </w:r>
      <w:r>
        <w:rPr>
          <w:rFonts w:eastAsia="黑体"/>
          <w:bCs/>
          <w:color w:val="000000"/>
          <w:sz w:val="32"/>
          <w:szCs w:val="32"/>
        </w:rPr>
        <w:t xml:space="preserve">          </w:t>
      </w:r>
      <w:r>
        <w:rPr>
          <w:rFonts w:eastAsia="黑体"/>
          <w:color w:val="000000"/>
          <w:spacing w:val="40"/>
          <w:sz w:val="32"/>
          <w:szCs w:val="30"/>
        </w:rPr>
        <w:t>中华人民共和国国家标准</w:t>
      </w:r>
      <w:r>
        <w:rPr>
          <w:bCs/>
          <w:color w:val="000000"/>
          <w:spacing w:val="40"/>
          <w:sz w:val="32"/>
          <w:szCs w:val="30"/>
        </w:rPr>
        <w:t xml:space="preserve"> </w:t>
      </w:r>
      <w:r>
        <w:rPr>
          <w:rFonts w:eastAsia="黑体"/>
          <w:color w:val="000000"/>
          <w:spacing w:val="20"/>
          <w:sz w:val="30"/>
          <w:szCs w:val="30"/>
        </w:rPr>
        <w:t xml:space="preserve"> </w:t>
      </w:r>
      <w:r>
        <w:rPr>
          <w:color w:val="000000"/>
        </w:rPr>
        <w:t xml:space="preserve">     </w:t>
      </w:r>
      <w:r>
        <w:rPr>
          <w:rFonts w:eastAsia="STCaiyun"/>
          <w:color w:val="000000"/>
          <w:sz w:val="84"/>
          <w:szCs w:val="44"/>
        </w:rPr>
        <w:t>GB</w:t>
      </w:r>
    </w:p>
    <w:p>
      <w:pPr>
        <w:tabs>
          <w:tab w:val="left" w:pos="180"/>
        </w:tabs>
        <w:spacing w:line="360" w:lineRule="exact"/>
        <w:ind w:firstLine="480"/>
        <w:jc w:val="center"/>
        <w:rPr>
          <w:color w:val="000000"/>
          <w:sz w:val="24"/>
        </w:rPr>
      </w:pPr>
    </w:p>
    <w:p>
      <w:pPr>
        <w:pBdr>
          <w:bottom w:val="single" w:color="auto" w:sz="4" w:space="1"/>
        </w:pBdr>
        <w:spacing w:line="360" w:lineRule="exact"/>
        <w:ind w:firstLine="440" w:firstLineChars="100"/>
        <w:jc w:val="left"/>
        <w:rPr>
          <w:rFonts w:eastAsia="黑体"/>
          <w:color w:val="000000"/>
          <w:spacing w:val="20"/>
          <w:sz w:val="30"/>
          <w:szCs w:val="30"/>
        </w:rPr>
      </w:pPr>
      <w:r>
        <w:rPr>
          <w:color w:val="000000"/>
          <w:sz w:val="44"/>
          <w:szCs w:val="44"/>
        </w:rPr>
        <w:t>P</w:t>
      </w:r>
      <w:r>
        <w:rPr>
          <w:color w:val="000000"/>
          <w:sz w:val="24"/>
        </w:rPr>
        <w:t xml:space="preserve">                                             </w:t>
      </w:r>
      <w:r>
        <w:rPr>
          <w:rFonts w:eastAsia="黑体"/>
          <w:bCs/>
          <w:color w:val="000000"/>
          <w:spacing w:val="20"/>
          <w:sz w:val="32"/>
          <w:szCs w:val="32"/>
        </w:rPr>
        <w:t xml:space="preserve"> GB</w:t>
      </w:r>
      <w:r>
        <w:rPr>
          <w:rFonts w:hint="eastAsia" w:eastAsia="黑体"/>
          <w:bCs/>
          <w:color w:val="000000"/>
          <w:spacing w:val="20"/>
          <w:sz w:val="32"/>
          <w:szCs w:val="32"/>
        </w:rPr>
        <w:t>xxxxx</w:t>
      </w:r>
      <w:r>
        <w:rPr>
          <w:rFonts w:eastAsia="黑体"/>
          <w:bCs/>
          <w:color w:val="000000"/>
          <w:spacing w:val="20"/>
          <w:sz w:val="32"/>
          <w:szCs w:val="32"/>
        </w:rPr>
        <w:t>—202X</w:t>
      </w:r>
    </w:p>
    <w:p>
      <w:pPr>
        <w:spacing w:line="360" w:lineRule="exact"/>
        <w:ind w:firstLine="480"/>
        <w:jc w:val="distribute"/>
        <w:rPr>
          <w:rFonts w:eastAsia="黑体"/>
          <w:bCs/>
          <w:color w:val="000000"/>
          <w:sz w:val="24"/>
        </w:rPr>
      </w:pPr>
    </w:p>
    <w:p>
      <w:pPr>
        <w:pStyle w:val="23"/>
        <w:ind w:firstLine="360"/>
        <w:rPr>
          <w:color w:val="000000"/>
        </w:rPr>
      </w:pPr>
    </w:p>
    <w:p>
      <w:pPr>
        <w:spacing w:line="360" w:lineRule="exact"/>
        <w:ind w:firstLine="480"/>
        <w:rPr>
          <w:color w:val="000000"/>
          <w:sz w:val="24"/>
        </w:rPr>
      </w:pPr>
    </w:p>
    <w:p>
      <w:pPr>
        <w:spacing w:line="360" w:lineRule="auto"/>
        <w:ind w:left="0" w:leftChars="0" w:firstLine="760" w:firstLineChars="100"/>
        <w:jc w:val="both"/>
        <w:rPr>
          <w:color w:val="000000"/>
          <w:sz w:val="36"/>
        </w:rPr>
      </w:pPr>
      <w:r>
        <w:rPr>
          <w:rFonts w:hint="eastAsia" w:eastAsia="STZhongsong"/>
          <w:bCs/>
          <w:color w:val="000000"/>
          <w:spacing w:val="120"/>
          <w:position w:val="6"/>
          <w:sz w:val="52"/>
          <w:szCs w:val="44"/>
        </w:rPr>
        <w:t>工业建筑抗震设计标准</w:t>
      </w:r>
    </w:p>
    <w:p>
      <w:pPr>
        <w:spacing w:line="360" w:lineRule="auto"/>
        <w:ind w:firstLine="640"/>
        <w:jc w:val="center"/>
        <w:rPr>
          <w:color w:val="000000"/>
          <w:sz w:val="32"/>
        </w:rPr>
      </w:pPr>
      <w:r>
        <w:rPr>
          <w:color w:val="000000"/>
          <w:sz w:val="32"/>
        </w:rPr>
        <w:t>S</w:t>
      </w:r>
      <w:r>
        <w:rPr>
          <w:rFonts w:hint="eastAsia"/>
          <w:color w:val="000000"/>
          <w:sz w:val="32"/>
        </w:rPr>
        <w:t>tan</w:t>
      </w:r>
      <w:r>
        <w:rPr>
          <w:color w:val="000000"/>
          <w:sz w:val="32"/>
        </w:rPr>
        <w:t>dard for design of industrial building</w:t>
      </w:r>
    </w:p>
    <w:p>
      <w:pPr>
        <w:spacing w:line="360" w:lineRule="auto"/>
        <w:ind w:firstLine="720"/>
        <w:jc w:val="center"/>
        <w:rPr>
          <w:color w:val="000000"/>
          <w:spacing w:val="20"/>
          <w:sz w:val="30"/>
          <w:szCs w:val="30"/>
        </w:rPr>
      </w:pPr>
      <w:r>
        <w:rPr>
          <w:rFonts w:hint="eastAsia"/>
          <w:color w:val="000000"/>
          <w:spacing w:val="20"/>
          <w:sz w:val="32"/>
          <w:szCs w:val="30"/>
        </w:rPr>
        <w:t>条文说明</w:t>
      </w:r>
    </w:p>
    <w:p>
      <w:pPr>
        <w:spacing w:line="360" w:lineRule="auto"/>
        <w:ind w:firstLine="800"/>
        <w:jc w:val="center"/>
        <w:rPr>
          <w:color w:val="000000"/>
          <w:spacing w:val="20"/>
          <w:sz w:val="36"/>
          <w:szCs w:val="32"/>
        </w:rPr>
      </w:pPr>
      <w:r>
        <w:rPr>
          <w:color w:val="000000"/>
          <w:spacing w:val="20"/>
          <w:sz w:val="36"/>
          <w:szCs w:val="32"/>
        </w:rPr>
        <w:t>（</w:t>
      </w:r>
      <w:r>
        <w:rPr>
          <w:rFonts w:hint="eastAsia"/>
          <w:color w:val="000000"/>
          <w:spacing w:val="20"/>
          <w:sz w:val="36"/>
          <w:szCs w:val="32"/>
        </w:rPr>
        <w:t>征求意见稿</w:t>
      </w:r>
      <w:r>
        <w:rPr>
          <w:color w:val="000000"/>
          <w:spacing w:val="20"/>
          <w:sz w:val="36"/>
          <w:szCs w:val="32"/>
        </w:rPr>
        <w:t>）</w:t>
      </w:r>
    </w:p>
    <w:p>
      <w:pPr>
        <w:ind w:firstLine="600"/>
        <w:jc w:val="center"/>
        <w:rPr>
          <w:color w:val="000000"/>
          <w:sz w:val="30"/>
          <w:szCs w:val="30"/>
        </w:rPr>
      </w:pPr>
    </w:p>
    <w:p>
      <w:pPr>
        <w:ind w:firstLine="600"/>
        <w:jc w:val="center"/>
        <w:rPr>
          <w:color w:val="000000"/>
          <w:sz w:val="30"/>
          <w:szCs w:val="30"/>
        </w:rPr>
      </w:pPr>
      <w:r>
        <w:rPr>
          <w:rFonts w:hint="eastAsia"/>
          <w:color w:val="000000"/>
          <w:sz w:val="30"/>
          <w:szCs w:val="30"/>
        </w:rPr>
        <w:t xml:space="preserve"> </w:t>
      </w:r>
    </w:p>
    <w:p>
      <w:pPr>
        <w:ind w:firstLine="600"/>
        <w:jc w:val="center"/>
        <w:rPr>
          <w:color w:val="000000"/>
          <w:sz w:val="30"/>
          <w:szCs w:val="30"/>
        </w:rPr>
      </w:pPr>
    </w:p>
    <w:p>
      <w:pPr>
        <w:ind w:firstLine="600"/>
        <w:jc w:val="center"/>
        <w:rPr>
          <w:color w:val="000000"/>
          <w:sz w:val="30"/>
          <w:szCs w:val="30"/>
        </w:rPr>
      </w:pPr>
    </w:p>
    <w:p>
      <w:pPr>
        <w:ind w:firstLine="600"/>
        <w:jc w:val="center"/>
        <w:rPr>
          <w:color w:val="000000"/>
          <w:sz w:val="30"/>
          <w:szCs w:val="30"/>
        </w:rPr>
      </w:pPr>
    </w:p>
    <w:p>
      <w:pPr>
        <w:ind w:firstLine="600"/>
        <w:jc w:val="center"/>
        <w:rPr>
          <w:color w:val="000000"/>
          <w:sz w:val="30"/>
          <w:szCs w:val="30"/>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ind w:firstLine="480"/>
        <w:jc w:val="center"/>
        <w:rPr>
          <w:color w:val="000000"/>
          <w:sz w:val="24"/>
        </w:rPr>
      </w:pPr>
    </w:p>
    <w:p>
      <w:pPr>
        <w:pBdr>
          <w:bottom w:val="single" w:color="auto" w:sz="4" w:space="1"/>
        </w:pBdr>
        <w:ind w:firstLine="560"/>
        <w:jc w:val="center"/>
        <w:rPr>
          <w:bCs/>
          <w:color w:val="000000"/>
          <w:sz w:val="28"/>
          <w:szCs w:val="28"/>
        </w:rPr>
      </w:pPr>
      <w:r>
        <w:rPr>
          <w:rFonts w:hint="eastAsia" w:eastAsia="黑体"/>
          <w:bCs/>
          <w:color w:val="000000"/>
          <w:sz w:val="28"/>
        </w:rPr>
        <w:t xml:space="preserve"> </w:t>
      </w:r>
      <w:r>
        <w:rPr>
          <w:rFonts w:eastAsia="黑体"/>
          <w:bCs/>
          <w:color w:val="000000"/>
          <w:sz w:val="28"/>
        </w:rPr>
        <w:t xml:space="preserve">                           </w:t>
      </w:r>
      <w:r>
        <w:rPr>
          <w:rFonts w:hint="eastAsia" w:eastAsia="黑体"/>
          <w:bCs/>
          <w:color w:val="000000"/>
          <w:sz w:val="28"/>
        </w:rPr>
        <w:t xml:space="preserve"> </w:t>
      </w:r>
    </w:p>
    <w:p>
      <w:pPr>
        <w:ind w:firstLine="560"/>
        <w:jc w:val="center"/>
        <w:rPr>
          <w:bCs/>
          <w:color w:val="000000"/>
          <w:sz w:val="28"/>
          <w:szCs w:val="28"/>
        </w:rPr>
      </w:pPr>
      <w:r>
        <w:rPr>
          <w:rFonts w:hint="eastAsia"/>
          <w:bCs/>
          <w:color w:val="000000"/>
          <w:sz w:val="28"/>
          <w:szCs w:val="28"/>
        </w:rPr>
        <w:t>《工业建筑抗震设计标准》编制组</w:t>
      </w:r>
    </w:p>
    <w:p>
      <w:pPr>
        <w:ind w:firstLine="560"/>
        <w:jc w:val="center"/>
        <w:rPr>
          <w:bCs/>
          <w:color w:val="000000"/>
          <w:sz w:val="28"/>
          <w:szCs w:val="28"/>
        </w:rPr>
      </w:pPr>
      <w:r>
        <w:rPr>
          <w:rFonts w:hint="eastAsia"/>
          <w:bCs/>
          <w:color w:val="000000"/>
          <w:sz w:val="28"/>
          <w:szCs w:val="28"/>
        </w:rPr>
        <w:t>2020年7月</w:t>
      </w:r>
    </w:p>
    <w:p>
      <w:pPr>
        <w:autoSpaceDE w:val="0"/>
        <w:autoSpaceDN w:val="0"/>
        <w:spacing w:line="360" w:lineRule="exact"/>
        <w:ind w:firstLine="400"/>
        <w:rPr>
          <w:color w:val="000000"/>
          <w:kern w:val="0"/>
          <w:sz w:val="20"/>
        </w:rPr>
        <w:sectPr>
          <w:headerReference r:id="rId17" w:type="first"/>
          <w:footerReference r:id="rId20" w:type="first"/>
          <w:headerReference r:id="rId15" w:type="default"/>
          <w:footerReference r:id="rId18" w:type="default"/>
          <w:headerReference r:id="rId16" w:type="even"/>
          <w:footerReference r:id="rId19" w:type="even"/>
          <w:pgSz w:w="11907" w:h="16840"/>
          <w:pgMar w:top="1418" w:right="1418" w:bottom="1418" w:left="1474" w:header="720" w:footer="720" w:gutter="0"/>
          <w:pgNumType w:start="0"/>
          <w:cols w:space="720" w:num="1"/>
          <w:titlePg/>
          <w:docGrid w:linePitch="286" w:charSpace="0"/>
        </w:sectPr>
      </w:pPr>
    </w:p>
    <w:p>
      <w:pPr>
        <w:pStyle w:val="134"/>
        <w:spacing w:before="312" w:after="312"/>
      </w:pPr>
      <w:r>
        <w:t>目</w:t>
      </w:r>
      <w:r>
        <w:rPr>
          <w:rFonts w:hint="eastAsia"/>
        </w:rPr>
        <w:t xml:space="preserve"> </w:t>
      </w:r>
      <w:r>
        <w:t xml:space="preserve"> 录</w:t>
      </w:r>
    </w:p>
    <w:p>
      <w:pPr>
        <w:pStyle w:val="24"/>
        <w:tabs>
          <w:tab w:val="left" w:pos="420"/>
          <w:tab w:val="right" w:leader="dot" w:pos="8296"/>
        </w:tabs>
        <w:spacing w:line="276" w:lineRule="auto"/>
        <w:rPr>
          <w:color w:val="000000"/>
          <w:sz w:val="24"/>
          <w:szCs w:val="24"/>
        </w:rPr>
      </w:pPr>
      <w:r>
        <w:rPr>
          <w:color w:val="000000"/>
          <w:sz w:val="24"/>
          <w:szCs w:val="24"/>
        </w:rPr>
        <w:fldChar w:fldCharType="begin"/>
      </w:r>
      <w:r>
        <w:rPr>
          <w:color w:val="000000"/>
          <w:sz w:val="24"/>
          <w:szCs w:val="24"/>
        </w:rPr>
        <w:instrText xml:space="preserve"> TOC \o "1-3" \h \z \u </w:instrText>
      </w:r>
      <w:r>
        <w:rPr>
          <w:color w:val="000000"/>
          <w:sz w:val="24"/>
          <w:szCs w:val="24"/>
        </w:rPr>
        <w:fldChar w:fldCharType="separate"/>
      </w: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"_Toc48049977"</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1</w:t>
      </w:r>
      <w:r>
        <w:rPr>
          <w:color w:val="000000"/>
          <w:sz w:val="24"/>
          <w:szCs w:val="24"/>
        </w:rPr>
        <w:tab/>
      </w:r>
      <w:r>
        <w:rPr>
          <w:rStyle w:val="39"/>
          <w:color w:val="000000"/>
          <w:sz w:val="24"/>
          <w:szCs w:val="24"/>
        </w:rPr>
        <w:t>总则</w:t>
      </w:r>
      <w:r>
        <w:rPr>
          <w:color w:val="000000"/>
          <w:sz w:val="24"/>
          <w:szCs w:val="24"/>
        </w:rPr>
        <w:tab/>
      </w:r>
      <w:r>
        <w:rPr>
          <w:color w:val="000000"/>
          <w:sz w:val="24"/>
          <w:szCs w:val="24"/>
        </w:rPr>
        <w:fldChar w:fldCharType="begin"/>
      </w:r>
      <w:r>
        <w:rPr>
          <w:color w:val="000000"/>
          <w:sz w:val="24"/>
          <w:szCs w:val="24"/>
        </w:rPr>
        <w:instrText xml:space="preserve"> PAGEREF _Toc48049977 \h </w:instrText>
      </w:r>
      <w:r>
        <w:rPr>
          <w:color w:val="000000"/>
          <w:sz w:val="24"/>
          <w:szCs w:val="24"/>
        </w:rPr>
        <w:fldChar w:fldCharType="separate"/>
      </w:r>
      <w:r>
        <w:rPr>
          <w:color w:val="000000"/>
          <w:sz w:val="24"/>
          <w:szCs w:val="24"/>
        </w:rPr>
        <w:t>1</w:t>
      </w:r>
      <w:r>
        <w:rPr>
          <w:color w:val="000000"/>
          <w:sz w:val="24"/>
          <w:szCs w:val="24"/>
        </w:rPr>
        <w:fldChar w:fldCharType="end"/>
      </w:r>
      <w:r>
        <w:rPr>
          <w:rStyle w:val="39"/>
          <w:color w:val="000000"/>
          <w:sz w:val="24"/>
          <w:szCs w:val="24"/>
        </w:rPr>
        <w:fldChar w:fldCharType="end"/>
      </w:r>
    </w:p>
    <w:p>
      <w:pPr>
        <w:pStyle w:val="24"/>
        <w:tabs>
          <w:tab w:val="left" w:pos="42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"_Toc48049978"</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2</w:t>
      </w:r>
      <w:r>
        <w:rPr>
          <w:color w:val="000000"/>
          <w:sz w:val="24"/>
          <w:szCs w:val="24"/>
        </w:rPr>
        <w:tab/>
      </w:r>
      <w:r>
        <w:rPr>
          <w:rStyle w:val="39"/>
          <w:color w:val="000000"/>
          <w:sz w:val="24"/>
          <w:szCs w:val="24"/>
        </w:rPr>
        <w:t>术语、符号</w:t>
      </w:r>
      <w:r>
        <w:rPr>
          <w:color w:val="000000"/>
          <w:sz w:val="24"/>
          <w:szCs w:val="24"/>
        </w:rPr>
        <w:tab/>
      </w:r>
      <w:r>
        <w:rPr>
          <w:color w:val="000000"/>
          <w:sz w:val="24"/>
          <w:szCs w:val="24"/>
        </w:rPr>
        <w:fldChar w:fldCharType="begin"/>
      </w:r>
      <w:r>
        <w:rPr>
          <w:color w:val="000000"/>
          <w:sz w:val="24"/>
          <w:szCs w:val="24"/>
        </w:rPr>
        <w:instrText xml:space="preserve"> PAGEREF _Toc48049978 \h </w:instrText>
      </w:r>
      <w:r>
        <w:rPr>
          <w:color w:val="000000"/>
          <w:sz w:val="24"/>
          <w:szCs w:val="24"/>
        </w:rPr>
        <w:fldChar w:fldCharType="separate"/>
      </w:r>
      <w:r>
        <w:rPr>
          <w:color w:val="000000"/>
          <w:sz w:val="24"/>
          <w:szCs w:val="24"/>
        </w:rPr>
        <w:t>3</w:t>
      </w:r>
      <w:r>
        <w:rPr>
          <w:color w:val="000000"/>
          <w:sz w:val="24"/>
          <w:szCs w:val="24"/>
        </w:rPr>
        <w:fldChar w:fldCharType="end"/>
      </w:r>
      <w:r>
        <w:rPr>
          <w:rStyle w:val="39"/>
          <w:color w:val="000000"/>
          <w:sz w:val="24"/>
          <w:szCs w:val="24"/>
        </w:rPr>
        <w:fldChar w:fldCharType="end"/>
      </w:r>
    </w:p>
    <w:p>
      <w:pPr>
        <w:pStyle w:val="24"/>
        <w:tabs>
          <w:tab w:val="left" w:pos="42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"_Toc48049979"</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3</w:t>
      </w:r>
      <w:r>
        <w:rPr>
          <w:color w:val="000000"/>
          <w:sz w:val="24"/>
          <w:szCs w:val="24"/>
        </w:rPr>
        <w:tab/>
      </w:r>
      <w:r>
        <w:rPr>
          <w:rStyle w:val="39"/>
          <w:color w:val="000000"/>
          <w:sz w:val="24"/>
          <w:szCs w:val="24"/>
        </w:rPr>
        <w:t>抗震设计基本规定</w:t>
      </w:r>
      <w:r>
        <w:rPr>
          <w:color w:val="000000"/>
          <w:sz w:val="24"/>
          <w:szCs w:val="24"/>
        </w:rPr>
        <w:tab/>
      </w:r>
      <w:r>
        <w:rPr>
          <w:color w:val="000000"/>
          <w:sz w:val="24"/>
          <w:szCs w:val="24"/>
        </w:rPr>
        <w:fldChar w:fldCharType="begin"/>
      </w:r>
      <w:r>
        <w:rPr>
          <w:color w:val="000000"/>
          <w:sz w:val="24"/>
          <w:szCs w:val="24"/>
        </w:rPr>
        <w:instrText xml:space="preserve"> PAGEREF _Toc48049979 \h </w:instrText>
      </w:r>
      <w:r>
        <w:rPr>
          <w:color w:val="000000"/>
          <w:sz w:val="24"/>
          <w:szCs w:val="24"/>
        </w:rPr>
        <w:fldChar w:fldCharType="separate"/>
      </w:r>
      <w:r>
        <w:rPr>
          <w:color w:val="000000"/>
          <w:sz w:val="24"/>
          <w:szCs w:val="24"/>
        </w:rPr>
        <w:t>4</w:t>
      </w:r>
      <w:r>
        <w:rPr>
          <w:color w:val="000000"/>
          <w:sz w:val="24"/>
          <w:szCs w:val="24"/>
        </w:rPr>
        <w:fldChar w:fldCharType="end"/>
      </w:r>
      <w:r>
        <w:rPr>
          <w:rStyle w:val="39"/>
          <w:color w:val="000000"/>
          <w:sz w:val="24"/>
          <w:szCs w:val="24"/>
        </w:rPr>
        <w:fldChar w:fldCharType="end"/>
      </w:r>
    </w:p>
    <w:p>
      <w:pPr>
        <w:pStyle w:val="24"/>
        <w:tabs>
          <w:tab w:val="left" w:pos="42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"_Toc48049980"</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4</w:t>
      </w:r>
      <w:r>
        <w:rPr>
          <w:color w:val="000000"/>
          <w:sz w:val="24"/>
          <w:szCs w:val="24"/>
        </w:rPr>
        <w:tab/>
      </w:r>
      <w:r>
        <w:rPr>
          <w:rStyle w:val="39"/>
          <w:color w:val="000000"/>
          <w:sz w:val="24"/>
          <w:szCs w:val="24"/>
        </w:rPr>
        <w:t>地震作用和结构抗震验算</w:t>
      </w:r>
      <w:r>
        <w:rPr>
          <w:color w:val="000000"/>
          <w:sz w:val="24"/>
          <w:szCs w:val="24"/>
        </w:rPr>
        <w:tab/>
      </w:r>
      <w:r>
        <w:rPr>
          <w:color w:val="000000"/>
          <w:sz w:val="24"/>
          <w:szCs w:val="24"/>
        </w:rPr>
        <w:fldChar w:fldCharType="begin"/>
      </w:r>
      <w:r>
        <w:rPr>
          <w:color w:val="000000"/>
          <w:sz w:val="24"/>
          <w:szCs w:val="24"/>
        </w:rPr>
        <w:instrText xml:space="preserve"> PAGEREF _Toc48049980 \h </w:instrText>
      </w:r>
      <w:r>
        <w:rPr>
          <w:color w:val="000000"/>
          <w:sz w:val="24"/>
          <w:szCs w:val="24"/>
        </w:rPr>
        <w:fldChar w:fldCharType="separate"/>
      </w:r>
      <w:r>
        <w:rPr>
          <w:color w:val="000000"/>
          <w:sz w:val="24"/>
          <w:szCs w:val="24"/>
        </w:rPr>
        <w:t>6</w:t>
      </w:r>
      <w:r>
        <w:rPr>
          <w:color w:val="000000"/>
          <w:sz w:val="24"/>
          <w:szCs w:val="24"/>
        </w:rPr>
        <w:fldChar w:fldCharType="end"/>
      </w:r>
      <w:r>
        <w:rPr>
          <w:rStyle w:val="39"/>
          <w:color w:val="000000"/>
          <w:sz w:val="24"/>
          <w:szCs w:val="24"/>
        </w:rPr>
        <w:fldChar w:fldCharType="end"/>
      </w:r>
    </w:p>
    <w:p>
      <w:pPr>
        <w:pStyle w:val="24"/>
        <w:tabs>
          <w:tab w:val="left" w:pos="42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"_Toc48049981"</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5</w:t>
      </w:r>
      <w:r>
        <w:rPr>
          <w:color w:val="000000"/>
          <w:sz w:val="24"/>
          <w:szCs w:val="24"/>
        </w:rPr>
        <w:tab/>
      </w:r>
      <w:r>
        <w:rPr>
          <w:rStyle w:val="39"/>
          <w:color w:val="000000"/>
          <w:sz w:val="24"/>
          <w:szCs w:val="24"/>
        </w:rPr>
        <w:t>场地、地基和基础</w:t>
      </w:r>
      <w:r>
        <w:rPr>
          <w:color w:val="000000"/>
          <w:sz w:val="24"/>
          <w:szCs w:val="24"/>
        </w:rPr>
        <w:tab/>
      </w:r>
      <w:r>
        <w:rPr>
          <w:color w:val="000000"/>
          <w:sz w:val="24"/>
          <w:szCs w:val="24"/>
        </w:rPr>
        <w:fldChar w:fldCharType="begin"/>
      </w:r>
      <w:r>
        <w:rPr>
          <w:color w:val="000000"/>
          <w:sz w:val="24"/>
          <w:szCs w:val="24"/>
        </w:rPr>
        <w:instrText xml:space="preserve"> PAGEREF _Toc48049981 \h </w:instrText>
      </w:r>
      <w:r>
        <w:rPr>
          <w:color w:val="000000"/>
          <w:sz w:val="24"/>
          <w:szCs w:val="24"/>
        </w:rPr>
        <w:fldChar w:fldCharType="separate"/>
      </w:r>
      <w:r>
        <w:rPr>
          <w:color w:val="000000"/>
          <w:sz w:val="24"/>
          <w:szCs w:val="24"/>
        </w:rPr>
        <w:t>8</w:t>
      </w:r>
      <w:r>
        <w:rPr>
          <w:color w:val="000000"/>
          <w:sz w:val="24"/>
          <w:szCs w:val="24"/>
        </w:rPr>
        <w:fldChar w:fldCharType="end"/>
      </w:r>
      <w:r>
        <w:rPr>
          <w:rStyle w:val="39"/>
          <w:color w:val="000000"/>
          <w:sz w:val="24"/>
          <w:szCs w:val="24"/>
        </w:rPr>
        <w:fldChar w:fldCharType="end"/>
      </w:r>
    </w:p>
    <w:p>
      <w:pPr>
        <w:pStyle w:val="24"/>
        <w:tabs>
          <w:tab w:val="left" w:pos="42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"_Toc48049982"</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6</w:t>
      </w:r>
      <w:r>
        <w:rPr>
          <w:color w:val="000000"/>
          <w:sz w:val="24"/>
          <w:szCs w:val="24"/>
        </w:rPr>
        <w:tab/>
      </w:r>
      <w:r>
        <w:rPr>
          <w:rStyle w:val="39"/>
          <w:color w:val="000000"/>
          <w:sz w:val="24"/>
          <w:szCs w:val="24"/>
        </w:rPr>
        <w:t>混凝土结构基本要求</w:t>
      </w:r>
      <w:r>
        <w:rPr>
          <w:color w:val="000000"/>
          <w:sz w:val="24"/>
          <w:szCs w:val="24"/>
        </w:rPr>
        <w:tab/>
      </w:r>
      <w:r>
        <w:rPr>
          <w:color w:val="000000"/>
          <w:sz w:val="24"/>
          <w:szCs w:val="24"/>
        </w:rPr>
        <w:fldChar w:fldCharType="begin"/>
      </w:r>
      <w:r>
        <w:rPr>
          <w:color w:val="000000"/>
          <w:sz w:val="24"/>
          <w:szCs w:val="24"/>
        </w:rPr>
        <w:instrText xml:space="preserve"> PAGEREF _Toc48049982 \h </w:instrText>
      </w:r>
      <w:r>
        <w:rPr>
          <w:color w:val="000000"/>
          <w:sz w:val="24"/>
          <w:szCs w:val="24"/>
        </w:rPr>
        <w:fldChar w:fldCharType="separate"/>
      </w:r>
      <w:r>
        <w:rPr>
          <w:color w:val="000000"/>
          <w:sz w:val="24"/>
          <w:szCs w:val="24"/>
        </w:rPr>
        <w:t>11</w:t>
      </w:r>
      <w:r>
        <w:rPr>
          <w:color w:val="000000"/>
          <w:sz w:val="24"/>
          <w:szCs w:val="24"/>
        </w:rPr>
        <w:fldChar w:fldCharType="end"/>
      </w:r>
      <w:r>
        <w:rPr>
          <w:rStyle w:val="39"/>
          <w:color w:val="000000"/>
          <w:sz w:val="24"/>
          <w:szCs w:val="24"/>
        </w:rPr>
        <w:fldChar w:fldCharType="end"/>
      </w:r>
    </w:p>
    <w:p>
      <w:pPr>
        <w:pStyle w:val="24"/>
        <w:tabs>
          <w:tab w:val="left" w:pos="42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"_Toc48049983"</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7</w:t>
      </w:r>
      <w:r>
        <w:rPr>
          <w:color w:val="000000"/>
          <w:sz w:val="24"/>
          <w:szCs w:val="24"/>
        </w:rPr>
        <w:tab/>
      </w:r>
      <w:r>
        <w:rPr>
          <w:rStyle w:val="39"/>
          <w:color w:val="000000"/>
          <w:sz w:val="24"/>
          <w:szCs w:val="24"/>
        </w:rPr>
        <w:t>单层混凝土柱结构</w:t>
      </w:r>
      <w:r>
        <w:rPr>
          <w:color w:val="000000"/>
          <w:sz w:val="24"/>
          <w:szCs w:val="24"/>
        </w:rPr>
        <w:tab/>
      </w:r>
      <w:r>
        <w:rPr>
          <w:color w:val="000000"/>
          <w:sz w:val="24"/>
          <w:szCs w:val="24"/>
        </w:rPr>
        <w:fldChar w:fldCharType="begin"/>
      </w:r>
      <w:r>
        <w:rPr>
          <w:color w:val="000000"/>
          <w:sz w:val="24"/>
          <w:szCs w:val="24"/>
        </w:rPr>
        <w:instrText xml:space="preserve"> PAGEREF _Toc48049983 \h </w:instrText>
      </w:r>
      <w:r>
        <w:rPr>
          <w:color w:val="000000"/>
          <w:sz w:val="24"/>
          <w:szCs w:val="24"/>
        </w:rPr>
        <w:fldChar w:fldCharType="separate"/>
      </w:r>
      <w:r>
        <w:rPr>
          <w:color w:val="000000"/>
          <w:sz w:val="24"/>
          <w:szCs w:val="24"/>
        </w:rPr>
        <w:t>12</w:t>
      </w:r>
      <w:r>
        <w:rPr>
          <w:color w:val="000000"/>
          <w:sz w:val="24"/>
          <w:szCs w:val="24"/>
        </w:rPr>
        <w:fldChar w:fldCharType="end"/>
      </w:r>
      <w:r>
        <w:rPr>
          <w:rStyle w:val="39"/>
          <w:color w:val="000000"/>
          <w:sz w:val="24"/>
          <w:szCs w:val="24"/>
        </w:rPr>
        <w:fldChar w:fldCharType="end"/>
      </w:r>
    </w:p>
    <w:p>
      <w:pPr>
        <w:pStyle w:val="24"/>
        <w:tabs>
          <w:tab w:val="left" w:pos="42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"_Toc48049984"</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8</w:t>
      </w:r>
      <w:r>
        <w:rPr>
          <w:color w:val="000000"/>
          <w:sz w:val="24"/>
          <w:szCs w:val="24"/>
        </w:rPr>
        <w:tab/>
      </w:r>
      <w:r>
        <w:rPr>
          <w:rStyle w:val="39"/>
          <w:color w:val="000000"/>
          <w:sz w:val="24"/>
          <w:szCs w:val="24"/>
        </w:rPr>
        <w:t>多层混凝土结构</w:t>
      </w:r>
      <w:r>
        <w:rPr>
          <w:color w:val="000000"/>
          <w:sz w:val="24"/>
          <w:szCs w:val="24"/>
        </w:rPr>
        <w:tab/>
      </w:r>
      <w:r>
        <w:rPr>
          <w:color w:val="000000"/>
          <w:sz w:val="24"/>
          <w:szCs w:val="24"/>
        </w:rPr>
        <w:fldChar w:fldCharType="begin"/>
      </w:r>
      <w:r>
        <w:rPr>
          <w:color w:val="000000"/>
          <w:sz w:val="24"/>
          <w:szCs w:val="24"/>
        </w:rPr>
        <w:instrText xml:space="preserve"> PAGEREF _Toc48049984 \h </w:instrText>
      </w:r>
      <w:r>
        <w:rPr>
          <w:color w:val="000000"/>
          <w:sz w:val="24"/>
          <w:szCs w:val="24"/>
        </w:rPr>
        <w:fldChar w:fldCharType="separate"/>
      </w:r>
      <w:r>
        <w:rPr>
          <w:color w:val="000000"/>
          <w:sz w:val="24"/>
          <w:szCs w:val="24"/>
        </w:rPr>
        <w:t>13</w:t>
      </w:r>
      <w:r>
        <w:rPr>
          <w:color w:val="000000"/>
          <w:sz w:val="24"/>
          <w:szCs w:val="24"/>
        </w:rPr>
        <w:fldChar w:fldCharType="end"/>
      </w:r>
      <w:r>
        <w:rPr>
          <w:rStyle w:val="39"/>
          <w:color w:val="000000"/>
          <w:sz w:val="24"/>
          <w:szCs w:val="24"/>
        </w:rPr>
        <w:fldChar w:fldCharType="end"/>
      </w:r>
    </w:p>
    <w:p>
      <w:pPr>
        <w:pStyle w:val="24"/>
        <w:tabs>
          <w:tab w:val="left" w:pos="42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"_Toc48049985"</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9</w:t>
      </w:r>
      <w:r>
        <w:rPr>
          <w:color w:val="000000"/>
          <w:sz w:val="24"/>
          <w:szCs w:val="24"/>
        </w:rPr>
        <w:tab/>
      </w:r>
      <w:r>
        <w:rPr>
          <w:rStyle w:val="39"/>
          <w:color w:val="000000"/>
          <w:sz w:val="24"/>
          <w:szCs w:val="24"/>
        </w:rPr>
        <w:t>钢结构基本要求</w:t>
      </w:r>
      <w:r>
        <w:rPr>
          <w:color w:val="000000"/>
          <w:sz w:val="24"/>
          <w:szCs w:val="24"/>
        </w:rPr>
        <w:tab/>
      </w:r>
      <w:r>
        <w:rPr>
          <w:color w:val="000000"/>
          <w:sz w:val="24"/>
          <w:szCs w:val="24"/>
        </w:rPr>
        <w:fldChar w:fldCharType="begin"/>
      </w:r>
      <w:r>
        <w:rPr>
          <w:color w:val="000000"/>
          <w:sz w:val="24"/>
          <w:szCs w:val="24"/>
        </w:rPr>
        <w:instrText xml:space="preserve"> PAGEREF _Toc48049985 \h </w:instrText>
      </w:r>
      <w:r>
        <w:rPr>
          <w:color w:val="000000"/>
          <w:sz w:val="24"/>
          <w:szCs w:val="24"/>
        </w:rPr>
        <w:fldChar w:fldCharType="separate"/>
      </w:r>
      <w:r>
        <w:rPr>
          <w:color w:val="000000"/>
          <w:sz w:val="24"/>
          <w:szCs w:val="24"/>
        </w:rPr>
        <w:t>15</w:t>
      </w:r>
      <w:r>
        <w:rPr>
          <w:color w:val="000000"/>
          <w:sz w:val="24"/>
          <w:szCs w:val="24"/>
        </w:rPr>
        <w:fldChar w:fldCharType="end"/>
      </w:r>
      <w:r>
        <w:rPr>
          <w:rStyle w:val="39"/>
          <w:color w:val="000000"/>
          <w:sz w:val="24"/>
          <w:szCs w:val="24"/>
        </w:rPr>
        <w:fldChar w:fldCharType="end"/>
      </w:r>
    </w:p>
    <w:p>
      <w:pPr>
        <w:pStyle w:val="24"/>
        <w:tabs>
          <w:tab w:val="left" w:pos="63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"_Toc48049986"</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bCs/>
          <w:color w:val="000000"/>
          <w:sz w:val="24"/>
          <w:szCs w:val="24"/>
        </w:rPr>
        <w:t>10</w:t>
      </w:r>
      <w:r>
        <w:rPr>
          <w:color w:val="000000"/>
          <w:sz w:val="24"/>
          <w:szCs w:val="24"/>
        </w:rPr>
        <w:tab/>
      </w:r>
      <w:r>
        <w:rPr>
          <w:rStyle w:val="39"/>
          <w:color w:val="000000"/>
          <w:sz w:val="24"/>
          <w:szCs w:val="24"/>
        </w:rPr>
        <w:t>单层钢结构</w:t>
      </w:r>
      <w:r>
        <w:rPr>
          <w:color w:val="000000"/>
          <w:sz w:val="24"/>
          <w:szCs w:val="24"/>
        </w:rPr>
        <w:tab/>
      </w:r>
      <w:r>
        <w:rPr>
          <w:color w:val="000000"/>
          <w:sz w:val="24"/>
          <w:szCs w:val="24"/>
        </w:rPr>
        <w:fldChar w:fldCharType="begin"/>
      </w:r>
      <w:r>
        <w:rPr>
          <w:color w:val="000000"/>
          <w:sz w:val="24"/>
          <w:szCs w:val="24"/>
        </w:rPr>
        <w:instrText xml:space="preserve"> PAGEREF _Toc48049986 \h </w:instrText>
      </w:r>
      <w:r>
        <w:rPr>
          <w:color w:val="000000"/>
          <w:sz w:val="24"/>
          <w:szCs w:val="24"/>
        </w:rPr>
        <w:fldChar w:fldCharType="separate"/>
      </w:r>
      <w:r>
        <w:rPr>
          <w:color w:val="000000"/>
          <w:sz w:val="24"/>
          <w:szCs w:val="24"/>
        </w:rPr>
        <w:t>39</w:t>
      </w:r>
      <w:r>
        <w:rPr>
          <w:color w:val="000000"/>
          <w:sz w:val="24"/>
          <w:szCs w:val="24"/>
        </w:rPr>
        <w:fldChar w:fldCharType="end"/>
      </w:r>
      <w:r>
        <w:rPr>
          <w:rStyle w:val="39"/>
          <w:color w:val="000000"/>
          <w:sz w:val="24"/>
          <w:szCs w:val="24"/>
        </w:rPr>
        <w:fldChar w:fldCharType="end"/>
      </w:r>
    </w:p>
    <w:p>
      <w:pPr>
        <w:pStyle w:val="24"/>
        <w:tabs>
          <w:tab w:val="left" w:pos="630"/>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"_Toc48049987"</w:instrText>
      </w:r>
      <w:r>
        <w:rPr>
          <w:rStyle w:val="39"/>
          <w:color w:val="000000"/>
          <w:sz w:val="24"/>
          <w:szCs w:val="24"/>
        </w:rPr>
        <w:instrText xml:space="preserve"> </w:instrText>
      </w:r>
      <w:r>
        <w:rPr>
          <w:rStyle w:val="39"/>
          <w:color w:val="000000"/>
          <w:sz w:val="24"/>
          <w:szCs w:val="24"/>
        </w:rPr>
        <w:fldChar w:fldCharType="separate"/>
      </w:r>
      <w:r>
        <w:rPr>
          <w:rStyle w:val="39"/>
          <w:rFonts w:ascii="Times New Roman" w:hAnsi="Times New Roman"/>
          <w:color w:val="000000"/>
          <w:sz w:val="24"/>
          <w:szCs w:val="24"/>
        </w:rPr>
        <w:t>11</w:t>
      </w:r>
      <w:r>
        <w:rPr>
          <w:color w:val="000000"/>
          <w:sz w:val="24"/>
          <w:szCs w:val="24"/>
        </w:rPr>
        <w:tab/>
      </w:r>
      <w:r>
        <w:rPr>
          <w:rStyle w:val="39"/>
          <w:color w:val="000000"/>
          <w:sz w:val="24"/>
          <w:szCs w:val="24"/>
        </w:rPr>
        <w:t>多层钢结构</w:t>
      </w:r>
      <w:r>
        <w:rPr>
          <w:color w:val="000000"/>
          <w:sz w:val="24"/>
          <w:szCs w:val="24"/>
        </w:rPr>
        <w:tab/>
      </w:r>
      <w:r>
        <w:rPr>
          <w:color w:val="000000"/>
          <w:sz w:val="24"/>
          <w:szCs w:val="24"/>
        </w:rPr>
        <w:fldChar w:fldCharType="begin"/>
      </w:r>
      <w:r>
        <w:rPr>
          <w:color w:val="000000"/>
          <w:sz w:val="24"/>
          <w:szCs w:val="24"/>
        </w:rPr>
        <w:instrText xml:space="preserve"> PAGEREF _Toc48049987 \h </w:instrText>
      </w:r>
      <w:r>
        <w:rPr>
          <w:color w:val="000000"/>
          <w:sz w:val="24"/>
          <w:szCs w:val="24"/>
        </w:rPr>
        <w:fldChar w:fldCharType="separate"/>
      </w:r>
      <w:r>
        <w:rPr>
          <w:color w:val="000000"/>
          <w:sz w:val="24"/>
          <w:szCs w:val="24"/>
        </w:rPr>
        <w:t>43</w:t>
      </w:r>
      <w:r>
        <w:rPr>
          <w:color w:val="000000"/>
          <w:sz w:val="24"/>
          <w:szCs w:val="24"/>
        </w:rPr>
        <w:fldChar w:fldCharType="end"/>
      </w:r>
      <w:r>
        <w:rPr>
          <w:rStyle w:val="39"/>
          <w:color w:val="000000"/>
          <w:sz w:val="24"/>
          <w:szCs w:val="24"/>
        </w:rPr>
        <w:fldChar w:fldCharType="end"/>
      </w:r>
    </w:p>
    <w:p>
      <w:pPr>
        <w:pStyle w:val="24"/>
        <w:tabs>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"_Toc48049988"</w:instrText>
      </w:r>
      <w:r>
        <w:rPr>
          <w:rStyle w:val="39"/>
          <w:color w:val="000000"/>
          <w:sz w:val="24"/>
          <w:szCs w:val="24"/>
        </w:rPr>
        <w:instrText xml:space="preserve"> </w:instrText>
      </w:r>
      <w:r>
        <w:rPr>
          <w:rStyle w:val="39"/>
          <w:color w:val="000000"/>
          <w:sz w:val="24"/>
          <w:szCs w:val="24"/>
        </w:rPr>
        <w:fldChar w:fldCharType="separate"/>
      </w:r>
      <w:r>
        <w:rPr>
          <w:rStyle w:val="39"/>
          <w:color w:val="000000"/>
          <w:sz w:val="24"/>
          <w:szCs w:val="24"/>
        </w:rPr>
        <w:t>附录A 大跨度料场封闭结构</w:t>
      </w:r>
      <w:r>
        <w:rPr>
          <w:color w:val="000000"/>
          <w:sz w:val="24"/>
          <w:szCs w:val="24"/>
        </w:rPr>
        <w:tab/>
      </w:r>
      <w:r>
        <w:rPr>
          <w:color w:val="000000"/>
          <w:sz w:val="24"/>
          <w:szCs w:val="24"/>
        </w:rPr>
        <w:fldChar w:fldCharType="begin"/>
      </w:r>
      <w:r>
        <w:rPr>
          <w:color w:val="000000"/>
          <w:sz w:val="24"/>
          <w:szCs w:val="24"/>
        </w:rPr>
        <w:instrText xml:space="preserve"> PAGEREF _Toc48049988 \h </w:instrText>
      </w:r>
      <w:r>
        <w:rPr>
          <w:color w:val="000000"/>
          <w:sz w:val="24"/>
          <w:szCs w:val="24"/>
        </w:rPr>
        <w:fldChar w:fldCharType="separate"/>
      </w:r>
      <w:r>
        <w:rPr>
          <w:color w:val="000000"/>
          <w:sz w:val="24"/>
          <w:szCs w:val="24"/>
        </w:rPr>
        <w:t>44</w:t>
      </w:r>
      <w:r>
        <w:rPr>
          <w:color w:val="000000"/>
          <w:sz w:val="24"/>
          <w:szCs w:val="24"/>
        </w:rPr>
        <w:fldChar w:fldCharType="end"/>
      </w:r>
      <w:r>
        <w:rPr>
          <w:rStyle w:val="39"/>
          <w:color w:val="000000"/>
          <w:sz w:val="24"/>
          <w:szCs w:val="24"/>
        </w:rPr>
        <w:fldChar w:fldCharType="end"/>
      </w:r>
    </w:p>
    <w:p>
      <w:pPr>
        <w:pStyle w:val="24"/>
        <w:tabs>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"_Toc48049989"</w:instrText>
      </w:r>
      <w:r>
        <w:rPr>
          <w:rStyle w:val="39"/>
          <w:color w:val="000000"/>
          <w:sz w:val="24"/>
          <w:szCs w:val="24"/>
        </w:rPr>
        <w:instrText xml:space="preserve"> </w:instrText>
      </w:r>
      <w:r>
        <w:rPr>
          <w:rStyle w:val="39"/>
          <w:color w:val="000000"/>
          <w:sz w:val="24"/>
          <w:szCs w:val="24"/>
        </w:rPr>
        <w:fldChar w:fldCharType="separate"/>
      </w:r>
      <w:r>
        <w:rPr>
          <w:rStyle w:val="39"/>
          <w:color w:val="000000"/>
          <w:sz w:val="24"/>
          <w:szCs w:val="24"/>
        </w:rPr>
        <w:t>附录D 不锈钢结构</w:t>
      </w:r>
      <w:r>
        <w:rPr>
          <w:color w:val="000000"/>
          <w:sz w:val="24"/>
          <w:szCs w:val="24"/>
        </w:rPr>
        <w:tab/>
      </w:r>
      <w:r>
        <w:rPr>
          <w:color w:val="000000"/>
          <w:sz w:val="24"/>
          <w:szCs w:val="24"/>
        </w:rPr>
        <w:fldChar w:fldCharType="begin"/>
      </w:r>
      <w:r>
        <w:rPr>
          <w:color w:val="000000"/>
          <w:sz w:val="24"/>
          <w:szCs w:val="24"/>
        </w:rPr>
        <w:instrText xml:space="preserve"> PAGEREF _Toc48049989 \h </w:instrText>
      </w:r>
      <w:r>
        <w:rPr>
          <w:color w:val="000000"/>
          <w:sz w:val="24"/>
          <w:szCs w:val="24"/>
        </w:rPr>
        <w:fldChar w:fldCharType="separate"/>
      </w:r>
      <w:r>
        <w:rPr>
          <w:color w:val="000000"/>
          <w:sz w:val="24"/>
          <w:szCs w:val="24"/>
        </w:rPr>
        <w:t>46</w:t>
      </w:r>
      <w:r>
        <w:rPr>
          <w:color w:val="000000"/>
          <w:sz w:val="24"/>
          <w:szCs w:val="24"/>
        </w:rPr>
        <w:fldChar w:fldCharType="end"/>
      </w:r>
      <w:r>
        <w:rPr>
          <w:rStyle w:val="39"/>
          <w:color w:val="000000"/>
          <w:sz w:val="24"/>
          <w:szCs w:val="24"/>
        </w:rPr>
        <w:fldChar w:fldCharType="end"/>
      </w:r>
    </w:p>
    <w:p>
      <w:pPr>
        <w:pStyle w:val="24"/>
        <w:tabs>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"_Toc48049990"</w:instrText>
      </w:r>
      <w:r>
        <w:rPr>
          <w:rStyle w:val="39"/>
          <w:color w:val="000000"/>
          <w:sz w:val="24"/>
          <w:szCs w:val="24"/>
        </w:rPr>
        <w:instrText xml:space="preserve"> </w:instrText>
      </w:r>
      <w:r>
        <w:rPr>
          <w:rStyle w:val="39"/>
          <w:color w:val="000000"/>
          <w:sz w:val="24"/>
          <w:szCs w:val="24"/>
        </w:rPr>
        <w:fldChar w:fldCharType="separate"/>
      </w:r>
      <w:r>
        <w:rPr>
          <w:rStyle w:val="39"/>
          <w:color w:val="000000"/>
          <w:sz w:val="24"/>
          <w:szCs w:val="24"/>
        </w:rPr>
        <w:t>附录E 铝合金结构</w:t>
      </w:r>
      <w:r>
        <w:rPr>
          <w:color w:val="000000"/>
          <w:sz w:val="24"/>
          <w:szCs w:val="24"/>
        </w:rPr>
        <w:tab/>
      </w:r>
      <w:r>
        <w:rPr>
          <w:color w:val="000000"/>
          <w:sz w:val="24"/>
          <w:szCs w:val="24"/>
        </w:rPr>
        <w:fldChar w:fldCharType="begin"/>
      </w:r>
      <w:r>
        <w:rPr>
          <w:color w:val="000000"/>
          <w:sz w:val="24"/>
          <w:szCs w:val="24"/>
        </w:rPr>
        <w:instrText xml:space="preserve"> PAGEREF _Toc48049990 \h </w:instrText>
      </w:r>
      <w:r>
        <w:rPr>
          <w:color w:val="000000"/>
          <w:sz w:val="24"/>
          <w:szCs w:val="24"/>
        </w:rPr>
        <w:fldChar w:fldCharType="separate"/>
      </w:r>
      <w:r>
        <w:rPr>
          <w:color w:val="000000"/>
          <w:sz w:val="24"/>
          <w:szCs w:val="24"/>
        </w:rPr>
        <w:t>47</w:t>
      </w:r>
      <w:r>
        <w:rPr>
          <w:color w:val="000000"/>
          <w:sz w:val="24"/>
          <w:szCs w:val="24"/>
        </w:rPr>
        <w:fldChar w:fldCharType="end"/>
      </w:r>
      <w:r>
        <w:rPr>
          <w:rStyle w:val="39"/>
          <w:color w:val="000000"/>
          <w:sz w:val="24"/>
          <w:szCs w:val="24"/>
        </w:rPr>
        <w:fldChar w:fldCharType="end"/>
      </w:r>
    </w:p>
    <w:p>
      <w:pPr>
        <w:pStyle w:val="24"/>
        <w:tabs>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"_Toc48049991"</w:instrText>
      </w:r>
      <w:r>
        <w:rPr>
          <w:rStyle w:val="39"/>
          <w:color w:val="000000"/>
          <w:sz w:val="24"/>
          <w:szCs w:val="24"/>
        </w:rPr>
        <w:instrText xml:space="preserve"> </w:instrText>
      </w:r>
      <w:r>
        <w:rPr>
          <w:rStyle w:val="39"/>
          <w:color w:val="000000"/>
          <w:sz w:val="24"/>
          <w:szCs w:val="24"/>
        </w:rPr>
        <w:fldChar w:fldCharType="separate"/>
      </w:r>
      <w:r>
        <w:rPr>
          <w:rStyle w:val="39"/>
          <w:color w:val="000000"/>
          <w:sz w:val="24"/>
          <w:szCs w:val="24"/>
        </w:rPr>
        <w:t>附录F 部分填充钢-混凝土组合构件</w:t>
      </w:r>
      <w:r>
        <w:rPr>
          <w:color w:val="000000"/>
          <w:sz w:val="24"/>
          <w:szCs w:val="24"/>
        </w:rPr>
        <w:tab/>
      </w:r>
      <w:r>
        <w:rPr>
          <w:color w:val="000000"/>
          <w:sz w:val="24"/>
          <w:szCs w:val="24"/>
        </w:rPr>
        <w:fldChar w:fldCharType="begin"/>
      </w:r>
      <w:r>
        <w:rPr>
          <w:color w:val="000000"/>
          <w:sz w:val="24"/>
          <w:szCs w:val="24"/>
        </w:rPr>
        <w:instrText xml:space="preserve"> PAGEREF _Toc48049991 \h </w:instrText>
      </w:r>
      <w:r>
        <w:rPr>
          <w:color w:val="000000"/>
          <w:sz w:val="24"/>
          <w:szCs w:val="24"/>
        </w:rPr>
        <w:fldChar w:fldCharType="separate"/>
      </w:r>
      <w:r>
        <w:rPr>
          <w:color w:val="000000"/>
          <w:sz w:val="24"/>
          <w:szCs w:val="24"/>
        </w:rPr>
        <w:t>48</w:t>
      </w:r>
      <w:r>
        <w:rPr>
          <w:color w:val="000000"/>
          <w:sz w:val="24"/>
          <w:szCs w:val="24"/>
        </w:rPr>
        <w:fldChar w:fldCharType="end"/>
      </w:r>
      <w:r>
        <w:rPr>
          <w:rStyle w:val="39"/>
          <w:color w:val="000000"/>
          <w:sz w:val="24"/>
          <w:szCs w:val="24"/>
        </w:rPr>
        <w:fldChar w:fldCharType="end"/>
      </w:r>
    </w:p>
    <w:p>
      <w:pPr>
        <w:pStyle w:val="24"/>
        <w:tabs>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"_Toc48049992"</w:instrText>
      </w:r>
      <w:r>
        <w:rPr>
          <w:rStyle w:val="39"/>
          <w:color w:val="000000"/>
          <w:sz w:val="24"/>
          <w:szCs w:val="24"/>
        </w:rPr>
        <w:instrText xml:space="preserve"> </w:instrText>
      </w:r>
      <w:r>
        <w:rPr>
          <w:rStyle w:val="39"/>
          <w:color w:val="000000"/>
          <w:sz w:val="24"/>
          <w:szCs w:val="24"/>
        </w:rPr>
        <w:fldChar w:fldCharType="separate"/>
      </w:r>
      <w:r>
        <w:rPr>
          <w:rStyle w:val="39"/>
          <w:color w:val="000000"/>
          <w:sz w:val="24"/>
          <w:szCs w:val="24"/>
        </w:rPr>
        <w:t>附录G 隔震和消能减震结构</w:t>
      </w:r>
      <w:r>
        <w:rPr>
          <w:color w:val="000000"/>
          <w:sz w:val="24"/>
          <w:szCs w:val="24"/>
        </w:rPr>
        <w:tab/>
      </w:r>
      <w:r>
        <w:rPr>
          <w:color w:val="000000"/>
          <w:sz w:val="24"/>
          <w:szCs w:val="24"/>
        </w:rPr>
        <w:fldChar w:fldCharType="begin"/>
      </w:r>
      <w:r>
        <w:rPr>
          <w:color w:val="000000"/>
          <w:sz w:val="24"/>
          <w:szCs w:val="24"/>
        </w:rPr>
        <w:instrText xml:space="preserve"> PAGEREF _Toc48049992 \h </w:instrText>
      </w:r>
      <w:r>
        <w:rPr>
          <w:color w:val="000000"/>
          <w:sz w:val="24"/>
          <w:szCs w:val="24"/>
        </w:rPr>
        <w:fldChar w:fldCharType="separate"/>
      </w:r>
      <w:r>
        <w:rPr>
          <w:color w:val="000000"/>
          <w:sz w:val="24"/>
          <w:szCs w:val="24"/>
        </w:rPr>
        <w:t>63</w:t>
      </w:r>
      <w:r>
        <w:rPr>
          <w:color w:val="000000"/>
          <w:sz w:val="24"/>
          <w:szCs w:val="24"/>
        </w:rPr>
        <w:fldChar w:fldCharType="end"/>
      </w:r>
      <w:r>
        <w:rPr>
          <w:rStyle w:val="39"/>
          <w:color w:val="000000"/>
          <w:sz w:val="24"/>
          <w:szCs w:val="24"/>
        </w:rPr>
        <w:fldChar w:fldCharType="end"/>
      </w:r>
    </w:p>
    <w:p>
      <w:pPr>
        <w:pStyle w:val="24"/>
        <w:tabs>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"_Toc48049993"</w:instrText>
      </w:r>
      <w:r>
        <w:rPr>
          <w:rStyle w:val="39"/>
          <w:color w:val="000000"/>
          <w:sz w:val="24"/>
          <w:szCs w:val="24"/>
        </w:rPr>
        <w:instrText xml:space="preserve"> </w:instrText>
      </w:r>
      <w:r>
        <w:rPr>
          <w:rStyle w:val="39"/>
          <w:color w:val="000000"/>
          <w:sz w:val="24"/>
          <w:szCs w:val="24"/>
        </w:rPr>
        <w:fldChar w:fldCharType="separate"/>
      </w:r>
      <w:r>
        <w:rPr>
          <w:rStyle w:val="39"/>
          <w:color w:val="000000"/>
          <w:sz w:val="24"/>
          <w:szCs w:val="24"/>
        </w:rPr>
        <w:t>附录I  工业建筑抗震性能化评价</w:t>
      </w:r>
      <w:r>
        <w:rPr>
          <w:color w:val="000000"/>
          <w:sz w:val="24"/>
          <w:szCs w:val="24"/>
        </w:rPr>
        <w:tab/>
      </w:r>
      <w:r>
        <w:rPr>
          <w:color w:val="000000"/>
          <w:sz w:val="24"/>
          <w:szCs w:val="24"/>
        </w:rPr>
        <w:fldChar w:fldCharType="begin"/>
      </w:r>
      <w:r>
        <w:rPr>
          <w:color w:val="000000"/>
          <w:sz w:val="24"/>
          <w:szCs w:val="24"/>
        </w:rPr>
        <w:instrText xml:space="preserve"> PAGEREF _Toc48049993 \h </w:instrText>
      </w:r>
      <w:r>
        <w:rPr>
          <w:color w:val="000000"/>
          <w:sz w:val="24"/>
          <w:szCs w:val="24"/>
        </w:rPr>
        <w:fldChar w:fldCharType="separate"/>
      </w:r>
      <w:r>
        <w:rPr>
          <w:color w:val="000000"/>
          <w:sz w:val="24"/>
          <w:szCs w:val="24"/>
        </w:rPr>
        <w:t>65</w:t>
      </w:r>
      <w:r>
        <w:rPr>
          <w:color w:val="000000"/>
          <w:sz w:val="24"/>
          <w:szCs w:val="24"/>
        </w:rPr>
        <w:fldChar w:fldCharType="end"/>
      </w:r>
      <w:r>
        <w:rPr>
          <w:rStyle w:val="39"/>
          <w:color w:val="000000"/>
          <w:sz w:val="24"/>
          <w:szCs w:val="24"/>
        </w:rPr>
        <w:fldChar w:fldCharType="end"/>
      </w:r>
    </w:p>
    <w:p>
      <w:pPr>
        <w:pStyle w:val="24"/>
        <w:tabs>
          <w:tab w:val="right" w:leader="dot" w:pos="8296"/>
        </w:tabs>
        <w:spacing w:line="276" w:lineRule="auto"/>
        <w:rPr>
          <w:color w:val="000000"/>
          <w:sz w:val="24"/>
          <w:szCs w:val="24"/>
        </w:rPr>
      </w:pPr>
      <w:r>
        <w:rPr>
          <w:rStyle w:val="39"/>
          <w:color w:val="000000"/>
          <w:sz w:val="24"/>
          <w:szCs w:val="24"/>
        </w:rPr>
        <w:fldChar w:fldCharType="begin"/>
      </w:r>
      <w:r>
        <w:rPr>
          <w:rStyle w:val="39"/>
          <w:color w:val="000000"/>
          <w:sz w:val="24"/>
          <w:szCs w:val="24"/>
        </w:rPr>
        <w:instrText xml:space="preserve"> </w:instrText>
      </w:r>
      <w:r>
        <w:rPr>
          <w:color w:val="000000"/>
          <w:sz w:val="24"/>
          <w:szCs w:val="24"/>
        </w:rPr>
        <w:instrText xml:space="preserve">HYPERLINK \l "_Toc48049994"</w:instrText>
      </w:r>
      <w:r>
        <w:rPr>
          <w:rStyle w:val="39"/>
          <w:color w:val="000000"/>
          <w:sz w:val="24"/>
          <w:szCs w:val="24"/>
        </w:rPr>
        <w:instrText xml:space="preserve"> </w:instrText>
      </w:r>
      <w:r>
        <w:rPr>
          <w:rStyle w:val="39"/>
          <w:color w:val="000000"/>
          <w:sz w:val="24"/>
          <w:szCs w:val="24"/>
        </w:rPr>
        <w:fldChar w:fldCharType="separate"/>
      </w:r>
      <w:r>
        <w:rPr>
          <w:rStyle w:val="39"/>
          <w:color w:val="000000"/>
          <w:sz w:val="24"/>
          <w:szCs w:val="24"/>
        </w:rPr>
        <w:t>附录J 屈曲约束支撑</w:t>
      </w:r>
      <w:r>
        <w:rPr>
          <w:color w:val="000000"/>
          <w:sz w:val="24"/>
          <w:szCs w:val="24"/>
        </w:rPr>
        <w:tab/>
      </w:r>
      <w:r>
        <w:rPr>
          <w:color w:val="000000"/>
          <w:sz w:val="24"/>
          <w:szCs w:val="24"/>
        </w:rPr>
        <w:fldChar w:fldCharType="begin"/>
      </w:r>
      <w:r>
        <w:rPr>
          <w:color w:val="000000"/>
          <w:sz w:val="24"/>
          <w:szCs w:val="24"/>
        </w:rPr>
        <w:instrText xml:space="preserve"> PAGEREF _Toc48049994 \h </w:instrText>
      </w:r>
      <w:r>
        <w:rPr>
          <w:color w:val="000000"/>
          <w:sz w:val="24"/>
          <w:szCs w:val="24"/>
        </w:rPr>
        <w:fldChar w:fldCharType="separate"/>
      </w:r>
      <w:r>
        <w:rPr>
          <w:color w:val="000000"/>
          <w:sz w:val="24"/>
          <w:szCs w:val="24"/>
        </w:rPr>
        <w:t>69</w:t>
      </w:r>
      <w:r>
        <w:rPr>
          <w:color w:val="000000"/>
          <w:sz w:val="24"/>
          <w:szCs w:val="24"/>
        </w:rPr>
        <w:fldChar w:fldCharType="end"/>
      </w:r>
      <w:r>
        <w:rPr>
          <w:rStyle w:val="39"/>
          <w:color w:val="000000"/>
          <w:sz w:val="24"/>
          <w:szCs w:val="24"/>
        </w:rPr>
        <w:fldChar w:fldCharType="end"/>
      </w:r>
    </w:p>
    <w:p>
      <w:pPr>
        <w:spacing w:line="276" w:lineRule="auto"/>
        <w:rPr>
          <w:color w:val="000000"/>
        </w:rPr>
      </w:pPr>
      <w:r>
        <w:rPr>
          <w:b/>
          <w:bCs/>
          <w:color w:val="000000"/>
          <w:sz w:val="24"/>
          <w:szCs w:val="24"/>
          <w:lang w:val="zh-CN"/>
        </w:rPr>
        <w:fldChar w:fldCharType="end"/>
      </w:r>
    </w:p>
    <w:p>
      <w:pPr>
        <w:autoSpaceDE w:val="0"/>
        <w:autoSpaceDN w:val="0"/>
        <w:adjustRightInd w:val="0"/>
        <w:spacing w:line="360" w:lineRule="auto"/>
        <w:rPr>
          <w:rFonts w:ascii="等线" w:hAnsi="等线" w:cs="HiddenHorzOCR"/>
          <w:bCs/>
          <w:color w:val="000000"/>
          <w:kern w:val="0"/>
          <w:szCs w:val="21"/>
        </w:rPr>
      </w:pPr>
    </w:p>
    <w:p>
      <w:pPr>
        <w:pStyle w:val="2"/>
        <w:jc w:val="both"/>
        <w:rPr>
          <w:rFonts w:hint="eastAsia"/>
          <w:color w:val="000000"/>
        </w:rPr>
        <w:sectPr>
          <w:footerReference r:id="rId21" w:type="default"/>
          <w:pgSz w:w="11906" w:h="16838"/>
          <w:pgMar w:top="1440" w:right="1800" w:bottom="1440" w:left="1800" w:header="851" w:footer="992" w:gutter="0"/>
          <w:cols w:space="720" w:num="1"/>
          <w:docGrid w:type="lines" w:linePitch="312" w:charSpace="0"/>
        </w:sectPr>
      </w:pPr>
    </w:p>
    <w:p>
      <w:pPr>
        <w:pStyle w:val="2"/>
        <w:numPr>
          <w:ilvl w:val="0"/>
          <w:numId w:val="11"/>
        </w:numPr>
        <w:rPr>
          <w:color w:val="000000"/>
        </w:rPr>
      </w:pPr>
      <w:bookmarkStart w:id="265" w:name="_Toc48049977"/>
      <w:r>
        <w:rPr>
          <w:rFonts w:hint="eastAsia"/>
          <w:color w:val="000000"/>
        </w:rPr>
        <w:t>总 则</w:t>
      </w:r>
      <w:bookmarkEnd w:id="265"/>
    </w:p>
    <w:p>
      <w:pPr>
        <w:pStyle w:val="53"/>
        <w:autoSpaceDE w:val="0"/>
        <w:autoSpaceDN w:val="0"/>
        <w:adjustRightInd w:val="0"/>
        <w:spacing w:line="360" w:lineRule="auto"/>
        <w:ind w:firstLine="0" w:firstLineChars="0"/>
        <w:rPr>
          <w:rFonts w:ascii="等线" w:hAnsi="等线"/>
          <w:bCs/>
          <w:color w:val="000000"/>
        </w:rPr>
      </w:pPr>
    </w:p>
    <w:p>
      <w:pPr>
        <w:pStyle w:val="53"/>
        <w:autoSpaceDE w:val="0"/>
        <w:autoSpaceDN w:val="0"/>
        <w:adjustRightInd w:val="0"/>
        <w:spacing w:line="360" w:lineRule="auto"/>
        <w:ind w:firstLine="0" w:firstLineChars="0"/>
        <w:rPr>
          <w:rFonts w:ascii="等线" w:hAnsi="等线" w:cs="MS Mincho"/>
          <w:color w:val="000000"/>
          <w:kern w:val="0"/>
          <w:szCs w:val="21"/>
        </w:rPr>
      </w:pPr>
      <w:r>
        <w:rPr>
          <w:rFonts w:hint="eastAsia" w:ascii="等线" w:hAnsi="等线"/>
          <w:bCs/>
          <w:color w:val="000000"/>
        </w:rPr>
        <w:t xml:space="preserve">1.0.1 《建筑抗震设计规范》GB50011-2010（2016版）（简称“抗规”）和《构筑物抗震设计规范》GB50191-2012（简称“构抗规”）有部分厂房的抗震设计内容，包括： </w:t>
      </w:r>
    </w:p>
    <w:p>
      <w:pPr>
        <w:spacing w:line="360" w:lineRule="auto"/>
        <w:rPr>
          <w:rFonts w:ascii="等线" w:hAnsi="等线"/>
          <w:color w:val="000000"/>
        </w:rPr>
      </w:pPr>
      <w:r>
        <w:rPr>
          <w:rFonts w:hint="eastAsia" w:ascii="等线" w:hAnsi="等线"/>
          <w:color w:val="000000"/>
        </w:rPr>
        <w:t>1 “抗规”</w:t>
      </w:r>
    </w:p>
    <w:p>
      <w:pPr>
        <w:spacing w:line="360" w:lineRule="auto"/>
        <w:ind w:firstLine="420" w:firstLineChars="200"/>
        <w:rPr>
          <w:rFonts w:ascii="等线" w:hAnsi="等线" w:cs="HiddenHorzOCR"/>
          <w:color w:val="000000"/>
          <w:kern w:val="0"/>
          <w:szCs w:val="21"/>
        </w:rPr>
      </w:pPr>
      <w:r>
        <w:rPr>
          <w:rFonts w:hint="eastAsia" w:ascii="等线" w:hAnsi="等线"/>
          <w:color w:val="000000"/>
          <w:szCs w:val="21"/>
        </w:rPr>
        <w:t>“抗规”第</w:t>
      </w:r>
      <w:r>
        <w:rPr>
          <w:rFonts w:ascii="等线" w:hAnsi="等线" w:cs="Arial"/>
          <w:color w:val="000000"/>
          <w:kern w:val="0"/>
          <w:szCs w:val="21"/>
        </w:rPr>
        <w:t>9</w:t>
      </w:r>
      <w:r>
        <w:rPr>
          <w:rFonts w:hint="eastAsia" w:ascii="等线" w:hAnsi="等线" w:cs="Arial"/>
          <w:color w:val="000000"/>
          <w:kern w:val="0"/>
          <w:szCs w:val="21"/>
        </w:rPr>
        <w:t>章为</w:t>
      </w:r>
      <w:r>
        <w:rPr>
          <w:rFonts w:hint="eastAsia" w:ascii="等线" w:hAnsi="等线" w:cs="宋体"/>
          <w:color w:val="000000"/>
          <w:kern w:val="0"/>
          <w:szCs w:val="21"/>
        </w:rPr>
        <w:t>单层</w:t>
      </w:r>
      <w:r>
        <w:rPr>
          <w:rFonts w:hint="eastAsia" w:ascii="等线" w:hAnsi="等线" w:cs="MS Mincho"/>
          <w:color w:val="000000"/>
          <w:kern w:val="0"/>
          <w:szCs w:val="21"/>
        </w:rPr>
        <w:t>工</w:t>
      </w:r>
      <w:r>
        <w:rPr>
          <w:rFonts w:hint="eastAsia" w:ascii="等线" w:hAnsi="等线" w:cs="宋体"/>
          <w:color w:val="000000"/>
          <w:kern w:val="0"/>
          <w:szCs w:val="21"/>
        </w:rPr>
        <w:t>业</w:t>
      </w:r>
      <w:r>
        <w:rPr>
          <w:rFonts w:hint="eastAsia" w:ascii="等线" w:hAnsi="等线" w:cs="MS Mincho"/>
          <w:color w:val="000000"/>
          <w:kern w:val="0"/>
          <w:szCs w:val="21"/>
        </w:rPr>
        <w:t>厂</w:t>
      </w:r>
      <w:r>
        <w:rPr>
          <w:rFonts w:hint="eastAsia" w:ascii="等线" w:hAnsi="等线" w:cs="HiddenHorzOCR"/>
          <w:color w:val="000000"/>
          <w:kern w:val="0"/>
          <w:szCs w:val="21"/>
        </w:rPr>
        <w:t>房，包括混凝土柱厂房和钢结构厂房。</w:t>
      </w:r>
    </w:p>
    <w:p>
      <w:pPr>
        <w:spacing w:line="360" w:lineRule="auto"/>
        <w:ind w:firstLine="420" w:firstLineChars="200"/>
        <w:rPr>
          <w:rFonts w:ascii="等线" w:hAnsi="等线" w:cs="MS Mincho"/>
          <w:color w:val="000000"/>
          <w:kern w:val="0"/>
          <w:szCs w:val="21"/>
        </w:rPr>
      </w:pPr>
      <w:r>
        <w:rPr>
          <w:rFonts w:hint="eastAsia" w:ascii="等线" w:hAnsi="等线" w:cs="HiddenHorzOCR"/>
          <w:color w:val="000000"/>
          <w:kern w:val="0"/>
          <w:szCs w:val="21"/>
        </w:rPr>
        <w:t>附</w:t>
      </w:r>
      <w:r>
        <w:rPr>
          <w:rFonts w:hint="eastAsia" w:ascii="等线" w:hAnsi="等线" w:cs="宋体"/>
          <w:color w:val="000000"/>
          <w:kern w:val="0"/>
          <w:szCs w:val="21"/>
        </w:rPr>
        <w:t>录</w:t>
      </w:r>
      <w:r>
        <w:rPr>
          <w:rFonts w:ascii="等线" w:hAnsi="等线" w:cs="HiddenHorzOCR"/>
          <w:color w:val="000000"/>
          <w:kern w:val="0"/>
          <w:szCs w:val="21"/>
        </w:rPr>
        <w:t>H</w:t>
      </w:r>
      <w:r>
        <w:rPr>
          <w:rFonts w:hint="eastAsia" w:ascii="等线" w:hAnsi="等线" w:cs="HiddenHorzOCR"/>
          <w:color w:val="000000"/>
          <w:kern w:val="0"/>
          <w:szCs w:val="21"/>
        </w:rPr>
        <w:t>为多</w:t>
      </w:r>
      <w:r>
        <w:rPr>
          <w:rFonts w:hint="eastAsia" w:ascii="等线" w:hAnsi="等线" w:cs="宋体"/>
          <w:color w:val="000000"/>
          <w:kern w:val="0"/>
          <w:szCs w:val="21"/>
        </w:rPr>
        <w:t>层</w:t>
      </w:r>
      <w:r>
        <w:rPr>
          <w:rFonts w:hint="eastAsia" w:ascii="等线" w:hAnsi="等线" w:cs="MS Mincho"/>
          <w:color w:val="000000"/>
          <w:kern w:val="0"/>
          <w:szCs w:val="21"/>
        </w:rPr>
        <w:t>工</w:t>
      </w:r>
      <w:r>
        <w:rPr>
          <w:rFonts w:hint="eastAsia" w:ascii="等线" w:hAnsi="等线" w:cs="宋体"/>
          <w:color w:val="000000"/>
          <w:kern w:val="0"/>
          <w:szCs w:val="21"/>
        </w:rPr>
        <w:t>业</w:t>
      </w:r>
      <w:r>
        <w:rPr>
          <w:rFonts w:hint="eastAsia" w:ascii="等线" w:hAnsi="等线" w:cs="MS Mincho"/>
          <w:color w:val="000000"/>
          <w:kern w:val="0"/>
          <w:szCs w:val="21"/>
        </w:rPr>
        <w:t>厂房，包括</w:t>
      </w:r>
      <w:r>
        <w:rPr>
          <w:rFonts w:hint="eastAsia" w:ascii="等线" w:hAnsi="等线" w:cs="HiddenHorzOCR"/>
          <w:color w:val="000000"/>
          <w:kern w:val="0"/>
          <w:szCs w:val="21"/>
        </w:rPr>
        <w:t>混凝土框排架</w:t>
      </w:r>
      <w:r>
        <w:rPr>
          <w:rFonts w:hint="eastAsia" w:ascii="等线" w:hAnsi="等线" w:cs="宋体"/>
          <w:color w:val="000000"/>
          <w:kern w:val="0"/>
          <w:szCs w:val="21"/>
        </w:rPr>
        <w:t>结</w:t>
      </w:r>
      <w:r>
        <w:rPr>
          <w:rFonts w:hint="eastAsia" w:ascii="等线" w:hAnsi="等线" w:cs="MS Mincho"/>
          <w:color w:val="000000"/>
          <w:kern w:val="0"/>
          <w:szCs w:val="21"/>
        </w:rPr>
        <w:t>构厂房和</w:t>
      </w:r>
      <w:r>
        <w:rPr>
          <w:rFonts w:hint="eastAsia" w:ascii="等线" w:hAnsi="等线" w:cs="HiddenHorzOCR"/>
          <w:color w:val="000000"/>
          <w:kern w:val="0"/>
          <w:szCs w:val="21"/>
        </w:rPr>
        <w:t>多</w:t>
      </w:r>
      <w:r>
        <w:rPr>
          <w:rFonts w:hint="eastAsia" w:ascii="等线" w:hAnsi="等线" w:cs="宋体"/>
          <w:color w:val="000000"/>
          <w:kern w:val="0"/>
          <w:szCs w:val="21"/>
        </w:rPr>
        <w:t>层钢结</w:t>
      </w:r>
      <w:r>
        <w:rPr>
          <w:rFonts w:hint="eastAsia" w:ascii="等线" w:hAnsi="等线" w:cs="MS Mincho"/>
          <w:color w:val="000000"/>
          <w:kern w:val="0"/>
          <w:szCs w:val="21"/>
        </w:rPr>
        <w:t>构厂房（含</w:t>
      </w:r>
      <w:r>
        <w:rPr>
          <w:rFonts w:hint="eastAsia" w:ascii="等线" w:hAnsi="等线" w:cs="HiddenHorzOCR"/>
          <w:color w:val="000000"/>
          <w:kern w:val="0"/>
          <w:szCs w:val="21"/>
        </w:rPr>
        <w:t>框架、支撑框架、框排架）</w:t>
      </w:r>
      <w:r>
        <w:rPr>
          <w:rFonts w:hint="eastAsia" w:ascii="等线" w:hAnsi="等线" w:cs="MS Mincho"/>
          <w:color w:val="000000"/>
          <w:kern w:val="0"/>
          <w:szCs w:val="21"/>
        </w:rPr>
        <w:t>。</w:t>
      </w:r>
    </w:p>
    <w:p>
      <w:pPr>
        <w:spacing w:line="360" w:lineRule="auto"/>
        <w:rPr>
          <w:rFonts w:ascii="等线" w:hAnsi="等线" w:cs="MS Mincho"/>
          <w:color w:val="000000"/>
          <w:kern w:val="0"/>
          <w:szCs w:val="21"/>
        </w:rPr>
      </w:pPr>
      <w:r>
        <w:rPr>
          <w:rFonts w:hint="eastAsia" w:ascii="等线" w:hAnsi="等线" w:cs="MS Mincho"/>
          <w:color w:val="000000"/>
          <w:kern w:val="0"/>
          <w:szCs w:val="21"/>
        </w:rPr>
        <w:t>2 “构抗规”</w:t>
      </w:r>
    </w:p>
    <w:p>
      <w:pPr>
        <w:spacing w:line="360" w:lineRule="auto"/>
        <w:ind w:firstLine="420" w:firstLineChars="200"/>
        <w:rPr>
          <w:rFonts w:ascii="等线" w:hAnsi="等线" w:cs="MS Mincho"/>
          <w:color w:val="000000"/>
          <w:kern w:val="0"/>
          <w:szCs w:val="21"/>
        </w:rPr>
      </w:pPr>
      <w:r>
        <w:rPr>
          <w:rFonts w:hint="eastAsia" w:ascii="等线" w:hAnsi="等线" w:cs="MS Mincho"/>
          <w:color w:val="000000"/>
          <w:kern w:val="0"/>
          <w:szCs w:val="21"/>
        </w:rPr>
        <w:t>“构抗规”第6章为</w:t>
      </w:r>
      <w:r>
        <w:rPr>
          <w:rFonts w:hint="eastAsia" w:ascii="等线" w:hAnsi="等线" w:cs="HiddenHorzOCR"/>
          <w:color w:val="000000"/>
          <w:kern w:val="0"/>
          <w:szCs w:val="21"/>
        </w:rPr>
        <w:t>混凝土框排架</w:t>
      </w:r>
      <w:r>
        <w:rPr>
          <w:rFonts w:hint="eastAsia" w:ascii="等线" w:hAnsi="等线" w:cs="宋体"/>
          <w:color w:val="000000"/>
          <w:kern w:val="0"/>
          <w:szCs w:val="21"/>
        </w:rPr>
        <w:t>结</w:t>
      </w:r>
      <w:r>
        <w:rPr>
          <w:rFonts w:hint="eastAsia" w:ascii="等线" w:hAnsi="等线" w:cs="MS Mincho"/>
          <w:color w:val="000000"/>
          <w:kern w:val="0"/>
          <w:szCs w:val="21"/>
        </w:rPr>
        <w:t>构，第7章为</w:t>
      </w:r>
      <w:r>
        <w:rPr>
          <w:rFonts w:hint="eastAsia" w:ascii="等线" w:hAnsi="等线" w:cs="HiddenHorzOCR"/>
          <w:color w:val="000000"/>
          <w:kern w:val="0"/>
          <w:szCs w:val="21"/>
        </w:rPr>
        <w:t>钢框排架</w:t>
      </w:r>
      <w:r>
        <w:rPr>
          <w:rFonts w:hint="eastAsia" w:ascii="等线" w:hAnsi="等线" w:cs="宋体"/>
          <w:color w:val="000000"/>
          <w:kern w:val="0"/>
          <w:szCs w:val="21"/>
        </w:rPr>
        <w:t>结</w:t>
      </w:r>
      <w:r>
        <w:rPr>
          <w:rFonts w:hint="eastAsia" w:ascii="等线" w:hAnsi="等线" w:cs="MS Mincho"/>
          <w:color w:val="000000"/>
          <w:kern w:val="0"/>
          <w:szCs w:val="21"/>
        </w:rPr>
        <w:t>构。</w:t>
      </w:r>
    </w:p>
    <w:p>
      <w:pPr>
        <w:autoSpaceDE w:val="0"/>
        <w:autoSpaceDN w:val="0"/>
        <w:adjustRightInd w:val="0"/>
        <w:spacing w:line="360" w:lineRule="auto"/>
        <w:ind w:firstLine="420" w:firstLineChars="200"/>
        <w:rPr>
          <w:rFonts w:ascii="等线" w:hAnsi="等线" w:cs="HiddenHorzOCR"/>
          <w:color w:val="000000"/>
          <w:kern w:val="0"/>
          <w:szCs w:val="21"/>
        </w:rPr>
      </w:pPr>
      <w:r>
        <w:rPr>
          <w:rFonts w:hint="eastAsia" w:ascii="等线" w:hAnsi="等线" w:cs="HiddenHorzOCR"/>
          <w:color w:val="000000"/>
          <w:kern w:val="0"/>
          <w:szCs w:val="21"/>
        </w:rPr>
        <w:t>因工业建筑的复杂性，上述内容不能很好地完全解决工业建筑抗震设计问题，故特制定本标准以用于工业建筑抗震设计。</w:t>
      </w:r>
    </w:p>
    <w:p>
      <w:pPr>
        <w:autoSpaceDE w:val="0"/>
        <w:autoSpaceDN w:val="0"/>
        <w:adjustRightInd w:val="0"/>
        <w:spacing w:line="360" w:lineRule="auto"/>
        <w:rPr>
          <w:b/>
          <w:color w:val="000000"/>
        </w:rPr>
      </w:pPr>
      <w:r>
        <w:rPr>
          <w:rFonts w:ascii="等线" w:hAnsi="等线"/>
          <w:color w:val="000000"/>
          <w:kern w:val="0"/>
          <w:szCs w:val="21"/>
        </w:rPr>
        <w:t xml:space="preserve">1.0.2 </w:t>
      </w:r>
      <w:r>
        <w:rPr>
          <w:rFonts w:hint="eastAsia" w:ascii="等线" w:hAnsi="等线"/>
          <w:color w:val="000000"/>
          <w:kern w:val="0"/>
          <w:szCs w:val="21"/>
        </w:rPr>
        <w:t>本标准用于工业建筑抗震设计。</w:t>
      </w:r>
    </w:p>
    <w:p>
      <w:pPr>
        <w:spacing w:line="360" w:lineRule="auto"/>
        <w:rPr>
          <w:rFonts w:ascii="等线" w:hAnsi="等线"/>
          <w:color w:val="000000"/>
          <w:szCs w:val="21"/>
        </w:rPr>
      </w:pPr>
      <w:r>
        <w:rPr>
          <w:rFonts w:hint="eastAsia" w:ascii="等线" w:hAnsi="等线"/>
          <w:color w:val="000000"/>
          <w:szCs w:val="21"/>
        </w:rPr>
        <w:t>1 工业建筑类型</w:t>
      </w:r>
    </w:p>
    <w:p>
      <w:pPr>
        <w:spacing w:line="360" w:lineRule="auto"/>
        <w:ind w:firstLine="420" w:firstLineChars="200"/>
        <w:rPr>
          <w:rFonts w:ascii="等线" w:hAnsi="等线"/>
          <w:color w:val="000000"/>
          <w:szCs w:val="21"/>
        </w:rPr>
      </w:pPr>
      <w:r>
        <w:rPr>
          <w:rFonts w:hint="eastAsia" w:ascii="等线" w:hAnsi="等线"/>
          <w:color w:val="000000"/>
          <w:szCs w:val="21"/>
        </w:rPr>
        <w:t>工业建筑，顾名思义，应为用于工业生产的建筑，以区别于用于人类生活和工作的民用建筑。从这个角度讲，工业建筑包括通常意义的厂房，但又不限于此。通常来说，厂房是指有维护结构（外墙和屋面）的工业建筑，而对于石油、化工类的多层构架，因通常没有维护结构，易被归结为构筑物。但从结构的角度看，维护结构不构成结构的本质，因此这类结构也应属于工业建筑。</w:t>
      </w:r>
    </w:p>
    <w:p>
      <w:pPr>
        <w:spacing w:line="360" w:lineRule="auto"/>
        <w:ind w:firstLine="420" w:firstLineChars="200"/>
        <w:rPr>
          <w:rFonts w:ascii="等线" w:hAnsi="等线"/>
          <w:color w:val="000000"/>
          <w:szCs w:val="21"/>
        </w:rPr>
      </w:pPr>
      <w:r>
        <w:rPr>
          <w:rFonts w:hint="eastAsia" w:ascii="等线" w:hAnsi="等线"/>
          <w:color w:val="000000"/>
          <w:szCs w:val="21"/>
        </w:rPr>
        <w:t>本标准包括上述各类排架、框架、框—排架构成的工业建筑，而不论有无维护结构。在标准中，有时故意避开厂房的说法，是为避免引起误会，因此，工业建筑与厂房结构的说法等同。</w:t>
      </w:r>
    </w:p>
    <w:p>
      <w:pPr>
        <w:spacing w:line="360" w:lineRule="auto"/>
        <w:ind w:firstLine="420" w:firstLineChars="200"/>
        <w:rPr>
          <w:rFonts w:ascii="等线" w:hAnsi="等线"/>
          <w:color w:val="000000"/>
          <w:szCs w:val="21"/>
        </w:rPr>
      </w:pPr>
      <w:r>
        <w:rPr>
          <w:rFonts w:hint="eastAsia" w:ascii="等线" w:hAnsi="等线"/>
          <w:color w:val="000000"/>
          <w:szCs w:val="21"/>
        </w:rPr>
        <w:t>本标准不包括实际意义上的构筑物，如筒仓、井架、储罐等。</w:t>
      </w:r>
    </w:p>
    <w:p>
      <w:pPr>
        <w:spacing w:line="360" w:lineRule="auto"/>
        <w:rPr>
          <w:rFonts w:ascii="等线" w:hAnsi="等线"/>
          <w:color w:val="000000"/>
          <w:szCs w:val="21"/>
        </w:rPr>
      </w:pPr>
      <w:r>
        <w:rPr>
          <w:rFonts w:hint="eastAsia" w:ascii="等线" w:hAnsi="等线"/>
          <w:color w:val="000000"/>
          <w:szCs w:val="21"/>
        </w:rPr>
        <w:t>2 工业建筑特点</w:t>
      </w:r>
    </w:p>
    <w:p>
      <w:pPr>
        <w:spacing w:line="360" w:lineRule="auto"/>
        <w:ind w:firstLine="420" w:firstLineChars="200"/>
        <w:rPr>
          <w:rFonts w:ascii="等线" w:hAnsi="等线"/>
          <w:color w:val="000000"/>
          <w:szCs w:val="21"/>
        </w:rPr>
      </w:pPr>
      <w:r>
        <w:rPr>
          <w:rFonts w:hint="eastAsia" w:ascii="等线" w:hAnsi="等线"/>
          <w:color w:val="000000"/>
          <w:szCs w:val="21"/>
        </w:rPr>
        <w:t>1）重力荷载大</w:t>
      </w:r>
    </w:p>
    <w:p>
      <w:pPr>
        <w:spacing w:line="360" w:lineRule="auto"/>
        <w:ind w:left="399" w:leftChars="190"/>
        <w:rPr>
          <w:rFonts w:ascii="等线" w:hAnsi="等线"/>
          <w:color w:val="000000"/>
          <w:szCs w:val="21"/>
        </w:rPr>
      </w:pPr>
      <w:r>
        <w:rPr>
          <w:rFonts w:hint="eastAsia" w:ascii="等线" w:hAnsi="等线"/>
          <w:color w:val="000000"/>
          <w:szCs w:val="21"/>
        </w:rPr>
        <w:t>这里说的重力荷载包括吊车荷载和检修荷载，他们的存在可能是确定结构杆截面尺寸（对于钢结构）或配筋（对于混凝土结构）的控制工况。</w:t>
      </w:r>
    </w:p>
    <w:p>
      <w:pPr>
        <w:spacing w:line="360" w:lineRule="auto"/>
        <w:ind w:firstLine="420" w:firstLineChars="200"/>
        <w:rPr>
          <w:rFonts w:ascii="等线" w:hAnsi="等线"/>
          <w:color w:val="000000"/>
          <w:szCs w:val="21"/>
        </w:rPr>
      </w:pPr>
      <w:r>
        <w:rPr>
          <w:rFonts w:hint="eastAsia" w:ascii="等线" w:hAnsi="等线"/>
          <w:color w:val="000000"/>
          <w:szCs w:val="21"/>
        </w:rPr>
        <w:t>2）结构不规则</w:t>
      </w:r>
    </w:p>
    <w:p>
      <w:pPr>
        <w:spacing w:line="360" w:lineRule="auto"/>
        <w:ind w:left="399" w:leftChars="190"/>
        <w:rPr>
          <w:rFonts w:ascii="等线" w:hAnsi="等线"/>
          <w:color w:val="000000"/>
          <w:szCs w:val="21"/>
        </w:rPr>
      </w:pPr>
      <w:r>
        <w:rPr>
          <w:rFonts w:hint="eastAsia" w:ascii="等线" w:hAnsi="等线"/>
          <w:color w:val="000000"/>
          <w:szCs w:val="21"/>
        </w:rPr>
        <w:t>由于工业建筑要按工艺要求进行结构布置，这就使其在水平和竖向均易出现不规则，有时是严重不规则。另外，工业建筑通常不符合刚性楼层假定，这也会加剧该类结构的不规则性。</w:t>
      </w:r>
    </w:p>
    <w:p>
      <w:pPr>
        <w:spacing w:line="360" w:lineRule="auto"/>
        <w:ind w:firstLine="420" w:firstLineChars="200"/>
        <w:rPr>
          <w:rFonts w:ascii="等线" w:hAnsi="等线"/>
          <w:color w:val="000000"/>
          <w:szCs w:val="21"/>
        </w:rPr>
      </w:pPr>
      <w:r>
        <w:rPr>
          <w:rFonts w:hint="eastAsia" w:ascii="等线" w:hAnsi="等线"/>
          <w:color w:val="000000"/>
          <w:szCs w:val="21"/>
        </w:rPr>
        <w:t>3）抗震设计特点</w:t>
      </w:r>
    </w:p>
    <w:p>
      <w:pPr>
        <w:spacing w:line="360" w:lineRule="auto"/>
        <w:ind w:firstLine="420" w:firstLineChars="200"/>
        <w:rPr>
          <w:rFonts w:hint="eastAsia" w:ascii="等线" w:hAnsi="等线"/>
          <w:color w:val="000000"/>
          <w:szCs w:val="21"/>
        </w:rPr>
      </w:pPr>
      <w:r>
        <w:rPr>
          <w:rFonts w:hint="eastAsia" w:ascii="等线" w:hAnsi="等线"/>
          <w:color w:val="000000"/>
          <w:szCs w:val="21"/>
        </w:rPr>
        <w:t>工业建筑的上述两个特点，造成其在抗震设计时不同于民用建筑：</w:t>
      </w:r>
    </w:p>
    <w:p>
      <w:pPr>
        <w:spacing w:line="360" w:lineRule="auto"/>
        <w:ind w:left="399" w:leftChars="190"/>
        <w:rPr>
          <w:rFonts w:ascii="等线" w:hAnsi="等线"/>
          <w:color w:val="000000"/>
          <w:szCs w:val="21"/>
        </w:rPr>
      </w:pPr>
      <w:r>
        <w:rPr>
          <w:rFonts w:hint="eastAsia" w:ascii="等线" w:hAnsi="等线"/>
          <w:color w:val="000000"/>
          <w:szCs w:val="21"/>
        </w:rPr>
        <w:t>（1）工业建筑的地震质量与重力荷载比，有时要小得多，如吊车荷载情况。这使得地震荷载组合可能不是控制工况，特别是在中等强度地震及以下情况下。</w:t>
      </w:r>
    </w:p>
    <w:p>
      <w:pPr>
        <w:spacing w:line="360" w:lineRule="auto"/>
        <w:ind w:left="399" w:leftChars="190" w:firstLine="420" w:firstLineChars="200"/>
        <w:rPr>
          <w:rFonts w:ascii="等线" w:hAnsi="等线"/>
          <w:color w:val="000000"/>
          <w:szCs w:val="21"/>
        </w:rPr>
      </w:pPr>
      <w:r>
        <w:rPr>
          <w:rFonts w:hint="eastAsia" w:ascii="等线" w:hAnsi="等线"/>
          <w:color w:val="000000"/>
          <w:szCs w:val="21"/>
        </w:rPr>
        <w:t>根据这一特点，可采用性能化设计方法，应用高强度-低延性的设计理念，采取中震地震作用组合工况，以弹性方法进行结构设计，同时采用低延性的结构和构件的抗震构造。</w:t>
      </w:r>
    </w:p>
    <w:p>
      <w:pPr>
        <w:spacing w:line="360" w:lineRule="auto"/>
        <w:ind w:left="399" w:leftChars="190"/>
        <w:rPr>
          <w:rFonts w:ascii="等线" w:hAnsi="等线"/>
          <w:color w:val="000000"/>
          <w:szCs w:val="21"/>
        </w:rPr>
      </w:pPr>
      <w:r>
        <w:rPr>
          <w:rFonts w:hint="eastAsia" w:ascii="等线" w:hAnsi="等线"/>
          <w:color w:val="000000"/>
          <w:szCs w:val="21"/>
        </w:rPr>
        <w:t>（2）结构水平和竖向通常不规则，特别是在楼层不符合刚性楼板假定，或错层情况严重下，易造成结构地震反应的整体性差，其大指标（如层间位移比）难以满足抗规对于“规则结构”的“不规则性”要求。</w:t>
      </w:r>
    </w:p>
    <w:p>
      <w:pPr>
        <w:spacing w:line="360" w:lineRule="auto"/>
        <w:ind w:left="399" w:leftChars="190" w:firstLine="420" w:firstLineChars="200"/>
        <w:rPr>
          <w:rFonts w:ascii="等线" w:hAnsi="等线"/>
          <w:color w:val="000000"/>
          <w:szCs w:val="21"/>
        </w:rPr>
      </w:pPr>
      <w:r>
        <w:rPr>
          <w:rFonts w:hint="eastAsia" w:ascii="等线" w:hAnsi="等线"/>
          <w:color w:val="000000"/>
          <w:szCs w:val="21"/>
        </w:rPr>
        <w:t>这一特点，要求结构设计更应重视构件，或称之为局部的抗震能力，尤其是抗力能力，而本款（1）的性能化设计方法正好适用。</w:t>
      </w:r>
    </w:p>
    <w:p>
      <w:pPr>
        <w:autoSpaceDE w:val="0"/>
        <w:autoSpaceDN w:val="0"/>
        <w:adjustRightInd w:val="0"/>
        <w:spacing w:line="360" w:lineRule="auto"/>
        <w:rPr>
          <w:rFonts w:ascii="等线" w:hAnsi="等线" w:cs="HiddenHorzOCR"/>
          <w:color w:val="000000"/>
          <w:kern w:val="0"/>
          <w:szCs w:val="21"/>
        </w:rPr>
      </w:pPr>
      <w:r>
        <w:rPr>
          <w:rFonts w:ascii="等线" w:hAnsi="等线"/>
          <w:color w:val="000000"/>
          <w:kern w:val="0"/>
          <w:szCs w:val="21"/>
        </w:rPr>
        <w:t xml:space="preserve">1.0.3 </w:t>
      </w:r>
      <w:r>
        <w:rPr>
          <w:rFonts w:hint="eastAsia" w:ascii="等线" w:hAnsi="等线" w:cs="MS Mincho"/>
          <w:color w:val="000000"/>
          <w:kern w:val="0"/>
          <w:szCs w:val="21"/>
        </w:rPr>
        <w:t>抗震设计的基本原则是抵御设防烈度的地震，因此本标准的设计思想仍然遵循“小震不坏，中震可修，大震不倒”的基本原则，只是在具体应用上对于高、低烈度区厂房在地震下的表现结果会有差异，比如在高烈度区表现为大震下厂房的结构构件进入塑性但整体结构不倒塌，在低烈度区大震下厂房可能仍处于弹性状态。</w:t>
      </w:r>
    </w:p>
    <w:p>
      <w:pPr>
        <w:autoSpaceDE w:val="0"/>
        <w:autoSpaceDN w:val="0"/>
        <w:adjustRightInd w:val="0"/>
        <w:spacing w:line="360" w:lineRule="auto"/>
        <w:rPr>
          <w:rFonts w:ascii="等线" w:hAnsi="等线" w:cs="HiddenHorzOCR"/>
          <w:color w:val="000000"/>
          <w:kern w:val="0"/>
          <w:szCs w:val="21"/>
        </w:rPr>
      </w:pPr>
      <w:r>
        <w:rPr>
          <w:rFonts w:ascii="等线" w:hAnsi="等线"/>
          <w:color w:val="000000"/>
          <w:kern w:val="0"/>
          <w:szCs w:val="21"/>
        </w:rPr>
        <w:t xml:space="preserve">1.0.4 </w:t>
      </w:r>
      <w:r>
        <w:rPr>
          <w:rFonts w:hint="eastAsia" w:ascii="等线" w:hAnsi="等线" w:cs="MS Mincho"/>
          <w:color w:val="000000"/>
          <w:kern w:val="0"/>
          <w:szCs w:val="21"/>
        </w:rPr>
        <w:t>地震动相关参数与“抗规”取法一致，使地震作用输入统一在一个基准上。</w:t>
      </w:r>
    </w:p>
    <w:p>
      <w:pPr>
        <w:autoSpaceDE w:val="0"/>
        <w:autoSpaceDN w:val="0"/>
        <w:adjustRightInd w:val="0"/>
        <w:spacing w:line="360" w:lineRule="auto"/>
        <w:rPr>
          <w:rFonts w:ascii="等线" w:hAnsi="等线" w:cs="MS Mincho"/>
          <w:color w:val="000000"/>
          <w:kern w:val="0"/>
          <w:szCs w:val="21"/>
        </w:rPr>
      </w:pPr>
      <w:r>
        <w:rPr>
          <w:rFonts w:ascii="等线" w:hAnsi="等线"/>
          <w:color w:val="000000"/>
          <w:kern w:val="0"/>
          <w:szCs w:val="21"/>
        </w:rPr>
        <w:t>1.</w:t>
      </w:r>
      <w:r>
        <w:rPr>
          <w:rFonts w:hint="eastAsia" w:ascii="等线" w:hAnsi="等线"/>
          <w:color w:val="000000"/>
          <w:kern w:val="0"/>
          <w:szCs w:val="21"/>
        </w:rPr>
        <w:t>0</w:t>
      </w:r>
      <w:r>
        <w:rPr>
          <w:rFonts w:ascii="等线" w:hAnsi="等线"/>
          <w:color w:val="000000"/>
          <w:kern w:val="0"/>
          <w:szCs w:val="21"/>
        </w:rPr>
        <w:t xml:space="preserve">.5 </w:t>
      </w:r>
      <w:r>
        <w:rPr>
          <w:rFonts w:hint="eastAsia" w:ascii="等线" w:hAnsi="等线" w:cs="MS Mincho"/>
          <w:color w:val="000000"/>
          <w:kern w:val="0"/>
          <w:szCs w:val="21"/>
        </w:rPr>
        <w:t>厂房的抗震设防分类原则上遵循《建筑工程抗震设防分类标准》GB50223-2008（简称“分类标准”），具体应用上可参考相关行业规程、规范和标准的分类原则。</w:t>
      </w: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1.0.</w:t>
      </w:r>
      <w:r>
        <w:rPr>
          <w:rFonts w:hint="eastAsia" w:ascii="等线" w:hAnsi="等线"/>
          <w:color w:val="000000"/>
          <w:kern w:val="0"/>
          <w:szCs w:val="21"/>
        </w:rPr>
        <w:t>7</w:t>
      </w:r>
      <w:r>
        <w:rPr>
          <w:rFonts w:ascii="等线" w:hAnsi="等线"/>
          <w:color w:val="000000"/>
          <w:kern w:val="0"/>
          <w:szCs w:val="21"/>
        </w:rPr>
        <w:t xml:space="preserve"> </w:t>
      </w:r>
      <w:r>
        <w:rPr>
          <w:rFonts w:hint="eastAsia" w:ascii="等线" w:hAnsi="等线" w:cs="MS Mincho"/>
          <w:color w:val="000000"/>
          <w:kern w:val="0"/>
          <w:szCs w:val="21"/>
        </w:rPr>
        <w:t>本标准未包含砌体厂房结构的设计，并不是说该类结构不能使用，但在生命线工程不应采用。</w:t>
      </w:r>
    </w:p>
    <w:p>
      <w:pPr>
        <w:autoSpaceDE w:val="0"/>
        <w:autoSpaceDN w:val="0"/>
        <w:adjustRightInd w:val="0"/>
        <w:spacing w:line="360" w:lineRule="auto"/>
        <w:rPr>
          <w:rFonts w:hint="eastAsia" w:ascii="等线" w:hAnsi="等线" w:cs="HiddenHorzOCR"/>
          <w:color w:val="000000"/>
          <w:kern w:val="0"/>
          <w:szCs w:val="21"/>
        </w:rPr>
      </w:pPr>
    </w:p>
    <w:p>
      <w:pPr>
        <w:autoSpaceDE w:val="0"/>
        <w:autoSpaceDN w:val="0"/>
        <w:adjustRightInd w:val="0"/>
        <w:spacing w:line="360" w:lineRule="auto"/>
        <w:rPr>
          <w:rFonts w:ascii="等线" w:hAnsi="等线" w:cs="HiddenHorzOCR"/>
          <w:color w:val="000000"/>
          <w:kern w:val="0"/>
          <w:szCs w:val="21"/>
        </w:rPr>
      </w:pPr>
    </w:p>
    <w:p>
      <w:pPr>
        <w:autoSpaceDE w:val="0"/>
        <w:autoSpaceDN w:val="0"/>
        <w:adjustRightInd w:val="0"/>
        <w:spacing w:line="360" w:lineRule="auto"/>
        <w:rPr>
          <w:rFonts w:hint="eastAsia" w:ascii="等线" w:hAnsi="等线" w:cs="HiddenHorzOCR"/>
          <w:color w:val="000000"/>
          <w:kern w:val="0"/>
          <w:szCs w:val="21"/>
        </w:rPr>
      </w:pPr>
    </w:p>
    <w:p>
      <w:pPr>
        <w:pStyle w:val="2"/>
        <w:numPr>
          <w:ilvl w:val="0"/>
          <w:numId w:val="11"/>
        </w:numPr>
        <w:rPr>
          <w:color w:val="000000"/>
        </w:rPr>
      </w:pPr>
      <w:r>
        <w:rPr>
          <w:color w:val="000000"/>
        </w:rPr>
        <w:br w:type="page"/>
      </w:r>
      <w:bookmarkStart w:id="266" w:name="_Toc48049978"/>
      <w:r>
        <w:rPr>
          <w:rFonts w:hint="eastAsia"/>
          <w:color w:val="000000"/>
        </w:rPr>
        <w:t>术语、符号</w:t>
      </w:r>
      <w:bookmarkEnd w:id="266"/>
    </w:p>
    <w:p>
      <w:pPr>
        <w:pStyle w:val="136"/>
        <w:spacing w:before="312" w:after="312"/>
        <w:rPr>
          <w:color w:val="000000"/>
        </w:rPr>
      </w:pPr>
      <w:r>
        <w:rPr>
          <w:rFonts w:hint="eastAsia"/>
          <w:color w:val="000000"/>
        </w:rPr>
        <w:t>2.1 术语</w:t>
      </w:r>
    </w:p>
    <w:p>
      <w:pPr>
        <w:autoSpaceDE w:val="0"/>
        <w:autoSpaceDN w:val="0"/>
        <w:adjustRightInd w:val="0"/>
        <w:spacing w:line="360" w:lineRule="auto"/>
        <w:jc w:val="left"/>
        <w:rPr>
          <w:rFonts w:ascii="等线" w:hAnsi="等线" w:cs="MS Mincho"/>
          <w:color w:val="000000"/>
          <w:kern w:val="0"/>
          <w:szCs w:val="21"/>
        </w:rPr>
      </w:pPr>
      <w:r>
        <w:rPr>
          <w:rFonts w:hint="eastAsia" w:ascii="等线" w:hAnsi="等线" w:cs="MS Mincho"/>
          <w:color w:val="000000"/>
          <w:kern w:val="0"/>
          <w:szCs w:val="21"/>
        </w:rPr>
        <w:t>2.1.2、2.1.3</w:t>
      </w:r>
    </w:p>
    <w:p>
      <w:pPr>
        <w:autoSpaceDE w:val="0"/>
        <w:autoSpaceDN w:val="0"/>
        <w:adjustRightInd w:val="0"/>
        <w:spacing w:line="360" w:lineRule="auto"/>
        <w:jc w:val="left"/>
        <w:rPr>
          <w:rFonts w:hint="eastAsia" w:ascii="等线" w:hAnsi="等线" w:cs="MS Mincho"/>
          <w:color w:val="000000"/>
          <w:kern w:val="0"/>
          <w:szCs w:val="21"/>
        </w:rPr>
      </w:pPr>
      <w:r>
        <w:rPr>
          <w:rFonts w:hint="eastAsia" w:ascii="等线" w:hAnsi="等线" w:cs="MS Mincho"/>
          <w:color w:val="000000"/>
          <w:kern w:val="0"/>
          <w:szCs w:val="21"/>
        </w:rPr>
        <w:t>1 楼面活荷载</w:t>
      </w:r>
    </w:p>
    <w:p>
      <w:pPr>
        <w:autoSpaceDE w:val="0"/>
        <w:autoSpaceDN w:val="0"/>
        <w:adjustRightInd w:val="0"/>
        <w:spacing w:line="360" w:lineRule="auto"/>
        <w:ind w:firstLine="420" w:firstLineChars="200"/>
        <w:jc w:val="left"/>
        <w:rPr>
          <w:rFonts w:ascii="等线" w:hAnsi="等线" w:cs="MS Mincho"/>
          <w:color w:val="000000"/>
          <w:kern w:val="0"/>
          <w:szCs w:val="21"/>
        </w:rPr>
      </w:pPr>
      <w:r>
        <w:rPr>
          <w:rFonts w:hint="eastAsia" w:ascii="等线" w:hAnsi="等线" w:cs="MS Mincho"/>
          <w:color w:val="000000"/>
          <w:kern w:val="0"/>
          <w:szCs w:val="21"/>
        </w:rPr>
        <w:t>重力荷载代表值系数的取值主要考虑活荷载与地震的耦合程度，如“抗规”通常取0.5。地震有效质量除表现为活荷载与地震的耦合程度外，还与活荷载与楼面的连接方式有关，如刚接，地震有效质量则等于重力荷载代表值所对应的活荷载；对于一般的楼面活荷载，比如家具和人员，通常这个值要小于重力荷载代表值所对应的活荷载。上面讲的是对应于水平地震的有效质量，对于竖向地震，也要考虑活荷载与楼面的连接情况，如非固结，比如人员和家具，地震时因up-lift现象会产生减震效果，因而这个竖向地震有效质量也会比重力荷载代表值所对应的活荷载小。</w:t>
      </w:r>
    </w:p>
    <w:p>
      <w:pPr>
        <w:autoSpaceDE w:val="0"/>
        <w:autoSpaceDN w:val="0"/>
        <w:adjustRightInd w:val="0"/>
        <w:spacing w:line="360" w:lineRule="auto"/>
        <w:jc w:val="left"/>
        <w:rPr>
          <w:rFonts w:ascii="等线" w:hAnsi="等线" w:cs="MS Mincho"/>
          <w:color w:val="000000"/>
          <w:kern w:val="0"/>
          <w:szCs w:val="21"/>
        </w:rPr>
      </w:pPr>
      <w:r>
        <w:rPr>
          <w:rFonts w:hint="eastAsia" w:ascii="等线" w:hAnsi="等线" w:cs="MS Mincho"/>
          <w:color w:val="000000"/>
          <w:kern w:val="0"/>
          <w:szCs w:val="21"/>
        </w:rPr>
        <w:t>2 吊车荷载。以软钩吊车为例，重力荷载代表值系数主要考虑吊重与地震的耦合程度，目前“抗规”的意图是按满载考虑，见“抗规”第5.4.1条。实际上，吊车即使在非地震情况下，也不总是满载的，所以也可以考虑一个小于1.0的欠载系数。“抗规”在第5.1.3条规定软钩吊车的吊物重力的有效质量为零，这里指的应为水平地震情况。对于竖向地震，软钩吊车在竖向虽有减震效果，但一般情况下，考虑1.0的有效地震质量系数是合适的。</w:t>
      </w:r>
    </w:p>
    <w:p>
      <w:pPr>
        <w:autoSpaceDE w:val="0"/>
        <w:autoSpaceDN w:val="0"/>
        <w:adjustRightInd w:val="0"/>
        <w:spacing w:line="360" w:lineRule="auto"/>
        <w:jc w:val="left"/>
        <w:rPr>
          <w:rFonts w:hint="eastAsia" w:ascii="等线" w:hAnsi="等线" w:cs="MS Mincho"/>
          <w:color w:val="000000"/>
          <w:kern w:val="0"/>
          <w:szCs w:val="21"/>
        </w:rPr>
      </w:pPr>
      <w:r>
        <w:rPr>
          <w:rFonts w:hint="eastAsia" w:ascii="等线" w:hAnsi="等线" w:cs="MS Mincho"/>
          <w:color w:val="000000"/>
          <w:kern w:val="0"/>
          <w:szCs w:val="21"/>
        </w:rPr>
        <w:t>3 消防水箱。高位消防水箱的重力荷载代表值应考虑水箱满水情况。但因水的减震作用，有效地震质量系数无论水平和竖向都可以取小于1.0的值。</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MS Mincho"/>
          <w:color w:val="000000"/>
          <w:kern w:val="0"/>
          <w:szCs w:val="21"/>
        </w:rPr>
        <w:t>2.2 符号（略）</w:t>
      </w:r>
    </w:p>
    <w:p>
      <w:pPr>
        <w:rPr>
          <w:color w:val="000000"/>
        </w:rPr>
      </w:pPr>
    </w:p>
    <w:p>
      <w:pPr>
        <w:rPr>
          <w:color w:val="000000"/>
        </w:rPr>
      </w:pPr>
    </w:p>
    <w:p>
      <w:pPr>
        <w:rPr>
          <w:color w:val="000000"/>
        </w:rPr>
      </w:pPr>
    </w:p>
    <w:p>
      <w:pPr>
        <w:rPr>
          <w:rFonts w:hint="eastAsia"/>
          <w:color w:val="000000"/>
        </w:rPr>
      </w:pPr>
    </w:p>
    <w:p>
      <w:pPr>
        <w:pStyle w:val="2"/>
        <w:numPr>
          <w:ilvl w:val="0"/>
          <w:numId w:val="11"/>
        </w:numPr>
        <w:rPr>
          <w:color w:val="000000"/>
        </w:rPr>
      </w:pPr>
      <w:r>
        <w:rPr>
          <w:color w:val="000000"/>
        </w:rPr>
        <w:br w:type="page"/>
      </w:r>
      <w:bookmarkStart w:id="267" w:name="_Toc48049979"/>
      <w:r>
        <w:rPr>
          <w:rFonts w:hint="eastAsia"/>
          <w:color w:val="000000"/>
        </w:rPr>
        <w:t>抗震设计基本规定</w:t>
      </w:r>
      <w:bookmarkEnd w:id="267"/>
    </w:p>
    <w:p>
      <w:pPr>
        <w:pStyle w:val="53"/>
        <w:autoSpaceDE w:val="0"/>
        <w:autoSpaceDN w:val="0"/>
        <w:adjustRightInd w:val="0"/>
        <w:spacing w:line="360" w:lineRule="auto"/>
        <w:ind w:firstLine="0" w:firstLineChars="0"/>
        <w:rPr>
          <w:rFonts w:ascii="等线" w:hAnsi="等线" w:cs="HiddenHorzOCR"/>
          <w:color w:val="000000"/>
          <w:kern w:val="0"/>
          <w:szCs w:val="21"/>
        </w:rPr>
      </w:pP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3.0.</w:t>
      </w:r>
      <w:r>
        <w:rPr>
          <w:rFonts w:hint="eastAsia" w:ascii="等线" w:hAnsi="等线"/>
          <w:color w:val="000000"/>
          <w:kern w:val="0"/>
          <w:szCs w:val="21"/>
        </w:rPr>
        <w:t>5</w:t>
      </w:r>
      <w:r>
        <w:rPr>
          <w:rFonts w:ascii="等线" w:hAnsi="等线"/>
          <w:color w:val="000000"/>
          <w:kern w:val="0"/>
          <w:szCs w:val="21"/>
        </w:rPr>
        <w:t xml:space="preserve"> </w:t>
      </w:r>
      <w:r>
        <w:rPr>
          <w:rFonts w:hint="eastAsia" w:ascii="等线" w:hAnsi="等线" w:cs="MS Mincho"/>
          <w:color w:val="000000"/>
          <w:kern w:val="0"/>
          <w:szCs w:val="21"/>
        </w:rPr>
        <w:t>通廊、栈桥不宜与转运站等主体结构相连。</w:t>
      </w: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3.0.</w:t>
      </w:r>
      <w:r>
        <w:rPr>
          <w:rFonts w:hint="eastAsia" w:ascii="等线" w:hAnsi="等线"/>
          <w:color w:val="000000"/>
          <w:kern w:val="0"/>
          <w:szCs w:val="21"/>
        </w:rPr>
        <w:t>10</w:t>
      </w:r>
      <w:r>
        <w:rPr>
          <w:rFonts w:ascii="等线" w:hAnsi="等线"/>
          <w:color w:val="000000"/>
          <w:kern w:val="0"/>
          <w:szCs w:val="21"/>
        </w:rPr>
        <w:t xml:space="preserve"> </w:t>
      </w:r>
      <w:r>
        <w:rPr>
          <w:rFonts w:hint="eastAsia" w:ascii="等线" w:hAnsi="等线" w:cs="HiddenHorzOCR"/>
          <w:color w:val="000000"/>
          <w:kern w:val="0"/>
          <w:szCs w:val="21"/>
        </w:rPr>
        <w:t>大多数结构，通过本标准的性能化承载力设计保证大震不倒。对于一些特殊结构，需进一步进行大震弹塑性验算。</w:t>
      </w:r>
    </w:p>
    <w:p>
      <w:pPr>
        <w:autoSpaceDE w:val="0"/>
        <w:autoSpaceDN w:val="0"/>
        <w:adjustRightInd w:val="0"/>
        <w:spacing w:line="360" w:lineRule="auto"/>
        <w:ind w:firstLine="420"/>
        <w:jc w:val="left"/>
        <w:rPr>
          <w:rFonts w:ascii="等线" w:hAnsi="等线" w:cs="HiddenHorzOCR"/>
          <w:color w:val="000000"/>
          <w:kern w:val="0"/>
          <w:szCs w:val="21"/>
        </w:rPr>
      </w:pPr>
      <w:r>
        <w:rPr>
          <w:rFonts w:hint="eastAsia" w:ascii="等线" w:hAnsi="等线" w:cs="HiddenHorzOCR"/>
          <w:color w:val="000000"/>
          <w:kern w:val="0"/>
          <w:szCs w:val="21"/>
        </w:rPr>
        <w:t>本标准的性能化承载力设计，考虑以下方面：</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 xml:space="preserve">    </w:t>
      </w:r>
      <w:r>
        <w:rPr>
          <w:rFonts w:ascii="等线" w:hAnsi="等线" w:cs="HiddenHorzOCR"/>
          <w:color w:val="000000"/>
          <w:kern w:val="0"/>
          <w:szCs w:val="21"/>
        </w:rPr>
        <w:t>1</w:t>
      </w:r>
      <w:r>
        <w:rPr>
          <w:rFonts w:hint="eastAsia" w:ascii="等线" w:hAnsi="等线" w:cs="HiddenHorzOCR"/>
          <w:color w:val="000000"/>
          <w:kern w:val="0"/>
          <w:szCs w:val="21"/>
        </w:rPr>
        <w:t xml:space="preserve"> 结构具有承载力和耗能能力。</w:t>
      </w:r>
      <w:r>
        <w:rPr>
          <w:rFonts w:ascii="等线" w:hAnsi="等线" w:cs="HiddenHorzOCR"/>
          <w:color w:val="000000"/>
          <w:kern w:val="0"/>
          <w:szCs w:val="21"/>
        </w:rPr>
        <w:t xml:space="preserve"> </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 xml:space="preserve">    </w:t>
      </w:r>
      <w:r>
        <w:rPr>
          <w:rFonts w:ascii="等线" w:hAnsi="等线" w:cs="HiddenHorzOCR"/>
          <w:color w:val="000000"/>
          <w:kern w:val="0"/>
          <w:szCs w:val="21"/>
        </w:rPr>
        <w:t>2</w:t>
      </w:r>
      <w:r>
        <w:rPr>
          <w:rFonts w:hint="eastAsia" w:ascii="等线" w:hAnsi="等线" w:cs="HiddenHorzOCR"/>
          <w:color w:val="000000"/>
          <w:kern w:val="0"/>
          <w:szCs w:val="21"/>
        </w:rPr>
        <w:t xml:space="preserve"> 结构的承载力和耗能能力与其非线性反应的程度有关。操作上承载力和耗能的平衡由结构性能系数q和延性等级实现，性能系数为小震的调整系数。对于低耗能结构，不考虑滞洄耗能，此时，混凝土结构的性能系数不小于2.5，钢结构不小于2</w:t>
      </w:r>
      <w:r>
        <w:rPr>
          <w:rFonts w:ascii="等线" w:hAnsi="等线" w:cs="HiddenHorzOCR"/>
          <w:color w:val="000000"/>
          <w:kern w:val="0"/>
          <w:szCs w:val="21"/>
        </w:rPr>
        <w:t>.</w:t>
      </w:r>
      <w:r>
        <w:rPr>
          <w:rFonts w:hint="eastAsia" w:ascii="等线" w:hAnsi="等线" w:cs="HiddenHorzOCR"/>
          <w:color w:val="000000"/>
          <w:kern w:val="0"/>
          <w:szCs w:val="21"/>
        </w:rPr>
        <w:t>0，钢—混凝土组合结构可取2-2.5。 对于耗能结构，考虑塑性耗能区的滞洄耗能，性能系数可以小于以上限值。此时，混凝土结构的性能系数不小于1.0，钢结构可取0.8-1.5，钢—混凝土组合结构不小于1.0。</w:t>
      </w:r>
    </w:p>
    <w:p>
      <w:pPr>
        <w:autoSpaceDE w:val="0"/>
        <w:autoSpaceDN w:val="0"/>
        <w:adjustRightInd w:val="0"/>
        <w:spacing w:line="360" w:lineRule="auto"/>
        <w:jc w:val="left"/>
        <w:rPr>
          <w:rFonts w:hint="eastAsia" w:ascii="等线" w:hAnsi="等线" w:cs="HiddenHorzOCR"/>
          <w:color w:val="000000"/>
          <w:kern w:val="0"/>
          <w:szCs w:val="21"/>
        </w:rPr>
      </w:pPr>
      <w:r>
        <w:rPr>
          <w:rFonts w:hint="eastAsia" w:ascii="等线" w:hAnsi="等线" w:cs="HiddenHorzOCR"/>
          <w:color w:val="000000"/>
          <w:kern w:val="0"/>
          <w:szCs w:val="21"/>
        </w:rPr>
        <w:t>一般来说，性能系数需考虑结构的动力平衡状态和结构构造（特别是连接）在低周疲劳下的破坏情况。</w:t>
      </w:r>
    </w:p>
    <w:p>
      <w:pPr>
        <w:autoSpaceDE w:val="0"/>
        <w:autoSpaceDN w:val="0"/>
        <w:adjustRightInd w:val="0"/>
        <w:spacing w:line="360" w:lineRule="auto"/>
        <w:ind w:firstLine="420"/>
        <w:jc w:val="left"/>
        <w:rPr>
          <w:rFonts w:hint="eastAsia" w:ascii="等线" w:hAnsi="等线" w:cs="HiddenHorzOCR"/>
          <w:color w:val="000000"/>
          <w:kern w:val="0"/>
          <w:szCs w:val="21"/>
        </w:rPr>
      </w:pPr>
      <w:r>
        <w:rPr>
          <w:rFonts w:hint="eastAsia" w:ascii="等线" w:hAnsi="等线" w:cs="HiddenHorzOCR"/>
          <w:color w:val="000000"/>
          <w:kern w:val="0"/>
          <w:szCs w:val="21"/>
        </w:rPr>
        <w:t>工业建筑抗震设计性能系数的选取关系到结构安全性和经济性。由于结构的最终设计控制工况决定着构件的截面尺寸、钢筋量和钢材用量，故一般来说，低烈度区宜选用弹性结构，高烈度区宜选用塑性结构。当然，厂房结构的设计控制工况还与其它诸多因素有关，如结构类型、风荷载大小、吊车情况等。因此，从标准的角度给出一个详细的厂房结构性能系数选用表是困难的，也不现实。更可靠的做法是通过一些厂房算例给出一些概念性的结果作为设计建议，下面对试设计的结果进行的归纳整理，可供设计时参考。</w:t>
      </w:r>
    </w:p>
    <w:p>
      <w:pPr>
        <w:numPr>
          <w:ilvl w:val="0"/>
          <w:numId w:val="12"/>
        </w:numPr>
        <w:autoSpaceDE w:val="0"/>
        <w:autoSpaceDN w:val="0"/>
        <w:adjustRightInd w:val="0"/>
        <w:spacing w:line="360" w:lineRule="auto"/>
        <w:ind w:firstLine="420"/>
        <w:jc w:val="left"/>
        <w:rPr>
          <w:rFonts w:ascii="等线" w:hAnsi="等线" w:cs="HiddenHorzOCR"/>
          <w:color w:val="000000"/>
          <w:kern w:val="0"/>
          <w:szCs w:val="21"/>
        </w:rPr>
      </w:pPr>
      <w:r>
        <w:rPr>
          <w:rFonts w:hint="eastAsia" w:ascii="等线" w:hAnsi="等线" w:cs="HiddenHorzOCR"/>
          <w:color w:val="000000"/>
          <w:kern w:val="0"/>
          <w:szCs w:val="21"/>
        </w:rPr>
        <w:t>混凝土结构</w:t>
      </w:r>
    </w:p>
    <w:p>
      <w:pPr>
        <w:numPr>
          <w:ilvl w:val="0"/>
          <w:numId w:val="13"/>
        </w:numPr>
        <w:autoSpaceDE w:val="0"/>
        <w:autoSpaceDN w:val="0"/>
        <w:adjustRightInd w:val="0"/>
        <w:spacing w:line="360" w:lineRule="auto"/>
        <w:jc w:val="left"/>
        <w:rPr>
          <w:rFonts w:hint="eastAsia" w:ascii="等线" w:hAnsi="等线" w:cs="HiddenHorzOCR"/>
          <w:color w:val="000000"/>
          <w:kern w:val="0"/>
          <w:szCs w:val="21"/>
        </w:rPr>
      </w:pPr>
      <w:r>
        <w:rPr>
          <w:rFonts w:hint="eastAsia" w:ascii="等线" w:hAnsi="等线" w:cs="HiddenHorzOCR"/>
          <w:color w:val="000000"/>
          <w:kern w:val="0"/>
          <w:szCs w:val="21"/>
        </w:rPr>
        <w:t>单层混凝土柱结构</w:t>
      </w:r>
    </w:p>
    <w:p>
      <w:pPr>
        <w:autoSpaceDE w:val="0"/>
        <w:autoSpaceDN w:val="0"/>
        <w:adjustRightInd w:val="0"/>
        <w:spacing w:line="360" w:lineRule="auto"/>
        <w:ind w:left="840"/>
        <w:jc w:val="left"/>
        <w:rPr>
          <w:rFonts w:hint="eastAsia" w:ascii="等线" w:hAnsi="等线" w:cs="HiddenHorzOCR"/>
          <w:color w:val="000000"/>
          <w:kern w:val="0"/>
          <w:szCs w:val="21"/>
        </w:rPr>
      </w:pPr>
      <w:r>
        <w:rPr>
          <w:rFonts w:hint="eastAsia" w:ascii="等线" w:hAnsi="等线" w:cs="HiddenHorzOCR"/>
          <w:color w:val="000000"/>
          <w:kern w:val="0"/>
          <w:szCs w:val="21"/>
        </w:rPr>
        <w:t xml:space="preserve">   7度半及以下，宜采用弹性结构；8度及以上，宜采用塑性结构；</w:t>
      </w:r>
    </w:p>
    <w:p>
      <w:pPr>
        <w:numPr>
          <w:ilvl w:val="0"/>
          <w:numId w:val="13"/>
        </w:numPr>
        <w:autoSpaceDE w:val="0"/>
        <w:autoSpaceDN w:val="0"/>
        <w:adjustRightInd w:val="0"/>
        <w:spacing w:line="360" w:lineRule="auto"/>
        <w:jc w:val="left"/>
        <w:rPr>
          <w:rFonts w:hint="eastAsia" w:ascii="等线" w:hAnsi="等线" w:cs="HiddenHorzOCR"/>
          <w:color w:val="000000"/>
          <w:kern w:val="0"/>
          <w:szCs w:val="21"/>
        </w:rPr>
      </w:pPr>
      <w:r>
        <w:rPr>
          <w:rFonts w:hint="eastAsia" w:ascii="等线" w:hAnsi="等线" w:cs="HiddenHorzOCR"/>
          <w:color w:val="000000"/>
          <w:kern w:val="0"/>
          <w:szCs w:val="21"/>
        </w:rPr>
        <w:t>多层混凝土结构</w:t>
      </w:r>
    </w:p>
    <w:p>
      <w:pPr>
        <w:autoSpaceDE w:val="0"/>
        <w:autoSpaceDN w:val="0"/>
        <w:adjustRightInd w:val="0"/>
        <w:spacing w:line="360" w:lineRule="auto"/>
        <w:ind w:left="840"/>
        <w:jc w:val="left"/>
        <w:rPr>
          <w:rFonts w:hint="eastAsia" w:ascii="等线" w:hAnsi="等线" w:cs="HiddenHorzOCR"/>
          <w:color w:val="000000"/>
          <w:kern w:val="0"/>
          <w:szCs w:val="21"/>
        </w:rPr>
      </w:pPr>
      <w:r>
        <w:rPr>
          <w:rFonts w:hint="eastAsia" w:ascii="等线" w:hAnsi="等线" w:cs="HiddenHorzOCR"/>
          <w:color w:val="000000"/>
          <w:kern w:val="0"/>
          <w:szCs w:val="21"/>
        </w:rPr>
        <w:t xml:space="preserve">   7度及以下，宜采用弹性结构；7度半及以上，宜采用塑性结构；</w:t>
      </w:r>
    </w:p>
    <w:p>
      <w:pPr>
        <w:numPr>
          <w:ilvl w:val="0"/>
          <w:numId w:val="13"/>
        </w:numPr>
        <w:autoSpaceDE w:val="0"/>
        <w:autoSpaceDN w:val="0"/>
        <w:adjustRightInd w:val="0"/>
        <w:spacing w:line="360" w:lineRule="auto"/>
        <w:jc w:val="left"/>
        <w:rPr>
          <w:rFonts w:hint="eastAsia" w:ascii="等线" w:hAnsi="等线" w:cs="HiddenHorzOCR"/>
          <w:color w:val="000000"/>
          <w:kern w:val="0"/>
          <w:szCs w:val="21"/>
        </w:rPr>
      </w:pPr>
      <w:r>
        <w:rPr>
          <w:rFonts w:hint="eastAsia" w:ascii="等线" w:hAnsi="等线" w:cs="HiddenHorzOCR"/>
          <w:color w:val="000000"/>
          <w:kern w:val="0"/>
          <w:szCs w:val="21"/>
        </w:rPr>
        <w:t>单-多层混凝土结构</w:t>
      </w:r>
    </w:p>
    <w:p>
      <w:pPr>
        <w:autoSpaceDE w:val="0"/>
        <w:autoSpaceDN w:val="0"/>
        <w:adjustRightInd w:val="0"/>
        <w:spacing w:line="360" w:lineRule="auto"/>
        <w:ind w:firstLine="1050" w:firstLineChars="500"/>
        <w:jc w:val="left"/>
        <w:rPr>
          <w:rFonts w:hint="eastAsia" w:ascii="等线" w:hAnsi="等线" w:cs="HiddenHorzOCR"/>
          <w:color w:val="000000"/>
          <w:kern w:val="0"/>
          <w:szCs w:val="21"/>
        </w:rPr>
      </w:pPr>
      <w:r>
        <w:rPr>
          <w:rFonts w:hint="eastAsia" w:ascii="等线" w:hAnsi="等线" w:cs="HiddenHorzOCR"/>
          <w:color w:val="000000"/>
          <w:kern w:val="0"/>
          <w:szCs w:val="21"/>
        </w:rPr>
        <w:t xml:space="preserve"> 7度及以下，宜采用弹性结构；7度半及以上，宜采用塑性结构。</w:t>
      </w:r>
    </w:p>
    <w:p>
      <w:pPr>
        <w:numPr>
          <w:ilvl w:val="0"/>
          <w:numId w:val="12"/>
        </w:numPr>
        <w:autoSpaceDE w:val="0"/>
        <w:autoSpaceDN w:val="0"/>
        <w:adjustRightInd w:val="0"/>
        <w:spacing w:line="360" w:lineRule="auto"/>
        <w:ind w:firstLine="420"/>
        <w:jc w:val="left"/>
        <w:rPr>
          <w:rFonts w:ascii="等线" w:hAnsi="等线" w:cs="HiddenHorzOCR"/>
          <w:color w:val="000000"/>
          <w:kern w:val="0"/>
          <w:szCs w:val="21"/>
        </w:rPr>
      </w:pPr>
      <w:r>
        <w:rPr>
          <w:rFonts w:hint="eastAsia" w:ascii="等线" w:hAnsi="等线" w:cs="HiddenHorzOCR"/>
          <w:color w:val="000000"/>
          <w:kern w:val="0"/>
          <w:szCs w:val="21"/>
        </w:rPr>
        <w:t>钢结构</w:t>
      </w:r>
    </w:p>
    <w:p>
      <w:pPr>
        <w:autoSpaceDE w:val="0"/>
        <w:autoSpaceDN w:val="0"/>
        <w:adjustRightInd w:val="0"/>
        <w:spacing w:line="360" w:lineRule="auto"/>
        <w:ind w:left="840"/>
        <w:jc w:val="left"/>
        <w:rPr>
          <w:rFonts w:hint="eastAsia" w:ascii="等线" w:hAnsi="等线" w:cs="HiddenHorzOCR"/>
          <w:color w:val="000000"/>
          <w:kern w:val="0"/>
          <w:szCs w:val="21"/>
        </w:rPr>
      </w:pPr>
      <w:r>
        <w:rPr>
          <w:rFonts w:hint="eastAsia" w:ascii="等线" w:hAnsi="等线" w:cs="HiddenHorzOCR"/>
          <w:color w:val="000000"/>
          <w:kern w:val="0"/>
          <w:szCs w:val="21"/>
        </w:rPr>
        <w:t>1）单层钢结构</w:t>
      </w:r>
    </w:p>
    <w:p>
      <w:pPr>
        <w:autoSpaceDE w:val="0"/>
        <w:autoSpaceDN w:val="0"/>
        <w:adjustRightInd w:val="0"/>
        <w:spacing w:line="360" w:lineRule="auto"/>
        <w:ind w:left="840"/>
        <w:jc w:val="left"/>
        <w:rPr>
          <w:rFonts w:hint="eastAsia" w:ascii="等线" w:hAnsi="等线" w:cs="HiddenHorzOCR"/>
          <w:color w:val="000000"/>
          <w:kern w:val="0"/>
          <w:szCs w:val="21"/>
        </w:rPr>
      </w:pPr>
      <w:r>
        <w:rPr>
          <w:rFonts w:hint="eastAsia" w:ascii="等线" w:hAnsi="等线" w:cs="HiddenHorzOCR"/>
          <w:color w:val="000000"/>
          <w:kern w:val="0"/>
          <w:szCs w:val="21"/>
        </w:rPr>
        <w:t xml:space="preserve">   7度半及以下，宜采用弹性结构；8度及以上，宜采用塑性结构；</w:t>
      </w:r>
    </w:p>
    <w:p>
      <w:pPr>
        <w:autoSpaceDE w:val="0"/>
        <w:autoSpaceDN w:val="0"/>
        <w:adjustRightInd w:val="0"/>
        <w:spacing w:line="360" w:lineRule="auto"/>
        <w:ind w:left="840"/>
        <w:jc w:val="left"/>
        <w:rPr>
          <w:rFonts w:hint="eastAsia" w:ascii="等线" w:hAnsi="等线" w:cs="HiddenHorzOCR"/>
          <w:color w:val="000000"/>
          <w:kern w:val="0"/>
          <w:szCs w:val="21"/>
        </w:rPr>
      </w:pPr>
      <w:r>
        <w:rPr>
          <w:rFonts w:hint="eastAsia" w:ascii="等线" w:hAnsi="等线" w:cs="HiddenHorzOCR"/>
          <w:color w:val="000000"/>
          <w:kern w:val="0"/>
          <w:szCs w:val="21"/>
        </w:rPr>
        <w:t>2）多层钢结构</w:t>
      </w:r>
    </w:p>
    <w:p>
      <w:pPr>
        <w:autoSpaceDE w:val="0"/>
        <w:autoSpaceDN w:val="0"/>
        <w:adjustRightInd w:val="0"/>
        <w:spacing w:line="360" w:lineRule="auto"/>
        <w:ind w:left="840"/>
        <w:jc w:val="left"/>
        <w:rPr>
          <w:rFonts w:hint="eastAsia" w:ascii="等线" w:hAnsi="等线" w:cs="HiddenHorzOCR"/>
          <w:color w:val="000000"/>
          <w:kern w:val="0"/>
          <w:szCs w:val="21"/>
        </w:rPr>
      </w:pPr>
      <w:r>
        <w:rPr>
          <w:rFonts w:hint="eastAsia" w:ascii="等线" w:hAnsi="等线" w:cs="HiddenHorzOCR"/>
          <w:color w:val="000000"/>
          <w:kern w:val="0"/>
          <w:szCs w:val="21"/>
        </w:rPr>
        <w:t xml:space="preserve">   7度及以下，宜采用弹性结构；7度半及以上，宜采用塑性结构；</w:t>
      </w:r>
    </w:p>
    <w:p>
      <w:pPr>
        <w:autoSpaceDE w:val="0"/>
        <w:autoSpaceDN w:val="0"/>
        <w:adjustRightInd w:val="0"/>
        <w:spacing w:line="360" w:lineRule="auto"/>
        <w:ind w:left="840"/>
        <w:jc w:val="left"/>
        <w:rPr>
          <w:rFonts w:hint="eastAsia" w:ascii="等线" w:hAnsi="等线" w:cs="HiddenHorzOCR"/>
          <w:color w:val="000000"/>
          <w:kern w:val="0"/>
          <w:szCs w:val="21"/>
        </w:rPr>
      </w:pPr>
      <w:r>
        <w:rPr>
          <w:rFonts w:hint="eastAsia" w:ascii="等线" w:hAnsi="等线" w:cs="HiddenHorzOCR"/>
          <w:color w:val="000000"/>
          <w:kern w:val="0"/>
          <w:szCs w:val="21"/>
        </w:rPr>
        <w:t>3）单-多层钢结构</w:t>
      </w:r>
    </w:p>
    <w:p>
      <w:pPr>
        <w:autoSpaceDE w:val="0"/>
        <w:autoSpaceDN w:val="0"/>
        <w:adjustRightInd w:val="0"/>
        <w:spacing w:line="360" w:lineRule="auto"/>
        <w:ind w:left="840"/>
        <w:jc w:val="left"/>
        <w:rPr>
          <w:rFonts w:hint="eastAsia" w:ascii="等线" w:hAnsi="等线" w:cs="HiddenHorzOCR"/>
          <w:color w:val="000000"/>
          <w:kern w:val="0"/>
          <w:szCs w:val="21"/>
        </w:rPr>
      </w:pPr>
      <w:r>
        <w:rPr>
          <w:rFonts w:hint="eastAsia" w:ascii="等线" w:hAnsi="等线" w:cs="HiddenHorzOCR"/>
          <w:color w:val="000000"/>
          <w:kern w:val="0"/>
          <w:szCs w:val="21"/>
        </w:rPr>
        <w:t xml:space="preserve">   7度及以下，宜采用弹性结构；7度半及以上，宜采用塑性结构。</w:t>
      </w:r>
    </w:p>
    <w:p>
      <w:pPr>
        <w:autoSpaceDE w:val="0"/>
        <w:autoSpaceDN w:val="0"/>
        <w:adjustRightInd w:val="0"/>
        <w:spacing w:line="360" w:lineRule="auto"/>
        <w:ind w:firstLine="420" w:firstLineChars="200"/>
        <w:jc w:val="left"/>
        <w:rPr>
          <w:rFonts w:ascii="微软雅黑" w:hAnsi="微软雅黑" w:eastAsia="微软雅黑" w:cs="HiddenHorzOCR"/>
          <w:color w:val="000000"/>
          <w:kern w:val="0"/>
          <w:szCs w:val="21"/>
        </w:rPr>
      </w:pPr>
      <w:r>
        <w:rPr>
          <w:rFonts w:hint="eastAsia" w:ascii="等线" w:hAnsi="等线" w:cs="HiddenHorzOCR"/>
          <w:color w:val="000000"/>
          <w:kern w:val="0"/>
          <w:szCs w:val="21"/>
        </w:rPr>
        <w:t xml:space="preserve"> 正常使用极限状态，对于部分工业建筑，如有抗腐蚀要求的混凝土结构或钢结构，通过小震位移验算满足抗腐蚀要求。</w:t>
      </w:r>
    </w:p>
    <w:p>
      <w:pPr>
        <w:autoSpaceDE w:val="0"/>
        <w:autoSpaceDN w:val="0"/>
        <w:adjustRightInd w:val="0"/>
        <w:spacing w:line="360" w:lineRule="auto"/>
        <w:jc w:val="left"/>
        <w:rPr>
          <w:rFonts w:ascii="等线" w:hAnsi="等线"/>
          <w:color w:val="000000"/>
          <w:kern w:val="0"/>
          <w:szCs w:val="21"/>
        </w:rPr>
      </w:pPr>
      <w:r>
        <w:rPr>
          <w:rFonts w:ascii="等线" w:hAnsi="等线"/>
          <w:color w:val="000000"/>
          <w:kern w:val="0"/>
          <w:szCs w:val="21"/>
        </w:rPr>
        <w:t xml:space="preserve"> </w:t>
      </w:r>
    </w:p>
    <w:p>
      <w:pPr>
        <w:autoSpaceDE w:val="0"/>
        <w:autoSpaceDN w:val="0"/>
        <w:adjustRightInd w:val="0"/>
        <w:spacing w:line="360" w:lineRule="auto"/>
        <w:jc w:val="left"/>
        <w:rPr>
          <w:rFonts w:ascii="等线" w:hAnsi="等线"/>
          <w:color w:val="000000"/>
          <w:kern w:val="0"/>
          <w:szCs w:val="21"/>
        </w:rPr>
      </w:pPr>
    </w:p>
    <w:p>
      <w:pPr>
        <w:autoSpaceDE w:val="0"/>
        <w:autoSpaceDN w:val="0"/>
        <w:adjustRightInd w:val="0"/>
        <w:spacing w:line="360" w:lineRule="auto"/>
        <w:jc w:val="left"/>
        <w:rPr>
          <w:rFonts w:ascii="等线" w:hAnsi="等线"/>
          <w:color w:val="000000"/>
          <w:kern w:val="0"/>
          <w:szCs w:val="21"/>
        </w:rPr>
      </w:pPr>
    </w:p>
    <w:p>
      <w:pPr>
        <w:autoSpaceDE w:val="0"/>
        <w:autoSpaceDN w:val="0"/>
        <w:adjustRightInd w:val="0"/>
        <w:spacing w:line="360" w:lineRule="auto"/>
        <w:jc w:val="left"/>
        <w:rPr>
          <w:rFonts w:ascii="等线" w:hAnsi="等线"/>
          <w:color w:val="000000"/>
          <w:kern w:val="0"/>
          <w:szCs w:val="21"/>
        </w:rPr>
      </w:pPr>
    </w:p>
    <w:p>
      <w:pPr>
        <w:autoSpaceDE w:val="0"/>
        <w:autoSpaceDN w:val="0"/>
        <w:adjustRightInd w:val="0"/>
        <w:spacing w:line="360" w:lineRule="auto"/>
        <w:jc w:val="left"/>
        <w:rPr>
          <w:rFonts w:ascii="等线" w:hAnsi="等线"/>
          <w:color w:val="000000"/>
          <w:kern w:val="0"/>
          <w:szCs w:val="21"/>
        </w:rPr>
      </w:pPr>
    </w:p>
    <w:p>
      <w:pPr>
        <w:pStyle w:val="2"/>
        <w:numPr>
          <w:ilvl w:val="0"/>
          <w:numId w:val="11"/>
        </w:numPr>
        <w:rPr>
          <w:color w:val="000000"/>
        </w:rPr>
      </w:pPr>
      <w:r>
        <w:rPr>
          <w:color w:val="000000"/>
        </w:rPr>
        <w:br w:type="page"/>
      </w:r>
      <w:bookmarkStart w:id="268" w:name="_Toc48049980"/>
      <w:r>
        <w:rPr>
          <w:rFonts w:hint="eastAsia"/>
          <w:color w:val="000000"/>
        </w:rPr>
        <w:t>地震作用和结构抗震验算</w:t>
      </w:r>
      <w:bookmarkEnd w:id="268"/>
    </w:p>
    <w:p>
      <w:pPr>
        <w:pStyle w:val="53"/>
        <w:spacing w:line="360" w:lineRule="auto"/>
        <w:ind w:firstLine="0" w:firstLineChars="0"/>
        <w:rPr>
          <w:rFonts w:hint="eastAsia" w:ascii="等线" w:hAnsi="等线" w:cs="MS Mincho"/>
          <w:bCs/>
          <w:color w:val="000000"/>
          <w:kern w:val="0"/>
          <w:szCs w:val="21"/>
        </w:rPr>
      </w:pPr>
    </w:p>
    <w:p>
      <w:pPr>
        <w:autoSpaceDE w:val="0"/>
        <w:autoSpaceDN w:val="0"/>
        <w:jc w:val="center"/>
        <w:rPr>
          <w:rFonts w:ascii="宋体" w:hAnsi="宋体" w:cs="MS Mincho"/>
          <w:color w:val="000000"/>
          <w:kern w:val="0"/>
          <w:szCs w:val="21"/>
        </w:rPr>
      </w:pPr>
      <w:r>
        <w:rPr>
          <w:rFonts w:ascii="宋体" w:hAnsi="宋体"/>
          <w:color w:val="000000"/>
          <w:kern w:val="0"/>
          <w:szCs w:val="21"/>
        </w:rPr>
        <w:t>4.</w:t>
      </w:r>
      <w:r>
        <w:rPr>
          <w:rFonts w:hint="eastAsia" w:ascii="宋体" w:hAnsi="宋体"/>
          <w:color w:val="000000"/>
          <w:kern w:val="0"/>
          <w:szCs w:val="21"/>
        </w:rPr>
        <w:t>3</w:t>
      </w:r>
      <w:r>
        <w:rPr>
          <w:rFonts w:ascii="宋体" w:hAnsi="宋体"/>
          <w:color w:val="000000"/>
          <w:kern w:val="0"/>
          <w:szCs w:val="21"/>
        </w:rPr>
        <w:t xml:space="preserve"> </w:t>
      </w:r>
      <w:r>
        <w:rPr>
          <w:rFonts w:hint="eastAsia" w:ascii="宋体" w:hAnsi="宋体" w:cs="HiddenHorzOCR"/>
          <w:color w:val="000000"/>
          <w:kern w:val="0"/>
          <w:szCs w:val="21"/>
        </w:rPr>
        <w:t>水平地震作用</w:t>
      </w:r>
      <w:r>
        <w:rPr>
          <w:rFonts w:hint="eastAsia" w:ascii="宋体" w:hAnsi="宋体" w:cs="宋体"/>
          <w:color w:val="000000"/>
          <w:kern w:val="0"/>
          <w:szCs w:val="21"/>
        </w:rPr>
        <w:t>计</w:t>
      </w:r>
      <w:r>
        <w:rPr>
          <w:rFonts w:hint="eastAsia" w:ascii="宋体" w:hAnsi="宋体" w:cs="MS Mincho"/>
          <w:color w:val="000000"/>
          <w:kern w:val="0"/>
          <w:szCs w:val="21"/>
        </w:rPr>
        <w:t>算</w:t>
      </w:r>
    </w:p>
    <w:p>
      <w:pPr>
        <w:autoSpaceDE w:val="0"/>
        <w:autoSpaceDN w:val="0"/>
        <w:jc w:val="center"/>
        <w:rPr>
          <w:rFonts w:hint="eastAsia" w:ascii="宋体" w:hAnsi="宋体" w:cs="MS Mincho"/>
          <w:color w:val="000000"/>
          <w:kern w:val="0"/>
          <w:szCs w:val="21"/>
        </w:rPr>
      </w:pP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4.</w:t>
      </w:r>
      <w:r>
        <w:rPr>
          <w:rFonts w:hint="eastAsia" w:ascii="等线" w:hAnsi="等线"/>
          <w:color w:val="000000"/>
          <w:kern w:val="0"/>
          <w:szCs w:val="21"/>
        </w:rPr>
        <w:t>3.</w:t>
      </w:r>
      <w:r>
        <w:rPr>
          <w:rFonts w:ascii="等线" w:hAnsi="等线"/>
          <w:color w:val="000000"/>
          <w:kern w:val="0"/>
          <w:szCs w:val="21"/>
        </w:rPr>
        <w:t xml:space="preserve">2 </w:t>
      </w:r>
      <w:r>
        <w:rPr>
          <w:rFonts w:hint="eastAsia" w:ascii="等线" w:hAnsi="等线" w:cs="HiddenHorzOCR"/>
          <w:color w:val="000000"/>
          <w:kern w:val="0"/>
          <w:szCs w:val="21"/>
        </w:rPr>
        <w:t>工业建筑一般含有吊车，通常采用平面模型进行计算。考虑吊车的最不利布置情况，非地震组合工况的吊车数量按下述原则采用：</w:t>
      </w: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 xml:space="preserve">1 </w:t>
      </w:r>
      <w:r>
        <w:rPr>
          <w:rFonts w:hint="eastAsia" w:ascii="等线" w:hAnsi="等线" w:cs="HiddenHorzOCR"/>
          <w:color w:val="000000"/>
          <w:kern w:val="0"/>
          <w:szCs w:val="21"/>
        </w:rPr>
        <w:t>横向结构</w:t>
      </w:r>
      <w:r>
        <w:rPr>
          <w:rFonts w:hint="eastAsia" w:ascii="等线" w:hAnsi="等线" w:cs="宋体"/>
          <w:color w:val="000000"/>
          <w:kern w:val="0"/>
          <w:szCs w:val="21"/>
        </w:rPr>
        <w:t>计</w:t>
      </w:r>
      <w:r>
        <w:rPr>
          <w:rFonts w:hint="eastAsia" w:ascii="等线" w:hAnsi="等线" w:cs="MS Mincho"/>
          <w:color w:val="000000"/>
          <w:kern w:val="0"/>
          <w:szCs w:val="21"/>
        </w:rPr>
        <w:t>算</w:t>
      </w:r>
      <w:r>
        <w:rPr>
          <w:rFonts w:hint="eastAsia" w:ascii="等线" w:hAnsi="等线" w:cs="宋体"/>
          <w:color w:val="000000"/>
          <w:kern w:val="0"/>
          <w:szCs w:val="21"/>
        </w:rPr>
        <w:t>时</w:t>
      </w:r>
      <w:r>
        <w:rPr>
          <w:rFonts w:hint="eastAsia" w:ascii="等线" w:hAnsi="等线" w:cs="HiddenHorzOCR"/>
          <w:color w:val="000000"/>
          <w:kern w:val="0"/>
          <w:szCs w:val="21"/>
        </w:rPr>
        <w:t>：</w:t>
      </w:r>
    </w:p>
    <w:p>
      <w:pPr>
        <w:autoSpaceDE w:val="0"/>
        <w:autoSpaceDN w:val="0"/>
        <w:adjustRightInd w:val="0"/>
        <w:spacing w:line="360" w:lineRule="auto"/>
        <w:ind w:firstLine="420" w:firstLineChars="200"/>
        <w:jc w:val="left"/>
        <w:rPr>
          <w:rFonts w:ascii="等线" w:hAnsi="等线" w:cs="HiddenHorzOCR"/>
          <w:color w:val="000000"/>
          <w:kern w:val="0"/>
          <w:szCs w:val="21"/>
        </w:rPr>
      </w:pPr>
      <w:r>
        <w:rPr>
          <w:rFonts w:ascii="等线" w:hAnsi="等线" w:cs="HiddenHorzOCR"/>
          <w:color w:val="000000"/>
          <w:kern w:val="0"/>
          <w:szCs w:val="21"/>
        </w:rPr>
        <w:t>1</w:t>
      </w:r>
      <w:r>
        <w:rPr>
          <w:rFonts w:hint="eastAsia" w:ascii="等线" w:hAnsi="等线" w:cs="HiddenHorzOCR"/>
          <w:color w:val="000000"/>
          <w:kern w:val="0"/>
          <w:szCs w:val="21"/>
        </w:rPr>
        <w:t>）</w:t>
      </w:r>
      <w:r>
        <w:rPr>
          <w:rFonts w:hint="eastAsia" w:ascii="等线" w:hAnsi="等线" w:cs="宋体"/>
          <w:color w:val="000000"/>
          <w:kern w:val="0"/>
          <w:szCs w:val="21"/>
        </w:rPr>
        <w:t>单层</w:t>
      </w:r>
      <w:r>
        <w:rPr>
          <w:rFonts w:hint="eastAsia" w:ascii="等线" w:hAnsi="等线" w:cs="MS Mincho"/>
          <w:color w:val="000000"/>
          <w:kern w:val="0"/>
          <w:szCs w:val="21"/>
        </w:rPr>
        <w:t>吊</w:t>
      </w:r>
      <w:r>
        <w:rPr>
          <w:rFonts w:hint="eastAsia" w:ascii="等线" w:hAnsi="等线" w:cs="宋体"/>
          <w:color w:val="000000"/>
          <w:kern w:val="0"/>
          <w:szCs w:val="21"/>
        </w:rPr>
        <w:t>车</w:t>
      </w:r>
      <w:r>
        <w:rPr>
          <w:rFonts w:hint="eastAsia" w:ascii="等线" w:hAnsi="等线" w:cs="HiddenHorzOCR"/>
          <w:color w:val="000000"/>
          <w:kern w:val="0"/>
          <w:szCs w:val="21"/>
        </w:rPr>
        <w:t>：</w:t>
      </w:r>
      <w:r>
        <w:rPr>
          <w:rFonts w:hint="eastAsia" w:ascii="等线" w:hAnsi="等线" w:cs="宋体"/>
          <w:color w:val="000000"/>
          <w:kern w:val="0"/>
          <w:szCs w:val="21"/>
        </w:rPr>
        <w:t>单</w:t>
      </w:r>
      <w:r>
        <w:rPr>
          <w:rFonts w:hint="eastAsia" w:ascii="等线" w:hAnsi="等线" w:cs="MS Mincho"/>
          <w:color w:val="000000"/>
          <w:kern w:val="0"/>
          <w:szCs w:val="21"/>
        </w:rPr>
        <w:t>跨取</w:t>
      </w:r>
      <w:r>
        <w:rPr>
          <w:rFonts w:hint="eastAsia" w:ascii="等线" w:hAnsi="等线" w:cs="HiddenHorzOCR"/>
          <w:color w:val="000000"/>
          <w:kern w:val="0"/>
          <w:szCs w:val="21"/>
        </w:rPr>
        <w:t>2台；多跨取4台，每跨2台；</w:t>
      </w:r>
    </w:p>
    <w:p>
      <w:pPr>
        <w:autoSpaceDE w:val="0"/>
        <w:autoSpaceDN w:val="0"/>
        <w:adjustRightInd w:val="0"/>
        <w:spacing w:line="360" w:lineRule="auto"/>
        <w:ind w:firstLine="420" w:firstLineChars="200"/>
        <w:jc w:val="left"/>
        <w:rPr>
          <w:rFonts w:ascii="等线" w:hAnsi="等线" w:cs="HiddenHorzOCR"/>
          <w:color w:val="000000"/>
          <w:kern w:val="0"/>
          <w:szCs w:val="21"/>
        </w:rPr>
      </w:pPr>
      <w:r>
        <w:rPr>
          <w:rFonts w:ascii="等线" w:hAnsi="等线" w:cs="HiddenHorzOCR"/>
          <w:color w:val="000000"/>
          <w:kern w:val="0"/>
          <w:szCs w:val="21"/>
        </w:rPr>
        <w:t>2</w:t>
      </w:r>
      <w:r>
        <w:rPr>
          <w:rFonts w:hint="eastAsia" w:ascii="等线" w:hAnsi="等线" w:cs="HiddenHorzOCR"/>
          <w:color w:val="000000"/>
          <w:kern w:val="0"/>
          <w:szCs w:val="21"/>
        </w:rPr>
        <w:t>）双</w:t>
      </w:r>
      <w:r>
        <w:rPr>
          <w:rFonts w:hint="eastAsia" w:ascii="等线" w:hAnsi="等线" w:cs="宋体"/>
          <w:color w:val="000000"/>
          <w:kern w:val="0"/>
          <w:szCs w:val="21"/>
        </w:rPr>
        <w:t>层</w:t>
      </w:r>
      <w:r>
        <w:rPr>
          <w:rFonts w:hint="eastAsia" w:ascii="等线" w:hAnsi="等线" w:cs="MS Mincho"/>
          <w:color w:val="000000"/>
          <w:kern w:val="0"/>
          <w:szCs w:val="21"/>
        </w:rPr>
        <w:t>吊</w:t>
      </w:r>
      <w:r>
        <w:rPr>
          <w:rFonts w:hint="eastAsia" w:ascii="等线" w:hAnsi="等线" w:cs="宋体"/>
          <w:color w:val="000000"/>
          <w:kern w:val="0"/>
          <w:szCs w:val="21"/>
        </w:rPr>
        <w:t>车</w:t>
      </w:r>
      <w:r>
        <w:rPr>
          <w:rFonts w:hint="eastAsia" w:ascii="等线" w:hAnsi="等线" w:cs="HiddenHorzOCR"/>
          <w:color w:val="000000"/>
          <w:kern w:val="0"/>
          <w:szCs w:val="21"/>
        </w:rPr>
        <w:t>：</w:t>
      </w:r>
      <w:r>
        <w:rPr>
          <w:rFonts w:hint="eastAsia" w:ascii="等线" w:hAnsi="等线" w:cs="宋体"/>
          <w:color w:val="000000"/>
          <w:kern w:val="0"/>
          <w:szCs w:val="21"/>
        </w:rPr>
        <w:t>单</w:t>
      </w:r>
      <w:r>
        <w:rPr>
          <w:rFonts w:hint="eastAsia" w:ascii="等线" w:hAnsi="等线" w:cs="MS Mincho"/>
          <w:color w:val="000000"/>
          <w:kern w:val="0"/>
          <w:szCs w:val="21"/>
        </w:rPr>
        <w:t>跨取上</w:t>
      </w:r>
      <w:r>
        <w:rPr>
          <w:rFonts w:hint="eastAsia" w:ascii="等线" w:hAnsi="等线" w:cs="宋体"/>
          <w:color w:val="000000"/>
          <w:kern w:val="0"/>
          <w:szCs w:val="21"/>
        </w:rPr>
        <w:t>层</w:t>
      </w:r>
      <w:r>
        <w:rPr>
          <w:rFonts w:hint="eastAsia" w:ascii="等线" w:hAnsi="等线" w:cs="MS Mincho"/>
          <w:color w:val="000000"/>
          <w:kern w:val="0"/>
          <w:szCs w:val="21"/>
        </w:rPr>
        <w:t>或下</w:t>
      </w:r>
      <w:r>
        <w:rPr>
          <w:rFonts w:hint="eastAsia" w:ascii="等线" w:hAnsi="等线" w:cs="宋体"/>
          <w:color w:val="000000"/>
          <w:kern w:val="0"/>
          <w:szCs w:val="21"/>
        </w:rPr>
        <w:t>层</w:t>
      </w:r>
      <w:r>
        <w:rPr>
          <w:rFonts w:hint="eastAsia" w:ascii="等线" w:hAnsi="等线" w:cs="HiddenHorzOCR"/>
          <w:color w:val="000000"/>
          <w:kern w:val="0"/>
          <w:szCs w:val="21"/>
        </w:rPr>
        <w:t>2台；多跨取4台，每跨2台。</w:t>
      </w: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 xml:space="preserve">2 </w:t>
      </w:r>
      <w:r>
        <w:rPr>
          <w:rFonts w:hint="eastAsia" w:ascii="等线" w:hAnsi="等线" w:cs="宋体"/>
          <w:color w:val="000000"/>
          <w:kern w:val="0"/>
          <w:szCs w:val="21"/>
        </w:rPr>
        <w:t>纵</w:t>
      </w:r>
      <w:r>
        <w:rPr>
          <w:rFonts w:hint="eastAsia" w:ascii="等线" w:hAnsi="等线" w:cs="MS Mincho"/>
          <w:color w:val="000000"/>
          <w:kern w:val="0"/>
          <w:szCs w:val="21"/>
        </w:rPr>
        <w:t>向结构</w:t>
      </w:r>
      <w:r>
        <w:rPr>
          <w:rFonts w:hint="eastAsia" w:ascii="等线" w:hAnsi="等线" w:cs="宋体"/>
          <w:color w:val="000000"/>
          <w:kern w:val="0"/>
          <w:szCs w:val="21"/>
        </w:rPr>
        <w:t>计</w:t>
      </w:r>
      <w:r>
        <w:rPr>
          <w:rFonts w:hint="eastAsia" w:ascii="等线" w:hAnsi="等线" w:cs="MS Mincho"/>
          <w:color w:val="000000"/>
          <w:kern w:val="0"/>
          <w:szCs w:val="21"/>
        </w:rPr>
        <w:t>算</w:t>
      </w:r>
      <w:r>
        <w:rPr>
          <w:rFonts w:hint="eastAsia" w:ascii="等线" w:hAnsi="等线" w:cs="宋体"/>
          <w:color w:val="000000"/>
          <w:kern w:val="0"/>
          <w:szCs w:val="21"/>
        </w:rPr>
        <w:t>时</w:t>
      </w:r>
      <w:r>
        <w:rPr>
          <w:rFonts w:hint="eastAsia" w:ascii="等线" w:hAnsi="等线" w:cs="MS Mincho"/>
          <w:color w:val="000000"/>
          <w:kern w:val="0"/>
          <w:szCs w:val="21"/>
        </w:rPr>
        <w:t>，每跨</w:t>
      </w:r>
      <w:r>
        <w:rPr>
          <w:rFonts w:hint="eastAsia" w:ascii="等线" w:hAnsi="等线" w:cs="HiddenHorzOCR"/>
          <w:color w:val="000000"/>
          <w:kern w:val="0"/>
          <w:szCs w:val="21"/>
        </w:rPr>
        <w:t>2台。</w:t>
      </w:r>
    </w:p>
    <w:p>
      <w:pPr>
        <w:autoSpaceDE w:val="0"/>
        <w:autoSpaceDN w:val="0"/>
        <w:adjustRightInd w:val="0"/>
        <w:spacing w:line="360" w:lineRule="auto"/>
        <w:ind w:firstLine="420" w:firstLineChars="200"/>
        <w:jc w:val="left"/>
        <w:rPr>
          <w:rFonts w:ascii="等线" w:hAnsi="等线" w:cs="HiddenHorzOCR"/>
          <w:color w:val="000000"/>
          <w:kern w:val="0"/>
          <w:szCs w:val="21"/>
        </w:rPr>
      </w:pPr>
      <w:r>
        <w:rPr>
          <w:rFonts w:hint="eastAsia" w:ascii="等线" w:hAnsi="等线" w:cs="HiddenHorzOCR"/>
          <w:color w:val="000000"/>
          <w:kern w:val="0"/>
          <w:szCs w:val="21"/>
        </w:rPr>
        <w:t>地震组合工况下上述吊车数量取值减半。</w:t>
      </w:r>
    </w:p>
    <w:p>
      <w:pPr>
        <w:autoSpaceDE w:val="0"/>
        <w:autoSpaceDN w:val="0"/>
        <w:adjustRightInd w:val="0"/>
        <w:spacing w:line="360" w:lineRule="auto"/>
        <w:ind w:firstLine="420" w:firstLineChars="200"/>
        <w:jc w:val="left"/>
        <w:rPr>
          <w:rFonts w:ascii="等线" w:hAnsi="等线" w:cs="HiddenHorzOCR"/>
          <w:color w:val="000000"/>
          <w:kern w:val="0"/>
          <w:szCs w:val="21"/>
        </w:rPr>
      </w:pPr>
      <w:r>
        <w:rPr>
          <w:rFonts w:hint="eastAsia" w:ascii="等线" w:hAnsi="等线" w:cs="HiddenHorzOCR"/>
          <w:color w:val="000000"/>
          <w:kern w:val="0"/>
          <w:szCs w:val="21"/>
        </w:rPr>
        <w:t>如采用大柱距，吊车数量要考虑可能的吊车布置情况。</w:t>
      </w:r>
    </w:p>
    <w:p>
      <w:pPr>
        <w:autoSpaceDE w:val="0"/>
        <w:autoSpaceDN w:val="0"/>
        <w:adjustRightInd w:val="0"/>
        <w:spacing w:line="360" w:lineRule="auto"/>
        <w:ind w:firstLine="420" w:firstLineChars="200"/>
        <w:jc w:val="left"/>
        <w:rPr>
          <w:rFonts w:ascii="等线" w:hAnsi="等线" w:cs="HiddenHorzOCR"/>
          <w:color w:val="000000"/>
          <w:kern w:val="0"/>
          <w:szCs w:val="21"/>
        </w:rPr>
      </w:pPr>
      <w:r>
        <w:rPr>
          <w:rFonts w:hint="eastAsia" w:ascii="等线" w:hAnsi="等线" w:cs="HiddenHorzOCR"/>
          <w:color w:val="000000"/>
          <w:kern w:val="0"/>
          <w:szCs w:val="21"/>
        </w:rPr>
        <w:t>空间计算要考虑可能的实际吊车布置情况。</w:t>
      </w: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4.</w:t>
      </w:r>
      <w:r>
        <w:rPr>
          <w:rFonts w:hint="eastAsia" w:ascii="等线" w:hAnsi="等线"/>
          <w:color w:val="000000"/>
          <w:kern w:val="0"/>
          <w:szCs w:val="21"/>
        </w:rPr>
        <w:t>3</w:t>
      </w:r>
      <w:r>
        <w:rPr>
          <w:rFonts w:ascii="等线" w:hAnsi="等线"/>
          <w:color w:val="000000"/>
          <w:kern w:val="0"/>
          <w:szCs w:val="21"/>
        </w:rPr>
        <w:t>.</w:t>
      </w:r>
      <w:r>
        <w:rPr>
          <w:rFonts w:hint="eastAsia" w:ascii="等线" w:hAnsi="等线"/>
          <w:color w:val="000000"/>
          <w:kern w:val="0"/>
          <w:szCs w:val="21"/>
        </w:rPr>
        <w:t>4</w:t>
      </w:r>
      <w:r>
        <w:rPr>
          <w:rFonts w:ascii="等线" w:hAnsi="等线"/>
          <w:color w:val="000000"/>
          <w:kern w:val="0"/>
          <w:szCs w:val="21"/>
        </w:rPr>
        <w:t xml:space="preserve"> </w:t>
      </w:r>
      <w:r>
        <w:rPr>
          <w:rFonts w:hint="eastAsia" w:ascii="等线" w:hAnsi="等线" w:cs="HiddenHorzOCR"/>
          <w:color w:val="000000"/>
          <w:kern w:val="0"/>
          <w:szCs w:val="21"/>
        </w:rPr>
        <w:t>单层工业厂房，采用轻型（柔性）屋面时，横、纵向均表现为平面受力特征，可采用平面计算模型进行地震反应的计算，此时厂房横向采用典型的排架模型进行计算；纵向各柱列采用支撑框架进行计算。</w:t>
      </w: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4.</w:t>
      </w:r>
      <w:r>
        <w:rPr>
          <w:rFonts w:hint="eastAsia" w:ascii="等线" w:hAnsi="等线"/>
          <w:color w:val="000000"/>
          <w:kern w:val="0"/>
          <w:szCs w:val="21"/>
        </w:rPr>
        <w:t>3</w:t>
      </w:r>
      <w:r>
        <w:rPr>
          <w:rFonts w:ascii="等线" w:hAnsi="等线"/>
          <w:color w:val="000000"/>
          <w:kern w:val="0"/>
          <w:szCs w:val="21"/>
        </w:rPr>
        <w:t>.</w:t>
      </w:r>
      <w:r>
        <w:rPr>
          <w:rFonts w:hint="eastAsia" w:ascii="等线" w:hAnsi="等线"/>
          <w:color w:val="000000"/>
          <w:kern w:val="0"/>
          <w:szCs w:val="21"/>
        </w:rPr>
        <w:t>5</w:t>
      </w:r>
      <w:r>
        <w:rPr>
          <w:rFonts w:ascii="等线" w:hAnsi="等线"/>
          <w:color w:val="000000"/>
          <w:kern w:val="0"/>
          <w:szCs w:val="21"/>
        </w:rPr>
        <w:t xml:space="preserve"> </w:t>
      </w:r>
      <w:r>
        <w:rPr>
          <w:rFonts w:hint="eastAsia" w:ascii="等线" w:hAnsi="等线" w:cs="HiddenHorzOCR"/>
          <w:color w:val="000000"/>
          <w:kern w:val="0"/>
          <w:szCs w:val="21"/>
        </w:rPr>
        <w:t>采用轻型屋盖（楼盖）的多层厂房，需考虑楼屋盖的弹性变形而不能按刚性平面假定进行计算。楼屋盖的刚度按实际构件刚度考虑（如支撑），结构计算采用离散化的结构动力分析模型。</w:t>
      </w:r>
    </w:p>
    <w:p>
      <w:pPr>
        <w:autoSpaceDE w:val="0"/>
        <w:autoSpaceDN w:val="0"/>
        <w:adjustRightInd w:val="0"/>
        <w:spacing w:line="360" w:lineRule="auto"/>
        <w:jc w:val="left"/>
        <w:rPr>
          <w:rFonts w:ascii="等线" w:hAnsi="等线" w:cs="HiddenHorzOCR"/>
          <w:color w:val="000000"/>
          <w:kern w:val="0"/>
          <w:szCs w:val="21"/>
        </w:rPr>
      </w:pPr>
      <w:r>
        <w:rPr>
          <w:rFonts w:ascii="等线" w:hAnsi="等线"/>
          <w:color w:val="000000"/>
          <w:kern w:val="0"/>
          <w:szCs w:val="21"/>
        </w:rPr>
        <w:t>4.</w:t>
      </w:r>
      <w:r>
        <w:rPr>
          <w:rFonts w:hint="eastAsia" w:ascii="等线" w:hAnsi="等线"/>
          <w:color w:val="000000"/>
          <w:kern w:val="0"/>
          <w:szCs w:val="21"/>
        </w:rPr>
        <w:t>3</w:t>
      </w:r>
      <w:r>
        <w:rPr>
          <w:rFonts w:ascii="等线" w:hAnsi="等线"/>
          <w:color w:val="000000"/>
          <w:kern w:val="0"/>
          <w:szCs w:val="21"/>
        </w:rPr>
        <w:t>.</w:t>
      </w:r>
      <w:r>
        <w:rPr>
          <w:rFonts w:hint="eastAsia" w:ascii="等线" w:hAnsi="等线"/>
          <w:color w:val="000000"/>
          <w:kern w:val="0"/>
          <w:szCs w:val="21"/>
        </w:rPr>
        <w:t>6</w:t>
      </w:r>
      <w:r>
        <w:rPr>
          <w:rFonts w:ascii="等线" w:hAnsi="等线"/>
          <w:color w:val="000000"/>
          <w:kern w:val="0"/>
          <w:szCs w:val="21"/>
        </w:rPr>
        <w:t xml:space="preserve"> </w:t>
      </w:r>
      <w:r>
        <w:rPr>
          <w:rFonts w:hint="eastAsia" w:ascii="等线" w:hAnsi="等线" w:cs="HiddenHorzOCR"/>
          <w:color w:val="000000"/>
          <w:kern w:val="0"/>
          <w:szCs w:val="21"/>
        </w:rPr>
        <w:t>对于采用刚性楼面（如混凝土楼板）的多层厂房，按</w:t>
      </w:r>
      <w:r>
        <w:rPr>
          <w:rFonts w:ascii="等线" w:hAnsi="等线" w:cs="HiddenHorzOCR"/>
          <w:color w:val="000000"/>
          <w:kern w:val="0"/>
          <w:szCs w:val="21"/>
        </w:rPr>
        <w:t>”</w:t>
      </w:r>
      <w:r>
        <w:rPr>
          <w:rFonts w:hint="eastAsia" w:ascii="等线" w:hAnsi="等线" w:cs="HiddenHorzOCR"/>
          <w:color w:val="000000"/>
          <w:kern w:val="0"/>
          <w:szCs w:val="21"/>
        </w:rPr>
        <w:t>抗规</w:t>
      </w:r>
      <w:r>
        <w:rPr>
          <w:rFonts w:ascii="等线" w:hAnsi="等线" w:cs="HiddenHorzOCR"/>
          <w:color w:val="000000"/>
          <w:kern w:val="0"/>
          <w:szCs w:val="21"/>
        </w:rPr>
        <w:t>”</w:t>
      </w:r>
      <w:r>
        <w:rPr>
          <w:rFonts w:hint="eastAsia" w:ascii="等线" w:hAnsi="等线" w:cs="HiddenHorzOCR"/>
          <w:color w:val="000000"/>
          <w:kern w:val="0"/>
          <w:szCs w:val="21"/>
        </w:rPr>
        <w:t>进行地震反应计算。</w:t>
      </w:r>
    </w:p>
    <w:p>
      <w:pPr>
        <w:autoSpaceDE w:val="0"/>
        <w:autoSpaceDN w:val="0"/>
        <w:adjustRightInd w:val="0"/>
        <w:spacing w:line="360" w:lineRule="auto"/>
        <w:jc w:val="left"/>
        <w:rPr>
          <w:rFonts w:hint="eastAsia" w:ascii="等线" w:hAnsi="等线" w:cs="HiddenHorzOCR"/>
          <w:color w:val="000000"/>
          <w:kern w:val="0"/>
          <w:szCs w:val="21"/>
        </w:rPr>
      </w:pPr>
    </w:p>
    <w:p>
      <w:pPr>
        <w:autoSpaceDE w:val="0"/>
        <w:autoSpaceDN w:val="0"/>
        <w:adjustRightInd w:val="0"/>
        <w:spacing w:line="360" w:lineRule="auto"/>
        <w:jc w:val="center"/>
        <w:rPr>
          <w:rFonts w:ascii="等线" w:hAnsi="等线" w:cs="MS Mincho"/>
          <w:color w:val="000000"/>
          <w:kern w:val="0"/>
          <w:szCs w:val="21"/>
        </w:rPr>
      </w:pPr>
      <w:r>
        <w:rPr>
          <w:rFonts w:ascii="等线" w:hAnsi="等线"/>
          <w:color w:val="000000"/>
          <w:kern w:val="0"/>
          <w:szCs w:val="21"/>
        </w:rPr>
        <w:t>4.</w:t>
      </w:r>
      <w:r>
        <w:rPr>
          <w:rFonts w:hint="eastAsia" w:ascii="等线" w:hAnsi="等线"/>
          <w:color w:val="000000"/>
          <w:kern w:val="0"/>
          <w:szCs w:val="21"/>
        </w:rPr>
        <w:t>4</w:t>
      </w:r>
      <w:r>
        <w:rPr>
          <w:rFonts w:ascii="等线" w:hAnsi="等线"/>
          <w:color w:val="000000"/>
          <w:kern w:val="0"/>
          <w:szCs w:val="21"/>
        </w:rPr>
        <w:t xml:space="preserve"> </w:t>
      </w:r>
      <w:r>
        <w:rPr>
          <w:rFonts w:hint="eastAsia" w:ascii="等线" w:hAnsi="等线" w:cs="宋体"/>
          <w:color w:val="000000"/>
          <w:kern w:val="0"/>
          <w:szCs w:val="21"/>
        </w:rPr>
        <w:t>竖</w:t>
      </w:r>
      <w:r>
        <w:rPr>
          <w:rFonts w:hint="eastAsia" w:ascii="等线" w:hAnsi="等线" w:cs="MS Mincho"/>
          <w:color w:val="000000"/>
          <w:kern w:val="0"/>
          <w:szCs w:val="21"/>
        </w:rPr>
        <w:t>向地震作用</w:t>
      </w:r>
      <w:r>
        <w:rPr>
          <w:rFonts w:hint="eastAsia" w:ascii="等线" w:hAnsi="等线" w:cs="宋体"/>
          <w:color w:val="000000"/>
          <w:kern w:val="0"/>
          <w:szCs w:val="21"/>
        </w:rPr>
        <w:t>计</w:t>
      </w:r>
      <w:r>
        <w:rPr>
          <w:rFonts w:hint="eastAsia" w:ascii="等线" w:hAnsi="等线" w:cs="MS Mincho"/>
          <w:color w:val="000000"/>
          <w:kern w:val="0"/>
          <w:szCs w:val="21"/>
        </w:rPr>
        <w:t>算</w:t>
      </w:r>
    </w:p>
    <w:p>
      <w:pPr>
        <w:autoSpaceDE w:val="0"/>
        <w:autoSpaceDN w:val="0"/>
        <w:adjustRightInd w:val="0"/>
        <w:spacing w:line="360" w:lineRule="auto"/>
        <w:jc w:val="center"/>
        <w:rPr>
          <w:rFonts w:hint="eastAsia" w:ascii="等线" w:hAnsi="等线" w:cs="HiddenHorzOCR"/>
          <w:color w:val="000000"/>
          <w:kern w:val="0"/>
          <w:szCs w:val="21"/>
        </w:rPr>
      </w:pPr>
    </w:p>
    <w:p>
      <w:pPr>
        <w:autoSpaceDE w:val="0"/>
        <w:autoSpaceDN w:val="0"/>
        <w:adjustRightInd w:val="0"/>
        <w:spacing w:line="360" w:lineRule="auto"/>
        <w:jc w:val="left"/>
        <w:rPr>
          <w:rFonts w:hint="eastAsia" w:ascii="等线" w:hAnsi="等线" w:cs="HiddenHorzOCR"/>
          <w:color w:val="000000"/>
          <w:kern w:val="0"/>
          <w:szCs w:val="21"/>
        </w:rPr>
      </w:pPr>
      <w:r>
        <w:rPr>
          <w:rFonts w:hint="eastAsia" w:ascii="等线" w:hAnsi="等线"/>
          <w:color w:val="000000"/>
          <w:kern w:val="0"/>
          <w:szCs w:val="21"/>
        </w:rPr>
        <w:t>4.4.1 本条给出的</w:t>
      </w:r>
      <w:r>
        <w:rPr>
          <w:rFonts w:hint="eastAsia" w:ascii="等线" w:hAnsi="等线" w:cs="HiddenHorzOCR"/>
          <w:color w:val="000000"/>
          <w:kern w:val="0"/>
          <w:szCs w:val="21"/>
        </w:rPr>
        <w:t>竖向地震振型分解反应谱法，参考了欧标EC 8-1的方法。</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 xml:space="preserve">    竖向地震作用也可采用重力荷载代表值系数法、基底剪力法等，见</w:t>
      </w:r>
      <w:r>
        <w:rPr>
          <w:rFonts w:ascii="等线" w:hAnsi="等线" w:cs="HiddenHorzOCR"/>
          <w:color w:val="000000"/>
          <w:kern w:val="0"/>
          <w:szCs w:val="21"/>
        </w:rPr>
        <w:t>”</w:t>
      </w:r>
      <w:r>
        <w:rPr>
          <w:rFonts w:hint="eastAsia" w:ascii="等线" w:hAnsi="等线" w:cs="HiddenHorzOCR"/>
          <w:color w:val="000000"/>
          <w:kern w:val="0"/>
          <w:szCs w:val="21"/>
        </w:rPr>
        <w:t>抗规</w:t>
      </w:r>
      <w:r>
        <w:rPr>
          <w:rFonts w:ascii="等线" w:hAnsi="等线" w:cs="HiddenHorzOCR"/>
          <w:color w:val="000000"/>
          <w:kern w:val="0"/>
          <w:szCs w:val="21"/>
        </w:rPr>
        <w:t>”</w:t>
      </w:r>
      <w:r>
        <w:rPr>
          <w:rFonts w:hint="eastAsia" w:ascii="等线" w:hAnsi="等线" w:cs="HiddenHorzOCR"/>
          <w:color w:val="000000"/>
          <w:kern w:val="0"/>
          <w:szCs w:val="21"/>
        </w:rPr>
        <w:t>。</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4.4.3 本条的竖向地震作用不“外传”，主要考虑以下因素：</w:t>
      </w:r>
    </w:p>
    <w:p>
      <w:pPr>
        <w:pStyle w:val="53"/>
        <w:autoSpaceDE w:val="0"/>
        <w:autoSpaceDN w:val="0"/>
        <w:adjustRightInd w:val="0"/>
        <w:spacing w:line="360" w:lineRule="auto"/>
        <w:ind w:firstLine="0" w:firstLineChars="0"/>
        <w:jc w:val="left"/>
        <w:rPr>
          <w:rFonts w:ascii="等线" w:hAnsi="等线" w:cs="HiddenHorzOCR"/>
          <w:color w:val="000000"/>
          <w:kern w:val="0"/>
          <w:szCs w:val="21"/>
        </w:rPr>
      </w:pPr>
      <w:r>
        <w:rPr>
          <w:rFonts w:hint="eastAsia" w:ascii="等线" w:hAnsi="等线" w:cs="HiddenHorzOCR"/>
          <w:color w:val="000000"/>
          <w:kern w:val="0"/>
          <w:szCs w:val="21"/>
        </w:rPr>
        <w:t>1 竖向地震作用主要体现在水平构件。对于竖向构件，因其竖向振动周期超短，地震作用未能得到有效放大。</w:t>
      </w:r>
    </w:p>
    <w:p>
      <w:pPr>
        <w:pStyle w:val="53"/>
        <w:autoSpaceDE w:val="0"/>
        <w:autoSpaceDN w:val="0"/>
        <w:adjustRightInd w:val="0"/>
        <w:spacing w:line="360" w:lineRule="auto"/>
        <w:ind w:firstLine="0" w:firstLineChars="0"/>
        <w:jc w:val="left"/>
        <w:rPr>
          <w:rFonts w:ascii="等线" w:hAnsi="等线" w:cs="HiddenHorzOCR"/>
          <w:color w:val="000000"/>
          <w:kern w:val="0"/>
          <w:szCs w:val="21"/>
        </w:rPr>
      </w:pPr>
      <w:r>
        <w:rPr>
          <w:rFonts w:hint="eastAsia" w:ascii="等线" w:hAnsi="等线" w:cs="HiddenHorzOCR"/>
          <w:color w:val="000000"/>
          <w:kern w:val="0"/>
          <w:szCs w:val="21"/>
        </w:rPr>
        <w:t>2 竖向地震的P波与水平地震的S波存在相位差。因此，采用通常的多维地震组合方法会过大估计竖向构件的地震作用效应。</w:t>
      </w:r>
    </w:p>
    <w:p>
      <w:pPr>
        <w:pStyle w:val="53"/>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综上，目前对于结构竖向地震作用的研究还不甚完善，因此本标准采用本条的方法考虑结构和构件的竖向地震。</w:t>
      </w:r>
      <w:r>
        <w:rPr>
          <w:rFonts w:ascii="等线" w:hAnsi="等线"/>
          <w:color w:val="000000"/>
          <w:kern w:val="0"/>
          <w:szCs w:val="21"/>
        </w:rPr>
        <w:t xml:space="preserve"> </w:t>
      </w:r>
    </w:p>
    <w:p>
      <w:pPr>
        <w:pStyle w:val="53"/>
        <w:rPr>
          <w:rFonts w:hint="eastAsia" w:ascii="等线" w:hAnsi="等线" w:cs="宋体"/>
          <w:color w:val="000000"/>
          <w:kern w:val="0"/>
          <w:szCs w:val="21"/>
        </w:rPr>
      </w:pPr>
    </w:p>
    <w:p>
      <w:pPr>
        <w:autoSpaceDE w:val="0"/>
        <w:autoSpaceDN w:val="0"/>
        <w:adjustRightInd w:val="0"/>
        <w:spacing w:line="360" w:lineRule="auto"/>
        <w:jc w:val="center"/>
        <w:rPr>
          <w:rFonts w:ascii="宋体" w:hAnsi="宋体" w:cs="宋体"/>
          <w:color w:val="000000"/>
          <w:kern w:val="0"/>
          <w:szCs w:val="21"/>
        </w:rPr>
      </w:pPr>
      <w:r>
        <w:rPr>
          <w:rFonts w:hint="eastAsia" w:ascii="宋体" w:hAnsi="宋体" w:cs="宋体"/>
          <w:color w:val="000000"/>
          <w:kern w:val="0"/>
          <w:szCs w:val="21"/>
        </w:rPr>
        <w:t>4.7 弹塑性抗震验算</w:t>
      </w:r>
    </w:p>
    <w:p>
      <w:pPr>
        <w:autoSpaceDE w:val="0"/>
        <w:autoSpaceDN w:val="0"/>
        <w:adjustRightInd w:val="0"/>
        <w:spacing w:line="360" w:lineRule="auto"/>
        <w:jc w:val="center"/>
        <w:rPr>
          <w:rFonts w:hint="eastAsia" w:ascii="等线" w:hAnsi="等线" w:cs="宋体"/>
          <w:color w:val="000000"/>
          <w:kern w:val="0"/>
          <w:szCs w:val="21"/>
        </w:rPr>
      </w:pPr>
    </w:p>
    <w:p>
      <w:pPr>
        <w:autoSpaceDE w:val="0"/>
        <w:autoSpaceDN w:val="0"/>
        <w:adjustRightInd w:val="0"/>
        <w:spacing w:line="360" w:lineRule="auto"/>
        <w:jc w:val="left"/>
        <w:rPr>
          <w:rFonts w:ascii="等线" w:hAnsi="等线" w:cs="宋体"/>
          <w:color w:val="000000"/>
          <w:kern w:val="0"/>
          <w:szCs w:val="21"/>
        </w:rPr>
      </w:pPr>
      <w:r>
        <w:rPr>
          <w:rFonts w:hint="eastAsia" w:ascii="等线" w:hAnsi="等线" w:cs="宋体"/>
          <w:color w:val="000000"/>
          <w:kern w:val="0"/>
          <w:szCs w:val="21"/>
        </w:rPr>
        <w:t>4.7.2 进行静力弹塑性分析时，要注意以下特点：</w:t>
      </w:r>
    </w:p>
    <w:p>
      <w:pPr>
        <w:autoSpaceDE w:val="0"/>
        <w:autoSpaceDN w:val="0"/>
        <w:adjustRightInd w:val="0"/>
        <w:spacing w:line="360" w:lineRule="auto"/>
        <w:jc w:val="left"/>
        <w:rPr>
          <w:rFonts w:ascii="等线" w:hAnsi="等线" w:cs="宋体"/>
          <w:color w:val="000000"/>
          <w:kern w:val="0"/>
          <w:szCs w:val="21"/>
        </w:rPr>
      </w:pPr>
      <w:r>
        <w:rPr>
          <w:rFonts w:hint="eastAsia" w:ascii="等线" w:hAnsi="等线" w:cs="宋体"/>
          <w:color w:val="000000"/>
          <w:kern w:val="0"/>
          <w:szCs w:val="21"/>
        </w:rPr>
        <w:t>1 考虑到静力弹塑性方法的计算模式为静力法，故推荐两种水平地震下的组合方式；</w:t>
      </w:r>
    </w:p>
    <w:p>
      <w:pPr>
        <w:autoSpaceDE w:val="0"/>
        <w:autoSpaceDN w:val="0"/>
        <w:adjustRightInd w:val="0"/>
        <w:spacing w:line="360" w:lineRule="auto"/>
        <w:jc w:val="left"/>
        <w:rPr>
          <w:rFonts w:ascii="等线" w:hAnsi="等线" w:cs="宋体"/>
          <w:color w:val="000000"/>
          <w:kern w:val="0"/>
          <w:szCs w:val="21"/>
        </w:rPr>
      </w:pPr>
      <w:r>
        <w:rPr>
          <w:rFonts w:hint="eastAsia" w:ascii="等线" w:hAnsi="等线" w:cs="宋体"/>
          <w:color w:val="000000"/>
          <w:kern w:val="0"/>
          <w:szCs w:val="21"/>
        </w:rPr>
        <w:t>2 静力弹塑性方法作为一种推复方法，主要考量竖向杆件的抗水平力作用，因而这里不需考虑竖向地震。</w:t>
      </w:r>
    </w:p>
    <w:p>
      <w:pPr>
        <w:autoSpaceDE w:val="0"/>
        <w:autoSpaceDN w:val="0"/>
        <w:adjustRightInd w:val="0"/>
        <w:spacing w:line="360" w:lineRule="auto"/>
        <w:jc w:val="left"/>
        <w:rPr>
          <w:rFonts w:hint="eastAsia" w:ascii="等线" w:hAnsi="等线" w:cs="宋体"/>
          <w:color w:val="000000"/>
          <w:kern w:val="0"/>
          <w:szCs w:val="21"/>
        </w:rPr>
      </w:pPr>
    </w:p>
    <w:p>
      <w:pPr>
        <w:autoSpaceDE w:val="0"/>
        <w:autoSpaceDN w:val="0"/>
        <w:adjustRightInd w:val="0"/>
        <w:snapToGrid w:val="0"/>
        <w:spacing w:line="360" w:lineRule="auto"/>
        <w:jc w:val="center"/>
        <w:rPr>
          <w:rFonts w:ascii="宋体" w:hAnsi="宋体" w:cs="MS Mincho"/>
          <w:color w:val="000000"/>
          <w:kern w:val="0"/>
          <w:szCs w:val="21"/>
          <w:lang w:bidi="ar"/>
        </w:rPr>
      </w:pPr>
      <w:r>
        <w:rPr>
          <w:rFonts w:hint="eastAsia" w:ascii="宋体" w:hAnsi="宋体"/>
          <w:color w:val="000000"/>
          <w:kern w:val="0"/>
          <w:szCs w:val="21"/>
          <w:lang w:bidi="ar"/>
        </w:rPr>
        <w:t xml:space="preserve">4.8 </w:t>
      </w:r>
      <w:r>
        <w:rPr>
          <w:rFonts w:hint="eastAsia" w:ascii="宋体" w:hAnsi="宋体" w:cs="宋体"/>
          <w:color w:val="000000"/>
          <w:kern w:val="0"/>
          <w:szCs w:val="21"/>
          <w:lang w:bidi="ar"/>
        </w:rPr>
        <w:t>结</w:t>
      </w:r>
      <w:r>
        <w:rPr>
          <w:rFonts w:hint="eastAsia" w:ascii="宋体" w:hAnsi="宋体" w:cs="MS Mincho"/>
          <w:color w:val="000000"/>
          <w:kern w:val="0"/>
          <w:szCs w:val="21"/>
          <w:lang w:bidi="ar"/>
        </w:rPr>
        <w:t>构抗震</w:t>
      </w:r>
      <w:r>
        <w:rPr>
          <w:rFonts w:hint="eastAsia" w:ascii="宋体" w:hAnsi="宋体" w:cs="宋体"/>
          <w:color w:val="000000"/>
          <w:kern w:val="0"/>
          <w:szCs w:val="21"/>
          <w:lang w:bidi="ar"/>
        </w:rPr>
        <w:t>变</w:t>
      </w:r>
      <w:r>
        <w:rPr>
          <w:rFonts w:hint="eastAsia" w:ascii="宋体" w:hAnsi="宋体" w:cs="MS Mincho"/>
          <w:color w:val="000000"/>
          <w:kern w:val="0"/>
          <w:szCs w:val="21"/>
          <w:lang w:bidi="ar"/>
        </w:rPr>
        <w:t>形</w:t>
      </w:r>
      <w:r>
        <w:rPr>
          <w:rFonts w:hint="eastAsia" w:ascii="宋体" w:hAnsi="宋体" w:cs="宋体"/>
          <w:color w:val="000000"/>
          <w:kern w:val="0"/>
          <w:szCs w:val="21"/>
          <w:lang w:bidi="ar"/>
        </w:rPr>
        <w:t>验</w:t>
      </w:r>
      <w:r>
        <w:rPr>
          <w:rFonts w:hint="eastAsia" w:ascii="宋体" w:hAnsi="宋体" w:cs="MS Mincho"/>
          <w:color w:val="000000"/>
          <w:kern w:val="0"/>
          <w:szCs w:val="21"/>
          <w:lang w:bidi="ar"/>
        </w:rPr>
        <w:t>算</w:t>
      </w:r>
    </w:p>
    <w:p>
      <w:pPr>
        <w:autoSpaceDE w:val="0"/>
        <w:autoSpaceDN w:val="0"/>
        <w:adjustRightInd w:val="0"/>
        <w:snapToGrid w:val="0"/>
        <w:spacing w:line="360" w:lineRule="auto"/>
        <w:jc w:val="center"/>
        <w:rPr>
          <w:rFonts w:hint="eastAsia" w:ascii="宋体" w:hAnsi="宋体" w:cs="HiddenHorzOCR"/>
          <w:color w:val="000000"/>
          <w:kern w:val="0"/>
          <w:szCs w:val="21"/>
        </w:rPr>
      </w:pPr>
    </w:p>
    <w:p>
      <w:pPr>
        <w:autoSpaceDE w:val="0"/>
        <w:autoSpaceDN w:val="0"/>
        <w:adjustRightInd w:val="0"/>
        <w:spacing w:line="360" w:lineRule="auto"/>
        <w:jc w:val="left"/>
        <w:rPr>
          <w:rFonts w:hint="eastAsia" w:ascii="等线" w:hAnsi="等线" w:cs="宋体"/>
          <w:color w:val="000000"/>
          <w:kern w:val="0"/>
          <w:szCs w:val="21"/>
        </w:rPr>
      </w:pPr>
      <w:r>
        <w:rPr>
          <w:rFonts w:hint="eastAsia" w:ascii="等线" w:hAnsi="等线" w:cs="宋体"/>
          <w:color w:val="000000"/>
          <w:kern w:val="0"/>
          <w:szCs w:val="21"/>
        </w:rPr>
        <w:t>4.8.1 工业建筑一般不要求结构侧向变形验算，只需满足承载力要求即可。但对于有防腐蚀要求的混凝土厂房，要限制混凝土的开裂程度以控制腐蚀的发生和发展。本标准采用限制层间位移角的方法达到这一目的。</w:t>
      </w:r>
    </w:p>
    <w:p>
      <w:pPr>
        <w:autoSpaceDE w:val="0"/>
        <w:autoSpaceDN w:val="0"/>
        <w:adjustRightInd w:val="0"/>
        <w:spacing w:line="360" w:lineRule="auto"/>
        <w:ind w:firstLine="420"/>
        <w:jc w:val="left"/>
        <w:rPr>
          <w:rFonts w:hint="eastAsia" w:ascii="等线" w:hAnsi="等线" w:cs="宋体"/>
          <w:color w:val="000000"/>
          <w:kern w:val="0"/>
          <w:szCs w:val="21"/>
        </w:rPr>
      </w:pPr>
      <w:r>
        <w:rPr>
          <w:rFonts w:hint="eastAsia" w:ascii="等线" w:hAnsi="等线" w:cs="宋体"/>
          <w:color w:val="000000"/>
          <w:kern w:val="0"/>
          <w:szCs w:val="21"/>
        </w:rPr>
        <w:t>钢结构在层间产生大变形时会进入塑性。塑性的产生和发展会影响钢结构防腐涂层与钢材表面结合的稳定性，因而本标准对钢结构厂房给出了层间位移角限值以达到抗腐蚀目的。</w:t>
      </w:r>
    </w:p>
    <w:p>
      <w:pPr>
        <w:autoSpaceDE w:val="0"/>
        <w:autoSpaceDN w:val="0"/>
        <w:adjustRightInd w:val="0"/>
        <w:spacing w:line="360" w:lineRule="auto"/>
        <w:jc w:val="left"/>
        <w:rPr>
          <w:rFonts w:ascii="等线" w:hAnsi="等线" w:cs="宋体"/>
          <w:color w:val="000000"/>
          <w:kern w:val="0"/>
          <w:szCs w:val="21"/>
        </w:rPr>
      </w:pPr>
      <w:r>
        <w:rPr>
          <w:rFonts w:hint="eastAsia" w:ascii="等线" w:hAnsi="等线" w:cs="宋体"/>
          <w:color w:val="000000"/>
          <w:kern w:val="0"/>
          <w:szCs w:val="21"/>
        </w:rPr>
        <w:t xml:space="preserve"> </w:t>
      </w:r>
    </w:p>
    <w:p>
      <w:pPr>
        <w:autoSpaceDE w:val="0"/>
        <w:autoSpaceDN w:val="0"/>
        <w:adjustRightInd w:val="0"/>
        <w:spacing w:line="360" w:lineRule="auto"/>
        <w:jc w:val="left"/>
        <w:rPr>
          <w:rFonts w:ascii="等线" w:hAnsi="等线" w:cs="宋体"/>
          <w:color w:val="000000"/>
          <w:kern w:val="0"/>
          <w:szCs w:val="21"/>
        </w:rPr>
      </w:pPr>
    </w:p>
    <w:p>
      <w:pPr>
        <w:autoSpaceDE w:val="0"/>
        <w:autoSpaceDN w:val="0"/>
        <w:adjustRightInd w:val="0"/>
        <w:spacing w:line="360" w:lineRule="auto"/>
        <w:jc w:val="left"/>
        <w:rPr>
          <w:rFonts w:ascii="等线" w:hAnsi="等线" w:cs="宋体"/>
          <w:color w:val="000000"/>
          <w:kern w:val="0"/>
          <w:szCs w:val="21"/>
        </w:rPr>
      </w:pPr>
    </w:p>
    <w:p>
      <w:pPr>
        <w:autoSpaceDE w:val="0"/>
        <w:autoSpaceDN w:val="0"/>
        <w:adjustRightInd w:val="0"/>
        <w:spacing w:line="360" w:lineRule="auto"/>
        <w:jc w:val="left"/>
        <w:rPr>
          <w:rFonts w:hint="eastAsia" w:ascii="等线" w:hAnsi="等线" w:cs="宋体"/>
          <w:color w:val="000000"/>
          <w:kern w:val="0"/>
          <w:szCs w:val="21"/>
        </w:rPr>
      </w:pPr>
    </w:p>
    <w:p>
      <w:pPr>
        <w:pStyle w:val="2"/>
        <w:numPr>
          <w:ilvl w:val="0"/>
          <w:numId w:val="11"/>
        </w:numPr>
        <w:rPr>
          <w:color w:val="000000"/>
        </w:rPr>
      </w:pPr>
      <w:r>
        <w:rPr>
          <w:color w:val="000000"/>
        </w:rPr>
        <w:br w:type="page"/>
      </w:r>
      <w:bookmarkStart w:id="269" w:name="_Toc48049981"/>
      <w:r>
        <w:rPr>
          <w:rFonts w:hint="eastAsia"/>
          <w:color w:val="000000"/>
        </w:rPr>
        <w:t>场地、地基和基础</w:t>
      </w:r>
      <w:bookmarkEnd w:id="269"/>
    </w:p>
    <w:p>
      <w:pPr>
        <w:spacing w:before="156" w:beforeLines="50" w:after="156" w:afterLines="50"/>
        <w:jc w:val="center"/>
        <w:rPr>
          <w:rFonts w:ascii="宋体" w:hAnsi="宋体"/>
          <w:b/>
          <w:color w:val="000000"/>
          <w:szCs w:val="21"/>
        </w:rPr>
      </w:pPr>
    </w:p>
    <w:p>
      <w:pPr>
        <w:spacing w:before="156" w:beforeLines="50" w:after="156" w:afterLines="50"/>
        <w:jc w:val="center"/>
        <w:rPr>
          <w:rFonts w:hint="eastAsia" w:ascii="宋体" w:hAnsi="宋体"/>
          <w:color w:val="000000"/>
          <w:sz w:val="24"/>
          <w:szCs w:val="24"/>
        </w:rPr>
      </w:pPr>
      <w:r>
        <w:rPr>
          <w:rFonts w:hint="eastAsia" w:ascii="宋体" w:hAnsi="宋体"/>
          <w:b/>
          <w:color w:val="000000"/>
          <w:szCs w:val="21"/>
        </w:rPr>
        <w:t>5.</w:t>
      </w:r>
      <w:r>
        <w:rPr>
          <w:rFonts w:ascii="宋体" w:hAnsi="宋体"/>
          <w:b/>
          <w:color w:val="000000"/>
          <w:szCs w:val="21"/>
        </w:rPr>
        <w:t>2</w:t>
      </w:r>
      <w:r>
        <w:rPr>
          <w:rFonts w:hint="eastAsia" w:ascii="宋体" w:hAnsi="宋体"/>
          <w:b/>
          <w:color w:val="000000"/>
          <w:szCs w:val="21"/>
        </w:rPr>
        <w:t xml:space="preserve">  场  地</w:t>
      </w:r>
    </w:p>
    <w:p>
      <w:pPr>
        <w:spacing w:line="360" w:lineRule="auto"/>
        <w:rPr>
          <w:rFonts w:ascii="宋体" w:hAnsi="宋体"/>
          <w:color w:val="000000"/>
          <w:szCs w:val="21"/>
        </w:rPr>
      </w:pPr>
      <w:r>
        <w:rPr>
          <w:rFonts w:ascii="宋体" w:hAnsi="宋体"/>
          <w:b/>
          <w:color w:val="000000"/>
          <w:szCs w:val="21"/>
        </w:rPr>
        <w:t>5.2.1</w:t>
      </w:r>
      <w:r>
        <w:rPr>
          <w:rFonts w:ascii="宋体" w:hAnsi="宋体"/>
          <w:color w:val="000000"/>
          <w:szCs w:val="21"/>
        </w:rPr>
        <w:t xml:space="preserve">  主厂房系指工艺生产流程中主车间所用的厂房</w:t>
      </w:r>
      <w:r>
        <w:rPr>
          <w:rFonts w:hint="eastAsia" w:ascii="宋体" w:hAnsi="宋体"/>
          <w:color w:val="000000"/>
          <w:szCs w:val="21"/>
        </w:rPr>
        <w:t>，如炼钢主厂房、轧钢主厂房、发电主厂房、机械加工主厂房等。对于附属厂房，抗震重点设防类厂房，如重要的供热、供电、供水和供气厂房，钻孔数量不应少于1个，其他附属厂房可根据岩土类别和性状按当地经验和《建筑抗震设计规范》</w:t>
      </w:r>
      <w:r>
        <w:rPr>
          <w:rFonts w:ascii="Times New Roman" w:hAnsi="Times New Roman"/>
          <w:color w:val="000000"/>
          <w:szCs w:val="21"/>
        </w:rPr>
        <w:t>GB</w:t>
      </w:r>
      <w:r>
        <w:rPr>
          <w:rFonts w:ascii="宋体" w:hAnsi="宋体"/>
          <w:color w:val="000000"/>
          <w:szCs w:val="21"/>
        </w:rPr>
        <w:t xml:space="preserve"> 50011</w:t>
      </w:r>
      <w:r>
        <w:rPr>
          <w:rFonts w:hint="eastAsia" w:ascii="宋体" w:hAnsi="宋体"/>
          <w:color w:val="000000"/>
          <w:szCs w:val="21"/>
        </w:rPr>
        <w:t>估算各土层的剪切波速。</w:t>
      </w:r>
    </w:p>
    <w:p>
      <w:pPr>
        <w:spacing w:before="156" w:beforeLines="50" w:after="156" w:afterLines="50" w:line="360" w:lineRule="auto"/>
        <w:jc w:val="center"/>
        <w:rPr>
          <w:rFonts w:hint="eastAsia" w:ascii="宋体" w:hAnsi="宋体"/>
          <w:color w:val="000000"/>
          <w:szCs w:val="21"/>
        </w:rPr>
      </w:pPr>
      <w:r>
        <w:rPr>
          <w:rFonts w:hint="eastAsia" w:ascii="宋体" w:hAnsi="宋体"/>
          <w:b/>
          <w:color w:val="000000"/>
          <w:szCs w:val="21"/>
        </w:rPr>
        <w:t>5.</w:t>
      </w:r>
      <w:r>
        <w:rPr>
          <w:rFonts w:ascii="宋体" w:hAnsi="宋体"/>
          <w:b/>
          <w:color w:val="000000"/>
          <w:szCs w:val="21"/>
        </w:rPr>
        <w:t>3</w:t>
      </w:r>
      <w:r>
        <w:rPr>
          <w:rFonts w:hint="eastAsia" w:ascii="宋体" w:hAnsi="宋体"/>
          <w:b/>
          <w:color w:val="000000"/>
          <w:szCs w:val="21"/>
        </w:rPr>
        <w:t xml:space="preserve">  天然地基、处理地基和基础</w:t>
      </w:r>
    </w:p>
    <w:p>
      <w:pPr>
        <w:spacing w:line="360" w:lineRule="auto"/>
        <w:rPr>
          <w:rFonts w:hint="eastAsia" w:ascii="宋体" w:hAnsi="宋体"/>
          <w:color w:val="000000"/>
          <w:szCs w:val="21"/>
        </w:rPr>
      </w:pPr>
      <w:r>
        <w:rPr>
          <w:rFonts w:hint="eastAsia" w:ascii="宋体" w:hAnsi="宋体"/>
          <w:b/>
          <w:color w:val="000000"/>
          <w:szCs w:val="21"/>
        </w:rPr>
        <w:t>5.</w:t>
      </w:r>
      <w:r>
        <w:rPr>
          <w:rFonts w:ascii="宋体" w:hAnsi="宋体"/>
          <w:b/>
          <w:color w:val="000000"/>
          <w:szCs w:val="21"/>
        </w:rPr>
        <w:t>3.1</w:t>
      </w:r>
      <w:r>
        <w:rPr>
          <w:rFonts w:ascii="宋体" w:hAnsi="宋体"/>
          <w:color w:val="000000"/>
          <w:szCs w:val="21"/>
        </w:rPr>
        <w:t>～</w:t>
      </w:r>
      <w:r>
        <w:rPr>
          <w:rFonts w:hint="eastAsia" w:ascii="宋体" w:hAnsi="宋体"/>
          <w:b/>
          <w:color w:val="000000"/>
          <w:szCs w:val="21"/>
        </w:rPr>
        <w:t>5</w:t>
      </w:r>
      <w:r>
        <w:rPr>
          <w:rFonts w:ascii="宋体" w:hAnsi="宋体"/>
          <w:b/>
          <w:color w:val="000000"/>
          <w:szCs w:val="21"/>
        </w:rPr>
        <w:t>.3.4</w:t>
      </w:r>
      <w:r>
        <w:rPr>
          <w:rFonts w:ascii="宋体" w:hAnsi="宋体"/>
          <w:color w:val="000000"/>
          <w:szCs w:val="21"/>
        </w:rPr>
        <w:t xml:space="preserve">  参考</w:t>
      </w:r>
      <w:r>
        <w:rPr>
          <w:rFonts w:hint="eastAsia" w:ascii="宋体" w:hAnsi="宋体"/>
          <w:color w:val="000000"/>
          <w:szCs w:val="21"/>
        </w:rPr>
        <w:t>《建筑抗震设计规范》</w:t>
      </w:r>
      <w:r>
        <w:rPr>
          <w:rFonts w:ascii="Times New Roman" w:hAnsi="Times New Roman"/>
          <w:color w:val="000000"/>
          <w:szCs w:val="21"/>
        </w:rPr>
        <w:t>GB</w:t>
      </w:r>
      <w:r>
        <w:rPr>
          <w:rFonts w:ascii="宋体" w:hAnsi="宋体"/>
          <w:color w:val="000000"/>
          <w:szCs w:val="21"/>
        </w:rPr>
        <w:t xml:space="preserve"> 50011条文解释</w:t>
      </w:r>
      <w:r>
        <w:rPr>
          <w:rFonts w:hint="eastAsia" w:ascii="宋体" w:hAnsi="宋体"/>
          <w:color w:val="000000"/>
          <w:szCs w:val="21"/>
        </w:rPr>
        <w:t>。</w:t>
      </w:r>
      <w:r>
        <w:rPr>
          <w:rFonts w:ascii="宋体" w:hAnsi="宋体"/>
          <w:color w:val="000000"/>
          <w:szCs w:val="21"/>
        </w:rPr>
        <w:t>甲类和乙类厂房</w:t>
      </w:r>
      <w:r>
        <w:rPr>
          <w:rFonts w:hint="eastAsia" w:ascii="宋体" w:hAnsi="宋体"/>
          <w:color w:val="000000"/>
          <w:szCs w:val="21"/>
        </w:rPr>
        <w:t>，</w:t>
      </w:r>
      <w:r>
        <w:rPr>
          <w:rFonts w:ascii="宋体" w:hAnsi="宋体"/>
          <w:color w:val="000000"/>
          <w:szCs w:val="21"/>
        </w:rPr>
        <w:t>为了提高建筑的安全度</w:t>
      </w:r>
      <w:r>
        <w:rPr>
          <w:rFonts w:hint="eastAsia" w:ascii="宋体" w:hAnsi="宋体"/>
          <w:color w:val="000000"/>
          <w:szCs w:val="21"/>
        </w:rPr>
        <w:t>，</w:t>
      </w:r>
      <w:r>
        <w:rPr>
          <w:rFonts w:ascii="宋体" w:hAnsi="宋体"/>
          <w:color w:val="000000"/>
          <w:szCs w:val="21"/>
        </w:rPr>
        <w:t>限定其基础底面不出现零应力区</w:t>
      </w:r>
      <w:r>
        <w:rPr>
          <w:rFonts w:hint="eastAsia" w:ascii="宋体" w:hAnsi="宋体"/>
          <w:color w:val="000000"/>
          <w:szCs w:val="21"/>
        </w:rPr>
        <w:t>。</w:t>
      </w:r>
      <w:r>
        <w:rPr>
          <w:rFonts w:ascii="宋体" w:hAnsi="宋体"/>
          <w:color w:val="000000"/>
          <w:szCs w:val="21"/>
        </w:rPr>
        <w:t>丙类和丁类厂房参考</w:t>
      </w:r>
      <w:r>
        <w:rPr>
          <w:rFonts w:hint="eastAsia" w:ascii="宋体" w:hAnsi="宋体"/>
          <w:color w:val="000000"/>
          <w:szCs w:val="21"/>
        </w:rPr>
        <w:t>《建筑抗震设计规范》</w:t>
      </w:r>
      <w:r>
        <w:rPr>
          <w:rFonts w:ascii="Times New Roman" w:hAnsi="Times New Roman"/>
          <w:color w:val="000000"/>
          <w:szCs w:val="21"/>
        </w:rPr>
        <w:t>GB</w:t>
      </w:r>
      <w:r>
        <w:rPr>
          <w:rFonts w:ascii="宋体" w:hAnsi="宋体"/>
          <w:color w:val="000000"/>
          <w:szCs w:val="21"/>
        </w:rPr>
        <w:t xml:space="preserve"> 50011和</w:t>
      </w:r>
      <w:r>
        <w:rPr>
          <w:rFonts w:hint="eastAsia" w:ascii="宋体" w:hAnsi="宋体"/>
          <w:color w:val="000000"/>
          <w:szCs w:val="21"/>
        </w:rPr>
        <w:t>《构筑物抗震设计规范》</w:t>
      </w:r>
      <w:r>
        <w:rPr>
          <w:rFonts w:ascii="Times New Roman" w:hAnsi="Times New Roman"/>
          <w:color w:val="000000"/>
          <w:szCs w:val="21"/>
        </w:rPr>
        <w:t>GB</w:t>
      </w:r>
      <w:r>
        <w:rPr>
          <w:rFonts w:ascii="宋体" w:hAnsi="宋体"/>
          <w:color w:val="000000"/>
          <w:szCs w:val="21"/>
        </w:rPr>
        <w:t xml:space="preserve"> 50191</w:t>
      </w:r>
      <w:r>
        <w:rPr>
          <w:rFonts w:hint="eastAsia" w:ascii="宋体" w:hAnsi="宋体"/>
          <w:color w:val="000000"/>
          <w:szCs w:val="21"/>
        </w:rPr>
        <w:t>，</w:t>
      </w:r>
      <w:r>
        <w:rPr>
          <w:rFonts w:ascii="宋体" w:hAnsi="宋体"/>
          <w:color w:val="000000"/>
          <w:szCs w:val="21"/>
        </w:rPr>
        <w:t>允许基础基础底面出现零应力区</w:t>
      </w:r>
      <w:r>
        <w:rPr>
          <w:rFonts w:hint="eastAsia" w:ascii="宋体" w:hAnsi="宋体"/>
          <w:color w:val="000000"/>
          <w:szCs w:val="21"/>
        </w:rPr>
        <w:t>，</w:t>
      </w:r>
      <w:r>
        <w:rPr>
          <w:rFonts w:ascii="宋体" w:hAnsi="宋体"/>
          <w:color w:val="000000"/>
          <w:szCs w:val="21"/>
        </w:rPr>
        <w:t>但限制零应力区面积占基础底面面积的百分数</w:t>
      </w:r>
      <w:r>
        <w:rPr>
          <w:rFonts w:hint="eastAsia" w:ascii="宋体" w:hAnsi="宋体"/>
          <w:color w:val="000000"/>
          <w:szCs w:val="21"/>
        </w:rPr>
        <w:t>。</w:t>
      </w:r>
    </w:p>
    <w:p>
      <w:pPr>
        <w:spacing w:line="360" w:lineRule="auto"/>
        <w:rPr>
          <w:rFonts w:ascii="宋体" w:hAnsi="宋体"/>
          <w:color w:val="000000"/>
          <w:szCs w:val="21"/>
        </w:rPr>
      </w:pPr>
      <w:r>
        <w:rPr>
          <w:rFonts w:hint="eastAsia" w:ascii="宋体" w:hAnsi="宋体"/>
          <w:color w:val="000000"/>
          <w:szCs w:val="21"/>
        </w:rPr>
        <w:t xml:space="preserve">    </w:t>
      </w:r>
      <w:r>
        <w:rPr>
          <w:rFonts w:hint="eastAsia" w:ascii="等线" w:hAnsi="等线" w:cs="宋体"/>
          <w:color w:val="000000"/>
          <w:kern w:val="0"/>
          <w:szCs w:val="21"/>
        </w:rPr>
        <w:t>本条关于零应力区的规定适用于上部结构按性能系数q</w:t>
      </w:r>
      <w:r>
        <w:rPr>
          <w:rFonts w:hint="eastAsia" w:ascii="宋体" w:hAnsi="宋体" w:cs="宋体"/>
          <w:color w:val="000000"/>
          <w:kern w:val="0"/>
          <w:szCs w:val="21"/>
        </w:rPr>
        <w:t>≤1.0情况下的抗震设计。当上部结构采用大于1.0的性能系数进行抗震设计时，基础底面零应力区的要求可放宽。</w:t>
      </w:r>
    </w:p>
    <w:p>
      <w:pPr>
        <w:spacing w:line="360" w:lineRule="auto"/>
        <w:rPr>
          <w:rFonts w:hint="eastAsia" w:ascii="宋体" w:hAnsi="宋体"/>
          <w:color w:val="000000"/>
          <w:szCs w:val="21"/>
        </w:rPr>
      </w:pPr>
      <w:r>
        <w:rPr>
          <w:rFonts w:hint="eastAsia" w:ascii="宋体" w:hAnsi="宋体"/>
          <w:b/>
          <w:color w:val="000000"/>
          <w:szCs w:val="21"/>
        </w:rPr>
        <w:t>5</w:t>
      </w:r>
      <w:r>
        <w:rPr>
          <w:rFonts w:ascii="宋体" w:hAnsi="宋体"/>
          <w:b/>
          <w:color w:val="000000"/>
          <w:szCs w:val="21"/>
        </w:rPr>
        <w:t>.3.5</w:t>
      </w:r>
      <w:r>
        <w:rPr>
          <w:rFonts w:hint="eastAsia" w:ascii="宋体" w:hAnsi="宋体"/>
          <w:color w:val="000000"/>
          <w:szCs w:val="21"/>
        </w:rPr>
        <w:t>、</w:t>
      </w:r>
      <w:r>
        <w:rPr>
          <w:rFonts w:hint="eastAsia" w:ascii="宋体" w:hAnsi="宋体"/>
          <w:b/>
          <w:color w:val="000000"/>
          <w:szCs w:val="21"/>
        </w:rPr>
        <w:t>5.</w:t>
      </w:r>
      <w:r>
        <w:rPr>
          <w:rFonts w:ascii="宋体" w:hAnsi="宋体"/>
          <w:b/>
          <w:color w:val="000000"/>
          <w:szCs w:val="21"/>
        </w:rPr>
        <w:t>3.6</w:t>
      </w:r>
      <w:r>
        <w:rPr>
          <w:rFonts w:ascii="宋体" w:hAnsi="宋体"/>
          <w:color w:val="000000"/>
          <w:szCs w:val="21"/>
        </w:rPr>
        <w:t xml:space="preserve">  上部结构在水平地震作用下</w:t>
      </w:r>
      <w:r>
        <w:rPr>
          <w:rFonts w:hint="eastAsia" w:ascii="宋体" w:hAnsi="宋体"/>
          <w:color w:val="000000"/>
          <w:szCs w:val="21"/>
        </w:rPr>
        <w:t>，</w:t>
      </w:r>
      <w:r>
        <w:rPr>
          <w:rFonts w:ascii="宋体" w:hAnsi="宋体"/>
          <w:color w:val="000000"/>
          <w:szCs w:val="21"/>
        </w:rPr>
        <w:t>基础将承受地震水平作用</w:t>
      </w:r>
      <w:r>
        <w:rPr>
          <w:rFonts w:hint="eastAsia" w:ascii="宋体" w:hAnsi="宋体"/>
          <w:color w:val="000000"/>
          <w:szCs w:val="21"/>
        </w:rPr>
        <w:t>。</w:t>
      </w:r>
      <w:r>
        <w:rPr>
          <w:rFonts w:ascii="宋体" w:hAnsi="宋体"/>
          <w:color w:val="000000"/>
          <w:szCs w:val="21"/>
        </w:rPr>
        <w:t>应优先考虑基础底面与地基土之间的摩擦力来抵抗</w:t>
      </w:r>
      <w:r>
        <w:rPr>
          <w:rFonts w:hint="eastAsia" w:ascii="宋体" w:hAnsi="宋体"/>
          <w:color w:val="000000"/>
          <w:szCs w:val="21"/>
        </w:rPr>
        <w:t>，</w:t>
      </w:r>
      <w:r>
        <w:rPr>
          <w:rFonts w:ascii="宋体" w:hAnsi="宋体"/>
          <w:color w:val="000000"/>
          <w:szCs w:val="21"/>
        </w:rPr>
        <w:t>不满足时还可考虑基础正面的被动土压力</w:t>
      </w:r>
      <w:r>
        <w:rPr>
          <w:rFonts w:hint="eastAsia" w:ascii="宋体" w:hAnsi="宋体"/>
          <w:color w:val="000000"/>
          <w:szCs w:val="21"/>
        </w:rPr>
        <w:t>，</w:t>
      </w:r>
      <w:r>
        <w:rPr>
          <w:rFonts w:ascii="宋体" w:hAnsi="宋体"/>
          <w:color w:val="000000"/>
          <w:szCs w:val="21"/>
        </w:rPr>
        <w:t>再不满足时亦可考虑基础四周加强的刚性地坪</w:t>
      </w:r>
      <w:r>
        <w:rPr>
          <w:rFonts w:hint="eastAsia" w:ascii="宋体" w:hAnsi="宋体"/>
          <w:color w:val="000000"/>
          <w:szCs w:val="21"/>
        </w:rPr>
        <w:t>（钢筋混凝土地坪）作用。被动土压力达到最大值需要一定的位移，因此只考虑最大值的1</w:t>
      </w:r>
      <w:r>
        <w:rPr>
          <w:rFonts w:ascii="宋体" w:hAnsi="宋体"/>
          <w:color w:val="000000"/>
          <w:szCs w:val="21"/>
        </w:rPr>
        <w:t>/3来抵抗水平地震作用</w:t>
      </w:r>
      <w:r>
        <w:rPr>
          <w:rFonts w:hint="eastAsia" w:ascii="宋体" w:hAnsi="宋体"/>
          <w:color w:val="000000"/>
          <w:szCs w:val="21"/>
        </w:rPr>
        <w:t>。</w:t>
      </w:r>
    </w:p>
    <w:p>
      <w:pPr>
        <w:spacing w:line="360" w:lineRule="auto"/>
        <w:ind w:firstLine="420" w:firstLineChars="200"/>
        <w:rPr>
          <w:rFonts w:hint="eastAsia" w:ascii="宋体" w:hAnsi="宋体"/>
          <w:color w:val="000000"/>
          <w:szCs w:val="21"/>
        </w:rPr>
      </w:pPr>
      <w:r>
        <w:rPr>
          <w:rFonts w:hint="eastAsia" w:ascii="等线" w:hAnsi="等线" w:cs="宋体"/>
          <w:color w:val="000000"/>
          <w:kern w:val="0"/>
          <w:szCs w:val="21"/>
        </w:rPr>
        <w:t>本条关于基础水平抗震承载力的计算，是基于上部结构按性能系数q</w:t>
      </w:r>
      <w:r>
        <w:rPr>
          <w:rFonts w:hint="eastAsia" w:ascii="宋体" w:hAnsi="宋体" w:cs="宋体"/>
          <w:color w:val="000000"/>
          <w:kern w:val="0"/>
          <w:szCs w:val="21"/>
        </w:rPr>
        <w:t>≤1.0进行抗震设计的情况之下。当上部结构采用大于1.0的性能系数进行抗震设计时，基础的水平抗力计算可适当放宽，如承台侧面土体抗力的取值可超过1/3的被动土压力。</w:t>
      </w:r>
    </w:p>
    <w:p>
      <w:pPr>
        <w:spacing w:line="360" w:lineRule="auto"/>
        <w:rPr>
          <w:rFonts w:ascii="宋体" w:hAnsi="宋体"/>
          <w:color w:val="000000"/>
          <w:szCs w:val="21"/>
        </w:rPr>
      </w:pPr>
      <w:r>
        <w:rPr>
          <w:rFonts w:hint="eastAsia" w:ascii="宋体" w:hAnsi="宋体"/>
          <w:b/>
          <w:color w:val="000000"/>
          <w:szCs w:val="21"/>
        </w:rPr>
        <w:t>5</w:t>
      </w:r>
      <w:r>
        <w:rPr>
          <w:rFonts w:ascii="宋体" w:hAnsi="宋体"/>
          <w:b/>
          <w:color w:val="000000"/>
          <w:szCs w:val="21"/>
        </w:rPr>
        <w:t>.3.7</w:t>
      </w:r>
      <w:r>
        <w:rPr>
          <w:rFonts w:ascii="宋体" w:hAnsi="宋体"/>
          <w:color w:val="000000"/>
          <w:szCs w:val="21"/>
        </w:rPr>
        <w:t xml:space="preserve">  进行基础的抗震承载力验算时</w:t>
      </w:r>
      <w:r>
        <w:rPr>
          <w:rFonts w:hint="eastAsia" w:ascii="宋体" w:hAnsi="宋体"/>
          <w:color w:val="000000"/>
          <w:szCs w:val="21"/>
        </w:rPr>
        <w:t>，</w:t>
      </w:r>
      <w:r>
        <w:rPr>
          <w:rFonts w:ascii="宋体" w:hAnsi="宋体"/>
          <w:color w:val="000000"/>
          <w:szCs w:val="21"/>
        </w:rPr>
        <w:t>类似于结构构件考虑抗震承载力调整系数</w:t>
      </w:r>
      <w:r>
        <w:rPr>
          <w:rFonts w:hint="eastAsia" w:ascii="宋体" w:hAnsi="宋体"/>
          <w:color w:val="000000"/>
          <w:szCs w:val="21"/>
        </w:rPr>
        <w:t>。</w:t>
      </w:r>
    </w:p>
    <w:p>
      <w:pPr>
        <w:spacing w:line="360" w:lineRule="auto"/>
        <w:rPr>
          <w:rFonts w:ascii="宋体" w:hAnsi="宋体"/>
          <w:color w:val="000000"/>
          <w:szCs w:val="21"/>
        </w:rPr>
      </w:pPr>
      <w:r>
        <w:rPr>
          <w:rFonts w:hint="eastAsia" w:ascii="宋体" w:hAnsi="宋体"/>
          <w:b/>
          <w:color w:val="000000"/>
          <w:szCs w:val="21"/>
        </w:rPr>
        <w:t>5</w:t>
      </w:r>
      <w:r>
        <w:rPr>
          <w:rFonts w:ascii="宋体" w:hAnsi="宋体"/>
          <w:b/>
          <w:color w:val="000000"/>
          <w:szCs w:val="21"/>
        </w:rPr>
        <w:t>.3.8</w:t>
      </w:r>
      <w:r>
        <w:rPr>
          <w:rFonts w:ascii="宋体" w:hAnsi="宋体"/>
          <w:color w:val="000000"/>
          <w:szCs w:val="21"/>
        </w:rPr>
        <w:t xml:space="preserve">  当基础底面出现零应力区时</w:t>
      </w:r>
      <w:r>
        <w:rPr>
          <w:rFonts w:hint="eastAsia" w:ascii="宋体" w:hAnsi="宋体"/>
          <w:color w:val="000000"/>
          <w:szCs w:val="21"/>
        </w:rPr>
        <w:t>，</w:t>
      </w:r>
      <w:r>
        <w:rPr>
          <w:rFonts w:ascii="宋体" w:hAnsi="宋体"/>
          <w:color w:val="000000"/>
          <w:szCs w:val="21"/>
        </w:rPr>
        <w:t>对应的基础顶面会在覆土作用下受拉</w:t>
      </w:r>
      <w:r>
        <w:rPr>
          <w:rFonts w:hint="eastAsia" w:ascii="宋体" w:hAnsi="宋体"/>
          <w:color w:val="000000"/>
          <w:szCs w:val="21"/>
        </w:rPr>
        <w:t>，</w:t>
      </w:r>
      <w:r>
        <w:rPr>
          <w:rFonts w:ascii="宋体" w:hAnsi="宋体"/>
          <w:color w:val="000000"/>
          <w:szCs w:val="21"/>
        </w:rPr>
        <w:t>因此顶面需配置受拉钢筋</w:t>
      </w:r>
      <w:r>
        <w:rPr>
          <w:rFonts w:hint="eastAsia" w:ascii="宋体" w:hAnsi="宋体"/>
          <w:color w:val="000000"/>
          <w:szCs w:val="21"/>
        </w:rPr>
        <w:t>。</w:t>
      </w:r>
    </w:p>
    <w:p>
      <w:pPr>
        <w:spacing w:line="360" w:lineRule="auto"/>
        <w:rPr>
          <w:rFonts w:ascii="宋体" w:hAnsi="宋体"/>
          <w:color w:val="000000"/>
          <w:szCs w:val="21"/>
        </w:rPr>
      </w:pPr>
      <w:r>
        <w:rPr>
          <w:rFonts w:hint="eastAsia" w:ascii="宋体" w:hAnsi="宋体"/>
          <w:b/>
          <w:color w:val="000000"/>
          <w:szCs w:val="21"/>
        </w:rPr>
        <w:t>5</w:t>
      </w:r>
      <w:r>
        <w:rPr>
          <w:rFonts w:ascii="宋体" w:hAnsi="宋体"/>
          <w:b/>
          <w:color w:val="000000"/>
          <w:szCs w:val="21"/>
        </w:rPr>
        <w:t>.3.9</w:t>
      </w:r>
      <w:r>
        <w:rPr>
          <w:rFonts w:ascii="宋体" w:hAnsi="宋体"/>
          <w:color w:val="000000"/>
          <w:szCs w:val="21"/>
        </w:rPr>
        <w:t xml:space="preserve">  根据</w:t>
      </w:r>
      <w:r>
        <w:rPr>
          <w:rFonts w:hint="eastAsia" w:ascii="宋体" w:hAnsi="宋体"/>
          <w:color w:val="000000"/>
          <w:szCs w:val="21"/>
        </w:rPr>
        <w:t>《建筑抗震设计规范》</w:t>
      </w:r>
      <w:r>
        <w:rPr>
          <w:rFonts w:ascii="Times New Roman" w:hAnsi="Times New Roman"/>
          <w:color w:val="000000"/>
          <w:szCs w:val="21"/>
        </w:rPr>
        <w:t>GB</w:t>
      </w:r>
      <w:r>
        <w:rPr>
          <w:rFonts w:ascii="宋体" w:hAnsi="宋体"/>
          <w:color w:val="000000"/>
          <w:szCs w:val="21"/>
        </w:rPr>
        <w:t xml:space="preserve"> 50011而来</w:t>
      </w:r>
      <w:r>
        <w:rPr>
          <w:rFonts w:hint="eastAsia" w:ascii="宋体" w:hAnsi="宋体"/>
          <w:color w:val="000000"/>
          <w:szCs w:val="21"/>
        </w:rPr>
        <w:t>。</w:t>
      </w:r>
    </w:p>
    <w:p>
      <w:pPr>
        <w:spacing w:before="156" w:beforeLines="50" w:after="156" w:afterLines="50" w:line="360" w:lineRule="auto"/>
        <w:jc w:val="center"/>
        <w:rPr>
          <w:rFonts w:ascii="宋体" w:hAnsi="宋体"/>
          <w:b/>
          <w:color w:val="000000"/>
          <w:szCs w:val="21"/>
        </w:rPr>
      </w:pPr>
      <w:r>
        <w:rPr>
          <w:rFonts w:hint="eastAsia" w:ascii="宋体" w:hAnsi="宋体"/>
          <w:b/>
          <w:color w:val="000000"/>
          <w:szCs w:val="21"/>
        </w:rPr>
        <w:t>5.</w:t>
      </w:r>
      <w:r>
        <w:rPr>
          <w:rFonts w:ascii="宋体" w:hAnsi="宋体"/>
          <w:b/>
          <w:color w:val="000000"/>
          <w:szCs w:val="21"/>
        </w:rPr>
        <w:t>4</w:t>
      </w:r>
      <w:r>
        <w:rPr>
          <w:rFonts w:hint="eastAsia" w:ascii="宋体" w:hAnsi="宋体"/>
          <w:b/>
          <w:color w:val="000000"/>
          <w:szCs w:val="21"/>
        </w:rPr>
        <w:t xml:space="preserve">  液化土和抗液化措施</w:t>
      </w:r>
    </w:p>
    <w:p>
      <w:pPr>
        <w:spacing w:line="360" w:lineRule="auto"/>
        <w:rPr>
          <w:rFonts w:ascii="宋体" w:hAnsi="宋体"/>
          <w:color w:val="000000"/>
          <w:szCs w:val="21"/>
        </w:rPr>
      </w:pPr>
      <w:r>
        <w:rPr>
          <w:rFonts w:hint="eastAsia" w:ascii="宋体" w:hAnsi="宋体"/>
          <w:b/>
          <w:color w:val="000000"/>
          <w:szCs w:val="21"/>
        </w:rPr>
        <w:t>5</w:t>
      </w:r>
      <w:r>
        <w:rPr>
          <w:rFonts w:ascii="宋体" w:hAnsi="宋体"/>
          <w:b/>
          <w:color w:val="000000"/>
          <w:szCs w:val="21"/>
        </w:rPr>
        <w:t>.4.1</w:t>
      </w:r>
      <w:r>
        <w:rPr>
          <w:rFonts w:hint="eastAsia" w:ascii="宋体" w:hAnsi="宋体"/>
          <w:color w:val="000000"/>
          <w:szCs w:val="21"/>
        </w:rPr>
        <w:t>、</w:t>
      </w:r>
      <w:r>
        <w:rPr>
          <w:rFonts w:hint="eastAsia" w:ascii="宋体" w:hAnsi="宋体"/>
          <w:b/>
          <w:color w:val="000000"/>
          <w:szCs w:val="21"/>
        </w:rPr>
        <w:t>5</w:t>
      </w:r>
      <w:r>
        <w:rPr>
          <w:rFonts w:ascii="宋体" w:hAnsi="宋体"/>
          <w:b/>
          <w:color w:val="000000"/>
          <w:szCs w:val="21"/>
        </w:rPr>
        <w:t>.4.2</w:t>
      </w:r>
      <w:r>
        <w:rPr>
          <w:rFonts w:ascii="宋体" w:hAnsi="宋体"/>
          <w:color w:val="000000"/>
          <w:szCs w:val="21"/>
        </w:rPr>
        <w:t xml:space="preserve">  根据</w:t>
      </w:r>
      <w:r>
        <w:rPr>
          <w:rFonts w:hint="eastAsia" w:ascii="宋体" w:hAnsi="宋体"/>
          <w:color w:val="000000"/>
          <w:szCs w:val="21"/>
        </w:rPr>
        <w:t>《建筑抗震设计规范》</w:t>
      </w:r>
      <w:r>
        <w:rPr>
          <w:rFonts w:ascii="Times New Roman" w:hAnsi="Times New Roman"/>
          <w:color w:val="000000"/>
          <w:szCs w:val="21"/>
        </w:rPr>
        <w:t>GB</w:t>
      </w:r>
      <w:r>
        <w:rPr>
          <w:rFonts w:ascii="宋体" w:hAnsi="宋体"/>
          <w:color w:val="000000"/>
          <w:szCs w:val="21"/>
        </w:rPr>
        <w:t xml:space="preserve"> 50011细化厂房的抗液化措施</w:t>
      </w:r>
      <w:r>
        <w:rPr>
          <w:rFonts w:hint="eastAsia" w:ascii="宋体" w:hAnsi="宋体"/>
          <w:color w:val="000000"/>
          <w:szCs w:val="21"/>
        </w:rPr>
        <w:t>。</w:t>
      </w:r>
    </w:p>
    <w:p>
      <w:pPr>
        <w:spacing w:line="360" w:lineRule="auto"/>
        <w:rPr>
          <w:rFonts w:ascii="宋体" w:hAnsi="宋体"/>
          <w:color w:val="000000"/>
          <w:szCs w:val="21"/>
        </w:rPr>
      </w:pPr>
    </w:p>
    <w:p>
      <w:pPr>
        <w:spacing w:line="360" w:lineRule="auto"/>
        <w:rPr>
          <w:rFonts w:hint="eastAsia" w:ascii="宋体" w:hAnsi="宋体"/>
          <w:color w:val="000000"/>
          <w:szCs w:val="21"/>
        </w:rPr>
      </w:pPr>
    </w:p>
    <w:p>
      <w:pPr>
        <w:spacing w:before="156" w:beforeLines="50" w:after="156" w:afterLines="50" w:line="360" w:lineRule="auto"/>
        <w:jc w:val="center"/>
        <w:rPr>
          <w:rFonts w:ascii="宋体" w:hAnsi="宋体"/>
          <w:b/>
          <w:color w:val="000000"/>
          <w:szCs w:val="21"/>
        </w:rPr>
      </w:pPr>
      <w:r>
        <w:rPr>
          <w:rFonts w:hint="eastAsia" w:ascii="宋体" w:hAnsi="宋体"/>
          <w:b/>
          <w:color w:val="000000"/>
          <w:szCs w:val="21"/>
        </w:rPr>
        <w:t>5.</w:t>
      </w:r>
      <w:r>
        <w:rPr>
          <w:rFonts w:ascii="宋体" w:hAnsi="宋体"/>
          <w:b/>
          <w:color w:val="000000"/>
          <w:szCs w:val="21"/>
        </w:rPr>
        <w:t>5</w:t>
      </w:r>
      <w:r>
        <w:rPr>
          <w:rFonts w:hint="eastAsia" w:ascii="宋体" w:hAnsi="宋体"/>
          <w:b/>
          <w:color w:val="000000"/>
          <w:szCs w:val="21"/>
        </w:rPr>
        <w:t xml:space="preserve">  桩  基</w:t>
      </w:r>
    </w:p>
    <w:p>
      <w:pPr>
        <w:spacing w:line="360" w:lineRule="auto"/>
        <w:rPr>
          <w:rFonts w:ascii="宋体" w:hAnsi="宋体"/>
          <w:color w:val="000000"/>
          <w:szCs w:val="21"/>
        </w:rPr>
      </w:pPr>
      <w:r>
        <w:rPr>
          <w:rFonts w:hint="eastAsia" w:ascii="宋体" w:hAnsi="宋体"/>
          <w:b/>
          <w:color w:val="000000"/>
          <w:szCs w:val="21"/>
        </w:rPr>
        <w:t>5</w:t>
      </w:r>
      <w:r>
        <w:rPr>
          <w:rFonts w:ascii="宋体" w:hAnsi="宋体"/>
          <w:b/>
          <w:color w:val="000000"/>
          <w:szCs w:val="21"/>
        </w:rPr>
        <w:t>.5.1</w:t>
      </w:r>
      <w:r>
        <w:rPr>
          <w:rFonts w:ascii="宋体" w:hAnsi="宋体"/>
          <w:color w:val="000000"/>
          <w:szCs w:val="21"/>
        </w:rPr>
        <w:t xml:space="preserve">  根据</w:t>
      </w:r>
      <w:r>
        <w:rPr>
          <w:rFonts w:hint="eastAsia" w:ascii="宋体" w:hAnsi="宋体"/>
          <w:color w:val="000000"/>
          <w:szCs w:val="21"/>
        </w:rPr>
        <w:t>《建筑抗震设计规范》</w:t>
      </w:r>
      <w:r>
        <w:rPr>
          <w:rFonts w:ascii="Times New Roman" w:hAnsi="Times New Roman"/>
          <w:color w:val="000000"/>
          <w:szCs w:val="21"/>
        </w:rPr>
        <w:t>GB</w:t>
      </w:r>
      <w:r>
        <w:rPr>
          <w:rFonts w:ascii="宋体" w:hAnsi="宋体"/>
          <w:color w:val="000000"/>
          <w:szCs w:val="21"/>
        </w:rPr>
        <w:t xml:space="preserve"> 50011而来</w:t>
      </w:r>
      <w:r>
        <w:rPr>
          <w:rFonts w:hint="eastAsia" w:ascii="宋体" w:hAnsi="宋体"/>
          <w:color w:val="000000"/>
          <w:szCs w:val="21"/>
        </w:rPr>
        <w:t>。</w:t>
      </w:r>
    </w:p>
    <w:p>
      <w:pPr>
        <w:spacing w:line="360" w:lineRule="auto"/>
        <w:rPr>
          <w:rFonts w:ascii="宋体" w:hAnsi="宋体"/>
          <w:color w:val="000000"/>
          <w:szCs w:val="21"/>
        </w:rPr>
      </w:pPr>
      <w:r>
        <w:rPr>
          <w:rFonts w:hint="eastAsia" w:ascii="宋体" w:hAnsi="宋体"/>
          <w:b/>
          <w:color w:val="000000"/>
          <w:szCs w:val="21"/>
        </w:rPr>
        <w:t>5</w:t>
      </w:r>
      <w:r>
        <w:rPr>
          <w:rFonts w:ascii="宋体" w:hAnsi="宋体"/>
          <w:b/>
          <w:color w:val="000000"/>
          <w:szCs w:val="21"/>
        </w:rPr>
        <w:t>.5.2</w:t>
      </w:r>
      <w:r>
        <w:rPr>
          <w:rFonts w:ascii="宋体" w:hAnsi="宋体"/>
          <w:color w:val="000000"/>
          <w:szCs w:val="21"/>
        </w:rPr>
        <w:t xml:space="preserve">  预应力混凝土管桩</w:t>
      </w:r>
      <w:r>
        <w:rPr>
          <w:rFonts w:hint="eastAsia" w:ascii="宋体" w:hAnsi="宋体"/>
          <w:color w:val="000000"/>
          <w:szCs w:val="21"/>
        </w:rPr>
        <w:t>（</w:t>
      </w:r>
      <w:r>
        <w:rPr>
          <w:rFonts w:ascii="Times New Roman" w:hAnsi="Times New Roman"/>
          <w:color w:val="000000"/>
          <w:szCs w:val="21"/>
        </w:rPr>
        <w:t>PC</w:t>
      </w:r>
      <w:r>
        <w:rPr>
          <w:rFonts w:hint="eastAsia" w:ascii="宋体" w:hAnsi="宋体"/>
          <w:color w:val="000000"/>
          <w:szCs w:val="21"/>
        </w:rPr>
        <w:t>）或空心方桩（</w:t>
      </w:r>
      <w:r>
        <w:rPr>
          <w:rFonts w:hint="eastAsia" w:ascii="Times New Roman" w:hAnsi="Times New Roman"/>
          <w:color w:val="000000"/>
          <w:szCs w:val="21"/>
        </w:rPr>
        <w:t>P</w:t>
      </w:r>
      <w:r>
        <w:rPr>
          <w:rFonts w:ascii="Times New Roman" w:hAnsi="Times New Roman"/>
          <w:color w:val="000000"/>
          <w:szCs w:val="21"/>
        </w:rPr>
        <w:t>S</w:t>
      </w:r>
      <w:r>
        <w:rPr>
          <w:rFonts w:hint="eastAsia" w:ascii="宋体" w:hAnsi="宋体"/>
          <w:color w:val="000000"/>
          <w:szCs w:val="21"/>
        </w:rPr>
        <w:t>），其配筋和混凝土有效预压应力较小，抗水平地震作用性能差，不适宜用于8度及以上地区或存在液化土层的情况。当采用预应力高强混凝土管桩（</w:t>
      </w:r>
      <w:r>
        <w:rPr>
          <w:rFonts w:ascii="Times New Roman" w:hAnsi="Times New Roman"/>
          <w:color w:val="000000"/>
          <w:szCs w:val="21"/>
        </w:rPr>
        <w:t>PHC</w:t>
      </w:r>
      <w:r>
        <w:rPr>
          <w:rFonts w:hint="eastAsia" w:ascii="宋体" w:hAnsi="宋体"/>
          <w:color w:val="000000"/>
          <w:szCs w:val="21"/>
        </w:rPr>
        <w:t>）或预应力高强混凝土空心方桩（</w:t>
      </w:r>
      <w:r>
        <w:rPr>
          <w:rFonts w:hint="eastAsia" w:ascii="Times New Roman" w:hAnsi="Times New Roman"/>
          <w:color w:val="000000"/>
          <w:szCs w:val="21"/>
        </w:rPr>
        <w:t>P</w:t>
      </w:r>
      <w:r>
        <w:rPr>
          <w:rFonts w:ascii="Times New Roman" w:hAnsi="Times New Roman"/>
          <w:color w:val="000000"/>
          <w:szCs w:val="21"/>
        </w:rPr>
        <w:t>HS</w:t>
      </w:r>
      <w:r>
        <w:rPr>
          <w:rFonts w:hint="eastAsia" w:ascii="宋体" w:hAnsi="宋体"/>
          <w:color w:val="000000"/>
          <w:szCs w:val="21"/>
        </w:rPr>
        <w:t>）时，因</w:t>
      </w:r>
      <w:r>
        <w:rPr>
          <w:rFonts w:ascii="Times New Roman" w:hAnsi="Times New Roman"/>
          <w:color w:val="000000"/>
          <w:szCs w:val="21"/>
        </w:rPr>
        <w:t>A</w:t>
      </w:r>
      <w:r>
        <w:rPr>
          <w:rFonts w:hint="eastAsia" w:ascii="宋体" w:hAnsi="宋体"/>
          <w:color w:val="000000"/>
          <w:szCs w:val="21"/>
        </w:rPr>
        <w:t>类桩配筋和混凝土有效与压力较小，8度及以上地区或存在液化土层时，不应采用</w:t>
      </w:r>
      <w:r>
        <w:rPr>
          <w:rFonts w:hint="eastAsia" w:ascii="Times New Roman" w:hAnsi="Times New Roman"/>
          <w:color w:val="000000"/>
          <w:szCs w:val="21"/>
        </w:rPr>
        <w:t>A</w:t>
      </w:r>
      <w:r>
        <w:rPr>
          <w:rFonts w:hint="eastAsia" w:ascii="宋体" w:hAnsi="宋体"/>
          <w:color w:val="000000"/>
          <w:szCs w:val="21"/>
        </w:rPr>
        <w:t>类桩。</w:t>
      </w:r>
    </w:p>
    <w:p>
      <w:pPr>
        <w:spacing w:line="360" w:lineRule="auto"/>
        <w:rPr>
          <w:rFonts w:hint="eastAsia" w:ascii="宋体" w:hAnsi="宋体"/>
          <w:bCs/>
          <w:color w:val="000000"/>
          <w:szCs w:val="21"/>
        </w:rPr>
      </w:pPr>
      <w:r>
        <w:rPr>
          <w:rFonts w:hint="eastAsia" w:ascii="宋体" w:hAnsi="宋体"/>
          <w:b/>
          <w:bCs/>
          <w:color w:val="000000"/>
          <w:szCs w:val="21"/>
        </w:rPr>
        <w:t>5</w:t>
      </w:r>
      <w:r>
        <w:rPr>
          <w:rFonts w:ascii="宋体" w:hAnsi="宋体"/>
          <w:b/>
          <w:bCs/>
          <w:color w:val="000000"/>
          <w:szCs w:val="21"/>
        </w:rPr>
        <w:t xml:space="preserve">.5.3  </w:t>
      </w:r>
      <w:r>
        <w:rPr>
          <w:rFonts w:hint="eastAsia" w:ascii="等线" w:hAnsi="等线"/>
          <w:bCs/>
          <w:color w:val="000000"/>
          <w:szCs w:val="21"/>
        </w:rPr>
        <w:t>根据JGJ 94-2008《建筑桩基技术规范》，单桩非抗震设计水平承载力特征值多按桩顶水平位移10mm（水平位移敏感的结构取6mm）对应荷载的0.75倍取值。选择弹塑性结构或弹性结构进行设计时，上部结构性能系数q大于1.0，结构基底水平地震剪力比选择塑性结构进行设计时的基底水平地震剪力（对应于多遇地震，此时q</w:t>
      </w:r>
      <w:r>
        <w:rPr>
          <w:rFonts w:ascii="等线" w:hAnsi="等线"/>
          <w:bCs/>
          <w:color w:val="000000"/>
          <w:szCs w:val="21"/>
        </w:rPr>
        <w:t>=1.0</w:t>
      </w:r>
      <w:r>
        <w:rPr>
          <w:rFonts w:hint="eastAsia" w:ascii="等线" w:hAnsi="等线"/>
          <w:bCs/>
          <w:color w:val="000000"/>
          <w:szCs w:val="21"/>
        </w:rPr>
        <w:t>）大很多，桩基水平承载力需求与能力矛盾突出。考虑到性能系数q</w:t>
      </w:r>
      <w:r>
        <w:rPr>
          <w:rFonts w:ascii="等线" w:hAnsi="等线"/>
          <w:bCs/>
          <w:color w:val="000000"/>
          <w:szCs w:val="21"/>
        </w:rPr>
        <w:t>=2</w:t>
      </w:r>
      <w:r>
        <w:rPr>
          <w:rFonts w:hint="eastAsia" w:ascii="等线" w:hAnsi="等线"/>
          <w:bCs/>
          <w:color w:val="000000"/>
          <w:szCs w:val="21"/>
        </w:rPr>
        <w:t>为本标准的基本弹性状况，q</w:t>
      </w:r>
      <w:r>
        <w:rPr>
          <w:rFonts w:ascii="等线" w:hAnsi="等线"/>
          <w:bCs/>
          <w:color w:val="000000"/>
          <w:szCs w:val="21"/>
        </w:rPr>
        <w:t>=1</w:t>
      </w:r>
      <w:r>
        <w:rPr>
          <w:rFonts w:hint="eastAsia" w:ascii="等线" w:hAnsi="等线"/>
          <w:bCs/>
          <w:color w:val="000000"/>
          <w:szCs w:val="21"/>
        </w:rPr>
        <w:t>为本标准的基本塑性状况，为简化且与抗规小震设计时单桩水平抗震承载力取值一致，故建议q</w:t>
      </w:r>
      <w:r>
        <w:rPr>
          <w:rFonts w:hint="eastAsia" w:ascii="宋体" w:hAnsi="宋体"/>
          <w:bCs/>
          <w:color w:val="000000"/>
          <w:szCs w:val="21"/>
        </w:rPr>
        <w:t>≤1</w:t>
      </w:r>
      <w:r>
        <w:rPr>
          <w:rFonts w:ascii="宋体" w:hAnsi="宋体"/>
          <w:bCs/>
          <w:color w:val="000000"/>
          <w:szCs w:val="21"/>
        </w:rPr>
        <w:t>.0</w:t>
      </w:r>
      <w:r>
        <w:rPr>
          <w:rFonts w:hint="eastAsia" w:ascii="宋体" w:hAnsi="宋体"/>
          <w:bCs/>
          <w:color w:val="000000"/>
          <w:szCs w:val="21"/>
        </w:rPr>
        <w:t>单桩水平承载力取特征值</w:t>
      </w:r>
      <w:r>
        <w:rPr>
          <w:rFonts w:ascii="等线" w:hAnsi="等线"/>
          <w:bCs/>
          <w:color w:val="000000"/>
          <w:szCs w:val="21"/>
        </w:rPr>
        <w:fldChar w:fldCharType="begin"/>
      </w:r>
      <w:r>
        <w:rPr>
          <w:rFonts w:ascii="等线" w:hAnsi="等线"/>
          <w:bCs/>
          <w:color w:val="000000"/>
          <w:szCs w:val="21"/>
        </w:rPr>
        <w:instrText xml:space="preserve"> QUOTE </w:instrText>
      </w:r>
      <w:r>
        <w:rPr>
          <w:rFonts w:hint="eastAsia"/>
          <w:color w:val="000000"/>
          <w:position w:val="-8"/>
        </w:rPr>
        <w:pict>
          <v:shape id="_x0000_i1139" o:spt="75" type="#_x0000_t75" style="height:15.5pt;width:1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revisionView w:markup=&quot;off&quot;/&gt;&lt;w:defaultTabStop w:val=&quot;420&quot;/&gt;&lt;w:drawingGridHorizontalSpacing w:val=&quot;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172A27&quot;/&gt;&lt;wsp:rsid wsp:val=&quot;0002339B&quot;/&gt;&lt;wsp:rsid wsp:val=&quot;001172D2&quot;/&gt;&lt;wsp:rsid wsp:val=&quot;00145664&quot;/&gt;&lt;wsp:rsid wsp:val=&quot;002B1E8F&quot;/&gt;&lt;wsp:rsid wsp:val=&quot;00445121&quot;/&gt;&lt;wsp:rsid wsp:val=&quot;004F6AEF&quot;/&gt;&lt;wsp:rsid wsp:val=&quot;00575C87&quot;/&gt;&lt;wsp:rsid wsp:val=&quot;00651853&quot;/&gt;&lt;wsp:rsid wsp:val=&quot;006C01A1&quot;/&gt;&lt;wsp:rsid wsp:val=&quot;006D57B6&quot;/&gt;&lt;wsp:rsid wsp:val=&quot;0071314C&quot;/&gt;&lt;wsp:rsid wsp:val=&quot;008360A4&quot;/&gt;&lt;wsp:rsid wsp:val=&quot;008753B8&quot;/&gt;&lt;wsp:rsid wsp:val=&quot;00895ED1&quot;/&gt;&lt;wsp:rsid wsp:val=&quot;00A0695D&quot;/&gt;&lt;wsp:rsid wsp:val=&quot;00CA71F1&quot;/&gt;&lt;wsp:rsid wsp:val=&quot;00D84297&quot;/&gt;&lt;wsp:rsid wsp:val=&quot;00D9087C&quot;/&gt;&lt;wsp:rsid wsp:val=&quot;04820D5A&quot;/&gt;&lt;wsp:rsid wsp:val=&quot;1A704844&quot;/&gt;&lt;wsp:rsid wsp:val=&quot;1F993986&quot;/&gt;&lt;wsp:rsid wsp:val=&quot;326A75ED&quot;/&gt;&lt;wsp:rsid wsp:val=&quot;335B2CA2&quot;/&gt;&lt;wsp:rsid wsp:val=&quot;34283518&quot;/&gt;&lt;wsp:rsid wsp:val=&quot;38607871&quot;/&gt;&lt;wsp:rsid wsp:val=&quot;41F616E2&quot;/&gt;&lt;wsp:rsid wsp:val=&quot;48E944EB&quot;/&gt;&lt;wsp:rsid wsp:val=&quot;4B28041A&quot;/&gt;&lt;wsp:rsid wsp:val=&quot;4E8B728F&quot;/&gt;&lt;wsp:rsid wsp:val=&quot;4E934A4A&quot;/&gt;&lt;wsp:rsid wsp:val=&quot;556C3E32&quot;/&gt;&lt;wsp:rsid wsp:val=&quot;564A3B69&quot;/&gt;&lt;wsp:rsid wsp:val=&quot;57244E7B&quot;/&gt;&lt;wsp:rsid wsp:val=&quot;654619C8&quot;/&gt;&lt;wsp:rsid wsp:val=&quot;6B7A0EA8&quot;/&gt;&lt;wsp:rsid wsp:val=&quot;707F73DE&quot;/&gt;&lt;wsp:rsid wsp:val=&quot;755B4C2D&quot;/&gt;&lt;wsp:rsid wsp:val=&quot;77982CBF&quot;/&gt;&lt;/wsp:rsids&gt;&lt;/w:docPr&gt;&lt;w:body&gt;&lt;wx:sect&gt;&lt;w:p wsp:rsidR=&quot;00000000&quot; wsp:rsidRDefault=&quot;00CA71F1&quot; wsp:rsidP=&quot;00CA71F1&quot;&gt;&lt;m:oMathPara&gt;&lt;m:oMath&gt;&lt;m:sSub&gt;&lt;m:sSubPr&gt;&lt;m:ctrlPr&gt;&lt;aml:annotation aml:id=&quot;0&quot; w:type=&quot;Word.Insertion&quot; aml:author=&quot;13901212966@sina.cn&quot; aml:createdate=&quot;2020-07-31T07:34:00Z&quot;&gt;&lt;aml:content&gt;&lt;w:rPr&gt;&lt;w:rFonts w:ascii=&quot;Cambria Math&quot; w:h-ansi=&quot;Cambria Math&quot; w:cs=&quot;Times New Roman&quot;/&gt;&lt;wx:font wx:val=&quot;Cambria Math&quot;/&gt;&lt;w:b-cs/&gt;&lt;w:i/&gt;&lt;w:color w:val=&quot;FF0000&quot;/&gt;&lt;w:sz-cs w:val=&quot;21&quot;/&gt;&lt;/w:rPr&gt;&lt;/aml:content&gt;&lt;/aml:annotation&gt;&lt;/m:ctrlPr&gt;&lt;/m:sSubPr&gt;&lt;m:e&gt;&lt;m:r&gt;&lt;aml:annotation aml:id=&quot;1&quot; w:type=&quot;Word.Insertion&quot; aml:author=&quot;13901212966@sina.cn&quot; aml:createdate=&quot;2020-07-31T07:34:00Z&quot;&gt;&lt;aml:content&gt;&lt;w:rPr&gt;&lt;w:rFonts w:ascii=&quot;Cambria Math&quot; w:h-ansi=&quot;Cambria Math&quot;/&gt;&lt;wx:font wx:val=&quot;Cambria Math&quot;/&gt;&lt;w:b-cs/&gt;&lt;w:i/&gt;&lt;w:color w:val=&quot;FF0000&quot;/&gt;&lt;w:sz-cs w:val=&quot;21&quot;/&gt;&lt;/w:rPr&gt;&lt;m:t&gt;R&lt;/m:t&gt;&lt;/aml:content&gt;&lt;/aml:annotation&gt;&lt;/m:r&gt;&lt;/m:e&gt;&lt;m:sub&gt;&lt;m:r&gt;&lt;aml:annotation aml:id=&quot;2&quot; w:type=&quot;Word.Insertion&quot; aml:author=&quot;13901212966@sina.cn&quot; aml:createdate=&quot;2020-07-31T07:34:00Z&quot;&gt;&lt;aml:content&gt;&lt;w:rPr&gt;&lt;w:rFonts w:ascii=&quot;Cambria Math&quot; w:h-ansi=&quot;Cambria Math&quot;/&gt;&lt;wx:font wx:val=&quot;Cambria Math&quot;/&gt;&lt;w:b-cs/&gt;&lt;w:i/&gt;&lt;w:color w:val=&quot;FF0000&quot;/&gt;&lt;w:sz-cs w:val=&quot;21&quot;/&gt;&lt;/w:rPr&gt;&lt;m:t&gt;ha&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19" chromakey="#FFFFFF" o:title=""/>
            <o:lock v:ext="edit" aspectratio="t"/>
            <w10:wrap type="none"/>
            <w10:anchorlock/>
          </v:shape>
        </w:pict>
      </w:r>
      <w:r>
        <w:rPr>
          <w:rFonts w:ascii="等线" w:hAnsi="等线"/>
          <w:bCs/>
          <w:color w:val="000000"/>
          <w:szCs w:val="21"/>
        </w:rPr>
        <w:instrText xml:space="preserve"> </w:instrText>
      </w:r>
      <w:r>
        <w:rPr>
          <w:rFonts w:ascii="等线" w:hAnsi="等线"/>
          <w:bCs/>
          <w:color w:val="000000"/>
          <w:szCs w:val="21"/>
        </w:rPr>
        <w:fldChar w:fldCharType="separate"/>
      </w:r>
      <w:r>
        <w:rPr>
          <w:rFonts w:hint="eastAsia"/>
          <w:color w:val="000000"/>
          <w:position w:val="-8"/>
        </w:rPr>
        <w:pict>
          <v:shape id="_x0000_i1140" o:spt="75" type="#_x0000_t75" style="height:15.5pt;width:1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revisionView w:markup=&quot;off&quot;/&gt;&lt;w:defaultTabStop w:val=&quot;420&quot;/&gt;&lt;w:drawingGridHorizontalSpacing w:val=&quot;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172A27&quot;/&gt;&lt;wsp:rsid wsp:val=&quot;0002339B&quot;/&gt;&lt;wsp:rsid wsp:val=&quot;001172D2&quot;/&gt;&lt;wsp:rsid wsp:val=&quot;00145664&quot;/&gt;&lt;wsp:rsid wsp:val=&quot;002B1E8F&quot;/&gt;&lt;wsp:rsid wsp:val=&quot;00445121&quot;/&gt;&lt;wsp:rsid wsp:val=&quot;004F6AEF&quot;/&gt;&lt;wsp:rsid wsp:val=&quot;00575C87&quot;/&gt;&lt;wsp:rsid wsp:val=&quot;00651853&quot;/&gt;&lt;wsp:rsid wsp:val=&quot;006C01A1&quot;/&gt;&lt;wsp:rsid wsp:val=&quot;006D57B6&quot;/&gt;&lt;wsp:rsid wsp:val=&quot;0071314C&quot;/&gt;&lt;wsp:rsid wsp:val=&quot;008360A4&quot;/&gt;&lt;wsp:rsid wsp:val=&quot;008753B8&quot;/&gt;&lt;wsp:rsid wsp:val=&quot;00895ED1&quot;/&gt;&lt;wsp:rsid wsp:val=&quot;00A0695D&quot;/&gt;&lt;wsp:rsid wsp:val=&quot;00CA71F1&quot;/&gt;&lt;wsp:rsid wsp:val=&quot;00D84297&quot;/&gt;&lt;wsp:rsid wsp:val=&quot;00D9087C&quot;/&gt;&lt;wsp:rsid wsp:val=&quot;04820D5A&quot;/&gt;&lt;wsp:rsid wsp:val=&quot;1A704844&quot;/&gt;&lt;wsp:rsid wsp:val=&quot;1F993986&quot;/&gt;&lt;wsp:rsid wsp:val=&quot;326A75ED&quot;/&gt;&lt;wsp:rsid wsp:val=&quot;335B2CA2&quot;/&gt;&lt;wsp:rsid wsp:val=&quot;34283518&quot;/&gt;&lt;wsp:rsid wsp:val=&quot;38607871&quot;/&gt;&lt;wsp:rsid wsp:val=&quot;41F616E2&quot;/&gt;&lt;wsp:rsid wsp:val=&quot;48E944EB&quot;/&gt;&lt;wsp:rsid wsp:val=&quot;4B28041A&quot;/&gt;&lt;wsp:rsid wsp:val=&quot;4E8B728F&quot;/&gt;&lt;wsp:rsid wsp:val=&quot;4E934A4A&quot;/&gt;&lt;wsp:rsid wsp:val=&quot;556C3E32&quot;/&gt;&lt;wsp:rsid wsp:val=&quot;564A3B69&quot;/&gt;&lt;wsp:rsid wsp:val=&quot;57244E7B&quot;/&gt;&lt;wsp:rsid wsp:val=&quot;654619C8&quot;/&gt;&lt;wsp:rsid wsp:val=&quot;6B7A0EA8&quot;/&gt;&lt;wsp:rsid wsp:val=&quot;707F73DE&quot;/&gt;&lt;wsp:rsid wsp:val=&quot;755B4C2D&quot;/&gt;&lt;wsp:rsid wsp:val=&quot;77982CBF&quot;/&gt;&lt;/wsp:rsids&gt;&lt;/w:docPr&gt;&lt;w:body&gt;&lt;wx:sect&gt;&lt;w:p wsp:rsidR=&quot;00000000&quot; wsp:rsidRDefault=&quot;00CA71F1&quot; wsp:rsidP=&quot;00CA71F1&quot;&gt;&lt;m:oMathPara&gt;&lt;m:oMath&gt;&lt;m:sSub&gt;&lt;m:sSubPr&gt;&lt;m:ctrlPr&gt;&lt;aml:annotation aml:id=&quot;0&quot; w:type=&quot;Word.Insertion&quot; aml:author=&quot;13901212966@sina.cn&quot; aml:createdate=&quot;2020-07-31T07:34:00Z&quot;&gt;&lt;aml:content&gt;&lt;w:rPr&gt;&lt;w:rFonts w:ascii=&quot;Cambria Math&quot; w:h-ansi=&quot;Cambria Math&quot; w:cs=&quot;Times New Roman&quot;/&gt;&lt;wx:font wx:val=&quot;Cambria Math&quot;/&gt;&lt;w:b-cs/&gt;&lt;w:i/&gt;&lt;w:color w:val=&quot;FF0000&quot;/&gt;&lt;w:sz-cs w:val=&quot;21&quot;/&gt;&lt;/w:rPr&gt;&lt;/aml:content&gt;&lt;/aml:annotation&gt;&lt;/m:ctrlPr&gt;&lt;/m:sSubPr&gt;&lt;m:e&gt;&lt;m:r&gt;&lt;aml:annotation aml:id=&quot;1&quot; w:type=&quot;Word.Insertion&quot; aml:author=&quot;13901212966@sina.cn&quot; aml:createdate=&quot;2020-07-31T07:34:00Z&quot;&gt;&lt;aml:content&gt;&lt;w:rPr&gt;&lt;w:rFonts w:ascii=&quot;Cambria Math&quot; w:h-ansi=&quot;Cambria Math&quot;/&gt;&lt;wx:font wx:val=&quot;Cambria Math&quot;/&gt;&lt;w:b-cs/&gt;&lt;w:i/&gt;&lt;w:color w:val=&quot;FF0000&quot;/&gt;&lt;w:sz-cs w:val=&quot;21&quot;/&gt;&lt;/w:rPr&gt;&lt;m:t&gt;R&lt;/m:t&gt;&lt;/aml:content&gt;&lt;/aml:annotation&gt;&lt;/m:r&gt;&lt;/m:e&gt;&lt;m:sub&gt;&lt;m:r&gt;&lt;aml:annotation aml:id=&quot;2&quot; w:type=&quot;Word.Insertion&quot; aml:author=&quot;13901212966@sina.cn&quot; aml:createdate=&quot;2020-07-31T07:34:00Z&quot;&gt;&lt;aml:content&gt;&lt;w:rPr&gt;&lt;w:rFonts w:ascii=&quot;Cambria Math&quot; w:h-ansi=&quot;Cambria Math&quot;/&gt;&lt;wx:font wx:val=&quot;Cambria Math&quot;/&gt;&lt;w:b-cs/&gt;&lt;w:i/&gt;&lt;w:color w:val=&quot;FF0000&quot;/&gt;&lt;w:sz-cs w:val=&quot;21&quot;/&gt;&lt;/w:rPr&gt;&lt;m:t&gt;ha&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19" chromakey="#FFFFFF" o:title=""/>
            <o:lock v:ext="edit" aspectratio="t"/>
            <w10:wrap type="none"/>
            <w10:anchorlock/>
          </v:shape>
        </w:pict>
      </w:r>
      <w:r>
        <w:rPr>
          <w:rFonts w:ascii="等线" w:hAnsi="等线"/>
          <w:bCs/>
          <w:color w:val="000000"/>
          <w:szCs w:val="21"/>
        </w:rPr>
        <w:fldChar w:fldCharType="end"/>
      </w:r>
      <w:r>
        <w:rPr>
          <w:rFonts w:hint="eastAsia" w:ascii="等线" w:hAnsi="等线"/>
          <w:bCs/>
          <w:color w:val="000000"/>
          <w:szCs w:val="21"/>
        </w:rPr>
        <w:t>的1.25倍，q</w:t>
      </w:r>
      <w:r>
        <w:rPr>
          <w:rFonts w:hint="eastAsia" w:ascii="等线" w:hAnsi="等线" w:eastAsia="等线"/>
          <w:bCs/>
          <w:color w:val="000000"/>
          <w:szCs w:val="21"/>
        </w:rPr>
        <w:t>≥</w:t>
      </w:r>
      <w:r>
        <w:rPr>
          <w:rFonts w:hint="eastAsia" w:ascii="宋体" w:hAnsi="宋体"/>
          <w:bCs/>
          <w:color w:val="000000"/>
          <w:szCs w:val="21"/>
        </w:rPr>
        <w:t>2</w:t>
      </w:r>
      <w:r>
        <w:rPr>
          <w:rFonts w:ascii="宋体" w:hAnsi="宋体"/>
          <w:bCs/>
          <w:color w:val="000000"/>
          <w:szCs w:val="21"/>
        </w:rPr>
        <w:t>.0</w:t>
      </w:r>
      <w:r>
        <w:rPr>
          <w:rFonts w:hint="eastAsia" w:ascii="宋体" w:hAnsi="宋体"/>
          <w:bCs/>
          <w:color w:val="000000"/>
          <w:szCs w:val="21"/>
        </w:rPr>
        <w:t>单桩水平承载力取极限值</w:t>
      </w:r>
      <w:r>
        <w:rPr>
          <w:color w:val="000000"/>
        </w:rPr>
        <w:fldChar w:fldCharType="begin"/>
      </w:r>
      <w:r>
        <w:rPr>
          <w:color w:val="000000"/>
        </w:rPr>
        <w:instrText xml:space="preserve"> QUOTE </w:instrText>
      </w:r>
      <w:r>
        <w:rPr>
          <w:rFonts w:hint="eastAsia"/>
          <w:color w:val="000000"/>
        </w:rPr>
        <w:pict>
          <v:shape id="_x0000_i1141" o:spt="75" type="#_x0000_t75" style="height:15.5pt;width:12.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revisionView w:markup=&quot;off&quot;/&gt;&lt;w:defaultTabStop w:val=&quot;420&quot;/&gt;&lt;w:drawingGridHorizontalSpacing w:val=&quot;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172A27&quot;/&gt;&lt;wsp:rsid wsp:val=&quot;0002339B&quot;/&gt;&lt;wsp:rsid wsp:val=&quot;001172D2&quot;/&gt;&lt;wsp:rsid wsp:val=&quot;00145664&quot;/&gt;&lt;wsp:rsid wsp:val=&quot;00154AC3&quot;/&gt;&lt;wsp:rsid wsp:val=&quot;002B1E8F&quot;/&gt;&lt;wsp:rsid wsp:val=&quot;00445121&quot;/&gt;&lt;wsp:rsid wsp:val=&quot;004F6AEF&quot;/&gt;&lt;wsp:rsid wsp:val=&quot;00575C87&quot;/&gt;&lt;wsp:rsid wsp:val=&quot;00651853&quot;/&gt;&lt;wsp:rsid wsp:val=&quot;006C01A1&quot;/&gt;&lt;wsp:rsid wsp:val=&quot;006D57B6&quot;/&gt;&lt;wsp:rsid wsp:val=&quot;0071314C&quot;/&gt;&lt;wsp:rsid wsp:val=&quot;008360A4&quot;/&gt;&lt;wsp:rsid wsp:val=&quot;008753B8&quot;/&gt;&lt;wsp:rsid wsp:val=&quot;00895ED1&quot;/&gt;&lt;wsp:rsid wsp:val=&quot;00A0695D&quot;/&gt;&lt;wsp:rsid wsp:val=&quot;00D84297&quot;/&gt;&lt;wsp:rsid wsp:val=&quot;00D9087C&quot;/&gt;&lt;wsp:rsid wsp:val=&quot;04820D5A&quot;/&gt;&lt;wsp:rsid wsp:val=&quot;1A704844&quot;/&gt;&lt;wsp:rsid wsp:val=&quot;1F993986&quot;/&gt;&lt;wsp:rsid wsp:val=&quot;326A75ED&quot;/&gt;&lt;wsp:rsid wsp:val=&quot;335B2CA2&quot;/&gt;&lt;wsp:rsid wsp:val=&quot;34283518&quot;/&gt;&lt;wsp:rsid wsp:val=&quot;38607871&quot;/&gt;&lt;wsp:rsid wsp:val=&quot;41F616E2&quot;/&gt;&lt;wsp:rsid wsp:val=&quot;48E944EB&quot;/&gt;&lt;wsp:rsid wsp:val=&quot;4B28041A&quot;/&gt;&lt;wsp:rsid wsp:val=&quot;4E8B728F&quot;/&gt;&lt;wsp:rsid wsp:val=&quot;4E934A4A&quot;/&gt;&lt;wsp:rsid wsp:val=&quot;556C3E32&quot;/&gt;&lt;wsp:rsid wsp:val=&quot;564A3B69&quot;/&gt;&lt;wsp:rsid wsp:val=&quot;57244E7B&quot;/&gt;&lt;wsp:rsid wsp:val=&quot;654619C8&quot;/&gt;&lt;wsp:rsid wsp:val=&quot;6B7A0EA8&quot;/&gt;&lt;wsp:rsid wsp:val=&quot;707F73DE&quot;/&gt;&lt;wsp:rsid wsp:val=&quot;755B4C2D&quot;/&gt;&lt;wsp:rsid wsp:val=&quot;77982CBF&quot;/&gt;&lt;/wsp:rsids&gt;&lt;/w:docPr&gt;&lt;w:body&gt;&lt;wx:sect&gt;&lt;w:p wsp:rsidR=&quot;00000000&quot; wsp:rsidRDefault=&quot;00154AC3&quot; wsp:rsidP=&quot;00154AC3&quot;&gt;&lt;m:oMathPara&gt;&lt;m:oMath&gt;&lt;m:sSub&gt;&lt;m:sSubPr&gt;&lt;m:ctrlPr&gt;&lt;aml:annotation aml:id=&quot;0&quot; w:type=&quot;Word.Insertion&quot; aml:author=&quot;13901212966@sina.cn&quot; aml:createdate=&quot;2020-07-31T07:35:00Z&quot;&gt;&lt;aml:content&gt;&lt;w:rPr&gt;&lt;w:rFonts w:ascii=&quot;Cambria Math&quot; w:h-ansi=&quot;Cambria Math&quot; w:cs=&quot;Times New Roman&quot;/&gt;&lt;wx:font wx:val=&quot;Cambria Math&quot;/&gt;&lt;w:b-cs/&gt;&lt;w:i/&gt;&lt;w:color w:val=&quot;FF0000&quot;/&gt;&lt;w:sz-cs w:val=&quot;21&quot;/&gt;&lt;/w:rPr&gt;&lt;/aml:content&gt;&lt;/aml:annotation&gt;&lt;/m:ctrlPr&gt;&lt;/m:sSubPr&gt;&lt;m:e&gt;&lt;m:r&gt;&lt;aml:annotation aml:id=&quot;1&quot; w:type=&quot;Word.Insertion&quot; aml:author=&quot;13901212966@sina.cn&quot; aml:createdate=&quot;2020-07-31T07:35:00Z&quot;&gt;&lt;aml:content&gt;&lt;w:rPr&gt;&lt;w:rFonts w:ascii=&quot;Cambria Math&quot; w:h-ansi=&quot;Cambria Math&quot;/&gt;&lt;wx:font wx:val=&quot;Cambria Math&quot;/&gt;&lt;w:b-cs/&gt;&lt;w:i/&gt;&lt;w:color w:val=&quot;FF0000&quot;/&gt;&lt;w:sz-cs w:val=&quot;21&quot;/&gt;&lt;/w:rPr&gt;&lt;m:t&gt;H&lt;/m:t&gt;&lt;/aml:content&gt;&lt;/aml:annotation&gt;&lt;/m:r&gt;&lt;/m:e&gt;&lt;m:sub&gt;&lt;m:r&gt;&lt;aml:annotation aml:id=&quot;2&quot; w:type=&quot;Word.Insertion&quot; aml:author=&quot;13901212966@sina.cn&quot; aml:createdate=&quot;2020-07-31T07:35:00Z&quot;&gt;&lt;aml:content&gt;&lt;w:rPr&gt;&lt;w:rFonts w:ascii=&quot;Cambria Math&quot; w:h-ansi=&quot;Cambria Math&quot; w:hint=&quot;fareast&quot;/&gt;&lt;wx:font wx:val=&quot;Cambria Math&quot;/&gt;&lt;w:b-cs/&gt;&lt;w:i/&gt;&lt;w:color w:val=&quot;FF0000&quot;/&gt;&lt;w:sz-cs w:val=&quot;21&quot;/&gt;&lt;/w:rPr&gt;&lt;m:t&gt;u&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20" chromakey="#FFFFFF" o:title=""/>
            <o:lock v:ext="edit" aspectratio="t"/>
            <w10:wrap type="none"/>
            <w10:anchorlock/>
          </v:shape>
        </w:pict>
      </w:r>
      <w:r>
        <w:rPr>
          <w:color w:val="000000"/>
        </w:rPr>
        <w:instrText xml:space="preserve"> </w:instrText>
      </w:r>
      <w:r>
        <w:rPr>
          <w:color w:val="000000"/>
        </w:rPr>
        <w:fldChar w:fldCharType="separate"/>
      </w:r>
      <w:r>
        <w:rPr>
          <w:rFonts w:hint="eastAsia"/>
          <w:color w:val="000000"/>
        </w:rPr>
        <w:pict>
          <v:shape id="_x0000_i1142" o:spt="75" type="#_x0000_t75" style="height:15.5pt;width:12.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revisionView w:markup=&quot;off&quot;/&gt;&lt;w:defaultTabStop w:val=&quot;420&quot;/&gt;&lt;w:drawingGridHorizontalSpacing w:val=&quot;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172A27&quot;/&gt;&lt;wsp:rsid wsp:val=&quot;0002339B&quot;/&gt;&lt;wsp:rsid wsp:val=&quot;001172D2&quot;/&gt;&lt;wsp:rsid wsp:val=&quot;00145664&quot;/&gt;&lt;wsp:rsid wsp:val=&quot;00154AC3&quot;/&gt;&lt;wsp:rsid wsp:val=&quot;002B1E8F&quot;/&gt;&lt;wsp:rsid wsp:val=&quot;00445121&quot;/&gt;&lt;wsp:rsid wsp:val=&quot;004F6AEF&quot;/&gt;&lt;wsp:rsid wsp:val=&quot;00575C87&quot;/&gt;&lt;wsp:rsid wsp:val=&quot;00651853&quot;/&gt;&lt;wsp:rsid wsp:val=&quot;006C01A1&quot;/&gt;&lt;wsp:rsid wsp:val=&quot;006D57B6&quot;/&gt;&lt;wsp:rsid wsp:val=&quot;0071314C&quot;/&gt;&lt;wsp:rsid wsp:val=&quot;008360A4&quot;/&gt;&lt;wsp:rsid wsp:val=&quot;008753B8&quot;/&gt;&lt;wsp:rsid wsp:val=&quot;00895ED1&quot;/&gt;&lt;wsp:rsid wsp:val=&quot;00A0695D&quot;/&gt;&lt;wsp:rsid wsp:val=&quot;00D84297&quot;/&gt;&lt;wsp:rsid wsp:val=&quot;00D9087C&quot;/&gt;&lt;wsp:rsid wsp:val=&quot;04820D5A&quot;/&gt;&lt;wsp:rsid wsp:val=&quot;1A704844&quot;/&gt;&lt;wsp:rsid wsp:val=&quot;1F993986&quot;/&gt;&lt;wsp:rsid wsp:val=&quot;326A75ED&quot;/&gt;&lt;wsp:rsid wsp:val=&quot;335B2CA2&quot;/&gt;&lt;wsp:rsid wsp:val=&quot;34283518&quot;/&gt;&lt;wsp:rsid wsp:val=&quot;38607871&quot;/&gt;&lt;wsp:rsid wsp:val=&quot;41F616E2&quot;/&gt;&lt;wsp:rsid wsp:val=&quot;48E944EB&quot;/&gt;&lt;wsp:rsid wsp:val=&quot;4B28041A&quot;/&gt;&lt;wsp:rsid wsp:val=&quot;4E8B728F&quot;/&gt;&lt;wsp:rsid wsp:val=&quot;4E934A4A&quot;/&gt;&lt;wsp:rsid wsp:val=&quot;556C3E32&quot;/&gt;&lt;wsp:rsid wsp:val=&quot;564A3B69&quot;/&gt;&lt;wsp:rsid wsp:val=&quot;57244E7B&quot;/&gt;&lt;wsp:rsid wsp:val=&quot;654619C8&quot;/&gt;&lt;wsp:rsid wsp:val=&quot;6B7A0EA8&quot;/&gt;&lt;wsp:rsid wsp:val=&quot;707F73DE&quot;/&gt;&lt;wsp:rsid wsp:val=&quot;755B4C2D&quot;/&gt;&lt;wsp:rsid wsp:val=&quot;77982CBF&quot;/&gt;&lt;/wsp:rsids&gt;&lt;/w:docPr&gt;&lt;w:body&gt;&lt;wx:sect&gt;&lt;w:p wsp:rsidR=&quot;00000000&quot; wsp:rsidRDefault=&quot;00154AC3&quot; wsp:rsidP=&quot;00154AC3&quot;&gt;&lt;m:oMathPara&gt;&lt;m:oMath&gt;&lt;m:sSub&gt;&lt;m:sSubPr&gt;&lt;m:ctrlPr&gt;&lt;aml:annotation aml:id=&quot;0&quot; w:type=&quot;Word.Insertion&quot; aml:author=&quot;13901212966@sina.cn&quot; aml:createdate=&quot;2020-07-31T07:35:00Z&quot;&gt;&lt;aml:content&gt;&lt;w:rPr&gt;&lt;w:rFonts w:ascii=&quot;Cambria Math&quot; w:h-ansi=&quot;Cambria Math&quot; w:cs=&quot;Times New Roman&quot;/&gt;&lt;wx:font wx:val=&quot;Cambria Math&quot;/&gt;&lt;w:b-cs/&gt;&lt;w:i/&gt;&lt;w:color w:val=&quot;FF0000&quot;/&gt;&lt;w:sz-cs w:val=&quot;21&quot;/&gt;&lt;/w:rPr&gt;&lt;/aml:content&gt;&lt;/aml:annotation&gt;&lt;/m:ctrlPr&gt;&lt;/m:sSubPr&gt;&lt;m:e&gt;&lt;m:r&gt;&lt;aml:annotation aml:id=&quot;1&quot; w:type=&quot;Word.Insertion&quot; aml:author=&quot;13901212966@sina.cn&quot; aml:createdate=&quot;2020-07-31T07:35:00Z&quot;&gt;&lt;aml:content&gt;&lt;w:rPr&gt;&lt;w:rFonts w:ascii=&quot;Cambria Math&quot; w:h-ansi=&quot;Cambria Math&quot;/&gt;&lt;wx:font wx:val=&quot;Cambria Math&quot;/&gt;&lt;w:b-cs/&gt;&lt;w:i/&gt;&lt;w:color w:val=&quot;FF0000&quot;/&gt;&lt;w:sz-cs w:val=&quot;21&quot;/&gt;&lt;/w:rPr&gt;&lt;m:t&gt;H&lt;/m:t&gt;&lt;/aml:content&gt;&lt;/aml:annotation&gt;&lt;/m:r&gt;&lt;/m:e&gt;&lt;m:sub&gt;&lt;m:r&gt;&lt;aml:annotation aml:id=&quot;2&quot; w:type=&quot;Word.Insertion&quot; aml:author=&quot;13901212966@sina.cn&quot; aml:createdate=&quot;2020-07-31T07:35:00Z&quot;&gt;&lt;aml:content&gt;&lt;w:rPr&gt;&lt;w:rFonts w:ascii=&quot;Cambria Math&quot; w:h-ansi=&quot;Cambria Math&quot; w:hint=&quot;fareast&quot;/&gt;&lt;wx:font wx:val=&quot;Cambria Math&quot;/&gt;&lt;w:b-cs/&gt;&lt;w:i/&gt;&lt;w:color w:val=&quot;FF0000&quot;/&gt;&lt;w:sz-cs w:val=&quot;21&quot;/&gt;&lt;/w:rPr&gt;&lt;m:t&gt;u&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20" chromakey="#FFFFFF" o:title=""/>
            <o:lock v:ext="edit" aspectratio="t"/>
            <w10:wrap type="none"/>
            <w10:anchorlock/>
          </v:shape>
        </w:pict>
      </w:r>
      <w:r>
        <w:rPr>
          <w:color w:val="000000"/>
        </w:rPr>
        <w:fldChar w:fldCharType="end"/>
      </w:r>
      <w:r>
        <w:rPr>
          <w:rFonts w:hint="eastAsia" w:ascii="等线" w:hAnsi="等线"/>
          <w:bCs/>
          <w:color w:val="000000"/>
          <w:szCs w:val="21"/>
        </w:rPr>
        <w:t>的0.5倍乘以1.25，q</w:t>
      </w:r>
      <w:r>
        <w:rPr>
          <w:rFonts w:ascii="等线" w:hAnsi="等线"/>
          <w:bCs/>
          <w:color w:val="000000"/>
          <w:szCs w:val="21"/>
        </w:rPr>
        <w:t>=1.5</w:t>
      </w:r>
      <w:r>
        <w:rPr>
          <w:rFonts w:hint="eastAsia" w:ascii="等线" w:hAnsi="等线"/>
          <w:bCs/>
          <w:color w:val="000000"/>
          <w:szCs w:val="21"/>
        </w:rPr>
        <w:t>归并到q</w:t>
      </w:r>
      <w:r>
        <w:rPr>
          <w:rFonts w:hint="eastAsia" w:ascii="宋体" w:hAnsi="宋体"/>
          <w:bCs/>
          <w:color w:val="000000"/>
          <w:szCs w:val="21"/>
        </w:rPr>
        <w:t>≤1</w:t>
      </w:r>
      <w:r>
        <w:rPr>
          <w:rFonts w:ascii="宋体" w:hAnsi="宋体"/>
          <w:bCs/>
          <w:color w:val="000000"/>
          <w:szCs w:val="21"/>
        </w:rPr>
        <w:t>.0</w:t>
      </w:r>
      <w:r>
        <w:rPr>
          <w:rFonts w:hint="eastAsia" w:ascii="宋体" w:hAnsi="宋体"/>
          <w:bCs/>
          <w:color w:val="000000"/>
          <w:szCs w:val="21"/>
        </w:rPr>
        <w:t>范畴。</w:t>
      </w:r>
    </w:p>
    <w:p>
      <w:pPr>
        <w:spacing w:line="360" w:lineRule="auto"/>
        <w:rPr>
          <w:rFonts w:ascii="宋体" w:hAnsi="宋体"/>
          <w:bCs/>
          <w:color w:val="000000"/>
          <w:szCs w:val="21"/>
        </w:rPr>
      </w:pPr>
      <w:r>
        <w:rPr>
          <w:rFonts w:hint="eastAsia" w:ascii="宋体" w:hAnsi="宋体"/>
          <w:bCs/>
          <w:color w:val="000000"/>
          <w:szCs w:val="21"/>
        </w:rPr>
        <w:t xml:space="preserve">    考虑到单桩竖向抗震承载力计算时，非抗震承载力的特征值已按0.5倍极限值取值，故对于不同上部结构性能系数的情况，单桩竖向抗震承载力取值不变。</w:t>
      </w:r>
    </w:p>
    <w:p>
      <w:pPr>
        <w:spacing w:line="360" w:lineRule="auto"/>
        <w:rPr>
          <w:rFonts w:hint="eastAsia" w:ascii="宋体" w:hAnsi="宋体"/>
          <w:color w:val="000000"/>
          <w:szCs w:val="21"/>
        </w:rPr>
      </w:pPr>
      <w:r>
        <w:rPr>
          <w:rFonts w:hint="eastAsia" w:ascii="宋体" w:hAnsi="宋体"/>
          <w:b/>
          <w:color w:val="000000"/>
          <w:szCs w:val="21"/>
        </w:rPr>
        <w:t>5</w:t>
      </w:r>
      <w:r>
        <w:rPr>
          <w:rFonts w:ascii="宋体" w:hAnsi="宋体"/>
          <w:b/>
          <w:color w:val="000000"/>
          <w:szCs w:val="21"/>
        </w:rPr>
        <w:t>.5.5</w:t>
      </w:r>
      <w:r>
        <w:rPr>
          <w:rFonts w:ascii="宋体" w:hAnsi="宋体"/>
          <w:color w:val="000000"/>
          <w:szCs w:val="21"/>
        </w:rPr>
        <w:t xml:space="preserve">  验算基桩地震作用组合承载力时</w:t>
      </w:r>
      <w:r>
        <w:rPr>
          <w:rFonts w:hint="eastAsia" w:ascii="宋体" w:hAnsi="宋体"/>
          <w:color w:val="000000"/>
          <w:szCs w:val="21"/>
        </w:rPr>
        <w:t>，</w:t>
      </w:r>
      <w:r>
        <w:rPr>
          <w:rFonts w:ascii="宋体" w:hAnsi="宋体"/>
          <w:color w:val="000000"/>
          <w:szCs w:val="21"/>
        </w:rPr>
        <w:t>如传至承台的水平地震作用不由基桩承担</w:t>
      </w:r>
      <w:r>
        <w:rPr>
          <w:rFonts w:hint="eastAsia" w:ascii="宋体" w:hAnsi="宋体"/>
          <w:color w:val="000000"/>
          <w:szCs w:val="21"/>
        </w:rPr>
        <w:t>，</w:t>
      </w:r>
      <w:r>
        <w:rPr>
          <w:rFonts w:ascii="宋体" w:hAnsi="宋体"/>
          <w:color w:val="000000"/>
          <w:szCs w:val="21"/>
        </w:rPr>
        <w:t>则只需进行基桩的轴心受压或轴心受拉承载力验算</w:t>
      </w:r>
      <w:r>
        <w:rPr>
          <w:rFonts w:hint="eastAsia" w:ascii="宋体" w:hAnsi="宋体"/>
          <w:color w:val="000000"/>
          <w:szCs w:val="21"/>
        </w:rPr>
        <w:t>。</w:t>
      </w:r>
      <w:r>
        <w:rPr>
          <w:rFonts w:ascii="宋体" w:hAnsi="宋体"/>
          <w:color w:val="000000"/>
          <w:szCs w:val="21"/>
        </w:rPr>
        <w:t>如传至承台的水平地震作用全部或部分由基桩承担</w:t>
      </w:r>
      <w:r>
        <w:rPr>
          <w:rFonts w:hint="eastAsia" w:ascii="宋体" w:hAnsi="宋体"/>
          <w:color w:val="000000"/>
          <w:szCs w:val="21"/>
        </w:rPr>
        <w:t>，</w:t>
      </w:r>
      <w:r>
        <w:rPr>
          <w:rFonts w:ascii="宋体" w:hAnsi="宋体"/>
          <w:color w:val="000000"/>
          <w:szCs w:val="21"/>
        </w:rPr>
        <w:t>则需要进行基桩的偏心受压或偏心受拉和受剪承载力验算</w:t>
      </w:r>
      <w:r>
        <w:rPr>
          <w:rFonts w:hint="eastAsia" w:ascii="宋体" w:hAnsi="宋体"/>
          <w:color w:val="000000"/>
          <w:szCs w:val="21"/>
        </w:rPr>
        <w:t>。</w:t>
      </w:r>
    </w:p>
    <w:p>
      <w:pPr>
        <w:autoSpaceDE w:val="0"/>
        <w:autoSpaceDN w:val="0"/>
        <w:adjustRightInd w:val="0"/>
        <w:spacing w:line="360" w:lineRule="auto"/>
        <w:jc w:val="left"/>
        <w:rPr>
          <w:rFonts w:hint="eastAsia" w:ascii="宋体" w:hAnsi="宋体"/>
          <w:color w:val="000000"/>
          <w:szCs w:val="21"/>
        </w:rPr>
      </w:pPr>
      <w:r>
        <w:rPr>
          <w:rFonts w:hint="eastAsia" w:ascii="宋体" w:hAnsi="宋体" w:cs="宋体"/>
          <w:b/>
          <w:bCs/>
          <w:color w:val="000000"/>
          <w:kern w:val="0"/>
          <w:szCs w:val="21"/>
        </w:rPr>
        <w:t>5.</w:t>
      </w:r>
      <w:r>
        <w:rPr>
          <w:rFonts w:ascii="宋体" w:hAnsi="宋体" w:cs="宋体"/>
          <w:b/>
          <w:bCs/>
          <w:color w:val="000000"/>
          <w:kern w:val="0"/>
          <w:szCs w:val="21"/>
        </w:rPr>
        <w:t>5</w:t>
      </w:r>
      <w:r>
        <w:rPr>
          <w:rFonts w:hint="eastAsia" w:ascii="宋体" w:hAnsi="宋体" w:cs="宋体"/>
          <w:b/>
          <w:bCs/>
          <w:color w:val="000000"/>
          <w:kern w:val="0"/>
          <w:szCs w:val="21"/>
        </w:rPr>
        <w:t>.6</w:t>
      </w:r>
      <w:r>
        <w:rPr>
          <w:rFonts w:ascii="宋体" w:hAnsi="宋体" w:cs="宋体"/>
          <w:color w:val="000000"/>
          <w:kern w:val="0"/>
          <w:szCs w:val="21"/>
        </w:rPr>
        <w:t xml:space="preserve"> </w:t>
      </w:r>
      <w:r>
        <w:rPr>
          <w:rFonts w:hint="eastAsia" w:ascii="宋体" w:hAnsi="宋体" w:cs="宋体"/>
          <w:color w:val="000000"/>
          <w:kern w:val="0"/>
          <w:szCs w:val="21"/>
        </w:rPr>
        <w:t xml:space="preserve"> 桩的水平承载力特征值按桩顶水平位移6-10</w:t>
      </w:r>
      <w:r>
        <w:rPr>
          <w:rFonts w:ascii="宋体" w:hAnsi="宋体" w:cs="宋体"/>
          <w:color w:val="000000"/>
          <w:kern w:val="0"/>
          <w:szCs w:val="21"/>
        </w:rPr>
        <w:t>mm</w:t>
      </w:r>
      <w:r>
        <w:rPr>
          <w:rFonts w:hint="eastAsia" w:ascii="宋体" w:hAnsi="宋体" w:cs="宋体"/>
          <w:color w:val="000000"/>
          <w:kern w:val="0"/>
          <w:szCs w:val="21"/>
        </w:rPr>
        <w:t>取值应理解为对应于抗规小震设计。当上部结构采用大于1.0的性能系数进行抗震设计时，桩基水平承载力试验时该水平位移值应可放宽，因而此时桩的水平承载力特征值也可增加。</w:t>
      </w:r>
    </w:p>
    <w:p>
      <w:pPr>
        <w:spacing w:line="360" w:lineRule="auto"/>
        <w:rPr>
          <w:rFonts w:ascii="宋体" w:hAnsi="宋体"/>
          <w:color w:val="000000"/>
          <w:szCs w:val="21"/>
        </w:rPr>
      </w:pPr>
      <w:r>
        <w:rPr>
          <w:rFonts w:hint="eastAsia" w:ascii="宋体" w:hAnsi="宋体"/>
          <w:b/>
          <w:color w:val="000000"/>
          <w:szCs w:val="21"/>
        </w:rPr>
        <w:t>5</w:t>
      </w:r>
      <w:r>
        <w:rPr>
          <w:rFonts w:ascii="宋体" w:hAnsi="宋体"/>
          <w:b/>
          <w:color w:val="000000"/>
          <w:szCs w:val="21"/>
        </w:rPr>
        <w:t>.5.7</w:t>
      </w:r>
      <w:r>
        <w:rPr>
          <w:rFonts w:ascii="宋体" w:hAnsi="宋体"/>
          <w:color w:val="000000"/>
          <w:szCs w:val="21"/>
        </w:rPr>
        <w:t xml:space="preserve">  根据</w:t>
      </w:r>
      <w:r>
        <w:rPr>
          <w:rFonts w:hint="eastAsia" w:ascii="宋体" w:hAnsi="宋体"/>
          <w:color w:val="000000"/>
          <w:szCs w:val="21"/>
        </w:rPr>
        <w:t>《建筑抗震设计规范》</w:t>
      </w:r>
      <w:r>
        <w:rPr>
          <w:rFonts w:ascii="Times New Roman" w:hAnsi="Times New Roman"/>
          <w:color w:val="000000"/>
          <w:szCs w:val="21"/>
        </w:rPr>
        <w:t>GB</w:t>
      </w:r>
      <w:r>
        <w:rPr>
          <w:rFonts w:ascii="宋体" w:hAnsi="宋体"/>
          <w:color w:val="000000"/>
          <w:szCs w:val="21"/>
        </w:rPr>
        <w:t xml:space="preserve"> 50011</w:t>
      </w:r>
      <w:r>
        <w:rPr>
          <w:rFonts w:hint="eastAsia" w:ascii="宋体" w:hAnsi="宋体"/>
          <w:color w:val="000000"/>
          <w:szCs w:val="21"/>
        </w:rPr>
        <w:t>、</w:t>
      </w:r>
      <w:r>
        <w:rPr>
          <w:rFonts w:ascii="宋体" w:hAnsi="宋体"/>
          <w:color w:val="000000"/>
          <w:szCs w:val="21"/>
        </w:rPr>
        <w:t>《建筑桩基技术规范》</w:t>
      </w:r>
      <w:r>
        <w:rPr>
          <w:rFonts w:ascii="Times New Roman" w:hAnsi="Times New Roman"/>
          <w:color w:val="000000"/>
          <w:szCs w:val="21"/>
        </w:rPr>
        <w:t>JGJ</w:t>
      </w:r>
      <w:r>
        <w:rPr>
          <w:rFonts w:ascii="宋体" w:hAnsi="宋体"/>
          <w:color w:val="000000"/>
          <w:szCs w:val="21"/>
        </w:rPr>
        <w:t xml:space="preserve"> 94</w:t>
      </w:r>
      <w:r>
        <w:rPr>
          <w:rFonts w:hint="eastAsia" w:ascii="宋体" w:hAnsi="宋体"/>
          <w:color w:val="000000"/>
          <w:szCs w:val="21"/>
        </w:rPr>
        <w:t>，参考《预应力混凝土管桩技术标准》</w:t>
      </w:r>
      <w:r>
        <w:rPr>
          <w:rFonts w:ascii="Times New Roman" w:hAnsi="Times New Roman"/>
          <w:color w:val="000000"/>
          <w:szCs w:val="21"/>
        </w:rPr>
        <w:t>JGJ/T</w:t>
      </w:r>
      <w:r>
        <w:rPr>
          <w:rFonts w:ascii="宋体" w:hAnsi="宋体"/>
          <w:color w:val="000000"/>
          <w:szCs w:val="21"/>
        </w:rPr>
        <w:t xml:space="preserve"> 406</w:t>
      </w:r>
      <w:r>
        <w:rPr>
          <w:rFonts w:hint="eastAsia" w:ascii="宋体" w:hAnsi="宋体"/>
          <w:color w:val="000000"/>
          <w:szCs w:val="21"/>
        </w:rPr>
        <w:t>，对基桩和承台作出构造要求。</w:t>
      </w:r>
    </w:p>
    <w:p>
      <w:pPr>
        <w:spacing w:before="156" w:beforeLines="50" w:after="156" w:afterLines="50" w:line="360" w:lineRule="auto"/>
        <w:jc w:val="center"/>
        <w:rPr>
          <w:rFonts w:ascii="宋体" w:hAnsi="宋体"/>
          <w:b/>
          <w:color w:val="000000"/>
          <w:szCs w:val="21"/>
        </w:rPr>
      </w:pPr>
      <w:r>
        <w:rPr>
          <w:rFonts w:hint="eastAsia" w:ascii="宋体" w:hAnsi="宋体"/>
          <w:b/>
          <w:color w:val="000000"/>
          <w:szCs w:val="21"/>
        </w:rPr>
        <w:t>5.</w:t>
      </w:r>
      <w:r>
        <w:rPr>
          <w:rFonts w:ascii="宋体" w:hAnsi="宋体"/>
          <w:b/>
          <w:color w:val="000000"/>
          <w:szCs w:val="21"/>
        </w:rPr>
        <w:t>6</w:t>
      </w:r>
      <w:r>
        <w:rPr>
          <w:rFonts w:hint="eastAsia" w:ascii="宋体" w:hAnsi="宋体"/>
          <w:b/>
          <w:color w:val="000000"/>
          <w:szCs w:val="21"/>
        </w:rPr>
        <w:t xml:space="preserve">  基础短柱、杯口和锚栓抗震措施</w:t>
      </w:r>
    </w:p>
    <w:p>
      <w:pPr>
        <w:spacing w:line="360" w:lineRule="auto"/>
        <w:rPr>
          <w:rFonts w:hint="eastAsia" w:ascii="宋体" w:hAnsi="宋体"/>
          <w:color w:val="000000"/>
          <w:szCs w:val="21"/>
        </w:rPr>
      </w:pPr>
      <w:r>
        <w:rPr>
          <w:rFonts w:hint="eastAsia" w:ascii="宋体" w:hAnsi="宋体"/>
          <w:b/>
          <w:color w:val="000000"/>
          <w:szCs w:val="21"/>
        </w:rPr>
        <w:t>5</w:t>
      </w:r>
      <w:r>
        <w:rPr>
          <w:rFonts w:ascii="宋体" w:hAnsi="宋体"/>
          <w:b/>
          <w:color w:val="000000"/>
          <w:szCs w:val="21"/>
        </w:rPr>
        <w:t>.6.1</w:t>
      </w:r>
      <w:r>
        <w:rPr>
          <w:rFonts w:hint="eastAsia" w:ascii="宋体" w:hAnsi="宋体"/>
          <w:color w:val="000000"/>
          <w:szCs w:val="21"/>
        </w:rPr>
        <w:t>、</w:t>
      </w:r>
      <w:r>
        <w:rPr>
          <w:rFonts w:hint="eastAsia" w:ascii="宋体" w:hAnsi="宋体"/>
          <w:b/>
          <w:color w:val="000000"/>
          <w:szCs w:val="21"/>
        </w:rPr>
        <w:t>5</w:t>
      </w:r>
      <w:r>
        <w:rPr>
          <w:rFonts w:ascii="宋体" w:hAnsi="宋体"/>
          <w:b/>
          <w:color w:val="000000"/>
          <w:szCs w:val="21"/>
        </w:rPr>
        <w:t xml:space="preserve">.6.2 </w:t>
      </w:r>
      <w:r>
        <w:rPr>
          <w:rFonts w:ascii="宋体" w:hAnsi="宋体"/>
          <w:color w:val="000000"/>
          <w:szCs w:val="21"/>
        </w:rPr>
        <w:t xml:space="preserve"> 当基础短柱刚度较大</w:t>
      </w:r>
      <w:r>
        <w:rPr>
          <w:rFonts w:hint="eastAsia" w:ascii="宋体" w:hAnsi="宋体"/>
          <w:color w:val="000000"/>
          <w:szCs w:val="21"/>
        </w:rPr>
        <w:t>，</w:t>
      </w:r>
      <w:r>
        <w:rPr>
          <w:rFonts w:ascii="宋体" w:hAnsi="宋体"/>
          <w:color w:val="000000"/>
          <w:szCs w:val="21"/>
        </w:rPr>
        <w:t>即满足《建筑地基基础设计规范》</w:t>
      </w:r>
      <w:r>
        <w:rPr>
          <w:rFonts w:ascii="Times New Roman" w:hAnsi="Times New Roman"/>
          <w:color w:val="000000"/>
          <w:szCs w:val="21"/>
        </w:rPr>
        <w:t>GB</w:t>
      </w:r>
      <w:r>
        <w:rPr>
          <w:rFonts w:ascii="宋体" w:hAnsi="宋体"/>
          <w:color w:val="000000"/>
          <w:szCs w:val="21"/>
        </w:rPr>
        <w:t xml:space="preserve"> 50007</w:t>
      </w:r>
      <w:r>
        <w:rPr>
          <w:rFonts w:hint="eastAsia" w:ascii="宋体" w:hAnsi="宋体"/>
          <w:color w:val="000000"/>
          <w:szCs w:val="21"/>
        </w:rPr>
        <w:t>—2</w:t>
      </w:r>
      <w:r>
        <w:rPr>
          <w:rFonts w:ascii="宋体" w:hAnsi="宋体"/>
          <w:color w:val="000000"/>
          <w:szCs w:val="21"/>
        </w:rPr>
        <w:t>011第</w:t>
      </w:r>
      <w:r>
        <w:rPr>
          <w:rFonts w:hint="eastAsia" w:ascii="宋体" w:hAnsi="宋体"/>
          <w:color w:val="000000"/>
          <w:szCs w:val="21"/>
        </w:rPr>
        <w:t>8</w:t>
      </w:r>
      <w:r>
        <w:rPr>
          <w:rFonts w:ascii="宋体" w:hAnsi="宋体"/>
          <w:color w:val="000000"/>
          <w:szCs w:val="21"/>
        </w:rPr>
        <w:t>.2.5条第</w:t>
      </w:r>
      <w:r>
        <w:rPr>
          <w:rFonts w:hint="eastAsia" w:ascii="宋体" w:hAnsi="宋体"/>
          <w:color w:val="000000"/>
          <w:szCs w:val="21"/>
        </w:rPr>
        <w:t>1、2款规定时，短柱顶面可认为是上部结构的嵌固端。刚度较小时短柱应参与结构计算并进行短柱的偏压和受剪承载力计算。</w:t>
      </w:r>
    </w:p>
    <w:p>
      <w:pPr>
        <w:spacing w:line="360" w:lineRule="auto"/>
        <w:rPr>
          <w:rFonts w:hint="eastAsia" w:ascii="宋体" w:hAnsi="宋体"/>
          <w:color w:val="000000"/>
          <w:szCs w:val="21"/>
        </w:rPr>
      </w:pPr>
      <w:r>
        <w:rPr>
          <w:rFonts w:hint="eastAsia" w:ascii="宋体" w:hAnsi="宋体"/>
          <w:b/>
          <w:color w:val="000000"/>
          <w:szCs w:val="21"/>
        </w:rPr>
        <w:t>5.</w:t>
      </w:r>
      <w:r>
        <w:rPr>
          <w:rFonts w:ascii="宋体" w:hAnsi="宋体"/>
          <w:b/>
          <w:color w:val="000000"/>
          <w:szCs w:val="21"/>
        </w:rPr>
        <w:t>6.3</w:t>
      </w:r>
      <w:r>
        <w:rPr>
          <w:rFonts w:hint="eastAsia" w:ascii="宋体" w:hAnsi="宋体"/>
          <w:b/>
          <w:color w:val="000000"/>
          <w:szCs w:val="21"/>
        </w:rPr>
        <w:t>、5</w:t>
      </w:r>
      <w:r>
        <w:rPr>
          <w:rFonts w:ascii="宋体" w:hAnsi="宋体"/>
          <w:b/>
          <w:color w:val="000000"/>
          <w:szCs w:val="21"/>
        </w:rPr>
        <w:t>.6.4</w:t>
      </w:r>
      <w:r>
        <w:rPr>
          <w:rFonts w:ascii="宋体" w:hAnsi="宋体"/>
          <w:color w:val="000000"/>
          <w:szCs w:val="21"/>
        </w:rPr>
        <w:t xml:space="preserve">  根据《建筑地基基础设计规范》</w:t>
      </w:r>
      <w:r>
        <w:rPr>
          <w:rFonts w:ascii="Times New Roman" w:hAnsi="Times New Roman"/>
          <w:color w:val="000000"/>
          <w:szCs w:val="21"/>
        </w:rPr>
        <w:t>GB</w:t>
      </w:r>
      <w:r>
        <w:rPr>
          <w:rFonts w:ascii="宋体" w:hAnsi="宋体"/>
          <w:color w:val="000000"/>
          <w:szCs w:val="21"/>
        </w:rPr>
        <w:t xml:space="preserve"> 50007</w:t>
      </w:r>
      <w:r>
        <w:rPr>
          <w:rFonts w:hint="eastAsia" w:ascii="宋体" w:hAnsi="宋体"/>
          <w:color w:val="000000"/>
          <w:szCs w:val="21"/>
        </w:rPr>
        <w:t>、《建筑抗震设计规范》</w:t>
      </w:r>
      <w:r>
        <w:rPr>
          <w:rFonts w:ascii="Times New Roman" w:hAnsi="Times New Roman"/>
          <w:color w:val="000000"/>
          <w:szCs w:val="21"/>
        </w:rPr>
        <w:t>GB</w:t>
      </w:r>
      <w:r>
        <w:rPr>
          <w:rFonts w:ascii="宋体" w:hAnsi="宋体"/>
          <w:color w:val="000000"/>
          <w:szCs w:val="21"/>
        </w:rPr>
        <w:t xml:space="preserve"> 50011及工程经验作出了短柱</w:t>
      </w:r>
      <w:r>
        <w:rPr>
          <w:rFonts w:hint="eastAsia" w:ascii="宋体" w:hAnsi="宋体"/>
          <w:color w:val="000000"/>
          <w:szCs w:val="21"/>
        </w:rPr>
        <w:t>、</w:t>
      </w:r>
      <w:r>
        <w:rPr>
          <w:rFonts w:ascii="宋体" w:hAnsi="宋体"/>
          <w:color w:val="000000"/>
          <w:szCs w:val="21"/>
        </w:rPr>
        <w:t>杯口的抗震构造规定</w:t>
      </w:r>
      <w:r>
        <w:rPr>
          <w:rFonts w:hint="eastAsia" w:ascii="宋体" w:hAnsi="宋体"/>
          <w:color w:val="000000"/>
          <w:szCs w:val="21"/>
        </w:rPr>
        <w:t>。</w:t>
      </w:r>
    </w:p>
    <w:p>
      <w:pPr>
        <w:autoSpaceDE w:val="0"/>
        <w:autoSpaceDN w:val="0"/>
        <w:adjustRightInd w:val="0"/>
        <w:spacing w:line="360" w:lineRule="auto"/>
        <w:jc w:val="left"/>
        <w:rPr>
          <w:rFonts w:hint="eastAsia" w:ascii="宋体" w:hAnsi="宋体" w:cs="宋体"/>
          <w:color w:val="000000"/>
          <w:kern w:val="0"/>
          <w:szCs w:val="21"/>
        </w:rPr>
      </w:pPr>
    </w:p>
    <w:p>
      <w:pPr>
        <w:pStyle w:val="53"/>
        <w:ind w:firstLine="0" w:firstLineChars="0"/>
        <w:rPr>
          <w:rFonts w:ascii="宋体" w:hAnsi="宋体" w:cs="宋体"/>
          <w:color w:val="000000"/>
          <w:kern w:val="0"/>
          <w:szCs w:val="21"/>
        </w:rPr>
      </w:pPr>
    </w:p>
    <w:p>
      <w:pPr>
        <w:jc w:val="center"/>
        <w:rPr>
          <w:rFonts w:ascii="等线" w:hAnsi="等线"/>
          <w:b/>
          <w:color w:val="000000"/>
          <w:szCs w:val="21"/>
        </w:rPr>
      </w:pPr>
    </w:p>
    <w:p>
      <w:pPr>
        <w:jc w:val="center"/>
        <w:rPr>
          <w:rFonts w:ascii="等线" w:hAnsi="等线"/>
          <w:b/>
          <w:color w:val="000000"/>
          <w:szCs w:val="21"/>
        </w:rPr>
      </w:pPr>
    </w:p>
    <w:p>
      <w:pPr>
        <w:rPr>
          <w:rFonts w:hint="eastAsia" w:ascii="等线" w:hAnsi="等线"/>
          <w:b/>
          <w:color w:val="000000"/>
          <w:szCs w:val="21"/>
        </w:rPr>
      </w:pPr>
    </w:p>
    <w:p>
      <w:pPr>
        <w:pStyle w:val="2"/>
        <w:numPr>
          <w:ilvl w:val="0"/>
          <w:numId w:val="11"/>
        </w:numPr>
        <w:rPr>
          <w:rFonts w:hint="eastAsia"/>
          <w:color w:val="000000"/>
        </w:rPr>
      </w:pPr>
      <w:r>
        <w:rPr>
          <w:color w:val="000000"/>
        </w:rPr>
        <w:br w:type="page"/>
      </w:r>
      <w:bookmarkStart w:id="270" w:name="_Toc48049982"/>
      <w:r>
        <w:rPr>
          <w:rFonts w:hint="eastAsia"/>
          <w:color w:val="000000"/>
        </w:rPr>
        <w:t>混凝土结构基本要求</w:t>
      </w:r>
      <w:bookmarkEnd w:id="270"/>
    </w:p>
    <w:p>
      <w:pPr>
        <w:spacing w:line="360" w:lineRule="auto"/>
        <w:jc w:val="left"/>
        <w:rPr>
          <w:color w:val="000000"/>
          <w:szCs w:val="21"/>
        </w:rPr>
      </w:pPr>
    </w:p>
    <w:p>
      <w:pPr>
        <w:autoSpaceDE w:val="0"/>
        <w:autoSpaceDN w:val="0"/>
        <w:adjustRightInd w:val="0"/>
        <w:snapToGrid w:val="0"/>
        <w:spacing w:line="360" w:lineRule="auto"/>
        <w:jc w:val="center"/>
        <w:rPr>
          <w:rFonts w:ascii="等线" w:hAnsi="等线" w:cs="HiddenHorzOCR"/>
          <w:color w:val="000000"/>
          <w:kern w:val="0"/>
          <w:szCs w:val="21"/>
        </w:rPr>
      </w:pPr>
      <w:r>
        <w:rPr>
          <w:rFonts w:hint="eastAsia" w:ascii="等线" w:hAnsi="等线" w:cs="HiddenHorzOCR"/>
          <w:color w:val="000000"/>
          <w:kern w:val="0"/>
          <w:szCs w:val="21"/>
        </w:rPr>
        <w:t>6.1 一般规定</w:t>
      </w:r>
    </w:p>
    <w:p>
      <w:pPr>
        <w:autoSpaceDE w:val="0"/>
        <w:autoSpaceDN w:val="0"/>
        <w:adjustRightInd w:val="0"/>
        <w:snapToGrid w:val="0"/>
        <w:spacing w:line="360" w:lineRule="auto"/>
        <w:jc w:val="center"/>
        <w:rPr>
          <w:rFonts w:hint="eastAsia" w:ascii="等线" w:hAnsi="等线" w:cs="HiddenHorzOCR"/>
          <w:color w:val="000000"/>
          <w:kern w:val="0"/>
          <w:szCs w:val="21"/>
        </w:rPr>
      </w:pP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6.1.1 单层混凝土柱结构即通常称之为的混凝土排架结构。这种结构横向为排架，采用混凝土柱，钢屋架，也可采用钢梁。纵向为支撑框架，采用钢支撑。因是混凝土柱，柱与钢屋架通常采用铰接，横向柱底刚接；纵向柱底可做成铰接，形成支撑框架体系。</w:t>
      </w:r>
    </w:p>
    <w:p>
      <w:pPr>
        <w:autoSpaceDE w:val="0"/>
        <w:autoSpaceDN w:val="0"/>
        <w:adjustRightInd w:val="0"/>
        <w:spacing w:line="360" w:lineRule="auto"/>
        <w:ind w:firstLine="420"/>
        <w:jc w:val="left"/>
        <w:rPr>
          <w:rFonts w:ascii="等线" w:hAnsi="等线" w:cs="HiddenHorzOCR"/>
          <w:color w:val="000000"/>
          <w:kern w:val="0"/>
          <w:szCs w:val="21"/>
        </w:rPr>
      </w:pPr>
      <w:r>
        <w:rPr>
          <w:rFonts w:hint="eastAsia" w:ascii="等线" w:hAnsi="等线" w:cs="HiddenHorzOCR"/>
          <w:color w:val="000000"/>
          <w:kern w:val="0"/>
          <w:szCs w:val="21"/>
        </w:rPr>
        <w:t>混凝土柱按截面形式分为矩形柱、工字形柱和双肢柱。双肢柱又分为平腹杆双肢柱和斜腹杆双肢柱。平腹杆双肢柱侧向刚度低，因而设计中通常采用斜腹杆双肢柱。</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 xml:space="preserve">    无檩屋盖如大型屋面板目前已很少使用，故本标准只考虑有檩屋盖。 </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6.1.2 支撑框架结构由带支撑的框架和不含支撑的框架两部分组成。该类结构的水平荷载包括风荷载和地震荷载及吊车纵向刹车力由支撑框架（带支撑的框架部分）承受，不含支撑的纯框架部分仅承受重力荷载，因此它是一个单重抗侧力结构体系。</w:t>
      </w:r>
    </w:p>
    <w:p>
      <w:pPr>
        <w:autoSpaceDE w:val="0"/>
        <w:autoSpaceDN w:val="0"/>
        <w:adjustRightInd w:val="0"/>
        <w:spacing w:line="360" w:lineRule="auto"/>
        <w:ind w:firstLine="420"/>
        <w:jc w:val="left"/>
        <w:rPr>
          <w:rFonts w:ascii="等线" w:hAnsi="等线" w:cs="HiddenHorzOCR"/>
          <w:color w:val="000000"/>
          <w:kern w:val="0"/>
          <w:szCs w:val="21"/>
        </w:rPr>
      </w:pPr>
      <w:r>
        <w:rPr>
          <w:rFonts w:hint="eastAsia" w:ascii="等线" w:hAnsi="等线" w:cs="HiddenHorzOCR"/>
          <w:color w:val="000000"/>
          <w:kern w:val="0"/>
          <w:szCs w:val="21"/>
        </w:rPr>
        <w:t>框架—支撑结构指由框架（纯框架）和支撑框架共同承受水平荷载的双重抗侧力体系。</w:t>
      </w:r>
    </w:p>
    <w:p>
      <w:pPr>
        <w:autoSpaceDE w:val="0"/>
        <w:autoSpaceDN w:val="0"/>
        <w:adjustRightInd w:val="0"/>
        <w:spacing w:line="360" w:lineRule="auto"/>
        <w:ind w:firstLine="420" w:firstLineChars="200"/>
        <w:jc w:val="left"/>
        <w:rPr>
          <w:rFonts w:ascii="等线" w:hAnsi="等线" w:cs="HiddenHorzOCR"/>
          <w:color w:val="000000"/>
          <w:kern w:val="0"/>
          <w:szCs w:val="21"/>
        </w:rPr>
      </w:pPr>
      <w:r>
        <w:rPr>
          <w:rFonts w:hint="eastAsia" w:ascii="等线" w:hAnsi="等线" w:cs="HiddenHorzOCR"/>
          <w:color w:val="000000"/>
          <w:kern w:val="0"/>
          <w:szCs w:val="21"/>
        </w:rPr>
        <w:t xml:space="preserve">本章的条文主要针对不符合楼（屋面）刚性楼板假定的混凝土结构。对于采用混凝土楼（屋面）且符合刚性楼板假定的混凝土结构，可按抗规GB50011的相关设计方法采用。 </w:t>
      </w:r>
    </w:p>
    <w:p>
      <w:pPr>
        <w:autoSpaceDE w:val="0"/>
        <w:autoSpaceDN w:val="0"/>
        <w:spacing w:line="360" w:lineRule="auto"/>
        <w:jc w:val="left"/>
        <w:rPr>
          <w:rFonts w:ascii="宋体" w:hAnsi="宋体" w:cs="宋体"/>
          <w:bCs/>
          <w:color w:val="000000"/>
          <w:kern w:val="0"/>
          <w:szCs w:val="21"/>
        </w:rPr>
      </w:pPr>
      <w:r>
        <w:rPr>
          <w:rFonts w:hint="eastAsia" w:ascii="等线" w:hAnsi="等线" w:cs="HiddenHorzOCR"/>
          <w:color w:val="000000"/>
          <w:kern w:val="0"/>
          <w:szCs w:val="21"/>
        </w:rPr>
        <w:t xml:space="preserve">6.1.3 </w:t>
      </w:r>
      <w:r>
        <w:rPr>
          <w:rFonts w:hint="eastAsia" w:ascii="宋体" w:hAnsi="宋体" w:cs="HiddenHorzOCR"/>
          <w:color w:val="000000"/>
          <w:kern w:val="0"/>
          <w:szCs w:val="21"/>
        </w:rPr>
        <w:t>单-多层混凝土结构即为前面两条</w:t>
      </w:r>
      <w:r>
        <w:rPr>
          <w:rFonts w:hint="eastAsia" w:ascii="等线" w:hAnsi="等线" w:cs="HiddenHorzOCR"/>
          <w:color w:val="000000"/>
          <w:kern w:val="0"/>
          <w:szCs w:val="21"/>
        </w:rPr>
        <w:t>单层混凝土柱结构与</w:t>
      </w:r>
      <w:r>
        <w:rPr>
          <w:rFonts w:hint="eastAsia" w:ascii="宋体" w:hAnsi="宋体" w:cs="HiddenHorzOCR"/>
          <w:color w:val="000000"/>
          <w:kern w:val="0"/>
          <w:szCs w:val="21"/>
        </w:rPr>
        <w:t>多层混凝土结构的组合，因而其抗震设计可分别参考第</w:t>
      </w:r>
      <w:r>
        <w:rPr>
          <w:rFonts w:hint="eastAsia" w:ascii="宋体" w:hAnsi="宋体" w:cs="Arial"/>
          <w:bCs/>
          <w:color w:val="000000"/>
          <w:kern w:val="0"/>
          <w:szCs w:val="21"/>
        </w:rPr>
        <w:t>7章单</w:t>
      </w:r>
      <w:r>
        <w:rPr>
          <w:rFonts w:hint="eastAsia" w:ascii="宋体" w:hAnsi="宋体" w:cs="宋体"/>
          <w:bCs/>
          <w:color w:val="000000"/>
          <w:kern w:val="0"/>
          <w:szCs w:val="21"/>
        </w:rPr>
        <w:t>层</w:t>
      </w:r>
      <w:r>
        <w:rPr>
          <w:rFonts w:hint="eastAsia" w:ascii="宋体" w:hAnsi="宋体" w:cs="MS Mincho"/>
          <w:bCs/>
          <w:color w:val="000000"/>
          <w:kern w:val="0"/>
          <w:szCs w:val="21"/>
        </w:rPr>
        <w:t>混凝土柱</w:t>
      </w:r>
      <w:r>
        <w:rPr>
          <w:rFonts w:hint="eastAsia" w:ascii="宋体" w:hAnsi="宋体" w:cs="宋体"/>
          <w:bCs/>
          <w:color w:val="000000"/>
          <w:kern w:val="0"/>
          <w:szCs w:val="21"/>
        </w:rPr>
        <w:t>结构和第8章多层混凝土结构的相关要求即可。</w:t>
      </w:r>
    </w:p>
    <w:p>
      <w:pPr>
        <w:autoSpaceDE w:val="0"/>
        <w:autoSpaceDN w:val="0"/>
        <w:spacing w:line="360" w:lineRule="auto"/>
        <w:jc w:val="left"/>
        <w:rPr>
          <w:rFonts w:hint="eastAsia" w:ascii="宋体" w:hAnsi="宋体" w:cs="宋体"/>
          <w:bCs/>
          <w:color w:val="000000"/>
          <w:kern w:val="0"/>
          <w:szCs w:val="21"/>
        </w:rPr>
      </w:pPr>
    </w:p>
    <w:p>
      <w:pPr>
        <w:autoSpaceDE w:val="0"/>
        <w:autoSpaceDN w:val="0"/>
        <w:spacing w:line="360" w:lineRule="auto"/>
        <w:jc w:val="center"/>
        <w:rPr>
          <w:rFonts w:ascii="宋体" w:hAnsi="宋体" w:cs="HiddenHorzOCR"/>
          <w:color w:val="000000"/>
          <w:kern w:val="0"/>
          <w:szCs w:val="21"/>
        </w:rPr>
      </w:pPr>
      <w:r>
        <w:rPr>
          <w:rFonts w:hint="eastAsia" w:ascii="宋体" w:hAnsi="宋体" w:cs="HiddenHorzOCR"/>
          <w:color w:val="000000"/>
          <w:kern w:val="0"/>
          <w:szCs w:val="21"/>
        </w:rPr>
        <w:t>6.2 结构性能系数</w:t>
      </w:r>
    </w:p>
    <w:p>
      <w:pPr>
        <w:autoSpaceDE w:val="0"/>
        <w:autoSpaceDN w:val="0"/>
        <w:spacing w:line="360" w:lineRule="auto"/>
        <w:jc w:val="center"/>
        <w:rPr>
          <w:rFonts w:hint="eastAsia" w:ascii="宋体" w:hAnsi="宋体" w:cs="宋体"/>
          <w:bCs/>
          <w:color w:val="000000"/>
          <w:kern w:val="0"/>
          <w:szCs w:val="21"/>
        </w:rPr>
      </w:pPr>
    </w:p>
    <w:p>
      <w:pPr>
        <w:autoSpaceDE w:val="0"/>
        <w:autoSpaceDN w:val="0"/>
        <w:spacing w:line="360" w:lineRule="auto"/>
        <w:jc w:val="left"/>
        <w:rPr>
          <w:rFonts w:hint="eastAsia" w:ascii="宋体" w:hAnsi="宋体" w:cs="HiddenHorzOCR"/>
          <w:color w:val="000000"/>
          <w:kern w:val="0"/>
          <w:szCs w:val="21"/>
        </w:rPr>
      </w:pPr>
      <w:r>
        <w:rPr>
          <w:rFonts w:hint="eastAsia" w:ascii="宋体" w:hAnsi="宋体" w:cs="HiddenHorzOCR"/>
          <w:color w:val="000000"/>
          <w:kern w:val="0"/>
          <w:szCs w:val="21"/>
        </w:rPr>
        <w:t>6.2.1 混凝土结构采用塑性结构设计时，地震作用为“抗规”小震，性能系数取1.0，此时结构的构件和节点验算应按“混规”进行，并应符合“抗规”相应抗震等级的要求。</w:t>
      </w:r>
    </w:p>
    <w:p>
      <w:pPr>
        <w:autoSpaceDE w:val="0"/>
        <w:autoSpaceDN w:val="0"/>
        <w:spacing w:line="360" w:lineRule="auto"/>
        <w:jc w:val="left"/>
        <w:rPr>
          <w:rFonts w:ascii="宋体" w:hAnsi="宋体" w:cs="宋体"/>
          <w:bCs/>
          <w:color w:val="000000"/>
          <w:kern w:val="0"/>
          <w:szCs w:val="21"/>
        </w:rPr>
      </w:pPr>
      <w:r>
        <w:rPr>
          <w:rFonts w:hint="eastAsia" w:ascii="宋体" w:hAnsi="宋体" w:cs="HiddenHorzOCR"/>
          <w:color w:val="000000"/>
          <w:kern w:val="0"/>
          <w:szCs w:val="21"/>
        </w:rPr>
        <w:t>混凝土结构采用弹性结构设计时，地震作用为“抗规”小震的2.5倍，性能系数取2.5，此时结构的构件和节点验算应按“混规”进行，并应符合“抗规”抗震等级四级的最低抗震设防要求。</w:t>
      </w:r>
    </w:p>
    <w:p>
      <w:pPr>
        <w:autoSpaceDE w:val="0"/>
        <w:autoSpaceDN w:val="0"/>
        <w:adjustRightInd w:val="0"/>
        <w:spacing w:line="360" w:lineRule="auto"/>
        <w:jc w:val="left"/>
        <w:rPr>
          <w:rFonts w:ascii="等线" w:hAnsi="等线" w:cs="HiddenHorzOCR"/>
          <w:color w:val="000000"/>
          <w:kern w:val="0"/>
          <w:szCs w:val="21"/>
        </w:rPr>
      </w:pPr>
    </w:p>
    <w:p>
      <w:pPr>
        <w:autoSpaceDE w:val="0"/>
        <w:autoSpaceDN w:val="0"/>
        <w:adjustRightInd w:val="0"/>
        <w:spacing w:line="360" w:lineRule="auto"/>
        <w:ind w:firstLine="420" w:firstLineChars="200"/>
        <w:jc w:val="left"/>
        <w:rPr>
          <w:rFonts w:ascii="等线" w:hAnsi="等线" w:cs="HiddenHorzOCR"/>
          <w:color w:val="000000"/>
          <w:kern w:val="0"/>
          <w:szCs w:val="21"/>
        </w:rPr>
      </w:pPr>
    </w:p>
    <w:p>
      <w:pPr>
        <w:pStyle w:val="53"/>
        <w:autoSpaceDE w:val="0"/>
        <w:autoSpaceDN w:val="0"/>
        <w:adjustRightInd w:val="0"/>
        <w:snapToGrid w:val="0"/>
        <w:spacing w:line="360" w:lineRule="auto"/>
        <w:ind w:firstLine="0" w:firstLineChars="0"/>
        <w:rPr>
          <w:rFonts w:hint="eastAsia" w:ascii="等线" w:hAnsi="等线" w:cs="宋体"/>
          <w:bCs/>
          <w:color w:val="000000"/>
          <w:kern w:val="0"/>
          <w:szCs w:val="21"/>
        </w:rPr>
      </w:pPr>
    </w:p>
    <w:p>
      <w:pPr>
        <w:pStyle w:val="2"/>
        <w:numPr>
          <w:ilvl w:val="0"/>
          <w:numId w:val="11"/>
        </w:numPr>
        <w:rPr>
          <w:color w:val="000000"/>
        </w:rPr>
      </w:pPr>
      <w:bookmarkStart w:id="271" w:name="_Toc48049983"/>
      <w:r>
        <w:rPr>
          <w:rFonts w:hint="eastAsia"/>
          <w:color w:val="000000"/>
        </w:rPr>
        <w:t>单层混凝土柱结构</w:t>
      </w:r>
      <w:bookmarkEnd w:id="271"/>
    </w:p>
    <w:p>
      <w:pPr>
        <w:pStyle w:val="53"/>
        <w:autoSpaceDE w:val="0"/>
        <w:autoSpaceDN w:val="0"/>
        <w:adjustRightInd w:val="0"/>
        <w:snapToGrid w:val="0"/>
        <w:spacing w:line="360" w:lineRule="auto"/>
        <w:ind w:left="630" w:firstLine="0" w:firstLineChars="0"/>
        <w:rPr>
          <w:rFonts w:hint="eastAsia" w:ascii="等线" w:hAnsi="等线" w:cs="宋体"/>
          <w:bCs/>
          <w:color w:val="000000"/>
          <w:kern w:val="0"/>
          <w:szCs w:val="21"/>
        </w:rPr>
      </w:pPr>
    </w:p>
    <w:p>
      <w:pPr>
        <w:autoSpaceDE w:val="0"/>
        <w:autoSpaceDN w:val="0"/>
        <w:adjustRightInd w:val="0"/>
        <w:spacing w:line="360" w:lineRule="auto"/>
        <w:jc w:val="center"/>
        <w:rPr>
          <w:rFonts w:ascii="等线" w:hAnsi="等线" w:cs="MS Mincho"/>
          <w:color w:val="000000"/>
          <w:kern w:val="0"/>
          <w:szCs w:val="21"/>
        </w:rPr>
      </w:pPr>
      <w:r>
        <w:rPr>
          <w:rFonts w:hint="eastAsia" w:ascii="等线" w:hAnsi="等线"/>
          <w:color w:val="000000"/>
          <w:kern w:val="0"/>
          <w:szCs w:val="21"/>
        </w:rPr>
        <w:t xml:space="preserve">7.3 </w:t>
      </w:r>
      <w:r>
        <w:rPr>
          <w:rFonts w:hint="eastAsia" w:ascii="等线" w:hAnsi="等线" w:cs="HiddenHorzOCR"/>
          <w:color w:val="000000"/>
          <w:kern w:val="0"/>
          <w:szCs w:val="21"/>
        </w:rPr>
        <w:t>抗震</w:t>
      </w:r>
      <w:r>
        <w:rPr>
          <w:rFonts w:hint="eastAsia" w:ascii="等线" w:hAnsi="等线" w:cs="宋体"/>
          <w:color w:val="000000"/>
          <w:kern w:val="0"/>
          <w:szCs w:val="21"/>
        </w:rPr>
        <w:t>验</w:t>
      </w:r>
      <w:r>
        <w:rPr>
          <w:rFonts w:hint="eastAsia" w:ascii="等线" w:hAnsi="等线" w:cs="MS Mincho"/>
          <w:color w:val="000000"/>
          <w:kern w:val="0"/>
          <w:szCs w:val="21"/>
        </w:rPr>
        <w:t>算</w:t>
      </w:r>
      <w:r>
        <w:rPr>
          <w:rFonts w:hint="eastAsia" w:ascii="等线" w:hAnsi="等线" w:cs="HiddenHorzOCR"/>
          <w:color w:val="000000"/>
          <w:kern w:val="0"/>
          <w:szCs w:val="21"/>
        </w:rPr>
        <w:t>（2）——</w:t>
      </w:r>
      <w:r>
        <w:rPr>
          <w:rFonts w:hint="eastAsia" w:ascii="等线" w:hAnsi="等线" w:cs="宋体"/>
          <w:color w:val="000000"/>
          <w:kern w:val="0"/>
          <w:szCs w:val="21"/>
        </w:rPr>
        <w:t>结</w:t>
      </w:r>
      <w:r>
        <w:rPr>
          <w:rFonts w:hint="eastAsia" w:ascii="等线" w:hAnsi="等线" w:cs="MS Mincho"/>
          <w:color w:val="000000"/>
          <w:kern w:val="0"/>
          <w:szCs w:val="21"/>
        </w:rPr>
        <w:t>构构件、</w:t>
      </w:r>
      <w:r>
        <w:rPr>
          <w:rFonts w:hint="eastAsia" w:ascii="等线" w:hAnsi="等线" w:cs="宋体"/>
          <w:color w:val="000000"/>
          <w:kern w:val="0"/>
          <w:szCs w:val="21"/>
        </w:rPr>
        <w:t>节</w:t>
      </w:r>
      <w:r>
        <w:rPr>
          <w:rFonts w:hint="eastAsia" w:ascii="等线" w:hAnsi="等线" w:cs="MS Mincho"/>
          <w:color w:val="000000"/>
          <w:kern w:val="0"/>
          <w:szCs w:val="21"/>
        </w:rPr>
        <w:t>点和</w:t>
      </w:r>
      <w:r>
        <w:rPr>
          <w:rFonts w:hint="eastAsia" w:ascii="等线" w:hAnsi="等线" w:cs="宋体"/>
          <w:color w:val="000000"/>
          <w:kern w:val="0"/>
          <w:szCs w:val="21"/>
        </w:rPr>
        <w:t>连</w:t>
      </w:r>
      <w:r>
        <w:rPr>
          <w:rFonts w:hint="eastAsia" w:ascii="等线" w:hAnsi="等线" w:cs="MS Mincho"/>
          <w:color w:val="000000"/>
          <w:kern w:val="0"/>
          <w:szCs w:val="21"/>
        </w:rPr>
        <w:t>接件抗震承</w:t>
      </w:r>
      <w:r>
        <w:rPr>
          <w:rFonts w:hint="eastAsia" w:ascii="等线" w:hAnsi="等线" w:cs="宋体"/>
          <w:color w:val="000000"/>
          <w:kern w:val="0"/>
          <w:szCs w:val="21"/>
        </w:rPr>
        <w:t>载</w:t>
      </w:r>
      <w:r>
        <w:rPr>
          <w:rFonts w:hint="eastAsia" w:ascii="等线" w:hAnsi="等线" w:cs="MS Mincho"/>
          <w:color w:val="000000"/>
          <w:kern w:val="0"/>
          <w:szCs w:val="21"/>
        </w:rPr>
        <w:t>力</w:t>
      </w:r>
      <w:r>
        <w:rPr>
          <w:rFonts w:hint="eastAsia" w:ascii="等线" w:hAnsi="等线" w:cs="宋体"/>
          <w:color w:val="000000"/>
          <w:kern w:val="0"/>
          <w:szCs w:val="21"/>
        </w:rPr>
        <w:t>验</w:t>
      </w:r>
      <w:r>
        <w:rPr>
          <w:rFonts w:hint="eastAsia" w:ascii="等线" w:hAnsi="等线" w:cs="MS Mincho"/>
          <w:color w:val="000000"/>
          <w:kern w:val="0"/>
          <w:szCs w:val="21"/>
        </w:rPr>
        <w:t>算</w:t>
      </w:r>
    </w:p>
    <w:p>
      <w:pPr>
        <w:autoSpaceDE w:val="0"/>
        <w:autoSpaceDN w:val="0"/>
        <w:adjustRightInd w:val="0"/>
        <w:spacing w:line="360" w:lineRule="auto"/>
        <w:jc w:val="center"/>
        <w:rPr>
          <w:rFonts w:hint="eastAsia" w:ascii="等线" w:hAnsi="等线" w:cs="HiddenHorzOCR"/>
          <w:color w:val="000000"/>
          <w:kern w:val="0"/>
          <w:szCs w:val="21"/>
        </w:rPr>
      </w:pP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olor w:val="000000"/>
          <w:kern w:val="0"/>
          <w:szCs w:val="21"/>
        </w:rPr>
        <w:t xml:space="preserve">7.3.1 </w:t>
      </w:r>
      <w:r>
        <w:rPr>
          <w:rFonts w:hint="eastAsia" w:ascii="等线" w:hAnsi="等线" w:cs="HiddenHorzOCR"/>
          <w:color w:val="000000"/>
          <w:kern w:val="0"/>
          <w:szCs w:val="21"/>
        </w:rPr>
        <w:t>单层混凝土柱结构的柱属偏心受力杆件，其正截面受弯承载力、</w:t>
      </w:r>
      <w:r>
        <w:rPr>
          <w:rFonts w:hint="eastAsia" w:ascii="等线" w:hAnsi="等线" w:cs="MS Mincho"/>
          <w:color w:val="000000"/>
          <w:kern w:val="0"/>
          <w:szCs w:val="21"/>
        </w:rPr>
        <w:t>受剪截面条件、斜截面受剪承</w:t>
      </w:r>
      <w:r>
        <w:rPr>
          <w:rFonts w:hint="eastAsia" w:ascii="等线" w:hAnsi="等线" w:cs="宋体"/>
          <w:color w:val="000000"/>
          <w:kern w:val="0"/>
          <w:szCs w:val="21"/>
        </w:rPr>
        <w:t>载</w:t>
      </w:r>
      <w:r>
        <w:rPr>
          <w:rFonts w:hint="eastAsia" w:ascii="等线" w:hAnsi="等线" w:cs="MS Mincho"/>
          <w:color w:val="000000"/>
          <w:kern w:val="0"/>
          <w:szCs w:val="21"/>
        </w:rPr>
        <w:t>力的计算应</w:t>
      </w:r>
      <w:r>
        <w:rPr>
          <w:rFonts w:hint="eastAsia" w:ascii="等线" w:hAnsi="等线" w:cs="HiddenHorzOCR"/>
          <w:color w:val="000000"/>
          <w:kern w:val="0"/>
          <w:szCs w:val="21"/>
        </w:rPr>
        <w:t>按</w:t>
      </w:r>
      <w:r>
        <w:rPr>
          <w:rFonts w:hint="eastAsia" w:ascii="等线" w:hAnsi="等线" w:cs="MS Mincho"/>
          <w:color w:val="000000"/>
          <w:kern w:val="0"/>
          <w:szCs w:val="21"/>
        </w:rPr>
        <w:t>《混凝土</w:t>
      </w:r>
      <w:r>
        <w:rPr>
          <w:rFonts w:hint="eastAsia" w:ascii="等线" w:hAnsi="等线" w:cs="宋体"/>
          <w:color w:val="000000"/>
          <w:kern w:val="0"/>
          <w:szCs w:val="21"/>
        </w:rPr>
        <w:t>结</w:t>
      </w:r>
      <w:r>
        <w:rPr>
          <w:rFonts w:hint="eastAsia" w:ascii="等线" w:hAnsi="等线" w:cs="MS Mincho"/>
          <w:color w:val="000000"/>
          <w:kern w:val="0"/>
          <w:szCs w:val="21"/>
        </w:rPr>
        <w:t>构</w:t>
      </w:r>
      <w:r>
        <w:rPr>
          <w:rFonts w:hint="eastAsia" w:ascii="等线" w:hAnsi="等线" w:cs="宋体"/>
          <w:color w:val="000000"/>
          <w:kern w:val="0"/>
          <w:szCs w:val="21"/>
        </w:rPr>
        <w:t>设计规</w:t>
      </w:r>
      <w:r>
        <w:rPr>
          <w:rFonts w:hint="eastAsia" w:ascii="等线" w:hAnsi="等线" w:cs="MS Mincho"/>
          <w:color w:val="000000"/>
          <w:kern w:val="0"/>
          <w:szCs w:val="21"/>
        </w:rPr>
        <w:t>范</w:t>
      </w:r>
      <w:r>
        <w:rPr>
          <w:rFonts w:hint="eastAsia" w:ascii="等线" w:hAnsi="等线" w:cs="HiddenHorzOCR"/>
          <w:color w:val="000000"/>
          <w:kern w:val="0"/>
          <w:szCs w:val="21"/>
        </w:rPr>
        <w:t>》（GB50010-2010）第11.5节铰接排架柱的要求进行。但应当注意，第11.5节再次引向第11.4节的公式，而该节并未给出正截面受弯承载力计算公式，这就要到前面非抗震部分第6.2节去找。需要提醒的是，非抗震的公式在这里应用要考虑抗力分项系数</w:t>
      </w:r>
      <w:r>
        <w:rPr>
          <w:rFonts w:ascii="等线" w:hAnsi="等线" w:cs="HiddenHorzOCR"/>
          <w:color w:val="000000"/>
          <w:kern w:val="0"/>
          <w:szCs w:val="21"/>
        </w:rPr>
        <w:fldChar w:fldCharType="begin"/>
      </w:r>
      <w:r>
        <w:rPr>
          <w:rFonts w:ascii="等线" w:hAnsi="等线" w:cs="HiddenHorzOCR"/>
          <w:color w:val="000000"/>
          <w:kern w:val="0"/>
          <w:szCs w:val="21"/>
        </w:rPr>
        <w:instrText xml:space="preserve"> QUOTE </w:instrText>
      </w:r>
      <w:r>
        <w:rPr>
          <w:rFonts w:hint="eastAsia"/>
          <w:color w:val="000000"/>
          <w:position w:val="-8"/>
        </w:rPr>
        <w:pict>
          <v:shape id="_x0000_i1143" o:spt="75" type="#_x0000_t75" style="height:15.5pt;width:15.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6C01A1&quot;/&gt;&lt;wsp:rsid wsp:val=&quot;00D41EBD&quot;/&gt;&lt;wsp:rsid wsp:val=&quot;00D9087C&quot;/&gt;&lt;/wsp:rsids&gt;&lt;/w:docPr&gt;&lt;w:body&gt;&lt;wx:sect&gt;&lt;w:p wsp:rsidR=&quot;00000000&quot; wsp:rsidRDefault=&quot;00D41EBD&quot; wsp:rsidP=&quot;00D41EBD&quot;&gt;&lt;m:oMathPara&gt;&lt;m:oMath&gt;&lt;m:sSub&gt;&lt;m:sSubPr&gt;&lt;m:ctrlPr&gt;&lt;aml:annotation aml:id=&quot;0&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aml:content&gt;&lt;/aml:annotation&gt;&lt;/m:ctrlPr&gt;&lt;/m:sSubPr&gt;&lt;m:e&gt;&lt;m:r&gt;&lt;aml:annotation aml:id=&quot;1&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γ&lt;/m:t&gt;&lt;/aml:content&gt;&lt;/aml:annotation&gt;&lt;/m:r&gt;&lt;/m:e&gt;&lt;m:sub&gt;&lt;m:r&gt;&lt;aml:annotation aml:id=&quot;2&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RE&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21" chromakey="#FFFFFF" o:title=""/>
            <o:lock v:ext="edit" aspectratio="t"/>
            <w10:wrap type="none"/>
            <w10:anchorlock/>
          </v:shape>
        </w:pict>
      </w:r>
      <w:r>
        <w:rPr>
          <w:rFonts w:ascii="等线" w:hAnsi="等线" w:cs="HiddenHorzOCR"/>
          <w:color w:val="000000"/>
          <w:kern w:val="0"/>
          <w:szCs w:val="21"/>
        </w:rPr>
        <w:instrText xml:space="preserve"> </w:instrText>
      </w:r>
      <w:r>
        <w:rPr>
          <w:rFonts w:ascii="等线" w:hAnsi="等线" w:cs="HiddenHorzOCR"/>
          <w:color w:val="000000"/>
          <w:kern w:val="0"/>
          <w:szCs w:val="21"/>
        </w:rPr>
        <w:fldChar w:fldCharType="separate"/>
      </w:r>
      <w:r>
        <w:rPr>
          <w:rFonts w:hint="eastAsia"/>
          <w:color w:val="000000"/>
          <w:position w:val="-8"/>
        </w:rPr>
        <w:pict>
          <v:shape id="_x0000_i1144" o:spt="75" type="#_x0000_t75" style="height:15.5pt;width:15.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6C01A1&quot;/&gt;&lt;wsp:rsid wsp:val=&quot;00D41EBD&quot;/&gt;&lt;wsp:rsid wsp:val=&quot;00D9087C&quot;/&gt;&lt;/wsp:rsids&gt;&lt;/w:docPr&gt;&lt;w:body&gt;&lt;wx:sect&gt;&lt;w:p wsp:rsidR=&quot;00000000&quot; wsp:rsidRDefault=&quot;00D41EBD&quot; wsp:rsidP=&quot;00D41EBD&quot;&gt;&lt;m:oMathPara&gt;&lt;m:oMath&gt;&lt;m:sSub&gt;&lt;m:sSubPr&gt;&lt;m:ctrlPr&gt;&lt;aml:annotation aml:id=&quot;0&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aml:content&gt;&lt;/aml:annotation&gt;&lt;/m:ctrlPr&gt;&lt;/m:sSubPr&gt;&lt;m:e&gt;&lt;m:r&gt;&lt;aml:annotation aml:id=&quot;1&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γ&lt;/m:t&gt;&lt;/aml:content&gt;&lt;/aml:annotation&gt;&lt;/m:r&gt;&lt;/m:e&gt;&lt;m:sub&gt;&lt;m:r&gt;&lt;aml:annotation aml:id=&quot;2&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RE&lt;/m:t&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21" chromakey="#FFFFFF" o:title=""/>
            <o:lock v:ext="edit" aspectratio="t"/>
            <w10:wrap type="none"/>
            <w10:anchorlock/>
          </v:shape>
        </w:pict>
      </w:r>
      <w:r>
        <w:rPr>
          <w:rFonts w:ascii="等线" w:hAnsi="等线" w:cs="HiddenHorzOCR"/>
          <w:color w:val="000000"/>
          <w:kern w:val="0"/>
          <w:szCs w:val="21"/>
        </w:rPr>
        <w:fldChar w:fldCharType="end"/>
      </w:r>
      <w:r>
        <w:rPr>
          <w:rFonts w:hint="eastAsia" w:ascii="等线" w:hAnsi="等线" w:cs="HiddenHorzOCR"/>
          <w:color w:val="000000"/>
          <w:kern w:val="0"/>
          <w:szCs w:val="21"/>
        </w:rPr>
        <w:t>，且对于抗剪计算公式，混凝土部分的抗力要折减。</w:t>
      </w:r>
    </w:p>
    <w:p>
      <w:pPr>
        <w:autoSpaceDE w:val="0"/>
        <w:autoSpaceDN w:val="0"/>
        <w:adjustRightInd w:val="0"/>
        <w:spacing w:line="360" w:lineRule="auto"/>
        <w:ind w:firstLine="420"/>
        <w:jc w:val="left"/>
        <w:rPr>
          <w:rFonts w:ascii="等线" w:hAnsi="等线" w:cs="HiddenHorzOCR"/>
          <w:color w:val="000000"/>
          <w:kern w:val="0"/>
          <w:szCs w:val="21"/>
        </w:rPr>
      </w:pPr>
      <w:r>
        <w:rPr>
          <w:rFonts w:hint="eastAsia" w:ascii="等线" w:hAnsi="等线" w:cs="HiddenHorzOCR"/>
          <w:color w:val="000000"/>
          <w:kern w:val="0"/>
          <w:szCs w:val="21"/>
        </w:rPr>
        <w:t>另一点需要注意的是，10版混规对于柱考虑二阶效应的弯矩放大系数有两个公式，排架柱要按附录B中的第B.0.4条的公式计算。</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7.3.2 平腹杆双肢柱设计要注意以下特点。</w:t>
      </w:r>
    </w:p>
    <w:p>
      <w:pPr>
        <w:autoSpaceDE w:val="0"/>
        <w:autoSpaceDN w:val="0"/>
        <w:adjustRightInd w:val="0"/>
        <w:spacing w:line="360" w:lineRule="auto"/>
        <w:jc w:val="left"/>
        <w:rPr>
          <w:rFonts w:ascii="等线" w:hAnsi="等线" w:cs="HiddenHorzOCR"/>
          <w:color w:val="000000"/>
          <w:kern w:val="0"/>
          <w:szCs w:val="21"/>
        </w:rPr>
      </w:pPr>
      <w:r>
        <w:rPr>
          <w:rFonts w:ascii="等线" w:hAnsi="等线" w:cs="HiddenHorzOCR"/>
          <w:color w:val="000000"/>
          <w:kern w:val="0"/>
          <w:szCs w:val="21"/>
        </w:rPr>
        <w:t xml:space="preserve">1 </w:t>
      </w:r>
      <w:r>
        <w:rPr>
          <w:rFonts w:hint="eastAsia" w:ascii="等线" w:hAnsi="等线" w:cs="HiddenHorzOCR"/>
          <w:color w:val="000000"/>
          <w:kern w:val="0"/>
          <w:szCs w:val="21"/>
        </w:rPr>
        <w:t>平腹杆双肢柱的计算模型按分肢杆计算，肢杆为矩形截面，一杆受压、一杆受拉，正截面抗弯承载力按“混规”计算。</w:t>
      </w:r>
    </w:p>
    <w:p>
      <w:pPr>
        <w:autoSpaceDE w:val="0"/>
        <w:autoSpaceDN w:val="0"/>
        <w:adjustRightInd w:val="0"/>
        <w:spacing w:line="360" w:lineRule="auto"/>
        <w:ind w:firstLine="420"/>
        <w:jc w:val="left"/>
        <w:rPr>
          <w:rFonts w:ascii="等线" w:hAnsi="等线" w:cs="HiddenHorzOCR"/>
          <w:color w:val="000000"/>
          <w:kern w:val="0"/>
          <w:szCs w:val="21"/>
        </w:rPr>
      </w:pPr>
      <w:r>
        <w:rPr>
          <w:rFonts w:hint="eastAsia" w:ascii="等线" w:hAnsi="等线" w:cs="HiddenHorzOCR"/>
          <w:color w:val="000000"/>
          <w:kern w:val="0"/>
          <w:szCs w:val="21"/>
        </w:rPr>
        <w:t>压肢的考虑二阶效应的弯矩放大系数取单肢参数按排架柱的计算公式计算。</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s="HiddenHorzOCR"/>
          <w:color w:val="000000"/>
          <w:kern w:val="0"/>
          <w:szCs w:val="21"/>
        </w:rPr>
        <w:t>2 平腹杆双肢柱，按压肢和拉肢应分别符合“混规”的抗剪截面要求。</w:t>
      </w:r>
    </w:p>
    <w:p>
      <w:pPr>
        <w:autoSpaceDE w:val="0"/>
        <w:autoSpaceDN w:val="0"/>
        <w:adjustRightInd w:val="0"/>
        <w:spacing w:line="360" w:lineRule="auto"/>
        <w:jc w:val="left"/>
        <w:rPr>
          <w:rFonts w:ascii="等线" w:hAnsi="等线" w:cs="HiddenHorzOCR"/>
          <w:color w:val="000000"/>
          <w:kern w:val="0"/>
          <w:szCs w:val="21"/>
        </w:rPr>
      </w:pPr>
      <w:r>
        <w:rPr>
          <w:rFonts w:hint="eastAsia" w:ascii="等线" w:hAnsi="等线"/>
          <w:color w:val="000000"/>
          <w:kern w:val="0"/>
          <w:szCs w:val="21"/>
        </w:rPr>
        <w:t>3</w:t>
      </w:r>
      <w:r>
        <w:rPr>
          <w:rFonts w:ascii="等线" w:hAnsi="等线"/>
          <w:color w:val="000000"/>
          <w:kern w:val="0"/>
          <w:szCs w:val="21"/>
        </w:rPr>
        <w:t xml:space="preserve"> </w:t>
      </w:r>
      <w:r>
        <w:rPr>
          <w:rFonts w:hint="eastAsia" w:ascii="等线" w:hAnsi="等线" w:cs="HiddenHorzOCR"/>
          <w:color w:val="000000"/>
          <w:kern w:val="0"/>
          <w:szCs w:val="21"/>
        </w:rPr>
        <w:t>偏压柱中压力的存在能提高柱的抗剪能力。但当轴压比增大到一定程度后，柱因转变为带有斜裂缝的小偏压破坏而导致抗剪承载力降低。“混规”的做法是在抗剪计算公式中，采用限制轴压比的方法解决这一问题，既公式(7.3.2-1</w:t>
      </w:r>
      <w:r>
        <w:rPr>
          <w:rFonts w:ascii="等线" w:hAnsi="等线" w:cs="HiddenHorzOCR"/>
          <w:color w:val="000000"/>
          <w:kern w:val="0"/>
          <w:szCs w:val="21"/>
        </w:rPr>
        <w:t>)</w:t>
      </w:r>
      <w:r>
        <w:rPr>
          <w:rFonts w:hint="eastAsia" w:ascii="等线" w:hAnsi="等线" w:cs="HiddenHorzOCR"/>
          <w:color w:val="000000"/>
          <w:kern w:val="0"/>
          <w:szCs w:val="21"/>
        </w:rPr>
        <w:t>中取压力</w:t>
      </w:r>
      <w:r>
        <w:rPr>
          <w:rFonts w:ascii="等线" w:hAnsi="等线" w:cs="HiddenHorzOCR"/>
          <w:color w:val="000000"/>
          <w:kern w:val="0"/>
          <w:szCs w:val="21"/>
        </w:rPr>
        <w:fldChar w:fldCharType="begin"/>
      </w:r>
      <w:r>
        <w:rPr>
          <w:rFonts w:ascii="等线" w:hAnsi="等线" w:cs="HiddenHorzOCR"/>
          <w:color w:val="000000"/>
          <w:kern w:val="0"/>
          <w:szCs w:val="21"/>
        </w:rPr>
        <w:instrText xml:space="preserve"> QUOTE </w:instrText>
      </w:r>
      <w:r>
        <w:rPr>
          <w:rFonts w:hint="eastAsia"/>
          <w:color w:val="000000"/>
          <w:position w:val="-8"/>
        </w:rPr>
        <w:pict>
          <v:shape id="_x0000_i1145" o:spt="75" type="#_x0000_t75" style="height:15.5pt;width:11.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471B88&quot;/&gt;&lt;wsp:rsid wsp:val=&quot;006C01A1&quot;/&gt;&lt;wsp:rsid wsp:val=&quot;00D9087C&quot;/&gt;&lt;/wsp:rsids&gt;&lt;/w:docPr&gt;&lt;w:body&gt;&lt;wx:sect&gt;&lt;w:p wsp:rsidR=&quot;00000000&quot; wsp:rsidRDefault=&quot;00471B88&quot; wsp:rsidP=&quot;00471B88&quot;&gt;&lt;m:oMathPara&gt;&lt;m:oMath&gt;&lt;m:sSubSup&gt;&lt;m:sSubSupPr&gt;&lt;m:ctrlPr&gt;&lt;aml:annotation aml:id=&quot;0&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aml:content&gt;&lt;/aml:annotation&gt;&lt;/m:ctrlPr&gt;&lt;/m:sSubSupPr&gt;&lt;m:e&gt;&lt;m:r&gt;&lt;aml:annotation aml:id=&quot;1&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N&lt;/m:t&gt;&lt;/aml:content&gt;&lt;/aml:annotation&gt;&lt;/m:r&gt;&lt;/m:e&gt;&lt;m:sub&gt;&lt;m:r&gt;&lt;aml:annotation aml:id=&quot;2&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1&lt;/m:t&gt;&lt;/aml:content&gt;&lt;/aml:annotation&gt;&lt;/m:r&gt;&lt;/m:sub&gt;&lt;m:sup&gt;&lt;m:r&gt;&lt;aml:annotation aml:id=&quot;3&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lt;/m:t&gt;&lt;/aml:content&gt;&lt;/aml:annotation&gt;&lt;/m:r&gt;&lt;/m:sup&gt;&lt;/m:sSub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22" chromakey="#FFFFFF" o:title=""/>
            <o:lock v:ext="edit" aspectratio="t"/>
            <w10:wrap type="none"/>
            <w10:anchorlock/>
          </v:shape>
        </w:pict>
      </w:r>
      <w:r>
        <w:rPr>
          <w:rFonts w:ascii="等线" w:hAnsi="等线" w:cs="HiddenHorzOCR"/>
          <w:color w:val="000000"/>
          <w:kern w:val="0"/>
          <w:szCs w:val="21"/>
        </w:rPr>
        <w:instrText xml:space="preserve"> </w:instrText>
      </w:r>
      <w:r>
        <w:rPr>
          <w:rFonts w:ascii="等线" w:hAnsi="等线" w:cs="HiddenHorzOCR"/>
          <w:color w:val="000000"/>
          <w:kern w:val="0"/>
          <w:szCs w:val="21"/>
        </w:rPr>
        <w:fldChar w:fldCharType="separate"/>
      </w:r>
      <w:r>
        <w:rPr>
          <w:rFonts w:hint="eastAsia"/>
          <w:color w:val="000000"/>
          <w:position w:val="-8"/>
        </w:rPr>
        <w:pict>
          <v:shape id="_x0000_i1146" o:spt="75" type="#_x0000_t75" style="height:15.5pt;width:11.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471B88&quot;/&gt;&lt;wsp:rsid wsp:val=&quot;006C01A1&quot;/&gt;&lt;wsp:rsid wsp:val=&quot;00D9087C&quot;/&gt;&lt;/wsp:rsids&gt;&lt;/w:docPr&gt;&lt;w:body&gt;&lt;wx:sect&gt;&lt;w:p wsp:rsidR=&quot;00000000&quot; wsp:rsidRDefault=&quot;00471B88&quot; wsp:rsidP=&quot;00471B88&quot;&gt;&lt;m:oMathPara&gt;&lt;m:oMath&gt;&lt;m:sSubSup&gt;&lt;m:sSubSupPr&gt;&lt;m:ctrlPr&gt;&lt;aml:annotation aml:id=&quot;0&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aml:content&gt;&lt;/aml:annotation&gt;&lt;/m:ctrlPr&gt;&lt;/m:sSubSupPr&gt;&lt;m:e&gt;&lt;m:r&gt;&lt;aml:annotation aml:id=&quot;1&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N&lt;/m:t&gt;&lt;/aml:content&gt;&lt;/aml:annotation&gt;&lt;/m:r&gt;&lt;/m:e&gt;&lt;m:sub&gt;&lt;m:r&gt;&lt;aml:annotation aml:id=&quot;2&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1&lt;/m:t&gt;&lt;/aml:content&gt;&lt;/aml:annotation&gt;&lt;/m:r&gt;&lt;/m:sub&gt;&lt;m:sup&gt;&lt;m:r&gt;&lt;aml:annotation aml:id=&quot;3&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lt;/m:t&gt;&lt;/aml:content&gt;&lt;/aml:annotation&gt;&lt;/m:r&gt;&lt;/m:sup&gt;&lt;/m:sSub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22" chromakey="#FFFFFF" o:title=""/>
            <o:lock v:ext="edit" aspectratio="t"/>
            <w10:wrap type="none"/>
            <w10:anchorlock/>
          </v:shape>
        </w:pict>
      </w:r>
      <w:r>
        <w:rPr>
          <w:rFonts w:ascii="等线" w:hAnsi="等线" w:cs="HiddenHorzOCR"/>
          <w:color w:val="000000"/>
          <w:kern w:val="0"/>
          <w:szCs w:val="21"/>
        </w:rPr>
        <w:fldChar w:fldCharType="end"/>
      </w:r>
      <w:r>
        <w:rPr>
          <w:rFonts w:hint="eastAsia" w:ascii="等线" w:hAnsi="等线" w:cs="HiddenHorzOCR"/>
          <w:color w:val="000000"/>
          <w:kern w:val="0"/>
          <w:szCs w:val="21"/>
        </w:rPr>
        <w:t>的上限值为</w:t>
      </w:r>
      <w:r>
        <w:rPr>
          <w:rFonts w:ascii="等线" w:hAnsi="等线" w:cs="HiddenHorzOCR"/>
          <w:color w:val="000000"/>
          <w:kern w:val="0"/>
          <w:szCs w:val="21"/>
        </w:rPr>
        <w:t>0.3</w:t>
      </w:r>
      <w:r>
        <w:rPr>
          <w:rFonts w:ascii="等线" w:hAnsi="等线" w:cs="HiddenHorzOCR"/>
          <w:color w:val="000000"/>
          <w:kern w:val="0"/>
          <w:szCs w:val="21"/>
        </w:rPr>
        <w:fldChar w:fldCharType="begin"/>
      </w:r>
      <w:r>
        <w:rPr>
          <w:rFonts w:ascii="等线" w:hAnsi="等线" w:cs="HiddenHorzOCR"/>
          <w:color w:val="000000"/>
          <w:kern w:val="0"/>
          <w:szCs w:val="21"/>
        </w:rPr>
        <w:instrText xml:space="preserve"> QUOTE </w:instrText>
      </w:r>
      <w:r>
        <w:rPr>
          <w:color w:val="000000"/>
          <w:position w:val="-8"/>
        </w:rPr>
        <w:pict>
          <v:shape id="_x0000_i1147" o:spt="75" type="#_x0000_t75" style="height:15.5pt;width:20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6C01A1&quot;/&gt;&lt;wsp:rsid wsp:val=&quot;008C60A6&quot;/&gt;&lt;wsp:rsid wsp:val=&quot;00D9087C&quot;/&gt;&lt;/wsp:rsids&gt;&lt;/w:docPr&gt;&lt;w:body&gt;&lt;wx:sect&gt;&lt;w:p wsp:rsidR=&quot;00000000&quot; wsp:rsidRDefault=&quot;008C60A6&quot; wsp:rsidP=&quot;008C60A6&quot;&gt;&lt;m:oMathPara&gt;&lt;m:oMath&gt;&lt;m:sSub&gt;&lt;m:sSubPr&gt;&lt;m:ctrlPr&gt;&lt;aml:annotation aml:id=&quot;0&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aml:content&gt;&lt;/aml:annotation&gt;&lt;/m:ctrlPr&gt;&lt;/m:sSubPr&gt;&lt;m:e&gt;&lt;m:r&gt;&lt;aml:annotation aml:id=&quot;1&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f&lt;/m:t&gt;&lt;/aml:content&gt;&lt;/aml:annotation&gt;&lt;/m:r&gt;&lt;/m:e&gt;&lt;m:sub&gt;&lt;m:r&gt;&lt;aml:annotation aml:id=&quot;2&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c&lt;/m:t&gt;&lt;/aml:content&gt;&lt;/aml:annotation&gt;&lt;/m:r&gt;&lt;/m:sub&gt;&lt;/m:sSub&gt;&lt;m:r&gt;&lt;aml:annotation aml:id=&quot;3&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bh&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23" chromakey="#FFFFFF" o:title=""/>
            <o:lock v:ext="edit" aspectratio="t"/>
            <w10:wrap type="none"/>
            <w10:anchorlock/>
          </v:shape>
        </w:pict>
      </w:r>
      <w:r>
        <w:rPr>
          <w:rFonts w:ascii="等线" w:hAnsi="等线" w:cs="HiddenHorzOCR"/>
          <w:color w:val="000000"/>
          <w:kern w:val="0"/>
          <w:szCs w:val="21"/>
        </w:rPr>
        <w:instrText xml:space="preserve"> </w:instrText>
      </w:r>
      <w:r>
        <w:rPr>
          <w:rFonts w:ascii="等线" w:hAnsi="等线" w:cs="HiddenHorzOCR"/>
          <w:color w:val="000000"/>
          <w:kern w:val="0"/>
          <w:szCs w:val="21"/>
        </w:rPr>
        <w:fldChar w:fldCharType="separate"/>
      </w:r>
      <w:r>
        <w:rPr>
          <w:color w:val="000000"/>
          <w:position w:val="-8"/>
        </w:rPr>
        <w:pict>
          <v:shape id="_x0000_i1148" o:spt="75" type="#_x0000_t75" style="height:15.5pt;width:20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6C01A1&quot;/&gt;&lt;wsp:rsid wsp:val=&quot;008C60A6&quot;/&gt;&lt;wsp:rsid wsp:val=&quot;00D9087C&quot;/&gt;&lt;/wsp:rsids&gt;&lt;/w:docPr&gt;&lt;w:body&gt;&lt;wx:sect&gt;&lt;w:p wsp:rsidR=&quot;00000000&quot; wsp:rsidRDefault=&quot;008C60A6&quot; wsp:rsidP=&quot;008C60A6&quot;&gt;&lt;m:oMathPara&gt;&lt;m:oMath&gt;&lt;m:sSub&gt;&lt;m:sSubPr&gt;&lt;m:ctrlPr&gt;&lt;aml:annotation aml:id=&quot;0&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aml:content&gt;&lt;/aml:annotation&gt;&lt;/m:ctrlPr&gt;&lt;/m:sSubPr&gt;&lt;m:e&gt;&lt;m:r&gt;&lt;aml:annotation aml:id=&quot;1&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f&lt;/m:t&gt;&lt;/aml:content&gt;&lt;/aml:annotation&gt;&lt;/m:r&gt;&lt;/m:e&gt;&lt;m:sub&gt;&lt;m:r&gt;&lt;aml:annotation aml:id=&quot;2&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c&lt;/m:t&gt;&lt;/aml:content&gt;&lt;/aml:annotation&gt;&lt;/m:r&gt;&lt;/m:sub&gt;&lt;/m:sSub&gt;&lt;m:r&gt;&lt;aml:annotation aml:id=&quot;3&quot; w:type=&quot;Word.Insertion&quot; aml:author=&quot;13901212966@sina.cn&quot; aml:createdate=&quot;2019-11-19T23:37:00Z&quot;&gt;&lt;aml:content&gt;&lt;w:rPr&gt;&lt;w:rFonts w:ascii=&quot;Cambria Math&quot; w:h-ansi=&quot;Cambria Math&quot; w:cs=&quot;HiddenHorzOCR&quot;/&gt;&lt;wx:font wx:val=&quot;Cambria Math&quot;/&gt;&lt;w:i/&gt;&lt;w:kern w:val=&quot;0&quot;/&gt;&lt;w:sz-cs w:val=&quot;21&quot;/&gt;&lt;/w:rPr&gt;&lt;m:t&gt;bh&lt;/m:t&gt;&lt;/aml:content&gt;&lt;/aml:annotation&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323" chromakey="#FFFFFF" o:title=""/>
            <o:lock v:ext="edit" aspectratio="t"/>
            <w10:wrap type="none"/>
            <w10:anchorlock/>
          </v:shape>
        </w:pict>
      </w:r>
      <w:r>
        <w:rPr>
          <w:rFonts w:ascii="等线" w:hAnsi="等线" w:cs="HiddenHorzOCR"/>
          <w:color w:val="000000"/>
          <w:kern w:val="0"/>
          <w:szCs w:val="21"/>
        </w:rPr>
        <w:fldChar w:fldCharType="end"/>
      </w:r>
      <w:r>
        <w:rPr>
          <w:rFonts w:hint="eastAsia" w:ascii="等线" w:hAnsi="等线" w:cs="HiddenHorzOCR"/>
          <w:color w:val="000000"/>
          <w:kern w:val="0"/>
          <w:szCs w:val="21"/>
        </w:rPr>
        <w:t>。</w:t>
      </w:r>
    </w:p>
    <w:p>
      <w:pPr>
        <w:autoSpaceDE w:val="0"/>
        <w:autoSpaceDN w:val="0"/>
        <w:adjustRightInd w:val="0"/>
        <w:spacing w:line="360" w:lineRule="auto"/>
        <w:ind w:firstLine="420"/>
        <w:jc w:val="left"/>
        <w:rPr>
          <w:rFonts w:ascii="等线" w:hAnsi="等线" w:cs="HiddenHorzOCR"/>
          <w:color w:val="000000"/>
          <w:kern w:val="0"/>
          <w:szCs w:val="21"/>
        </w:rPr>
      </w:pPr>
      <w:r>
        <w:rPr>
          <w:rFonts w:hint="eastAsia" w:ascii="等线" w:hAnsi="等线" w:cs="HiddenHorzOCR"/>
          <w:color w:val="000000"/>
          <w:kern w:val="0"/>
          <w:szCs w:val="21"/>
        </w:rPr>
        <w:t>上述做法对于一般的实腹框架柱是可行的。但对于双肢柱，压肢的轴压比可能会很高，比如高于0.7。这时，混凝土部分的抗剪能力会大大降低，需要依公式（</w:t>
      </w:r>
      <w:r>
        <w:rPr>
          <w:rFonts w:ascii="等线" w:hAnsi="等线" w:cs="HiddenHorzOCR"/>
          <w:color w:val="000000"/>
          <w:kern w:val="0"/>
          <w:szCs w:val="21"/>
        </w:rPr>
        <w:t>7.3.2-</w:t>
      </w:r>
      <w:r>
        <w:rPr>
          <w:rFonts w:hint="eastAsia" w:ascii="等线" w:hAnsi="等线" w:cs="HiddenHorzOCR"/>
          <w:color w:val="000000"/>
          <w:kern w:val="0"/>
          <w:szCs w:val="21"/>
        </w:rPr>
        <w:t>2）考虑轴压比的影响予以折减。</w:t>
      </w:r>
    </w:p>
    <w:p>
      <w:pPr>
        <w:autoSpaceDE w:val="0"/>
        <w:autoSpaceDN w:val="0"/>
        <w:adjustRightInd w:val="0"/>
        <w:spacing w:line="360" w:lineRule="auto"/>
        <w:ind w:firstLine="420"/>
        <w:jc w:val="left"/>
        <w:rPr>
          <w:rFonts w:ascii="等线" w:hAnsi="等线" w:cs="HiddenHorzOCR"/>
          <w:color w:val="000000"/>
          <w:kern w:val="0"/>
          <w:szCs w:val="21"/>
        </w:rPr>
      </w:pPr>
    </w:p>
    <w:p>
      <w:pPr>
        <w:autoSpaceDE w:val="0"/>
        <w:autoSpaceDN w:val="0"/>
        <w:adjustRightInd w:val="0"/>
        <w:spacing w:line="360" w:lineRule="auto"/>
        <w:ind w:firstLine="420"/>
        <w:jc w:val="left"/>
        <w:rPr>
          <w:rFonts w:ascii="等线" w:hAnsi="等线" w:cs="HiddenHorzOCR"/>
          <w:color w:val="000000"/>
          <w:kern w:val="0"/>
          <w:szCs w:val="21"/>
        </w:rPr>
      </w:pPr>
    </w:p>
    <w:p>
      <w:pPr>
        <w:autoSpaceDE w:val="0"/>
        <w:autoSpaceDN w:val="0"/>
        <w:adjustRightInd w:val="0"/>
        <w:spacing w:line="360" w:lineRule="auto"/>
        <w:ind w:firstLine="420"/>
        <w:jc w:val="left"/>
        <w:rPr>
          <w:rFonts w:hint="eastAsia" w:ascii="等线" w:hAnsi="等线" w:cs="HiddenHorzOCR"/>
          <w:color w:val="000000"/>
          <w:kern w:val="0"/>
          <w:szCs w:val="21"/>
        </w:rPr>
      </w:pPr>
    </w:p>
    <w:p>
      <w:pPr>
        <w:pStyle w:val="2"/>
        <w:numPr>
          <w:ilvl w:val="0"/>
          <w:numId w:val="11"/>
        </w:numPr>
        <w:rPr>
          <w:color w:val="000000"/>
        </w:rPr>
      </w:pPr>
      <w:r>
        <w:rPr>
          <w:color w:val="000000"/>
        </w:rPr>
        <w:br w:type="page"/>
      </w:r>
      <w:r>
        <w:rPr>
          <w:color w:val="000000"/>
        </w:rPr>
        <w:t xml:space="preserve"> </w:t>
      </w:r>
      <w:bookmarkStart w:id="272" w:name="_Toc48049984"/>
      <w:r>
        <w:rPr>
          <w:rFonts w:hint="eastAsia"/>
          <w:color w:val="000000"/>
        </w:rPr>
        <w:t>多层混凝土结构</w:t>
      </w:r>
      <w:bookmarkEnd w:id="272"/>
    </w:p>
    <w:p>
      <w:pPr>
        <w:autoSpaceDE w:val="0"/>
        <w:autoSpaceDN w:val="0"/>
        <w:adjustRightInd w:val="0"/>
        <w:spacing w:line="360" w:lineRule="auto"/>
        <w:ind w:left="3967"/>
        <w:rPr>
          <w:rFonts w:hint="eastAsia" w:ascii="等线" w:hAnsi="等线" w:cs="MS Mincho"/>
          <w:bCs/>
          <w:color w:val="000000"/>
          <w:kern w:val="0"/>
          <w:szCs w:val="21"/>
        </w:rPr>
      </w:pPr>
    </w:p>
    <w:p>
      <w:pPr>
        <w:autoSpaceDE w:val="0"/>
        <w:autoSpaceDN w:val="0"/>
        <w:adjustRightInd w:val="0"/>
        <w:spacing w:line="360" w:lineRule="auto"/>
        <w:jc w:val="center"/>
        <w:rPr>
          <w:rFonts w:ascii="等线" w:hAnsi="等线" w:cs="HiddenHorzOCR"/>
          <w:bCs/>
          <w:color w:val="000000"/>
          <w:spacing w:val="20"/>
          <w:kern w:val="0"/>
          <w:szCs w:val="21"/>
        </w:rPr>
      </w:pPr>
      <w:r>
        <w:rPr>
          <w:rFonts w:ascii="等线" w:hAnsi="等线" w:cs="HiddenHorzOCR"/>
          <w:bCs/>
          <w:color w:val="000000"/>
          <w:spacing w:val="20"/>
          <w:kern w:val="0"/>
          <w:szCs w:val="21"/>
        </w:rPr>
        <w:t>8.1</w:t>
      </w:r>
      <w:r>
        <w:rPr>
          <w:rFonts w:hint="eastAsia" w:ascii="等线" w:hAnsi="等线" w:cs="HiddenHorzOCR"/>
          <w:bCs/>
          <w:color w:val="000000"/>
          <w:spacing w:val="20"/>
          <w:kern w:val="0"/>
          <w:szCs w:val="21"/>
        </w:rPr>
        <w:t xml:space="preserve"> 一般规定</w:t>
      </w:r>
    </w:p>
    <w:p>
      <w:pPr>
        <w:autoSpaceDE w:val="0"/>
        <w:autoSpaceDN w:val="0"/>
        <w:adjustRightInd w:val="0"/>
        <w:spacing w:line="360" w:lineRule="auto"/>
        <w:jc w:val="center"/>
        <w:rPr>
          <w:rFonts w:hint="eastAsia" w:ascii="等线" w:hAnsi="等线" w:cs="HiddenHorzOCR"/>
          <w:bCs/>
          <w:color w:val="000000"/>
          <w:spacing w:val="20"/>
          <w:kern w:val="0"/>
          <w:szCs w:val="21"/>
        </w:rPr>
      </w:pPr>
    </w:p>
    <w:p>
      <w:pPr>
        <w:autoSpaceDE w:val="0"/>
        <w:autoSpaceDN w:val="0"/>
        <w:adjustRightInd w:val="0"/>
        <w:spacing w:line="360" w:lineRule="auto"/>
        <w:jc w:val="left"/>
        <w:rPr>
          <w:rFonts w:ascii="Times New Roman" w:hAnsi="Times New Roman"/>
          <w:bCs/>
          <w:color w:val="000000"/>
        </w:rPr>
      </w:pPr>
      <w:r>
        <w:rPr>
          <w:rFonts w:ascii="Times New Roman" w:hAnsi="Times New Roman"/>
          <w:bCs/>
          <w:color w:val="000000"/>
        </w:rPr>
        <w:t xml:space="preserve">8.1.1 </w:t>
      </w:r>
      <w:r>
        <w:rPr>
          <w:rFonts w:hint="eastAsia" w:ascii="Times New Roman" w:hAnsi="Times New Roman"/>
          <w:bCs/>
          <w:color w:val="000000"/>
        </w:rPr>
        <w:t>当人字形或V形钢支撑仍不能满足室内交通等要求时，也可采用八字形支撑，但需注意八字形支撑的下端宜连接于梁柱节点处。</w:t>
      </w:r>
    </w:p>
    <w:p>
      <w:pPr>
        <w:autoSpaceDE w:val="0"/>
        <w:autoSpaceDN w:val="0"/>
        <w:adjustRightInd w:val="0"/>
        <w:spacing w:line="360" w:lineRule="auto"/>
        <w:jc w:val="left"/>
        <w:rPr>
          <w:rFonts w:ascii="Times New Roman" w:hAnsi="Times New Roman"/>
          <w:bCs/>
          <w:color w:val="000000"/>
        </w:rPr>
      </w:pPr>
      <w:r>
        <w:rPr>
          <w:rFonts w:ascii="Times New Roman" w:hAnsi="Times New Roman"/>
          <w:bCs/>
          <w:color w:val="000000"/>
        </w:rPr>
        <w:t>8.1.3</w:t>
      </w:r>
      <w:r>
        <w:rPr>
          <w:rFonts w:hint="eastAsia" w:ascii="Times New Roman" w:hAnsi="Times New Roman"/>
          <w:bCs/>
          <w:color w:val="000000"/>
        </w:rPr>
        <w:t xml:space="preserve"> 烈度低于</w:t>
      </w:r>
      <w:r>
        <w:rPr>
          <w:rFonts w:ascii="Times New Roman" w:hAnsi="Times New Roman"/>
          <w:bCs/>
          <w:color w:val="000000"/>
        </w:rPr>
        <w:t>8</w:t>
      </w:r>
      <w:r>
        <w:rPr>
          <w:rFonts w:hint="eastAsia" w:ascii="Times New Roman" w:hAnsi="Times New Roman"/>
          <w:bCs/>
          <w:color w:val="000000"/>
        </w:rPr>
        <w:t>度时，</w:t>
      </w:r>
      <w:r>
        <w:rPr>
          <w:rFonts w:hint="eastAsia"/>
          <w:color w:val="000000"/>
        </w:rPr>
        <w:t>长悬挑结构为悬挑长度大于2米的结构或构件。</w:t>
      </w:r>
      <w:r>
        <w:rPr>
          <w:rFonts w:hint="eastAsia" w:ascii="Times New Roman" w:hAnsi="Times New Roman"/>
          <w:bCs/>
          <w:color w:val="000000"/>
        </w:rPr>
        <w:t>烈度等于及高于</w:t>
      </w:r>
      <w:r>
        <w:rPr>
          <w:rFonts w:ascii="Times New Roman" w:hAnsi="Times New Roman"/>
          <w:bCs/>
          <w:color w:val="000000"/>
        </w:rPr>
        <w:t>8</w:t>
      </w:r>
      <w:r>
        <w:rPr>
          <w:rFonts w:hint="eastAsia" w:ascii="Times New Roman" w:hAnsi="Times New Roman"/>
          <w:bCs/>
          <w:color w:val="000000"/>
        </w:rPr>
        <w:t>度时，</w:t>
      </w:r>
      <w:r>
        <w:rPr>
          <w:rFonts w:hint="eastAsia"/>
          <w:color w:val="000000"/>
        </w:rPr>
        <w:t>长悬挑结构为悬挑长度大于</w:t>
      </w:r>
      <w:r>
        <w:rPr>
          <w:color w:val="000000"/>
        </w:rPr>
        <w:t>1.5</w:t>
      </w:r>
      <w:r>
        <w:rPr>
          <w:rFonts w:hint="eastAsia"/>
          <w:color w:val="000000"/>
        </w:rPr>
        <w:t>米的结构或构件。悬挑结构下部做斜撑或斜柱时，不受此限制。</w:t>
      </w:r>
    </w:p>
    <w:p>
      <w:pPr>
        <w:autoSpaceDE w:val="0"/>
        <w:autoSpaceDN w:val="0"/>
        <w:adjustRightInd w:val="0"/>
        <w:spacing w:line="360" w:lineRule="auto"/>
        <w:jc w:val="left"/>
        <w:rPr>
          <w:rFonts w:ascii="Times New Roman" w:hAnsi="Times New Roman"/>
          <w:bCs/>
          <w:color w:val="000000"/>
        </w:rPr>
      </w:pPr>
      <w:r>
        <w:rPr>
          <w:rFonts w:ascii="Times New Roman" w:hAnsi="Times New Roman"/>
          <w:bCs/>
          <w:color w:val="000000"/>
        </w:rPr>
        <w:t xml:space="preserve">8.1.4 </w:t>
      </w:r>
      <w:r>
        <w:rPr>
          <w:rFonts w:hint="eastAsia" w:ascii="Times New Roman" w:hAnsi="Times New Roman"/>
          <w:bCs/>
          <w:color w:val="000000"/>
        </w:rPr>
        <w:t xml:space="preserve">工业建筑中，抗震墙设置受到工艺设备的影响，常常无法全高贯通，可放松结构上部布置抗震墙的要求。 </w:t>
      </w:r>
    </w:p>
    <w:p>
      <w:pPr>
        <w:autoSpaceDE w:val="0"/>
        <w:autoSpaceDN w:val="0"/>
        <w:adjustRightInd w:val="0"/>
        <w:spacing w:line="360" w:lineRule="auto"/>
        <w:jc w:val="left"/>
        <w:rPr>
          <w:rFonts w:ascii="Times New Roman" w:hAnsi="Times New Roman"/>
          <w:bCs/>
          <w:color w:val="000000"/>
        </w:rPr>
      </w:pPr>
      <w:r>
        <w:rPr>
          <w:rFonts w:hint="eastAsia" w:ascii="Times New Roman" w:hAnsi="Times New Roman"/>
          <w:bCs/>
          <w:color w:val="000000"/>
        </w:rPr>
        <w:t>8</w:t>
      </w:r>
      <w:r>
        <w:rPr>
          <w:rFonts w:ascii="Times New Roman" w:hAnsi="Times New Roman"/>
          <w:bCs/>
          <w:color w:val="000000"/>
        </w:rPr>
        <w:t xml:space="preserve">.1.6 </w:t>
      </w:r>
      <w:r>
        <w:rPr>
          <w:rFonts w:hint="eastAsia" w:ascii="Times New Roman" w:hAnsi="Times New Roman"/>
          <w:bCs/>
          <w:color w:val="000000"/>
        </w:rPr>
        <w:t>工业建筑平面不规则比较常见，放松对楼梯间布置的要求，通过放大地震作用来补偿。</w:t>
      </w:r>
    </w:p>
    <w:p>
      <w:pPr>
        <w:autoSpaceDE w:val="0"/>
        <w:autoSpaceDN w:val="0"/>
        <w:adjustRightInd w:val="0"/>
        <w:spacing w:line="360" w:lineRule="auto"/>
        <w:jc w:val="left"/>
        <w:rPr>
          <w:rFonts w:ascii="Times New Roman" w:hAnsi="Times New Roman"/>
          <w:bCs/>
          <w:color w:val="000000"/>
        </w:rPr>
      </w:pPr>
      <w:r>
        <w:rPr>
          <w:rFonts w:hint="eastAsia" w:ascii="Times New Roman" w:hAnsi="Times New Roman"/>
          <w:bCs/>
          <w:color w:val="000000"/>
        </w:rPr>
        <w:t>8</w:t>
      </w:r>
      <w:r>
        <w:rPr>
          <w:rFonts w:ascii="Times New Roman" w:hAnsi="Times New Roman"/>
          <w:bCs/>
          <w:color w:val="000000"/>
        </w:rPr>
        <w:t xml:space="preserve">.1.7 </w:t>
      </w:r>
      <w:r>
        <w:rPr>
          <w:rFonts w:hint="eastAsia" w:ascii="Times New Roman" w:hAnsi="Times New Roman"/>
          <w:bCs/>
          <w:color w:val="000000"/>
        </w:rPr>
        <w:t>工业建筑中，由于工艺或平面布置等要求，常会遇到高度大于2</w:t>
      </w:r>
      <w:r>
        <w:rPr>
          <w:rFonts w:ascii="Times New Roman" w:hAnsi="Times New Roman"/>
          <w:bCs/>
          <w:color w:val="000000"/>
        </w:rPr>
        <w:t>4</w:t>
      </w:r>
      <w:r>
        <w:rPr>
          <w:rFonts w:hint="eastAsia" w:ascii="Times New Roman" w:hAnsi="Times New Roman"/>
          <w:bCs/>
          <w:color w:val="000000"/>
        </w:rPr>
        <w:t>米的单跨框架。根据试设计的相关算例，其在大震作用下抗倒塌能力较弱，固在要求其延性的同时，提高其强度要求。</w:t>
      </w:r>
    </w:p>
    <w:p>
      <w:pPr>
        <w:autoSpaceDE w:val="0"/>
        <w:autoSpaceDN w:val="0"/>
        <w:adjustRightInd w:val="0"/>
        <w:spacing w:line="360" w:lineRule="auto"/>
        <w:jc w:val="left"/>
        <w:rPr>
          <w:rFonts w:hint="eastAsia" w:ascii="Times New Roman" w:hAnsi="Times New Roman"/>
          <w:bCs/>
          <w:color w:val="000000"/>
        </w:rPr>
      </w:pPr>
    </w:p>
    <w:p>
      <w:pPr>
        <w:autoSpaceDE w:val="0"/>
        <w:autoSpaceDN w:val="0"/>
        <w:adjustRightInd w:val="0"/>
        <w:spacing w:line="360" w:lineRule="auto"/>
        <w:jc w:val="center"/>
        <w:rPr>
          <w:rFonts w:ascii="宋体" w:hAnsi="宋体" w:cs="MS Mincho"/>
          <w:color w:val="000000"/>
          <w:kern w:val="0"/>
          <w:szCs w:val="21"/>
        </w:rPr>
      </w:pPr>
      <w:r>
        <w:rPr>
          <w:color w:val="000000"/>
        </w:rPr>
        <w:t xml:space="preserve">8.2 </w:t>
      </w:r>
      <w:r>
        <w:rPr>
          <w:rFonts w:hint="eastAsia" w:ascii="宋体" w:hAnsi="宋体" w:cs="HiddenHorzOCR"/>
          <w:color w:val="000000"/>
          <w:kern w:val="0"/>
          <w:szCs w:val="21"/>
        </w:rPr>
        <w:t>抗震</w:t>
      </w:r>
      <w:r>
        <w:rPr>
          <w:rFonts w:hint="eastAsia" w:ascii="宋体" w:hAnsi="宋体" w:cs="宋体"/>
          <w:color w:val="000000"/>
          <w:kern w:val="0"/>
          <w:szCs w:val="21"/>
        </w:rPr>
        <w:t>验</w:t>
      </w:r>
      <w:r>
        <w:rPr>
          <w:rFonts w:hint="eastAsia" w:ascii="宋体" w:hAnsi="宋体" w:cs="MS Mincho"/>
          <w:color w:val="000000"/>
          <w:kern w:val="0"/>
          <w:szCs w:val="21"/>
        </w:rPr>
        <w:t>算</w:t>
      </w:r>
      <w:r>
        <w:rPr>
          <w:rFonts w:hint="eastAsia" w:ascii="宋体" w:hAnsi="宋体" w:cs="HiddenHorzOCR"/>
          <w:color w:val="000000"/>
          <w:kern w:val="0"/>
          <w:szCs w:val="21"/>
        </w:rPr>
        <w:t>（1）——</w:t>
      </w:r>
      <w:r>
        <w:rPr>
          <w:rFonts w:hint="eastAsia" w:ascii="宋体" w:hAnsi="宋体" w:cs="宋体"/>
          <w:color w:val="000000"/>
          <w:kern w:val="0"/>
          <w:szCs w:val="21"/>
        </w:rPr>
        <w:t>结</w:t>
      </w:r>
      <w:r>
        <w:rPr>
          <w:rFonts w:hint="eastAsia" w:ascii="宋体" w:hAnsi="宋体" w:cs="MS Mincho"/>
          <w:color w:val="000000"/>
          <w:kern w:val="0"/>
          <w:szCs w:val="21"/>
        </w:rPr>
        <w:t>构地震作用</w:t>
      </w:r>
      <w:r>
        <w:rPr>
          <w:rFonts w:hint="eastAsia" w:ascii="宋体" w:hAnsi="宋体" w:cs="宋体"/>
          <w:color w:val="000000"/>
          <w:kern w:val="0"/>
          <w:szCs w:val="21"/>
        </w:rPr>
        <w:t>计</w:t>
      </w:r>
      <w:r>
        <w:rPr>
          <w:rFonts w:hint="eastAsia" w:ascii="宋体" w:hAnsi="宋体" w:cs="MS Mincho"/>
          <w:color w:val="000000"/>
          <w:kern w:val="0"/>
          <w:szCs w:val="21"/>
        </w:rPr>
        <w:t>算</w:t>
      </w:r>
    </w:p>
    <w:p>
      <w:pPr>
        <w:autoSpaceDE w:val="0"/>
        <w:autoSpaceDN w:val="0"/>
        <w:adjustRightInd w:val="0"/>
        <w:spacing w:line="360" w:lineRule="auto"/>
        <w:jc w:val="center"/>
        <w:rPr>
          <w:rFonts w:hint="eastAsia" w:ascii="宋体" w:hAnsi="宋体" w:cs="MS Mincho"/>
          <w:color w:val="000000"/>
          <w:kern w:val="0"/>
          <w:szCs w:val="21"/>
        </w:rPr>
      </w:pPr>
    </w:p>
    <w:p>
      <w:pPr>
        <w:autoSpaceDE w:val="0"/>
        <w:autoSpaceDN w:val="0"/>
        <w:adjustRightInd w:val="0"/>
        <w:spacing w:line="360" w:lineRule="auto"/>
        <w:rPr>
          <w:color w:val="000000"/>
        </w:rPr>
      </w:pPr>
      <w:r>
        <w:rPr>
          <w:color w:val="000000"/>
        </w:rPr>
        <w:t xml:space="preserve">8.2.2 </w:t>
      </w:r>
      <w:r>
        <w:rPr>
          <w:rFonts w:hint="eastAsia"/>
          <w:color w:val="000000"/>
        </w:rPr>
        <w:t xml:space="preserve"> 自振周期0.8～0.9的调整系数是考虑填充墙的影响，当结构无填充墙等围护结构时，可不对自振周期进行折减。</w:t>
      </w:r>
    </w:p>
    <w:p>
      <w:pPr>
        <w:autoSpaceDE w:val="0"/>
        <w:autoSpaceDN w:val="0"/>
        <w:adjustRightInd w:val="0"/>
        <w:spacing w:line="360" w:lineRule="auto"/>
        <w:rPr>
          <w:rFonts w:hint="eastAsia"/>
          <w:color w:val="000000"/>
        </w:rPr>
      </w:pPr>
    </w:p>
    <w:p>
      <w:pPr>
        <w:autoSpaceDE w:val="0"/>
        <w:autoSpaceDN w:val="0"/>
        <w:adjustRightInd w:val="0"/>
        <w:spacing w:line="360" w:lineRule="auto"/>
        <w:jc w:val="center"/>
        <w:rPr>
          <w:rFonts w:ascii="宋体" w:hAnsi="宋体" w:cs="MS Mincho"/>
          <w:color w:val="000000"/>
          <w:kern w:val="0"/>
          <w:szCs w:val="21"/>
        </w:rPr>
      </w:pPr>
      <w:r>
        <w:rPr>
          <w:rFonts w:ascii="宋体" w:hAnsi="宋体"/>
          <w:color w:val="000000"/>
          <w:kern w:val="0"/>
          <w:szCs w:val="21"/>
        </w:rPr>
        <w:t xml:space="preserve">8.3 </w:t>
      </w:r>
      <w:r>
        <w:rPr>
          <w:rFonts w:hint="eastAsia" w:ascii="宋体" w:hAnsi="宋体" w:cs="HiddenHorzOCR"/>
          <w:color w:val="000000"/>
          <w:kern w:val="0"/>
          <w:szCs w:val="21"/>
        </w:rPr>
        <w:t>抗震</w:t>
      </w:r>
      <w:r>
        <w:rPr>
          <w:rFonts w:hint="eastAsia" w:ascii="宋体" w:hAnsi="宋体" w:cs="宋体"/>
          <w:color w:val="000000"/>
          <w:kern w:val="0"/>
          <w:szCs w:val="21"/>
        </w:rPr>
        <w:t>验</w:t>
      </w:r>
      <w:r>
        <w:rPr>
          <w:rFonts w:hint="eastAsia" w:ascii="宋体" w:hAnsi="宋体" w:cs="MS Mincho"/>
          <w:color w:val="000000"/>
          <w:kern w:val="0"/>
          <w:szCs w:val="21"/>
        </w:rPr>
        <w:t>算</w:t>
      </w:r>
      <w:r>
        <w:rPr>
          <w:rFonts w:hint="eastAsia" w:ascii="宋体" w:hAnsi="宋体" w:cs="HiddenHorzOCR"/>
          <w:color w:val="000000"/>
          <w:kern w:val="0"/>
          <w:szCs w:val="21"/>
        </w:rPr>
        <w:t>（2）——</w:t>
      </w:r>
      <w:r>
        <w:rPr>
          <w:rFonts w:hint="eastAsia" w:ascii="宋体" w:hAnsi="宋体" w:cs="宋体"/>
          <w:color w:val="000000"/>
          <w:kern w:val="0"/>
          <w:szCs w:val="21"/>
        </w:rPr>
        <w:t>设备</w:t>
      </w:r>
      <w:r>
        <w:rPr>
          <w:rFonts w:hint="eastAsia" w:ascii="宋体" w:hAnsi="宋体" w:cs="MS Mincho"/>
          <w:color w:val="000000"/>
          <w:kern w:val="0"/>
          <w:szCs w:val="21"/>
        </w:rPr>
        <w:t>地震作用</w:t>
      </w:r>
      <w:r>
        <w:rPr>
          <w:rFonts w:hint="eastAsia" w:ascii="宋体" w:hAnsi="宋体" w:cs="宋体"/>
          <w:color w:val="000000"/>
          <w:kern w:val="0"/>
          <w:szCs w:val="21"/>
        </w:rPr>
        <w:t>计</w:t>
      </w:r>
      <w:r>
        <w:rPr>
          <w:rFonts w:hint="eastAsia" w:ascii="宋体" w:hAnsi="宋体" w:cs="MS Mincho"/>
          <w:color w:val="000000"/>
          <w:kern w:val="0"/>
          <w:szCs w:val="21"/>
        </w:rPr>
        <w:t>算</w:t>
      </w:r>
    </w:p>
    <w:p>
      <w:pPr>
        <w:autoSpaceDE w:val="0"/>
        <w:autoSpaceDN w:val="0"/>
        <w:adjustRightInd w:val="0"/>
        <w:spacing w:line="360" w:lineRule="auto"/>
        <w:jc w:val="center"/>
        <w:rPr>
          <w:rFonts w:hint="eastAsia" w:ascii="宋体" w:hAnsi="宋体" w:cs="MS Mincho"/>
          <w:color w:val="000000"/>
          <w:kern w:val="0"/>
          <w:szCs w:val="21"/>
        </w:rPr>
      </w:pPr>
    </w:p>
    <w:p>
      <w:pPr>
        <w:autoSpaceDE w:val="0"/>
        <w:autoSpaceDN w:val="0"/>
        <w:adjustRightInd w:val="0"/>
        <w:spacing w:line="360" w:lineRule="auto"/>
        <w:rPr>
          <w:color w:val="000000"/>
        </w:rPr>
      </w:pPr>
      <w:r>
        <w:rPr>
          <w:color w:val="000000"/>
        </w:rPr>
        <w:t>8.3.</w:t>
      </w:r>
      <w:r>
        <w:rPr>
          <w:rFonts w:hint="eastAsia"/>
          <w:color w:val="000000"/>
        </w:rPr>
        <w:t>3、8</w:t>
      </w:r>
      <w:r>
        <w:rPr>
          <w:color w:val="000000"/>
        </w:rPr>
        <w:t xml:space="preserve">.3.4 </w:t>
      </w:r>
      <w:r>
        <w:rPr>
          <w:rFonts w:hint="eastAsia"/>
          <w:color w:val="000000"/>
        </w:rPr>
        <w:t>在实际工程中，对考虑与不考虑设备刚度（例如将设备按壳单元建入整体模型）的结构进行对比分析表明，当设备及其操作介质的质量在整个结构中的占比较大时，其质量和刚度对整个结构周期的影响不可忽略。</w:t>
      </w:r>
    </w:p>
    <w:p>
      <w:pPr>
        <w:autoSpaceDE w:val="0"/>
        <w:autoSpaceDN w:val="0"/>
        <w:adjustRightInd w:val="0"/>
        <w:spacing w:line="360" w:lineRule="auto"/>
        <w:rPr>
          <w:color w:val="000000"/>
        </w:rPr>
      </w:pPr>
      <w:r>
        <w:rPr>
          <w:color w:val="000000"/>
        </w:rPr>
        <w:t>8.3.</w:t>
      </w:r>
      <w:r>
        <w:rPr>
          <w:rFonts w:hint="eastAsia"/>
          <w:color w:val="000000"/>
        </w:rPr>
        <w:t>5</w:t>
      </w:r>
      <w:r>
        <w:rPr>
          <w:color w:val="000000"/>
        </w:rPr>
        <w:t xml:space="preserve"> </w:t>
      </w:r>
      <w:r>
        <w:rPr>
          <w:rFonts w:hint="eastAsia"/>
          <w:color w:val="000000"/>
        </w:rPr>
        <w:t>一般次梁不需要抗震设计，但支承设备的梁及其连接是设备地震作用的传力路径，应当进行抗震设计。本条简化计算的设备水平地震作用仅用于计算附加弯矩，不需要传给主体结构，主体结构已通过设备质量参震考虑了设备的地震作用。</w:t>
      </w:r>
    </w:p>
    <w:p>
      <w:pPr>
        <w:autoSpaceDE w:val="0"/>
        <w:autoSpaceDN w:val="0"/>
        <w:adjustRightInd w:val="0"/>
        <w:spacing w:line="360" w:lineRule="auto"/>
        <w:rPr>
          <w:color w:val="000000"/>
        </w:rPr>
      </w:pPr>
      <w:r>
        <w:rPr>
          <w:rFonts w:hint="eastAsia"/>
          <w:color w:val="000000"/>
        </w:rPr>
        <w:t>8</w:t>
      </w:r>
      <w:r>
        <w:rPr>
          <w:color w:val="000000"/>
        </w:rPr>
        <w:t xml:space="preserve">.3.6 </w:t>
      </w:r>
      <w:r>
        <w:rPr>
          <w:rFonts w:hint="eastAsia"/>
          <w:color w:val="000000"/>
        </w:rPr>
        <w:t>许多设备刚度大且进入中震甚至进入大震后设备仍处于弹性状态，支承设备的非框架设备梁是两端简支的静定构件，地震作用内力有必要放大。</w:t>
      </w:r>
    </w:p>
    <w:p>
      <w:pPr>
        <w:autoSpaceDE w:val="0"/>
        <w:autoSpaceDN w:val="0"/>
        <w:adjustRightInd w:val="0"/>
        <w:spacing w:line="360" w:lineRule="auto"/>
        <w:rPr>
          <w:rFonts w:hint="eastAsia"/>
          <w:color w:val="000000"/>
        </w:rPr>
      </w:pPr>
    </w:p>
    <w:p>
      <w:pPr>
        <w:autoSpaceDE w:val="0"/>
        <w:autoSpaceDN w:val="0"/>
        <w:spacing w:line="360" w:lineRule="auto"/>
        <w:jc w:val="center"/>
        <w:rPr>
          <w:rFonts w:ascii="宋体" w:hAnsi="宋体" w:cs="MS Mincho"/>
          <w:color w:val="000000"/>
          <w:kern w:val="0"/>
          <w:szCs w:val="21"/>
        </w:rPr>
      </w:pPr>
      <w:r>
        <w:rPr>
          <w:rFonts w:hint="eastAsia" w:ascii="宋体" w:hAnsi="宋体"/>
          <w:color w:val="000000"/>
          <w:kern w:val="0"/>
          <w:szCs w:val="21"/>
        </w:rPr>
        <w:t xml:space="preserve">8.4 </w:t>
      </w:r>
      <w:r>
        <w:rPr>
          <w:rFonts w:hint="eastAsia" w:ascii="宋体" w:hAnsi="宋体" w:cs="HiddenHorzOCR"/>
          <w:color w:val="000000"/>
          <w:kern w:val="0"/>
          <w:szCs w:val="21"/>
        </w:rPr>
        <w:t>抗震</w:t>
      </w:r>
      <w:r>
        <w:rPr>
          <w:rFonts w:hint="eastAsia" w:ascii="宋体" w:hAnsi="宋体" w:cs="宋体"/>
          <w:color w:val="000000"/>
          <w:kern w:val="0"/>
          <w:szCs w:val="21"/>
        </w:rPr>
        <w:t>验</w:t>
      </w:r>
      <w:r>
        <w:rPr>
          <w:rFonts w:hint="eastAsia" w:ascii="宋体" w:hAnsi="宋体" w:cs="MS Mincho"/>
          <w:color w:val="000000"/>
          <w:kern w:val="0"/>
          <w:szCs w:val="21"/>
        </w:rPr>
        <w:t>算</w:t>
      </w:r>
      <w:r>
        <w:rPr>
          <w:rFonts w:hint="eastAsia" w:ascii="宋体" w:hAnsi="宋体" w:cs="HiddenHorzOCR"/>
          <w:color w:val="000000"/>
          <w:kern w:val="0"/>
          <w:szCs w:val="21"/>
        </w:rPr>
        <w:t>（3）——</w:t>
      </w:r>
      <w:r>
        <w:rPr>
          <w:rFonts w:hint="eastAsia" w:ascii="宋体" w:hAnsi="宋体" w:cs="宋体"/>
          <w:color w:val="000000"/>
          <w:kern w:val="0"/>
          <w:szCs w:val="21"/>
        </w:rPr>
        <w:t>结</w:t>
      </w:r>
      <w:r>
        <w:rPr>
          <w:rFonts w:hint="eastAsia" w:ascii="宋体" w:hAnsi="宋体" w:cs="MS Mincho"/>
          <w:color w:val="000000"/>
          <w:kern w:val="0"/>
          <w:szCs w:val="21"/>
        </w:rPr>
        <w:t>构构件地震作用及效</w:t>
      </w:r>
      <w:r>
        <w:rPr>
          <w:rFonts w:hint="eastAsia" w:ascii="宋体" w:hAnsi="宋体" w:cs="宋体"/>
          <w:color w:val="000000"/>
          <w:kern w:val="0"/>
          <w:szCs w:val="21"/>
        </w:rPr>
        <w:t>应</w:t>
      </w:r>
      <w:r>
        <w:rPr>
          <w:rFonts w:hint="eastAsia" w:ascii="宋体" w:hAnsi="宋体" w:cs="MS Mincho"/>
          <w:color w:val="000000"/>
          <w:kern w:val="0"/>
          <w:szCs w:val="21"/>
        </w:rPr>
        <w:t>的</w:t>
      </w:r>
      <w:r>
        <w:rPr>
          <w:rFonts w:hint="eastAsia" w:ascii="宋体" w:hAnsi="宋体" w:cs="宋体"/>
          <w:color w:val="000000"/>
          <w:kern w:val="0"/>
          <w:szCs w:val="21"/>
        </w:rPr>
        <w:t>调</w:t>
      </w:r>
      <w:r>
        <w:rPr>
          <w:rFonts w:hint="eastAsia" w:ascii="宋体" w:hAnsi="宋体" w:cs="MS Mincho"/>
          <w:color w:val="000000"/>
          <w:kern w:val="0"/>
          <w:szCs w:val="21"/>
        </w:rPr>
        <w:t>整</w:t>
      </w:r>
    </w:p>
    <w:p>
      <w:pPr>
        <w:autoSpaceDE w:val="0"/>
        <w:autoSpaceDN w:val="0"/>
        <w:spacing w:line="360" w:lineRule="auto"/>
        <w:jc w:val="center"/>
        <w:rPr>
          <w:rFonts w:hint="eastAsia"/>
          <w:color w:val="000000"/>
        </w:rPr>
      </w:pPr>
    </w:p>
    <w:p>
      <w:pPr>
        <w:autoSpaceDE w:val="0"/>
        <w:autoSpaceDN w:val="0"/>
        <w:adjustRightInd w:val="0"/>
        <w:spacing w:line="360" w:lineRule="auto"/>
        <w:rPr>
          <w:color w:val="000000"/>
        </w:rPr>
      </w:pPr>
      <w:r>
        <w:rPr>
          <w:rFonts w:hint="eastAsia"/>
          <w:color w:val="000000"/>
        </w:rPr>
        <w:t>8</w:t>
      </w:r>
      <w:r>
        <w:rPr>
          <w:color w:val="000000"/>
        </w:rPr>
        <w:t>.4.</w:t>
      </w:r>
      <w:r>
        <w:rPr>
          <w:rFonts w:hint="eastAsia"/>
          <w:color w:val="000000"/>
        </w:rPr>
        <w:t>3</w:t>
      </w:r>
      <w:r>
        <w:rPr>
          <w:color w:val="000000"/>
        </w:rPr>
        <w:t xml:space="preserve"> </w:t>
      </w:r>
      <w:r>
        <w:rPr>
          <w:rFonts w:hint="eastAsia"/>
          <w:color w:val="000000"/>
        </w:rPr>
        <w:t>通过对含设备的结构进行大震弹塑性分析发现，在结构出现塑性铰或支撑屈服前，</w:t>
      </w:r>
      <w:r>
        <w:rPr>
          <w:rFonts w:hint="eastAsia" w:ascii="宋体" w:hAnsi="宋体"/>
          <w:color w:val="000000"/>
          <w:kern w:val="0"/>
          <w:szCs w:val="21"/>
        </w:rPr>
        <w:t>支承设备的设备梁、框架梁及支承设备梁的框架梁</w:t>
      </w:r>
      <w:r>
        <w:rPr>
          <w:rFonts w:hint="eastAsia"/>
          <w:color w:val="000000"/>
        </w:rPr>
        <w:t>较早的进入了塑性，相对于结构的其它构件此部分的可靠度较低，故需进行加强。这里的增大系数不与第8.3.6条的增大系数同时考虑。</w:t>
      </w:r>
    </w:p>
    <w:p>
      <w:pPr>
        <w:jc w:val="center"/>
        <w:rPr>
          <w:rFonts w:ascii="等线" w:hAnsi="等线" w:cs="MS Mincho"/>
          <w:bCs/>
          <w:color w:val="000000"/>
          <w:kern w:val="0"/>
          <w:szCs w:val="21"/>
        </w:rPr>
      </w:pPr>
      <w:r>
        <w:rPr>
          <w:rFonts w:ascii="宋体" w:hAnsi="宋体"/>
          <w:b/>
          <w:color w:val="000000"/>
          <w:szCs w:val="21"/>
        </w:rPr>
        <w:t xml:space="preserve"> </w:t>
      </w:r>
    </w:p>
    <w:p>
      <w:pPr>
        <w:autoSpaceDE w:val="0"/>
        <w:autoSpaceDN w:val="0"/>
        <w:adjustRightInd w:val="0"/>
        <w:spacing w:line="360" w:lineRule="auto"/>
        <w:rPr>
          <w:rFonts w:hint="eastAsia" w:ascii="宋体" w:hAnsi="宋体" w:cs="HiddenHorzOCR"/>
          <w:color w:val="000000"/>
          <w:kern w:val="0"/>
          <w:szCs w:val="21"/>
        </w:rPr>
      </w:pPr>
    </w:p>
    <w:p>
      <w:pPr>
        <w:autoSpaceDE w:val="0"/>
        <w:autoSpaceDN w:val="0"/>
        <w:adjustRightInd w:val="0"/>
        <w:spacing w:line="360" w:lineRule="auto"/>
        <w:ind w:firstLine="420"/>
        <w:jc w:val="left"/>
        <w:rPr>
          <w:rFonts w:hint="eastAsia" w:ascii="等线" w:hAnsi="等线" w:cs="HiddenHorzOCR"/>
          <w:color w:val="000000"/>
          <w:kern w:val="0"/>
          <w:szCs w:val="21"/>
        </w:rPr>
      </w:pPr>
    </w:p>
    <w:p>
      <w:pPr>
        <w:autoSpaceDE w:val="0"/>
        <w:autoSpaceDN w:val="0"/>
        <w:adjustRightInd w:val="0"/>
        <w:spacing w:line="360" w:lineRule="auto"/>
        <w:ind w:firstLine="420"/>
        <w:jc w:val="left"/>
        <w:rPr>
          <w:rFonts w:ascii="等线" w:hAnsi="等线" w:cs="HiddenHorzOCR"/>
          <w:color w:val="000000"/>
          <w:kern w:val="0"/>
          <w:szCs w:val="21"/>
        </w:rPr>
      </w:pPr>
    </w:p>
    <w:p>
      <w:pPr>
        <w:autoSpaceDE w:val="0"/>
        <w:autoSpaceDN w:val="0"/>
        <w:adjustRightInd w:val="0"/>
        <w:spacing w:line="360" w:lineRule="auto"/>
        <w:ind w:firstLine="420"/>
        <w:jc w:val="left"/>
        <w:rPr>
          <w:bCs/>
          <w:color w:val="000000"/>
        </w:rPr>
      </w:pPr>
    </w:p>
    <w:p>
      <w:pPr>
        <w:autoSpaceDE w:val="0"/>
        <w:autoSpaceDN w:val="0"/>
        <w:adjustRightInd w:val="0"/>
        <w:spacing w:line="360" w:lineRule="auto"/>
        <w:ind w:firstLine="420"/>
        <w:jc w:val="left"/>
        <w:rPr>
          <w:bCs/>
          <w:color w:val="000000"/>
        </w:rPr>
      </w:pPr>
    </w:p>
    <w:p>
      <w:pPr>
        <w:autoSpaceDE w:val="0"/>
        <w:autoSpaceDN w:val="0"/>
        <w:adjustRightInd w:val="0"/>
        <w:spacing w:line="360" w:lineRule="auto"/>
        <w:ind w:firstLine="420"/>
        <w:jc w:val="left"/>
        <w:rPr>
          <w:bCs/>
          <w:color w:val="000000"/>
        </w:rPr>
      </w:pPr>
    </w:p>
    <w:p>
      <w:pPr>
        <w:autoSpaceDE w:val="0"/>
        <w:autoSpaceDN w:val="0"/>
        <w:adjustRightInd w:val="0"/>
        <w:spacing w:line="360" w:lineRule="auto"/>
        <w:ind w:firstLine="420"/>
        <w:jc w:val="left"/>
        <w:rPr>
          <w:rFonts w:hint="eastAsia"/>
          <w:bCs/>
          <w:color w:val="000000"/>
        </w:rPr>
      </w:pPr>
    </w:p>
    <w:p>
      <w:pPr>
        <w:pStyle w:val="2"/>
        <w:numPr>
          <w:ilvl w:val="0"/>
          <w:numId w:val="11"/>
        </w:numPr>
        <w:rPr>
          <w:color w:val="000000"/>
        </w:rPr>
      </w:pPr>
      <w:r>
        <w:rPr>
          <w:color w:val="000000"/>
        </w:rPr>
        <w:br w:type="page"/>
      </w:r>
      <w:r>
        <w:rPr>
          <w:color w:val="000000"/>
        </w:rPr>
        <w:t xml:space="preserve"> </w:t>
      </w:r>
      <w:bookmarkStart w:id="273" w:name="_Toc48049985"/>
      <w:r>
        <w:rPr>
          <w:rFonts w:hint="eastAsia"/>
          <w:color w:val="000000"/>
        </w:rPr>
        <w:t>钢结构基本要求</w:t>
      </w:r>
      <w:bookmarkEnd w:id="273"/>
      <w:r>
        <w:rPr>
          <w:rFonts w:hint="eastAsia"/>
          <w:color w:val="000000"/>
        </w:rPr>
        <w:t xml:space="preserve"> </w:t>
      </w:r>
    </w:p>
    <w:p>
      <w:pPr>
        <w:autoSpaceDE w:val="0"/>
        <w:autoSpaceDN w:val="0"/>
        <w:adjustRightInd w:val="0"/>
        <w:snapToGrid w:val="0"/>
        <w:spacing w:line="360" w:lineRule="auto"/>
        <w:rPr>
          <w:rFonts w:hint="eastAsia" w:ascii="等线" w:hAnsi="等线" w:cs="HiddenHorzOCR"/>
          <w:bCs/>
          <w:color w:val="000000"/>
          <w:kern w:val="0"/>
          <w:szCs w:val="21"/>
        </w:rPr>
      </w:pPr>
    </w:p>
    <w:p>
      <w:pPr>
        <w:autoSpaceDE w:val="0"/>
        <w:autoSpaceDN w:val="0"/>
        <w:adjustRightInd w:val="0"/>
        <w:snapToGrid w:val="0"/>
        <w:spacing w:line="360" w:lineRule="auto"/>
        <w:ind w:firstLine="420" w:firstLineChars="200"/>
        <w:jc w:val="center"/>
        <w:rPr>
          <w:rFonts w:ascii="等线" w:hAnsi="等线" w:cs="HiddenHorzOCR"/>
          <w:bCs/>
          <w:color w:val="000000"/>
          <w:kern w:val="0"/>
          <w:szCs w:val="21"/>
        </w:rPr>
      </w:pPr>
      <w:r>
        <w:rPr>
          <w:rFonts w:hint="eastAsia" w:ascii="等线" w:hAnsi="等线" w:cs="HiddenHorzOCR"/>
          <w:bCs/>
          <w:color w:val="000000"/>
          <w:kern w:val="0"/>
          <w:szCs w:val="21"/>
        </w:rPr>
        <w:t>9.1 一般规定</w:t>
      </w:r>
    </w:p>
    <w:p>
      <w:pPr>
        <w:autoSpaceDE w:val="0"/>
        <w:autoSpaceDN w:val="0"/>
        <w:adjustRightInd w:val="0"/>
        <w:snapToGrid w:val="0"/>
        <w:spacing w:line="360" w:lineRule="auto"/>
        <w:ind w:firstLine="420" w:firstLineChars="200"/>
        <w:jc w:val="center"/>
        <w:rPr>
          <w:rFonts w:hint="eastAsia" w:ascii="等线" w:hAnsi="等线" w:cs="HiddenHorzOCR"/>
          <w:bCs/>
          <w:color w:val="000000"/>
          <w:kern w:val="0"/>
          <w:szCs w:val="21"/>
        </w:rPr>
      </w:pPr>
    </w:p>
    <w:p>
      <w:pPr>
        <w:pStyle w:val="129"/>
        <w:spacing w:line="380" w:lineRule="exact"/>
        <w:ind w:firstLine="0" w:firstLineChars="0"/>
        <w:rPr>
          <w:bCs/>
          <w:color w:val="000000"/>
        </w:rPr>
      </w:pPr>
      <w:r>
        <w:rPr>
          <w:rFonts w:hint="eastAsia"/>
          <w:bCs/>
          <w:color w:val="000000"/>
        </w:rPr>
        <w:t>9</w:t>
      </w:r>
      <w:r>
        <w:rPr>
          <w:bCs/>
          <w:color w:val="000000"/>
        </w:rPr>
        <w:t>.1.3 对抗震钢结构的材料要求，与现行国家标准《建筑抗震设计规范》GB 50011及《构筑物抗震设计规范》GB 50191基本相同。</w:t>
      </w:r>
    </w:p>
    <w:p>
      <w:pPr>
        <w:pStyle w:val="129"/>
        <w:spacing w:line="380" w:lineRule="exact"/>
        <w:rPr>
          <w:bCs/>
          <w:color w:val="000000"/>
        </w:rPr>
      </w:pPr>
      <w:r>
        <w:rPr>
          <w:bCs/>
          <w:color w:val="000000"/>
        </w:rPr>
        <w:t>1 材料调研结果表明，我国钢材平均屈服强度是名义屈服强度的1.2倍，离散性很大。非抗震钢结构或构件弹性区，期望钢材屈服强度名义值是其下限值。然而，耗能抗震的钢结构，实际屈服强度超过名义屈服强度过多、离散性过大，就</w:t>
      </w:r>
      <w:r>
        <w:rPr>
          <w:rFonts w:hint="eastAsia"/>
          <w:bCs/>
          <w:color w:val="000000"/>
        </w:rPr>
        <w:t>可能会</w:t>
      </w:r>
      <w:r>
        <w:rPr>
          <w:bCs/>
          <w:color w:val="000000"/>
        </w:rPr>
        <w:t>冒犯“强柱弱梁”准则，</w:t>
      </w:r>
      <w:r>
        <w:rPr>
          <w:rFonts w:hint="eastAsia"/>
          <w:bCs/>
          <w:color w:val="000000"/>
        </w:rPr>
        <w:t>也</w:t>
      </w:r>
      <w:r>
        <w:rPr>
          <w:bCs/>
          <w:color w:val="000000"/>
        </w:rPr>
        <w:t>可颠覆设计预计的坍塌机构。欧洲EC8认为，塑性耗能区的钢材</w:t>
      </w:r>
      <w:r>
        <w:rPr>
          <w:rFonts w:hint="eastAsia"/>
          <w:bCs/>
          <w:color w:val="000000"/>
        </w:rPr>
        <w:t>属于</w:t>
      </w:r>
      <w:r>
        <w:rPr>
          <w:bCs/>
          <w:snapToGrid w:val="0"/>
          <w:color w:val="000000"/>
          <w:kern w:val="0"/>
          <w:szCs w:val="21"/>
        </w:rPr>
        <w:t>特种钢材范畴</w:t>
      </w:r>
      <w:r>
        <w:rPr>
          <w:bCs/>
          <w:color w:val="000000"/>
        </w:rPr>
        <w:t>。故而，塑性结构的耗能构件，宜优先采用GJ钢材。</w:t>
      </w:r>
    </w:p>
    <w:p>
      <w:pPr>
        <w:pStyle w:val="129"/>
        <w:spacing w:line="380" w:lineRule="exact"/>
        <w:rPr>
          <w:bCs/>
          <w:color w:val="000000"/>
        </w:rPr>
      </w:pPr>
      <w:r>
        <w:rPr>
          <w:bCs/>
          <w:color w:val="000000"/>
        </w:rPr>
        <w:t>2 厚度较大的钢板在轧制过程中存在各向异性，由于在焊缝附近常形成约束，焊接时容易引起层状撕裂。国家产品标准《厚度方向性能钢板》GB/T 5313将厚度方向的断面收缩率分为Z15、Z25、Z35三个等级，并规定了试件取材方法和试件尺寸等要求。本条规定钢结构采用的钢材，当钢材板厚大于或等于40mm时，至少应符合Z15级规定的受拉试件截面收缩率。</w:t>
      </w:r>
    </w:p>
    <w:p>
      <w:pPr>
        <w:pStyle w:val="129"/>
        <w:spacing w:line="380" w:lineRule="exact"/>
        <w:rPr>
          <w:bCs/>
          <w:color w:val="000000"/>
        </w:rPr>
      </w:pPr>
      <w:r>
        <w:rPr>
          <w:bCs/>
          <w:color w:val="000000"/>
        </w:rPr>
        <w:t>3 焊缝的韧性对钢结构抗震性能的影响非常大。日本阪神震害调查表明，焊缝连接断裂大都为脆性，发生在焊接位置、热影响区、母材，而缺陷往往发生在焊缝。研究表明：在构件母材发生塑性变形前最好使焊缝始终处于弹性状态工作。因此，应使焊接连接部位具</w:t>
      </w:r>
      <w:r>
        <w:rPr>
          <w:rFonts w:hint="eastAsia"/>
          <w:bCs/>
          <w:color w:val="000000"/>
        </w:rPr>
        <w:t>有</w:t>
      </w:r>
      <w:r>
        <w:rPr>
          <w:bCs/>
          <w:color w:val="000000"/>
        </w:rPr>
        <w:t>较高的冲击韧性，保证热影响区金属和本体金属不会过早发生脆性断裂。</w:t>
      </w:r>
    </w:p>
    <w:p>
      <w:pPr>
        <w:pStyle w:val="129"/>
        <w:spacing w:line="380" w:lineRule="exact"/>
        <w:rPr>
          <w:bCs/>
          <w:color w:val="000000"/>
        </w:rPr>
      </w:pPr>
      <w:r>
        <w:rPr>
          <w:bCs/>
          <w:color w:val="000000"/>
        </w:rPr>
        <w:t>框架结构的梁翼缘与柱的连接焊缝、抗剪连接板与柱的连接焊缝、梁腹板与柱的连接焊缝属于关键性焊缝。</w:t>
      </w:r>
    </w:p>
    <w:p>
      <w:pPr>
        <w:pStyle w:val="129"/>
        <w:spacing w:line="360" w:lineRule="auto"/>
        <w:ind w:firstLineChars="0"/>
        <w:rPr>
          <w:rFonts w:hint="eastAsia"/>
          <w:bCs/>
          <w:color w:val="000000"/>
        </w:rPr>
      </w:pPr>
      <w:r>
        <w:rPr>
          <w:rFonts w:hint="eastAsia"/>
          <w:bCs/>
          <w:color w:val="000000"/>
        </w:rPr>
        <w:t>4 结构工作温度的取值与可靠度相关。为便于使用，在室外工作的构件，本标准的结构工作温度可按国家标准《采暖通风与空气调节设计规范》（GBJ 19-87）（2001年版）的最低日平均气温采用。对于室内工作的构件，如能确保始终在某一温度以上，可将其作为工作温度，如采暖房间的工作温度可视为0℃以上，否则可按规范表中数值增加5℃采用。</w:t>
      </w:r>
    </w:p>
    <w:p>
      <w:pPr>
        <w:pStyle w:val="129"/>
        <w:spacing w:line="380" w:lineRule="exact"/>
        <w:ind w:firstLine="0" w:firstLineChars="0"/>
        <w:rPr>
          <w:bCs/>
          <w:color w:val="000000"/>
          <w:szCs w:val="21"/>
        </w:rPr>
      </w:pPr>
      <w:r>
        <w:rPr>
          <w:rFonts w:hint="eastAsia"/>
          <w:bCs/>
          <w:color w:val="000000"/>
        </w:rPr>
        <w:t>塑性耗能区的钢材，当结构工作温度不高于0℃但高于-20℃时，Q235钢和Q345钢应具有0℃冲击韧性的合格保证，Q390、Q420及Q460钢应具有-20℃冲击韧性的合格保证；当工作温度不高于-20℃时，Q235钢和Q345钢应具有－20℃冲击韧性的合格保证，Q390、Q420及Q460钢应具有－</w:t>
      </w:r>
      <w:r>
        <w:rPr>
          <w:rFonts w:hint="eastAsia"/>
          <w:bCs/>
          <w:color w:val="000000"/>
          <w:szCs w:val="21"/>
        </w:rPr>
        <w:t>40℃冲击韧性的合格保证。</w:t>
      </w:r>
    </w:p>
    <w:p>
      <w:pPr>
        <w:pStyle w:val="129"/>
        <w:spacing w:line="380" w:lineRule="exact"/>
        <w:ind w:firstLine="0" w:firstLineChars="0"/>
        <w:rPr>
          <w:rFonts w:hint="eastAsia"/>
          <w:bCs/>
          <w:color w:val="000000"/>
          <w:szCs w:val="21"/>
        </w:rPr>
      </w:pPr>
    </w:p>
    <w:p>
      <w:pPr>
        <w:pStyle w:val="129"/>
        <w:spacing w:before="156" w:beforeLines="50" w:after="156" w:afterLines="50" w:line="380" w:lineRule="exact"/>
        <w:ind w:firstLine="0" w:firstLineChars="0"/>
        <w:jc w:val="center"/>
        <w:rPr>
          <w:rFonts w:hint="eastAsia"/>
          <w:bCs/>
          <w:color w:val="000000"/>
          <w:szCs w:val="21"/>
        </w:rPr>
      </w:pPr>
      <w:r>
        <w:rPr>
          <w:rFonts w:hint="eastAsia"/>
          <w:bCs/>
          <w:color w:val="000000"/>
          <w:szCs w:val="21"/>
        </w:rPr>
        <w:t>9.2 结构性能系数和设计基本要求</w:t>
      </w:r>
    </w:p>
    <w:p>
      <w:pPr>
        <w:pStyle w:val="129"/>
        <w:spacing w:line="380" w:lineRule="exact"/>
        <w:ind w:firstLine="0" w:firstLineChars="0"/>
        <w:jc w:val="center"/>
        <w:rPr>
          <w:bCs/>
          <w:color w:val="000000"/>
          <w:szCs w:val="21"/>
        </w:rPr>
      </w:pPr>
    </w:p>
    <w:p>
      <w:pPr>
        <w:pStyle w:val="129"/>
        <w:spacing w:line="380" w:lineRule="exact"/>
        <w:ind w:firstLine="0" w:firstLineChars="0"/>
        <w:rPr>
          <w:bCs/>
          <w:color w:val="000000"/>
          <w:szCs w:val="21"/>
        </w:rPr>
      </w:pPr>
      <w:r>
        <w:rPr>
          <w:rFonts w:hint="eastAsia"/>
          <w:bCs/>
          <w:color w:val="000000"/>
          <w:szCs w:val="21"/>
        </w:rPr>
        <w:t>9</w:t>
      </w:r>
      <w:r>
        <w:rPr>
          <w:bCs/>
          <w:color w:val="000000"/>
          <w:szCs w:val="21"/>
        </w:rPr>
        <w:t xml:space="preserve">.2.2 </w:t>
      </w:r>
      <w:r>
        <w:rPr>
          <w:rFonts w:hint="eastAsia"/>
          <w:bCs/>
          <w:color w:val="000000"/>
          <w:szCs w:val="21"/>
        </w:rPr>
        <w:t>地震效应的大小是由建筑物对地震波的反应结果决定的。</w:t>
      </w:r>
      <w:r>
        <w:rPr>
          <w:bCs/>
          <w:color w:val="000000"/>
          <w:szCs w:val="21"/>
        </w:rPr>
        <w:t>结构抗震</w:t>
      </w:r>
      <w:r>
        <w:rPr>
          <w:rFonts w:hint="eastAsia"/>
          <w:bCs/>
          <w:color w:val="000000"/>
          <w:szCs w:val="21"/>
        </w:rPr>
        <w:t>设计，就</w:t>
      </w:r>
      <w:r>
        <w:rPr>
          <w:bCs/>
          <w:color w:val="000000"/>
          <w:szCs w:val="21"/>
        </w:rPr>
        <w:t>是在地震作用大小与结构延性之间</w:t>
      </w:r>
      <w:r>
        <w:rPr>
          <w:rFonts w:hint="eastAsia"/>
          <w:bCs/>
          <w:color w:val="000000"/>
          <w:szCs w:val="21"/>
        </w:rPr>
        <w:t>的</w:t>
      </w:r>
      <w:r>
        <w:rPr>
          <w:bCs/>
          <w:color w:val="000000"/>
          <w:szCs w:val="21"/>
        </w:rPr>
        <w:t>权衡选择</w:t>
      </w:r>
      <w:r>
        <w:rPr>
          <w:rFonts w:hint="eastAsia"/>
          <w:bCs/>
          <w:color w:val="000000"/>
          <w:szCs w:val="21"/>
        </w:rPr>
        <w:t>。钢结构可按“高延性——低弹性承载力”和“低延性——高弹性承载力”两条思路进行抗震设计。前者亦称“延性耗能”思路，后者可谓“弹性承载力抗震（即所谓的强度抗震）”。它们相辅相成，互为补充，各有各的经济适用范围。对于既定的结构体系，构件</w:t>
      </w:r>
      <w:r>
        <w:rPr>
          <w:bCs/>
          <w:color w:val="000000"/>
          <w:szCs w:val="21"/>
        </w:rPr>
        <w:t>截面等级、支撑</w:t>
      </w:r>
      <w:r>
        <w:rPr>
          <w:rFonts w:hint="eastAsia"/>
          <w:bCs/>
          <w:color w:val="000000"/>
          <w:szCs w:val="21"/>
        </w:rPr>
        <w:t>等级等反映其延性耗能能力，相应的性能系数</w:t>
      </w:r>
      <w:r>
        <w:rPr>
          <w:rFonts w:hint="eastAsia"/>
          <w:bCs/>
          <w:i/>
          <w:iCs/>
          <w:color w:val="000000"/>
          <w:szCs w:val="21"/>
        </w:rPr>
        <w:t>q</w:t>
      </w:r>
      <w:r>
        <w:rPr>
          <w:rFonts w:hint="eastAsia"/>
          <w:bCs/>
          <w:color w:val="000000"/>
          <w:szCs w:val="21"/>
        </w:rPr>
        <w:t>表征取用的设计地震作用大小。</w:t>
      </w:r>
      <w:r>
        <w:rPr>
          <w:bCs/>
          <w:color w:val="000000"/>
          <w:szCs w:val="21"/>
        </w:rPr>
        <w:t>本</w:t>
      </w:r>
      <w:r>
        <w:rPr>
          <w:rFonts w:hint="eastAsia"/>
          <w:bCs/>
          <w:color w:val="000000"/>
          <w:szCs w:val="21"/>
        </w:rPr>
        <w:t>条文</w:t>
      </w:r>
      <w:r>
        <w:rPr>
          <w:bCs/>
          <w:color w:val="000000"/>
          <w:szCs w:val="21"/>
        </w:rPr>
        <w:t>定义了塑性结构（PS1、PS2）、弹塑性结构（PES）和弹性结构（ES1、ES2）</w:t>
      </w:r>
      <w:r>
        <w:rPr>
          <w:rFonts w:hint="eastAsia"/>
          <w:bCs/>
          <w:color w:val="000000"/>
          <w:szCs w:val="21"/>
        </w:rPr>
        <w:t>三种结构类别</w:t>
      </w:r>
      <w:r>
        <w:rPr>
          <w:bCs/>
          <w:color w:val="000000"/>
          <w:szCs w:val="21"/>
        </w:rPr>
        <w:t>，并配置了相应的框架</w:t>
      </w:r>
      <w:r>
        <w:rPr>
          <w:rFonts w:hint="eastAsia"/>
          <w:bCs/>
          <w:color w:val="000000"/>
          <w:szCs w:val="21"/>
        </w:rPr>
        <w:t>构件</w:t>
      </w:r>
      <w:r>
        <w:rPr>
          <w:bCs/>
          <w:color w:val="000000"/>
          <w:szCs w:val="21"/>
        </w:rPr>
        <w:t>截面等级、支撑等级</w:t>
      </w:r>
      <w:r>
        <w:rPr>
          <w:rFonts w:hint="eastAsia"/>
          <w:bCs/>
          <w:color w:val="000000"/>
          <w:szCs w:val="21"/>
        </w:rPr>
        <w:t>，</w:t>
      </w:r>
      <w:r>
        <w:rPr>
          <w:bCs/>
          <w:color w:val="000000"/>
          <w:szCs w:val="21"/>
        </w:rPr>
        <w:t>据钢结构的</w:t>
      </w:r>
      <w:r>
        <w:rPr>
          <w:rFonts w:hint="eastAsia"/>
          <w:bCs/>
          <w:color w:val="000000"/>
          <w:szCs w:val="21"/>
        </w:rPr>
        <w:t>类别给出对应的性能系数</w:t>
      </w:r>
      <w:r>
        <w:rPr>
          <w:rFonts w:hint="eastAsia"/>
          <w:bCs/>
          <w:i/>
          <w:iCs/>
          <w:color w:val="000000"/>
          <w:szCs w:val="21"/>
        </w:rPr>
        <w:t>q</w:t>
      </w:r>
      <w:r>
        <w:rPr>
          <w:bCs/>
          <w:color w:val="000000"/>
          <w:szCs w:val="21"/>
        </w:rPr>
        <w:t>。塑性结构</w:t>
      </w:r>
      <w:r>
        <w:rPr>
          <w:rFonts w:hint="eastAsia"/>
          <w:bCs/>
          <w:color w:val="000000"/>
          <w:szCs w:val="21"/>
        </w:rPr>
        <w:t>遵循“延性耗能”思路，</w:t>
      </w:r>
      <w:r>
        <w:rPr>
          <w:bCs/>
          <w:color w:val="000000"/>
          <w:szCs w:val="21"/>
        </w:rPr>
        <w:t>弹性结构</w:t>
      </w:r>
      <w:r>
        <w:rPr>
          <w:rFonts w:hint="eastAsia"/>
          <w:bCs/>
          <w:color w:val="000000"/>
          <w:szCs w:val="21"/>
        </w:rPr>
        <w:t>执行“弹性承载力抗震”思路，</w:t>
      </w:r>
      <w:r>
        <w:rPr>
          <w:bCs/>
          <w:color w:val="000000"/>
          <w:szCs w:val="21"/>
        </w:rPr>
        <w:t>弹塑性结构</w:t>
      </w:r>
      <w:r>
        <w:rPr>
          <w:rFonts w:hint="eastAsia"/>
          <w:bCs/>
          <w:color w:val="000000"/>
          <w:szCs w:val="21"/>
        </w:rPr>
        <w:t>介于两者之间。这些类别的结构，</w:t>
      </w:r>
      <w:r>
        <w:rPr>
          <w:bCs/>
          <w:color w:val="000000"/>
          <w:szCs w:val="21"/>
        </w:rPr>
        <w:t>采用不同的性能系数</w:t>
      </w:r>
      <w:r>
        <w:rPr>
          <w:rFonts w:hint="eastAsia"/>
          <w:bCs/>
          <w:i/>
          <w:iCs/>
          <w:color w:val="000000"/>
          <w:szCs w:val="21"/>
        </w:rPr>
        <w:t>q</w:t>
      </w:r>
      <w:r>
        <w:rPr>
          <w:bCs/>
          <w:color w:val="000000"/>
          <w:szCs w:val="21"/>
        </w:rPr>
        <w:t>进行弹性阶段的抗震验算。</w:t>
      </w:r>
    </w:p>
    <w:p>
      <w:pPr>
        <w:pStyle w:val="129"/>
        <w:spacing w:line="380" w:lineRule="exact"/>
        <w:ind w:firstLineChars="0"/>
        <w:rPr>
          <w:bCs/>
          <w:color w:val="000000"/>
        </w:rPr>
      </w:pPr>
      <w:r>
        <w:rPr>
          <w:bCs/>
          <w:color w:val="000000"/>
        </w:rPr>
        <w:t xml:space="preserve">1 </w:t>
      </w:r>
      <w:r>
        <w:rPr>
          <w:rFonts w:hint="eastAsia"/>
          <w:bCs/>
          <w:color w:val="000000"/>
        </w:rPr>
        <w:t>连接节点可靠时，抗侧力结构的塑性变形能力，是由其构成构件是否失稳决定的。框架的塑性变形能力取决于梁柱截面的板件宽厚比。支撑的变形能力主要取决于其长细比。</w:t>
      </w:r>
      <w:r>
        <w:rPr>
          <w:bCs/>
          <w:color w:val="000000"/>
        </w:rPr>
        <w:t>《钢结构设计规范》GB 50017的S1、S2和S4级截面的延性性能，与EC3规范1、2和3级截面的延性性能基本相当，</w:t>
      </w:r>
      <w:r>
        <w:rPr>
          <w:rFonts w:hint="eastAsia"/>
          <w:bCs/>
          <w:color w:val="000000"/>
        </w:rPr>
        <w:t>条文</w:t>
      </w:r>
      <w:r>
        <w:rPr>
          <w:bCs/>
          <w:color w:val="000000"/>
        </w:rPr>
        <w:t>表</w:t>
      </w:r>
      <w:r>
        <w:rPr>
          <w:rFonts w:hint="eastAsia"/>
          <w:bCs/>
          <w:color w:val="000000"/>
        </w:rPr>
        <w:t>9</w:t>
      </w:r>
      <w:r>
        <w:rPr>
          <w:bCs/>
          <w:color w:val="000000"/>
        </w:rPr>
        <w:t>.2.2-1配置的支撑的性能</w:t>
      </w:r>
      <w:r>
        <w:rPr>
          <w:rFonts w:hint="eastAsia"/>
          <w:bCs/>
          <w:color w:val="000000"/>
        </w:rPr>
        <w:t>，</w:t>
      </w:r>
      <w:r>
        <w:rPr>
          <w:bCs/>
          <w:color w:val="000000"/>
        </w:rPr>
        <w:t>不低于EC8规范的支撑性能。对比分析表明，我国多遇地震组合的底部剪力与EC8规范取性能</w:t>
      </w:r>
      <w:r>
        <w:rPr>
          <w:rFonts w:hint="eastAsia"/>
          <w:bCs/>
          <w:color w:val="000000"/>
        </w:rPr>
        <w:t>系数</w:t>
      </w:r>
      <w:r>
        <w:rPr>
          <w:bCs/>
          <w:i/>
          <w:iCs/>
          <w:color w:val="000000"/>
        </w:rPr>
        <w:t>q</w:t>
      </w:r>
      <w:r>
        <w:rPr>
          <w:bCs/>
          <w:color w:val="000000"/>
        </w:rPr>
        <w:t>=4时的地震组合的底部剪力</w:t>
      </w:r>
      <w:r>
        <w:rPr>
          <w:rFonts w:hint="eastAsia"/>
          <w:bCs/>
          <w:color w:val="000000"/>
        </w:rPr>
        <w:t>相当，按2倍小震计算的底部剪力与EC8取</w:t>
      </w:r>
      <w:r>
        <w:rPr>
          <w:rFonts w:hint="eastAsia"/>
          <w:bCs/>
          <w:i/>
          <w:iCs/>
          <w:color w:val="000000"/>
        </w:rPr>
        <w:t>q</w:t>
      </w:r>
      <w:r>
        <w:rPr>
          <w:rFonts w:hint="eastAsia"/>
          <w:bCs/>
          <w:color w:val="000000"/>
        </w:rPr>
        <w:t>＝2的底部剪力相当</w:t>
      </w:r>
      <w:r>
        <w:rPr>
          <w:bCs/>
          <w:color w:val="000000"/>
        </w:rPr>
        <w:t>。以此为</w:t>
      </w:r>
      <w:r>
        <w:rPr>
          <w:rFonts w:hint="eastAsia"/>
          <w:bCs/>
          <w:color w:val="000000"/>
        </w:rPr>
        <w:t>基准</w:t>
      </w:r>
      <w:r>
        <w:rPr>
          <w:bCs/>
          <w:color w:val="000000"/>
        </w:rPr>
        <w:t>，结合结构体系、所采用的截面性能等，确定</w:t>
      </w:r>
      <w:r>
        <w:rPr>
          <w:rFonts w:hint="eastAsia"/>
          <w:bCs/>
          <w:color w:val="000000"/>
        </w:rPr>
        <w:t>本条文的</w:t>
      </w:r>
      <w:r>
        <w:rPr>
          <w:bCs/>
          <w:color w:val="000000"/>
        </w:rPr>
        <w:t>结构性能系数。换言之，按表</w:t>
      </w:r>
      <w:r>
        <w:rPr>
          <w:rFonts w:hint="eastAsia"/>
          <w:bCs/>
          <w:color w:val="000000"/>
        </w:rPr>
        <w:t>9</w:t>
      </w:r>
      <w:r>
        <w:rPr>
          <w:bCs/>
          <w:color w:val="000000"/>
        </w:rPr>
        <w:t>.2.2-1给出的结构性能系数进行抗震分析的框架、支撑框架与EC8规范同类结构具有相当的</w:t>
      </w:r>
      <w:r>
        <w:rPr>
          <w:rFonts w:hint="eastAsia"/>
          <w:bCs/>
          <w:color w:val="000000"/>
        </w:rPr>
        <w:t>能力</w:t>
      </w:r>
      <w:r>
        <w:rPr>
          <w:bCs/>
          <w:color w:val="000000"/>
        </w:rPr>
        <w:t>。</w:t>
      </w:r>
    </w:p>
    <w:p>
      <w:pPr>
        <w:pStyle w:val="129"/>
        <w:spacing w:line="380" w:lineRule="exact"/>
        <w:ind w:firstLineChars="0"/>
        <w:rPr>
          <w:bCs/>
          <w:color w:val="000000"/>
        </w:rPr>
      </w:pPr>
      <w:r>
        <w:rPr>
          <w:bCs/>
          <w:color w:val="000000"/>
        </w:rPr>
        <w:t>H形的截面等级</w:t>
      </w:r>
      <w:r>
        <w:rPr>
          <w:rFonts w:hint="eastAsia"/>
          <w:bCs/>
          <w:color w:val="000000"/>
        </w:rPr>
        <w:t>，主要是反映</w:t>
      </w:r>
      <w:r>
        <w:rPr>
          <w:bCs/>
          <w:color w:val="000000"/>
        </w:rPr>
        <w:t>绕强轴受弯或压弯构件的性能</w:t>
      </w:r>
      <w:r>
        <w:rPr>
          <w:rFonts w:hint="eastAsia"/>
          <w:bCs/>
          <w:color w:val="000000"/>
        </w:rPr>
        <w:t>，绕弱轴受弯时（如弱轴垂直于纵向列线的H截面的单层厂房纵向框架），就不宜采用强轴受弯的性能系数</w:t>
      </w:r>
      <w:r>
        <w:rPr>
          <w:bCs/>
          <w:color w:val="000000"/>
        </w:rPr>
        <w:t>。</w:t>
      </w:r>
    </w:p>
    <w:p>
      <w:pPr>
        <w:pStyle w:val="129"/>
        <w:spacing w:line="380" w:lineRule="exact"/>
        <w:ind w:firstLineChars="0"/>
        <w:rPr>
          <w:bCs/>
          <w:color w:val="000000"/>
        </w:rPr>
      </w:pPr>
      <w:r>
        <w:rPr>
          <w:bCs/>
          <w:color w:val="000000"/>
        </w:rPr>
        <w:t>2 塑性结构，当遭遇设计地震作用时，应能经受显著的非弹性变形，即所谓的延性耗能。塑性结构遵循“高延性——低弹性承载力”思路进行抗震设计，故而必须具有明确的耗能机构和耗能途径。</w:t>
      </w:r>
    </w:p>
    <w:p>
      <w:pPr>
        <w:pStyle w:val="129"/>
        <w:spacing w:line="380" w:lineRule="exact"/>
        <w:ind w:firstLineChars="0"/>
        <w:rPr>
          <w:bCs/>
          <w:color w:val="000000"/>
        </w:rPr>
      </w:pPr>
      <w:r>
        <w:rPr>
          <w:bCs/>
          <w:color w:val="000000"/>
        </w:rPr>
        <w:t>（1）框架结构应呈现梁铰结构（柱顶、柱底可出现塑性铰）弯曲耗能，故而必须遵守“强柱弱梁”准则。</w:t>
      </w:r>
    </w:p>
    <w:p>
      <w:pPr>
        <w:pStyle w:val="129"/>
        <w:spacing w:line="380" w:lineRule="exact"/>
        <w:ind w:firstLineChars="0"/>
        <w:rPr>
          <w:bCs/>
          <w:color w:val="000000"/>
        </w:rPr>
      </w:pPr>
      <w:r>
        <w:rPr>
          <w:bCs/>
          <w:color w:val="000000"/>
        </w:rPr>
        <w:t>（2）本标准中</w:t>
      </w:r>
      <w:r>
        <w:rPr>
          <w:rFonts w:hint="eastAsia"/>
          <w:bCs/>
          <w:color w:val="000000"/>
        </w:rPr>
        <w:t>，</w:t>
      </w:r>
      <w:r>
        <w:rPr>
          <w:bCs/>
          <w:color w:val="000000"/>
        </w:rPr>
        <w:t>中心支撑框架包括通过对角布置的支撑拉伸屈服耗能（Concentrically braced frames)，和框架呈现“梁铰机构”</w:t>
      </w:r>
      <w:r>
        <w:rPr>
          <w:rFonts w:hint="eastAsia"/>
          <w:bCs/>
          <w:color w:val="000000"/>
        </w:rPr>
        <w:t>并</w:t>
      </w:r>
      <w:r>
        <w:rPr>
          <w:bCs/>
          <w:color w:val="000000"/>
        </w:rPr>
        <w:t>与对角支撑屈服组合共同耗能（Moment-resisting with concentric bracing）两种形式</w:t>
      </w:r>
      <w:r>
        <w:rPr>
          <w:rFonts w:hint="eastAsia"/>
          <w:bCs/>
          <w:color w:val="000000"/>
        </w:rPr>
        <w:t>。</w:t>
      </w:r>
      <w:r>
        <w:rPr>
          <w:bCs/>
          <w:color w:val="000000"/>
        </w:rPr>
        <w:t>但</w:t>
      </w:r>
      <w:r>
        <w:rPr>
          <w:rFonts w:hint="eastAsia"/>
          <w:bCs/>
          <w:color w:val="000000"/>
        </w:rPr>
        <w:t>本标准</w:t>
      </w:r>
      <w:r>
        <w:rPr>
          <w:bCs/>
          <w:color w:val="000000"/>
        </w:rPr>
        <w:t>在采用性能系数时未作细分。</w:t>
      </w:r>
    </w:p>
    <w:p>
      <w:pPr>
        <w:pStyle w:val="129"/>
        <w:spacing w:line="380" w:lineRule="exact"/>
        <w:ind w:firstLineChars="0"/>
        <w:rPr>
          <w:bCs/>
          <w:color w:val="000000"/>
        </w:rPr>
      </w:pPr>
      <w:r>
        <w:rPr>
          <w:rFonts w:hint="eastAsia"/>
          <w:bCs/>
          <w:color w:val="000000"/>
        </w:rPr>
        <w:t>中心支撑的抗震性能十分</w:t>
      </w:r>
      <w:r>
        <w:rPr>
          <w:rFonts w:hint="eastAsia"/>
          <w:bCs/>
          <w:color w:val="000000"/>
          <w:szCs w:val="21"/>
        </w:rPr>
        <w:t>复杂</w:t>
      </w:r>
      <w:r>
        <w:rPr>
          <w:rFonts w:hint="eastAsia"/>
          <w:bCs/>
          <w:color w:val="000000"/>
        </w:rPr>
        <w:t>，包含了受拉屈服、受压屈服和屈曲、往复荷载下的承载力劣化、弹塑性状态下的板件局部屈曲、低周疲劳失效等诸多物理现象。支撑随其长细比，可发生塑性失稳、弹塑性失稳、弹性失稳，其抗震性能的变异很大。</w:t>
      </w:r>
    </w:p>
    <w:p>
      <w:pPr>
        <w:snapToGrid w:val="0"/>
        <w:spacing w:line="440" w:lineRule="exact"/>
        <w:ind w:firstLine="420" w:firstLineChars="200"/>
        <w:textAlignment w:val="baseline"/>
        <w:rPr>
          <w:rFonts w:hint="eastAsia"/>
          <w:bCs/>
          <w:color w:val="000000"/>
        </w:rPr>
      </w:pPr>
      <w:r>
        <w:rPr>
          <w:rFonts w:hint="eastAsia"/>
          <w:bCs/>
          <w:color w:val="000000"/>
        </w:rPr>
        <w:t>1）随支撑长细比的减小，支撑受压杆更不易屈曲，且屈曲后承载力上升，滞回环面积增大，即吸收耗散地震能量的能力增强。但如设计时支撑按压杆考虑，受压撑杆屈曲后承载力退化，支撑楼层可能进入弹塑性，层间水平承载力降低，地震能量则易集中在该层。相对地，长细比大的支撑，压杆在荷载较小时就发生屈曲，藉助拉杆的强度和变形能力抵抗地震作用。换言之，长细比大的支撑是强度抵抗型（如B2-2级支撑），长细比小的支撑是能量耗散型（如B1、B2-1级支撑）。因此，与梁柱的塑性变形能力一样，支撑的长细比及其截面构成，对支撑框架结构的极限承载能力有较大影响。</w:t>
      </w:r>
    </w:p>
    <w:p>
      <w:pPr>
        <w:snapToGrid w:val="0"/>
        <w:spacing w:line="440" w:lineRule="exact"/>
        <w:ind w:firstLine="420" w:firstLineChars="200"/>
        <w:textAlignment w:val="baseline"/>
        <w:rPr>
          <w:rFonts w:hint="eastAsia"/>
          <w:bCs/>
          <w:color w:val="000000"/>
        </w:rPr>
      </w:pPr>
      <w:r>
        <w:rPr>
          <w:rFonts w:hint="eastAsia" w:hAnsi="宋体"/>
          <w:bCs/>
          <w:color w:val="000000"/>
        </w:rPr>
        <w:t>试验表明</w:t>
      </w:r>
      <w:r>
        <w:rPr>
          <w:rFonts w:hint="eastAsia"/>
          <w:bCs/>
          <w:color w:val="000000"/>
        </w:rPr>
        <w:t>，中等长细比的支撑（长细比介于B2-1和B2-2之间），既非强度抵抗型，亦非能量吸收型，具有不稳定的抗震性能。长细比大的支撑，受压撑杆承受很小的荷载就失稳，其恢复力特征呈滑移型；受拉撑杆进入屈服状态，可保持稳定的变形能力。与之相反，中等长细比的支撑，受压撑杆失稳前的承载力和刚度都很高，但一旦失稳，就呈现不稳定的恢复力特征，不能期待其变形能力。中等长细比支撑的抗震性能，比小长细比和细柔长细比支撑的都要差。</w:t>
      </w:r>
    </w:p>
    <w:p>
      <w:pPr>
        <w:pStyle w:val="129"/>
        <w:spacing w:line="380" w:lineRule="exact"/>
        <w:ind w:firstLineChars="0"/>
        <w:rPr>
          <w:bCs/>
          <w:color w:val="000000"/>
        </w:rPr>
      </w:pPr>
      <w:r>
        <w:rPr>
          <w:rFonts w:hint="eastAsia"/>
          <w:bCs/>
          <w:color w:val="000000"/>
        </w:rPr>
        <w:t>2）</w:t>
      </w:r>
      <w:r>
        <w:rPr>
          <w:bCs/>
          <w:color w:val="000000"/>
        </w:rPr>
        <w:t>长细比很小的支撑（B1级支撑）理论上可以受压塑性耗能，但很少在工程中应用。屈曲约束支撑（BRB）已经是十分成熟的产品，与一般钢构件一样可</w:t>
      </w:r>
      <w:r>
        <w:rPr>
          <w:rFonts w:hint="eastAsia"/>
          <w:bCs/>
          <w:color w:val="000000"/>
        </w:rPr>
        <w:t>工</w:t>
      </w:r>
      <w:r>
        <w:rPr>
          <w:bCs/>
          <w:color w:val="000000"/>
        </w:rPr>
        <w:t>厂制作，性能可靠并具有比B1级支撑更高的变形能力</w:t>
      </w:r>
      <w:r>
        <w:rPr>
          <w:rFonts w:hint="eastAsia"/>
          <w:bCs/>
          <w:color w:val="000000"/>
        </w:rPr>
        <w:t>，无需特殊维护</w:t>
      </w:r>
      <w:r>
        <w:rPr>
          <w:bCs/>
          <w:color w:val="000000"/>
        </w:rPr>
        <w:t>。</w:t>
      </w:r>
    </w:p>
    <w:p>
      <w:pPr>
        <w:pStyle w:val="129"/>
        <w:spacing w:line="380" w:lineRule="exact"/>
        <w:ind w:firstLineChars="0"/>
        <w:rPr>
          <w:rFonts w:hint="eastAsia"/>
          <w:bCs/>
          <w:color w:val="000000"/>
        </w:rPr>
      </w:pPr>
      <w:r>
        <w:rPr>
          <w:rFonts w:hint="eastAsia"/>
          <w:bCs/>
          <w:color w:val="000000"/>
        </w:rPr>
        <w:t>3）</w:t>
      </w:r>
      <w:r>
        <w:rPr>
          <w:bCs/>
          <w:color w:val="000000"/>
        </w:rPr>
        <w:t>B2-2级支撑是拉伸</w:t>
      </w:r>
      <w:r>
        <w:rPr>
          <w:rFonts w:hint="eastAsia"/>
          <w:bCs/>
          <w:color w:val="000000"/>
        </w:rPr>
        <w:t>强度</w:t>
      </w:r>
      <w:r>
        <w:rPr>
          <w:bCs/>
          <w:color w:val="000000"/>
        </w:rPr>
        <w:t>型支撑，支撑</w:t>
      </w:r>
      <w:r>
        <w:rPr>
          <w:rFonts w:hint="eastAsia"/>
          <w:bCs/>
          <w:color w:val="000000"/>
        </w:rPr>
        <w:t>靠</w:t>
      </w:r>
      <w:r>
        <w:rPr>
          <w:bCs/>
          <w:color w:val="000000"/>
        </w:rPr>
        <w:t>拉伸屈服耗散地震能量。</w:t>
      </w:r>
      <w:r>
        <w:rPr>
          <w:rFonts w:hint="eastAsia"/>
          <w:bCs/>
          <w:color w:val="000000"/>
        </w:rPr>
        <w:t>B2-2支撑可略去受压撑杆的作用，只按单根拉杆计算。B2-2的性能特征是受压撑杆在弹性范围内失稳，因此不要过大估计其计算长度，否则会导致本应发生弹性失稳的杆件实际却发生弹塑性失稳。弹塑性失稳撑杆反复受局部弯矩作用，在受拉伸时容易发生早期断裂。</w:t>
      </w:r>
    </w:p>
    <w:p>
      <w:pPr>
        <w:pStyle w:val="129"/>
        <w:spacing w:line="380" w:lineRule="exact"/>
        <w:ind w:firstLineChars="0"/>
        <w:rPr>
          <w:bCs/>
          <w:color w:val="000000"/>
        </w:rPr>
      </w:pPr>
      <w:r>
        <w:rPr>
          <w:rFonts w:hint="eastAsia"/>
          <w:bCs/>
          <w:color w:val="000000"/>
        </w:rPr>
        <w:t>一般情况下，为了防止支撑压杆屈曲前阶段柱子的内力超过极限状态分析（按单根撑杆受拉）的内力，对长细比小于130的支撑应按拉压杆共同作用进行计算。</w:t>
      </w:r>
    </w:p>
    <w:p>
      <w:pPr>
        <w:pStyle w:val="129"/>
        <w:spacing w:line="380" w:lineRule="exact"/>
        <w:ind w:firstLineChars="0"/>
        <w:rPr>
          <w:bCs/>
          <w:color w:val="000000"/>
        </w:rPr>
      </w:pPr>
      <w:r>
        <w:rPr>
          <w:bCs/>
          <w:color w:val="000000"/>
        </w:rPr>
        <w:t>B2-1级支撑是拉压</w:t>
      </w:r>
      <w:r>
        <w:rPr>
          <w:rFonts w:hint="eastAsia"/>
          <w:bCs/>
          <w:color w:val="000000"/>
        </w:rPr>
        <w:t>能量耗散</w:t>
      </w:r>
      <w:r>
        <w:rPr>
          <w:bCs/>
          <w:color w:val="000000"/>
        </w:rPr>
        <w:t>型支撑。</w:t>
      </w:r>
      <w:r>
        <w:rPr>
          <w:rFonts w:hint="eastAsia"/>
          <w:bCs/>
          <w:color w:val="000000"/>
        </w:rPr>
        <w:t>塑性结构的</w:t>
      </w:r>
      <w:r>
        <w:rPr>
          <w:bCs/>
          <w:color w:val="000000"/>
        </w:rPr>
        <w:t>中心支撑框架</w:t>
      </w:r>
      <w:r>
        <w:rPr>
          <w:rFonts w:hint="eastAsia"/>
          <w:bCs/>
          <w:color w:val="000000"/>
        </w:rPr>
        <w:t>，</w:t>
      </w:r>
      <w:r>
        <w:rPr>
          <w:bCs/>
          <w:color w:val="000000"/>
        </w:rPr>
        <w:t>需借助支撑耗散地震输入能量，故B1、B2级支撑钢材</w:t>
      </w:r>
      <w:r>
        <w:rPr>
          <w:rFonts w:hint="eastAsia"/>
          <w:bCs/>
          <w:color w:val="000000"/>
        </w:rPr>
        <w:t>的屈强比不宜大于0.8，</w:t>
      </w:r>
      <w:r>
        <w:rPr>
          <w:bCs/>
          <w:color w:val="000000"/>
        </w:rPr>
        <w:t>对屈服强度宜设置上限值，</w:t>
      </w:r>
      <w:r>
        <w:rPr>
          <w:rFonts w:hint="eastAsia"/>
          <w:bCs/>
          <w:color w:val="000000"/>
        </w:rPr>
        <w:t>采用</w:t>
      </w:r>
      <w:r>
        <w:rPr>
          <w:bCs/>
          <w:color w:val="000000"/>
        </w:rPr>
        <w:t>GJ钢</w:t>
      </w:r>
      <w:r>
        <w:rPr>
          <w:rFonts w:hint="eastAsia"/>
          <w:bCs/>
          <w:color w:val="000000"/>
        </w:rPr>
        <w:t>即</w:t>
      </w:r>
      <w:r>
        <w:rPr>
          <w:bCs/>
          <w:color w:val="000000"/>
        </w:rPr>
        <w:t>可满足此要求。即使是B3级支撑，限制支撑钢材的最大屈服强度，对抗震也是十分有利的</w:t>
      </w:r>
      <w:r>
        <w:rPr>
          <w:rFonts w:hint="eastAsia"/>
          <w:bCs/>
          <w:color w:val="000000"/>
        </w:rPr>
        <w:t>，至少不会由于支撑屈服强度过高而在遭遇强烈地震对钢柱产生过大的压力，导致钢柱整体屈曲</w:t>
      </w:r>
      <w:r>
        <w:rPr>
          <w:bCs/>
          <w:color w:val="000000"/>
        </w:rPr>
        <w:t>。</w:t>
      </w:r>
    </w:p>
    <w:p>
      <w:pPr>
        <w:pStyle w:val="129"/>
        <w:spacing w:line="380" w:lineRule="exact"/>
        <w:ind w:firstLineChars="0"/>
        <w:rPr>
          <w:bCs/>
          <w:color w:val="000000"/>
        </w:rPr>
      </w:pPr>
      <w:r>
        <w:rPr>
          <w:rFonts w:hint="eastAsia"/>
          <w:bCs/>
          <w:color w:val="000000"/>
        </w:rPr>
        <w:t>4）框架和中心支撑框架通过楼板协调共同工作。支撑刚度大，吸引的地震作用也大。当中心支撑框架承担70%以上的地震剪力时，就会呈现支撑的荷载——变形关系的特征。为了接近框架的吸收能量能力，可以提高撑杆的承载力，但必须同时提高与撑杆连接的框架梁柱、柱脚的承载力。</w:t>
      </w:r>
    </w:p>
    <w:p>
      <w:pPr>
        <w:pStyle w:val="129"/>
        <w:spacing w:line="380" w:lineRule="exact"/>
        <w:ind w:firstLineChars="0"/>
        <w:rPr>
          <w:bCs/>
          <w:color w:val="000000"/>
        </w:rPr>
      </w:pPr>
      <w:r>
        <w:rPr>
          <w:bCs/>
          <w:color w:val="000000"/>
        </w:rPr>
        <w:t>（</w:t>
      </w:r>
      <w:r>
        <w:rPr>
          <w:rFonts w:hint="eastAsia"/>
          <w:bCs/>
          <w:color w:val="000000"/>
        </w:rPr>
        <w:t>3</w:t>
      </w:r>
      <w:r>
        <w:rPr>
          <w:bCs/>
          <w:color w:val="000000"/>
        </w:rPr>
        <w:t>）偏心支撑框架通过耗能连梁剪切和弯曲耗能（耗能连梁</w:t>
      </w:r>
      <w:r>
        <w:rPr>
          <w:rFonts w:hint="eastAsia"/>
          <w:bCs/>
          <w:color w:val="000000"/>
        </w:rPr>
        <w:t>直接</w:t>
      </w:r>
      <w:r>
        <w:rPr>
          <w:bCs/>
          <w:color w:val="000000"/>
        </w:rPr>
        <w:t>与柱相连时，</w:t>
      </w:r>
      <w:r>
        <w:rPr>
          <w:rFonts w:hint="eastAsia"/>
          <w:bCs/>
          <w:color w:val="000000"/>
        </w:rPr>
        <w:t>一般</w:t>
      </w:r>
      <w:r>
        <w:rPr>
          <w:bCs/>
          <w:color w:val="000000"/>
        </w:rPr>
        <w:t>不采用弯曲耗能</w:t>
      </w:r>
      <w:r>
        <w:rPr>
          <w:rFonts w:hint="eastAsia"/>
          <w:bCs/>
          <w:color w:val="000000"/>
        </w:rPr>
        <w:t>方式</w:t>
      </w:r>
      <w:r>
        <w:rPr>
          <w:bCs/>
          <w:color w:val="000000"/>
        </w:rPr>
        <w:t>）。支撑斜杆应具有足够的承载力，即耗能时支撑斜杆不整体屈曲、不屈服。偏心支撑斜杆无需限定长细比。</w:t>
      </w:r>
    </w:p>
    <w:p>
      <w:pPr>
        <w:pStyle w:val="129"/>
        <w:spacing w:line="380" w:lineRule="exact"/>
        <w:ind w:firstLineChars="0"/>
        <w:rPr>
          <w:bCs/>
          <w:color w:val="000000"/>
        </w:rPr>
      </w:pPr>
      <w:r>
        <w:rPr>
          <w:bCs/>
          <w:color w:val="000000"/>
        </w:rPr>
        <w:t>支撑偏心布置，但构造</w:t>
      </w:r>
      <w:r>
        <w:rPr>
          <w:rFonts w:hint="eastAsia"/>
          <w:bCs/>
          <w:color w:val="000000"/>
        </w:rPr>
        <w:t>和计算</w:t>
      </w:r>
      <w:r>
        <w:rPr>
          <w:bCs/>
          <w:color w:val="000000"/>
        </w:rPr>
        <w:t>不符合偏心支撑框架要求的，不能实现耗能机制，故不属于偏心支撑框架。</w:t>
      </w:r>
    </w:p>
    <w:p>
      <w:pPr>
        <w:pStyle w:val="129"/>
        <w:spacing w:line="380" w:lineRule="exact"/>
        <w:ind w:firstLineChars="0"/>
        <w:rPr>
          <w:bCs/>
          <w:color w:val="000000"/>
        </w:rPr>
      </w:pPr>
      <w:r>
        <w:rPr>
          <w:bCs/>
          <w:color w:val="000000"/>
        </w:rPr>
        <w:t>（</w:t>
      </w:r>
      <w:r>
        <w:rPr>
          <w:rFonts w:hint="eastAsia"/>
          <w:bCs/>
          <w:color w:val="000000"/>
        </w:rPr>
        <w:t>4</w:t>
      </w:r>
      <w:r>
        <w:rPr>
          <w:bCs/>
          <w:color w:val="000000"/>
        </w:rPr>
        <w:t>）条文中，塑性结构PS1的性能系数</w:t>
      </w:r>
      <w:r>
        <w:rPr>
          <w:bCs/>
          <w:i/>
          <w:iCs/>
          <w:color w:val="000000"/>
        </w:rPr>
        <w:t>q</w:t>
      </w:r>
      <w:r>
        <w:rPr>
          <w:bCs/>
          <w:color w:val="000000"/>
        </w:rPr>
        <w:t>≤1</w:t>
      </w:r>
      <w:r>
        <w:rPr>
          <w:rFonts w:hint="eastAsia"/>
          <w:bCs/>
          <w:color w:val="000000"/>
        </w:rPr>
        <w:t>。</w:t>
      </w:r>
      <w:r>
        <w:rPr>
          <w:bCs/>
          <w:color w:val="000000"/>
        </w:rPr>
        <w:t>一般情况下</w:t>
      </w:r>
      <w:r>
        <w:rPr>
          <w:rFonts w:hint="eastAsia"/>
          <w:bCs/>
          <w:color w:val="000000"/>
        </w:rPr>
        <w:t>，</w:t>
      </w:r>
      <w:r>
        <w:rPr>
          <w:bCs/>
          <w:color w:val="000000"/>
        </w:rPr>
        <w:t>可取</w:t>
      </w:r>
      <w:r>
        <w:rPr>
          <w:bCs/>
          <w:i/>
          <w:iCs/>
          <w:color w:val="000000"/>
        </w:rPr>
        <w:t>q</w:t>
      </w:r>
      <w:r>
        <w:rPr>
          <w:bCs/>
          <w:color w:val="000000"/>
        </w:rPr>
        <w:t>=1进行抗震计算，即采用地震基本组合进行抗震设计。这主要是为了与《建筑抗震设计规范》GB50017协调统一。据</w:t>
      </w:r>
      <w:r>
        <w:rPr>
          <w:rFonts w:hint="eastAsia"/>
          <w:bCs/>
          <w:color w:val="000000"/>
        </w:rPr>
        <w:t>有</w:t>
      </w:r>
      <w:r>
        <w:rPr>
          <w:bCs/>
          <w:color w:val="000000"/>
        </w:rPr>
        <w:t>塑性结构PS1的框架截面等级、支撑等级</w:t>
      </w:r>
      <w:r>
        <w:rPr>
          <w:rFonts w:hint="eastAsia"/>
          <w:bCs/>
          <w:color w:val="000000"/>
        </w:rPr>
        <w:t>时</w:t>
      </w:r>
      <w:r>
        <w:rPr>
          <w:bCs/>
          <w:color w:val="000000"/>
        </w:rPr>
        <w:t>，取性能系数</w:t>
      </w:r>
      <w:r>
        <w:rPr>
          <w:bCs/>
          <w:i/>
          <w:iCs/>
          <w:color w:val="000000"/>
        </w:rPr>
        <w:t>q</w:t>
      </w:r>
      <w:r>
        <w:rPr>
          <w:bCs/>
          <w:color w:val="000000"/>
        </w:rPr>
        <w:t>&lt;1</w:t>
      </w:r>
      <w:r>
        <w:rPr>
          <w:rFonts w:hint="eastAsia"/>
          <w:bCs/>
          <w:color w:val="000000"/>
        </w:rPr>
        <w:t>也</w:t>
      </w:r>
      <w:r>
        <w:rPr>
          <w:bCs/>
          <w:color w:val="000000"/>
        </w:rPr>
        <w:t>是可行的，</w:t>
      </w:r>
      <w:r>
        <w:rPr>
          <w:rFonts w:hint="eastAsia"/>
          <w:bCs/>
          <w:color w:val="000000"/>
          <w:kern w:val="0"/>
          <w:szCs w:val="21"/>
        </w:rPr>
        <w:t>但通常情况下</w:t>
      </w:r>
      <w:r>
        <w:rPr>
          <w:rFonts w:hint="eastAsia"/>
          <w:bCs/>
          <w:i/>
          <w:iCs/>
          <w:color w:val="000000"/>
          <w:kern w:val="0"/>
          <w:szCs w:val="21"/>
        </w:rPr>
        <w:t>q</w:t>
      </w:r>
      <w:r>
        <w:rPr>
          <w:rFonts w:hint="eastAsia"/>
          <w:bCs/>
          <w:snapToGrid w:val="0"/>
          <w:color w:val="000000"/>
          <w:kern w:val="0"/>
          <w:szCs w:val="21"/>
        </w:rPr>
        <w:t>不得小于0.8，同时还涉及到地震作用效应基本组合的分项系数</w:t>
      </w:r>
      <w:r>
        <w:rPr>
          <w:rFonts w:hint="eastAsia"/>
          <w:bCs/>
          <w:color w:val="000000"/>
          <w:kern w:val="0"/>
          <w:szCs w:val="21"/>
        </w:rPr>
        <w:t>。</w:t>
      </w:r>
      <w:r>
        <w:rPr>
          <w:rFonts w:hint="eastAsia"/>
          <w:bCs/>
          <w:color w:val="000000"/>
        </w:rPr>
        <w:t>本标准中，PS1主要是为了满足PS2需要提高性能时的需求</w:t>
      </w:r>
      <w:r>
        <w:rPr>
          <w:bCs/>
          <w:color w:val="000000"/>
          <w:kern w:val="0"/>
          <w:szCs w:val="21"/>
        </w:rPr>
        <w:t>。</w:t>
      </w:r>
    </w:p>
    <w:p>
      <w:pPr>
        <w:pStyle w:val="129"/>
        <w:spacing w:line="380" w:lineRule="exact"/>
        <w:ind w:firstLineChars="0"/>
        <w:rPr>
          <w:bCs/>
          <w:color w:val="000000"/>
        </w:rPr>
      </w:pPr>
      <w:r>
        <w:rPr>
          <w:bCs/>
          <w:color w:val="000000"/>
        </w:rPr>
        <w:t>3 工业建筑围绕生产工艺进行布置，其不规则性可远高于民用房屋，有些厂房建筑没有明确的耗能机构和耗能途径。显然，不</w:t>
      </w:r>
      <w:r>
        <w:rPr>
          <w:rFonts w:hint="eastAsia"/>
          <w:bCs/>
          <w:color w:val="000000"/>
        </w:rPr>
        <w:t>论</w:t>
      </w:r>
      <w:r>
        <w:rPr>
          <w:bCs/>
          <w:color w:val="000000"/>
        </w:rPr>
        <w:t>采用何种截面等级，这些结构的性能系数不可采用塑性结构的，</w:t>
      </w:r>
      <w:r>
        <w:rPr>
          <w:rFonts w:hint="eastAsia"/>
          <w:bCs/>
          <w:color w:val="000000"/>
        </w:rPr>
        <w:t>但一般</w:t>
      </w:r>
      <w:r>
        <w:rPr>
          <w:bCs/>
          <w:color w:val="000000"/>
        </w:rPr>
        <w:t>可采用弹性结构</w:t>
      </w:r>
      <w:r>
        <w:rPr>
          <w:bCs/>
          <w:i/>
          <w:iCs/>
          <w:color w:val="000000"/>
        </w:rPr>
        <w:t>q</w:t>
      </w:r>
      <w:r>
        <w:rPr>
          <w:bCs/>
          <w:color w:val="000000"/>
        </w:rPr>
        <w:t>=2进行抗震设计，必要时应进行</w:t>
      </w:r>
      <w:r>
        <w:rPr>
          <w:rFonts w:hint="eastAsia"/>
          <w:bCs/>
          <w:color w:val="000000"/>
        </w:rPr>
        <w:t>专题</w:t>
      </w:r>
      <w:r>
        <w:rPr>
          <w:bCs/>
          <w:color w:val="000000"/>
        </w:rPr>
        <w:t>分析。</w:t>
      </w:r>
    </w:p>
    <w:p>
      <w:pPr>
        <w:pStyle w:val="129"/>
        <w:spacing w:line="380" w:lineRule="exact"/>
        <w:ind w:firstLineChars="0"/>
        <w:rPr>
          <w:bCs/>
          <w:color w:val="000000"/>
        </w:rPr>
      </w:pPr>
      <w:r>
        <w:rPr>
          <w:bCs/>
          <w:color w:val="000000"/>
        </w:rPr>
        <w:t>工业建筑存在大量的钢板楼屋盖，这些柔性楼屋盖</w:t>
      </w:r>
      <w:r>
        <w:rPr>
          <w:rFonts w:hint="eastAsia"/>
          <w:bCs/>
          <w:color w:val="000000"/>
        </w:rPr>
        <w:t>强度大、刚度小，</w:t>
      </w:r>
      <w:r>
        <w:rPr>
          <w:bCs/>
          <w:color w:val="000000"/>
        </w:rPr>
        <w:t>使各框架间的协同作用比混凝土楼屋盖小得多。故而这种情况可仅对竖向不规则（刚度分布不均匀和质量分布不均匀）区域的框架提高抗震性能要求。</w:t>
      </w:r>
    </w:p>
    <w:p>
      <w:pPr>
        <w:pStyle w:val="129"/>
        <w:spacing w:line="380" w:lineRule="exact"/>
        <w:ind w:firstLineChars="0"/>
        <w:rPr>
          <w:bCs/>
          <w:color w:val="000000"/>
        </w:rPr>
      </w:pPr>
      <w:r>
        <w:rPr>
          <w:bCs/>
          <w:color w:val="000000"/>
        </w:rPr>
        <w:t>4 弹性结构，在设计地震作用下可以产生轻微的非弹性变形。弹性结构按“低延性——高弹性承载力”思路进行抗震设计。</w:t>
      </w:r>
    </w:p>
    <w:p>
      <w:pPr>
        <w:pStyle w:val="129"/>
        <w:spacing w:line="380" w:lineRule="exact"/>
        <w:ind w:firstLineChars="0"/>
        <w:rPr>
          <w:bCs/>
          <w:color w:val="000000"/>
        </w:rPr>
      </w:pPr>
      <w:r>
        <w:rPr>
          <w:rFonts w:hint="eastAsia"/>
          <w:bCs/>
          <w:color w:val="000000"/>
        </w:rPr>
        <w:t>弹性结构的振动衰减小，遭遇地震作用时易引起共振，结构动力反应远不如塑性结构稳定，其最大加速度、最大位移的量值离散性大。本标准要求弹性结构ES1的梁柱刚性连接、支撑连接的极限承载力与塑性结构的相当，以利用弹性结构中可能存在的局部区域或构件出现的塑性耗散部分能量。同时，取性能系数</w:t>
      </w:r>
      <w:r>
        <w:rPr>
          <w:rFonts w:hint="eastAsia"/>
          <w:bCs/>
          <w:i/>
          <w:iCs/>
          <w:color w:val="000000"/>
        </w:rPr>
        <w:t>q</w:t>
      </w:r>
      <w:r>
        <w:rPr>
          <w:rFonts w:hint="eastAsia"/>
          <w:bCs/>
          <w:color w:val="000000"/>
        </w:rPr>
        <w:t>=2计算（考虑了EC8反应谱的土系数，而我国的反应谱则无此土系数），所以总体上是偏安全的。</w:t>
      </w:r>
    </w:p>
    <w:p>
      <w:pPr>
        <w:pStyle w:val="129"/>
        <w:spacing w:line="380" w:lineRule="exact"/>
        <w:ind w:firstLineChars="0"/>
        <w:rPr>
          <w:bCs/>
          <w:color w:val="000000"/>
        </w:rPr>
      </w:pPr>
      <w:r>
        <w:rPr>
          <w:rFonts w:hint="eastAsia"/>
          <w:bCs/>
          <w:color w:val="000000"/>
        </w:rPr>
        <w:t>（1）</w:t>
      </w:r>
      <w:r>
        <w:rPr>
          <w:bCs/>
          <w:color w:val="000000"/>
        </w:rPr>
        <w:t>压型钢板轻型墙屋面围护的厂房建筑现已十分普及，目前罕有沿用传统的大型屋面板、大型墙板作为墙屋面围护的新建厂房。与传统围护的厂房比，压型钢板围护质量小，地震惯性作用大幅度降低。设计实践表明，压型钢板围护的单层厂房以及部分多层厂房，采用设防烈度地震动参数进行计算分析基本呈弹性状态工作，有些单层厂房甚至采用罕遇地震的地震动参数计算，仍呈弹性状态工作。因此，提高设计计算的地震作用，采用弹性结构抗震，由于放宽了截面板件宽厚比限值，单层厂房和部分多层厂房一般情况下可以降低用钢量。</w:t>
      </w:r>
    </w:p>
    <w:p>
      <w:pPr>
        <w:pStyle w:val="129"/>
        <w:spacing w:line="380" w:lineRule="exact"/>
        <w:ind w:firstLineChars="0"/>
        <w:rPr>
          <w:bCs/>
          <w:color w:val="000000"/>
        </w:rPr>
      </w:pPr>
      <w:r>
        <w:rPr>
          <w:rFonts w:hint="eastAsia"/>
          <w:bCs/>
          <w:color w:val="000000"/>
        </w:rPr>
        <w:t>（2）</w:t>
      </w:r>
      <w:r>
        <w:rPr>
          <w:bCs/>
          <w:color w:val="000000"/>
        </w:rPr>
        <w:t>采用S5级截面（薄柔截面）的E</w:t>
      </w:r>
      <w:r>
        <w:rPr>
          <w:rFonts w:hint="eastAsia"/>
          <w:bCs/>
          <w:color w:val="000000"/>
        </w:rPr>
        <w:t>S</w:t>
      </w:r>
      <w:r>
        <w:rPr>
          <w:bCs/>
          <w:color w:val="000000"/>
        </w:rPr>
        <w:t>2弹性结构，是指门式刚架轻型房屋类的厂房。轻型门式刚架的设计原则</w:t>
      </w:r>
      <w:r>
        <w:rPr>
          <w:rFonts w:hint="eastAsia"/>
          <w:bCs/>
          <w:color w:val="000000"/>
        </w:rPr>
        <w:t>，是</w:t>
      </w:r>
      <w:r>
        <w:rPr>
          <w:bCs/>
          <w:color w:val="000000"/>
        </w:rPr>
        <w:t>采用基于有效截面概念的弹性设计。柱脚铰接轻型门式刚架构件变截面的设计思想，是期望实施构件等应力设计。轻型门式刚架冗余度低，既不能塑性耗能，也不能发生塑性重分布，从而只能采用“弹性承载力超强”的抗震设计思路。然而，轻型门式刚架厂房在地震中有良好的表现，但这并非是其抗震性能好，而是</w:t>
      </w:r>
      <w:r>
        <w:rPr>
          <w:rFonts w:hint="eastAsia"/>
          <w:bCs/>
          <w:color w:val="000000"/>
        </w:rPr>
        <w:t>压型钢板等围护材料轻型化使厂房的有效参振</w:t>
      </w:r>
      <w:r>
        <w:rPr>
          <w:bCs/>
          <w:color w:val="000000"/>
        </w:rPr>
        <w:t>质量很小，结构承受的地震</w:t>
      </w:r>
      <w:r>
        <w:rPr>
          <w:rFonts w:hint="eastAsia"/>
          <w:bCs/>
          <w:color w:val="000000"/>
        </w:rPr>
        <w:t>惯性力</w:t>
      </w:r>
      <w:r>
        <w:rPr>
          <w:bCs/>
          <w:color w:val="000000"/>
        </w:rPr>
        <w:t>很小</w:t>
      </w:r>
      <w:r>
        <w:rPr>
          <w:rFonts w:hint="eastAsia"/>
          <w:bCs/>
          <w:color w:val="000000"/>
        </w:rPr>
        <w:t>而仍可</w:t>
      </w:r>
      <w:r>
        <w:rPr>
          <w:bCs/>
          <w:color w:val="000000"/>
        </w:rPr>
        <w:t>处于弹性状态工作。计算分析表明，有些无桥式起重机的门式刚架轻型厂房，即使采用8度区的罕遇地震进行计算分析，还</w:t>
      </w:r>
      <w:r>
        <w:rPr>
          <w:rFonts w:hint="eastAsia"/>
          <w:bCs/>
          <w:color w:val="000000"/>
        </w:rPr>
        <w:t>仍由</w:t>
      </w:r>
      <w:r>
        <w:rPr>
          <w:bCs/>
          <w:color w:val="000000"/>
        </w:rPr>
        <w:t>静力设计内力控制。</w:t>
      </w:r>
    </w:p>
    <w:p>
      <w:pPr>
        <w:pStyle w:val="129"/>
        <w:spacing w:line="380" w:lineRule="exact"/>
        <w:ind w:firstLineChars="0"/>
        <w:rPr>
          <w:bCs/>
          <w:color w:val="000000"/>
        </w:rPr>
      </w:pPr>
      <w:r>
        <w:rPr>
          <w:bCs/>
          <w:color w:val="000000"/>
        </w:rPr>
        <w:t>根据震害资料，遭遇强烈地震时，轻型门式刚架变形较大，但未见有坍塌破坏的报道，只是与支撑相连接的钢柱整体屈曲</w:t>
      </w:r>
      <w:r>
        <w:rPr>
          <w:rFonts w:hint="eastAsia"/>
          <w:bCs/>
          <w:color w:val="000000"/>
        </w:rPr>
        <w:t>，或支撑拔出，</w:t>
      </w:r>
      <w:r>
        <w:rPr>
          <w:bCs/>
          <w:color w:val="000000"/>
        </w:rPr>
        <w:t>变形大而卷帘门卡轨失效。采用</w:t>
      </w:r>
      <w:r>
        <w:rPr>
          <w:bCs/>
          <w:i/>
          <w:iCs/>
          <w:color w:val="000000"/>
        </w:rPr>
        <w:t>q</w:t>
      </w:r>
      <w:r>
        <w:rPr>
          <w:bCs/>
          <w:color w:val="000000"/>
        </w:rPr>
        <w:t>≥2.0对轻型门式刚架进行抗震验算的目的，在于优化截面，发现并针对性地排除门式刚架的抗震局部薄弱环节（例如，与支撑连接的钢柱是否发生整体屈曲，近刚接柱脚的钢柱段是否发生局部屈曲），改进其抗震构造（例如H截面腹板厚不大于6mm时可采用单面焊接，梁与端板采用角焊缝等）。</w:t>
      </w:r>
    </w:p>
    <w:p>
      <w:pPr>
        <w:pStyle w:val="129"/>
        <w:spacing w:line="380" w:lineRule="exact"/>
        <w:ind w:firstLineChars="0"/>
        <w:rPr>
          <w:bCs/>
          <w:color w:val="000000"/>
        </w:rPr>
      </w:pPr>
      <w:r>
        <w:rPr>
          <w:rFonts w:hint="eastAsia"/>
          <w:bCs/>
          <w:color w:val="000000"/>
        </w:rPr>
        <w:t>5</w:t>
      </w:r>
      <w:r>
        <w:rPr>
          <w:bCs/>
          <w:color w:val="000000"/>
        </w:rPr>
        <w:t xml:space="preserve"> 弹塑性框架，遭遇设计地震作用时可产生有限的非弹性变形。弹塑性框架应据式（4.4.1）的地震组合进行弹性设计，即构件截面强度设计时</w:t>
      </w:r>
      <w:r>
        <w:rPr>
          <w:rFonts w:hint="eastAsia"/>
          <w:bCs/>
          <w:color w:val="000000"/>
        </w:rPr>
        <w:t>，</w:t>
      </w:r>
      <w:r>
        <w:rPr>
          <w:bCs/>
          <w:color w:val="000000"/>
        </w:rPr>
        <w:t>取</w:t>
      </w:r>
      <w:r>
        <w:rPr>
          <w:rFonts w:hint="eastAsia"/>
          <w:bCs/>
          <w:color w:val="000000"/>
        </w:rPr>
        <w:t>与截面模量相应的截面塑性</w:t>
      </w:r>
      <w:r>
        <w:rPr>
          <w:bCs/>
          <w:color w:val="000000"/>
        </w:rPr>
        <w:t>发展系数</w:t>
      </w:r>
      <w:r>
        <w:rPr>
          <w:bCs/>
          <w:color w:val="000000"/>
          <w:position w:val="-10"/>
        </w:rPr>
        <w:object>
          <v:shape id="_x0000_i1149" o:spt="75" type="#_x0000_t75" style="height:16.8pt;width:13.7pt;" o:ole="t" filled="f" stroked="f" coordsize="21600,21600">
            <v:path/>
            <v:fill on="f" focussize="0,0"/>
            <v:stroke on="f"/>
            <v:imagedata r:id="rId325" o:title=""/>
            <o:lock v:ext="edit" grouping="f" rotation="f" text="f" aspectratio="t"/>
            <w10:wrap type="none"/>
            <w10:anchorlock/>
          </v:shape>
          <o:OLEObject Type="Embed" ProgID="Equation.KSEE3" ShapeID="_x0000_i1149" DrawAspect="Content" ObjectID="_1468075839" r:id="rId324">
            <o:LockedField>false</o:LockedField>
          </o:OLEObject>
        </w:object>
      </w:r>
      <w:r>
        <w:rPr>
          <w:bCs/>
          <w:color w:val="000000"/>
        </w:rPr>
        <w:t>=</w:t>
      </w:r>
      <w:r>
        <w:rPr>
          <w:bCs/>
          <w:color w:val="000000"/>
          <w:position w:val="-14"/>
        </w:rPr>
        <w:object>
          <v:shape id="_x0000_i1150" o:spt="75" type="#_x0000_t75" style="height:18.75pt;width:13.7pt;" o:ole="t" filled="f" stroked="f" coordsize="21600,21600">
            <v:path/>
            <v:fill on="f" focussize="0,0"/>
            <v:stroke on="f"/>
            <v:imagedata r:id="rId327" o:title=""/>
            <o:lock v:ext="edit" grouping="f" rotation="f" text="f" aspectratio="t"/>
            <w10:wrap type="none"/>
            <w10:anchorlock/>
          </v:shape>
          <o:OLEObject Type="Embed" ProgID="Equation.KSEE3" ShapeID="_x0000_i1150" DrawAspect="Content" ObjectID="_1468075840" r:id="rId326">
            <o:LockedField>false</o:LockedField>
          </o:OLEObject>
        </w:object>
      </w:r>
      <w:r>
        <w:rPr>
          <w:bCs/>
          <w:color w:val="000000"/>
        </w:rPr>
        <w:t>=1。</w:t>
      </w:r>
    </w:p>
    <w:p>
      <w:pPr>
        <w:pStyle w:val="129"/>
        <w:spacing w:line="380" w:lineRule="exact"/>
        <w:ind w:firstLine="0" w:firstLineChars="0"/>
        <w:rPr>
          <w:bCs/>
          <w:color w:val="000000"/>
        </w:rPr>
      </w:pPr>
      <w:r>
        <w:rPr>
          <w:rFonts w:hint="eastAsia"/>
          <w:bCs/>
          <w:color w:val="000000"/>
        </w:rPr>
        <w:t>9</w:t>
      </w:r>
      <w:r>
        <w:rPr>
          <w:bCs/>
          <w:color w:val="000000"/>
        </w:rPr>
        <w:t>.2.3 线性粘滞阻尼是计算模型的属性，而不是实际结构的属性。阻尼比增减的影响，可由设计地震作用的取值大小所体现，即可按调整设计地震作用大小的方式计入。</w:t>
      </w:r>
    </w:p>
    <w:p>
      <w:pPr>
        <w:pStyle w:val="129"/>
        <w:spacing w:line="400" w:lineRule="exact"/>
        <w:ind w:firstLine="0" w:firstLineChars="0"/>
        <w:rPr>
          <w:bCs/>
          <w:color w:val="000000"/>
        </w:rPr>
      </w:pPr>
      <w:r>
        <w:rPr>
          <w:rFonts w:hint="eastAsia"/>
          <w:bCs/>
          <w:color w:val="000000"/>
          <w:kern w:val="0"/>
          <w:szCs w:val="21"/>
        </w:rPr>
        <w:t>9</w:t>
      </w:r>
      <w:r>
        <w:rPr>
          <w:bCs/>
          <w:color w:val="000000"/>
          <w:kern w:val="0"/>
          <w:szCs w:val="21"/>
        </w:rPr>
        <w:t>.2.5</w:t>
      </w:r>
      <w:r>
        <w:rPr>
          <w:bCs/>
          <w:color w:val="000000"/>
        </w:rPr>
        <w:t xml:space="preserve"> “强柱弱梁”是抗弯框架实现梁铰机构的基本准则。</w:t>
      </w:r>
    </w:p>
    <w:p>
      <w:pPr>
        <w:pStyle w:val="129"/>
        <w:spacing w:line="400" w:lineRule="exact"/>
        <w:ind w:firstLineChars="0"/>
        <w:rPr>
          <w:bCs/>
          <w:color w:val="000000"/>
        </w:rPr>
      </w:pPr>
      <w:r>
        <w:rPr>
          <w:bCs/>
          <w:color w:val="000000"/>
        </w:rPr>
        <w:t>1 塑性框架，期望在遭遇设计地震动时，框架柱基本保持弹性，框架梁屈服，呈现梁端塑性铰机构耗散能量。然而，GB/T 700、GB/T 1591明确了钢材的屈服强度下限值，却未规定屈服强度的上限值，这就导致钢材的实际屈服强度可能远超过名义值，甚至</w:t>
      </w:r>
      <w:r>
        <w:rPr>
          <w:rFonts w:hint="eastAsia"/>
          <w:bCs/>
          <w:color w:val="000000"/>
        </w:rPr>
        <w:t>常遇</w:t>
      </w:r>
      <w:r>
        <w:rPr>
          <w:bCs/>
          <w:color w:val="000000"/>
        </w:rPr>
        <w:t>Q235钢屈服强度实测值超过Q345钢屈服名义值的情况。显然，由于钢材屈服强度的离散性大，控制屈服强度下限而不控制上限的方式，对框架</w:t>
      </w:r>
      <w:r>
        <w:rPr>
          <w:rFonts w:hint="eastAsia"/>
          <w:bCs/>
          <w:color w:val="000000"/>
        </w:rPr>
        <w:t>在</w:t>
      </w:r>
      <w:r>
        <w:rPr>
          <w:bCs/>
          <w:color w:val="000000"/>
        </w:rPr>
        <w:t>弹性范围</w:t>
      </w:r>
      <w:r>
        <w:rPr>
          <w:rFonts w:hint="eastAsia"/>
          <w:bCs/>
          <w:color w:val="000000"/>
        </w:rPr>
        <w:t>内的</w:t>
      </w:r>
      <w:r>
        <w:rPr>
          <w:bCs/>
          <w:color w:val="000000"/>
        </w:rPr>
        <w:t>构件是有利的，但对于塑性框架则可</w:t>
      </w:r>
      <w:r>
        <w:rPr>
          <w:rFonts w:hint="eastAsia"/>
          <w:bCs/>
          <w:color w:val="000000"/>
        </w:rPr>
        <w:t>能</w:t>
      </w:r>
      <w:r>
        <w:rPr>
          <w:bCs/>
          <w:color w:val="000000"/>
        </w:rPr>
        <w:t>违背“强柱弱梁”准则。即，钢材屈服强度的离散性可使设计预想的梁铰耗能机构不复存在。</w:t>
      </w:r>
    </w:p>
    <w:p>
      <w:pPr>
        <w:pStyle w:val="129"/>
        <w:spacing w:line="400" w:lineRule="exact"/>
        <w:ind w:firstLineChars="0"/>
        <w:rPr>
          <w:bCs/>
          <w:color w:val="000000"/>
        </w:rPr>
      </w:pPr>
      <w:r>
        <w:rPr>
          <w:rFonts w:hint="eastAsia"/>
          <w:bCs/>
          <w:color w:val="000000"/>
        </w:rPr>
        <w:t>（1）</w:t>
      </w:r>
      <w:r>
        <w:rPr>
          <w:bCs/>
          <w:color w:val="000000"/>
        </w:rPr>
        <w:t>美国AISC 341的特殊抗弯框架，计入了这种客观存在的问题，梁柱弯矩比计算时，对框架梁的塑性铰弯矩乘以</w:t>
      </w:r>
      <w:r>
        <w:rPr>
          <w:bCs/>
          <w:i/>
          <w:iCs/>
          <w:color w:val="000000"/>
        </w:rPr>
        <w:t>C</w:t>
      </w:r>
      <w:r>
        <w:rPr>
          <w:bCs/>
          <w:color w:val="000000"/>
          <w:vertAlign w:val="subscript"/>
        </w:rPr>
        <w:t>pr</w:t>
      </w:r>
      <w:r>
        <w:rPr>
          <w:bCs/>
          <w:i/>
          <w:iCs/>
          <w:color w:val="000000"/>
        </w:rPr>
        <w:t>R</w:t>
      </w:r>
      <w:r>
        <w:rPr>
          <w:bCs/>
          <w:color w:val="000000"/>
          <w:vertAlign w:val="subscript"/>
        </w:rPr>
        <w:t>y</w:t>
      </w:r>
      <w:r>
        <w:rPr>
          <w:bCs/>
          <w:color w:val="000000"/>
        </w:rPr>
        <w:t>（</w:t>
      </w:r>
      <w:r>
        <w:rPr>
          <w:bCs/>
          <w:i/>
          <w:iCs/>
          <w:color w:val="000000"/>
        </w:rPr>
        <w:t>C</w:t>
      </w:r>
      <w:r>
        <w:rPr>
          <w:bCs/>
          <w:color w:val="000000"/>
          <w:vertAlign w:val="subscript"/>
        </w:rPr>
        <w:t>pr</w:t>
      </w:r>
      <w:r>
        <w:rPr>
          <w:bCs/>
          <w:color w:val="000000"/>
        </w:rPr>
        <w:t>最大取1.2，</w:t>
      </w:r>
      <w:r>
        <w:rPr>
          <w:bCs/>
          <w:i/>
          <w:iCs/>
          <w:color w:val="000000"/>
        </w:rPr>
        <w:t>R</w:t>
      </w:r>
      <w:r>
        <w:rPr>
          <w:bCs/>
          <w:color w:val="000000"/>
          <w:vertAlign w:val="subscript"/>
        </w:rPr>
        <w:t>y</w:t>
      </w:r>
      <w:r>
        <w:rPr>
          <w:bCs/>
          <w:color w:val="000000"/>
        </w:rPr>
        <w:t>最大取1.5）的放大系数。</w:t>
      </w:r>
    </w:p>
    <w:p>
      <w:pPr>
        <w:pStyle w:val="129"/>
        <w:adjustRightInd w:val="0"/>
        <w:spacing w:line="400" w:lineRule="exact"/>
        <w:ind w:firstLineChars="0"/>
        <w:rPr>
          <w:bCs/>
          <w:snapToGrid w:val="0"/>
          <w:color w:val="000000"/>
          <w:kern w:val="0"/>
          <w:szCs w:val="21"/>
        </w:rPr>
      </w:pPr>
      <w:r>
        <w:rPr>
          <w:rFonts w:hint="eastAsia"/>
          <w:bCs/>
          <w:snapToGrid w:val="0"/>
          <w:color w:val="000000"/>
          <w:kern w:val="0"/>
          <w:szCs w:val="21"/>
        </w:rPr>
        <w:t>（2）</w:t>
      </w:r>
      <w:r>
        <w:rPr>
          <w:bCs/>
          <w:snapToGrid w:val="0"/>
          <w:color w:val="000000"/>
          <w:kern w:val="0"/>
          <w:szCs w:val="21"/>
        </w:rPr>
        <w:t>欧洲EC8采用三种方法考虑这种钢材的屈服强度离散性问题：</w:t>
      </w:r>
    </w:p>
    <w:p>
      <w:pPr>
        <w:pStyle w:val="129"/>
        <w:adjustRightInd w:val="0"/>
        <w:spacing w:line="400" w:lineRule="exact"/>
        <w:ind w:firstLineChars="0"/>
        <w:rPr>
          <w:bCs/>
          <w:snapToGrid w:val="0"/>
          <w:color w:val="000000"/>
          <w:kern w:val="0"/>
          <w:szCs w:val="21"/>
        </w:rPr>
      </w:pPr>
      <w:r>
        <w:rPr>
          <w:bCs/>
          <w:snapToGrid w:val="0"/>
          <w:color w:val="000000"/>
          <w:kern w:val="0"/>
          <w:szCs w:val="21"/>
        </w:rPr>
        <w:t>1）框架塑性铰区采用计算的屈服强度上限值</w:t>
      </w:r>
      <w:r>
        <w:rPr>
          <w:bCs/>
          <w:i/>
          <w:iCs/>
          <w:snapToGrid w:val="0"/>
          <w:color w:val="000000"/>
          <w:kern w:val="0"/>
          <w:szCs w:val="21"/>
        </w:rPr>
        <w:t>f</w:t>
      </w:r>
      <w:r>
        <w:rPr>
          <w:bCs/>
          <w:snapToGrid w:val="0"/>
          <w:color w:val="000000"/>
          <w:kern w:val="0"/>
          <w:szCs w:val="21"/>
          <w:vertAlign w:val="subscript"/>
        </w:rPr>
        <w:t>y,max</w:t>
      </w:r>
      <w:r>
        <w:rPr>
          <w:bCs/>
          <w:snapToGrid w:val="0"/>
          <w:color w:val="000000"/>
          <w:kern w:val="0"/>
          <w:szCs w:val="21"/>
        </w:rPr>
        <w:t>（</w:t>
      </w:r>
      <w:r>
        <w:rPr>
          <w:bCs/>
          <w:i/>
          <w:iCs/>
          <w:snapToGrid w:val="0"/>
          <w:color w:val="000000"/>
          <w:kern w:val="0"/>
          <w:szCs w:val="21"/>
        </w:rPr>
        <w:t>f</w:t>
      </w:r>
      <w:r>
        <w:rPr>
          <w:bCs/>
          <w:snapToGrid w:val="0"/>
          <w:color w:val="000000"/>
          <w:kern w:val="0"/>
          <w:szCs w:val="21"/>
          <w:vertAlign w:val="subscript"/>
        </w:rPr>
        <w:t>y,max</w:t>
      </w:r>
      <w:r>
        <w:rPr>
          <w:bCs/>
          <w:snapToGrid w:val="0"/>
          <w:color w:val="000000"/>
          <w:kern w:val="0"/>
          <w:szCs w:val="21"/>
        </w:rPr>
        <w:t>=1.1</w:t>
      </w:r>
      <w:r>
        <w:rPr>
          <w:bCs/>
          <w:snapToGrid w:val="0"/>
          <w:color w:val="000000"/>
          <w:kern w:val="0"/>
          <w:position w:val="-12"/>
          <w:szCs w:val="21"/>
        </w:rPr>
        <w:object>
          <v:shape id="_x0000_i1151" o:spt="75" type="#_x0000_t75" style="height:18pt;width:17.05pt;" o:ole="t" filled="f" o:preferrelative="t" stroked="f" coordsize="21600,21600">
            <v:path/>
            <v:fill on="f" focussize="0,0"/>
            <v:stroke on="f"/>
            <v:imagedata r:id="rId329" o:title=""/>
            <o:lock v:ext="edit" grouping="f" rotation="f" text="f" aspectratio="t"/>
            <w10:wrap type="none"/>
            <w10:anchorlock/>
          </v:shape>
          <o:OLEObject Type="Embed" ProgID="Equation.3" ShapeID="_x0000_i1151" DrawAspect="Content" ObjectID="_1468075841" r:id="rId328">
            <o:LockedField>false</o:LockedField>
          </o:OLEObject>
        </w:object>
      </w:r>
      <w:r>
        <w:rPr>
          <w:bCs/>
          <w:i/>
          <w:iCs/>
          <w:snapToGrid w:val="0"/>
          <w:color w:val="000000"/>
          <w:kern w:val="0"/>
          <w:szCs w:val="21"/>
        </w:rPr>
        <w:t>f</w:t>
      </w:r>
      <w:r>
        <w:rPr>
          <w:bCs/>
          <w:snapToGrid w:val="0"/>
          <w:color w:val="000000"/>
          <w:kern w:val="0"/>
          <w:szCs w:val="21"/>
          <w:vertAlign w:val="subscript"/>
        </w:rPr>
        <w:t>y</w:t>
      </w:r>
      <w:r>
        <w:rPr>
          <w:bCs/>
          <w:snapToGrid w:val="0"/>
          <w:color w:val="000000"/>
          <w:kern w:val="0"/>
          <w:szCs w:val="21"/>
        </w:rPr>
        <w:t>，</w:t>
      </w:r>
      <w:r>
        <w:rPr>
          <w:bCs/>
          <w:snapToGrid w:val="0"/>
          <w:color w:val="000000"/>
          <w:kern w:val="0"/>
          <w:position w:val="-12"/>
          <w:szCs w:val="21"/>
        </w:rPr>
        <w:object>
          <v:shape id="_x0000_i1152" o:spt="75" type="#_x0000_t75" style="height:18pt;width:17.05pt;" o:ole="t" filled="f" o:preferrelative="t" stroked="f" coordsize="21600,21600">
            <v:path/>
            <v:fill on="f" focussize="0,0"/>
            <v:stroke on="f"/>
            <v:imagedata r:id="rId331" o:title=""/>
            <o:lock v:ext="edit" grouping="f" rotation="f" text="f" aspectratio="t"/>
            <w10:wrap type="none"/>
            <w10:anchorlock/>
          </v:shape>
          <o:OLEObject Type="Embed" ProgID="Equation.3" ShapeID="_x0000_i1152" DrawAspect="Content" ObjectID="_1468075842" r:id="rId330">
            <o:LockedField>false</o:LockedField>
          </o:OLEObject>
        </w:object>
      </w:r>
      <w:r>
        <w:rPr>
          <w:bCs/>
          <w:snapToGrid w:val="0"/>
          <w:color w:val="000000"/>
          <w:kern w:val="0"/>
          <w:szCs w:val="21"/>
        </w:rPr>
        <w:t>为设计用材料超强系数，推荐取1.25）进行系统的能力设计；</w:t>
      </w:r>
    </w:p>
    <w:p>
      <w:pPr>
        <w:pStyle w:val="129"/>
        <w:adjustRightInd w:val="0"/>
        <w:spacing w:line="400" w:lineRule="exact"/>
        <w:ind w:firstLineChars="0"/>
        <w:rPr>
          <w:bCs/>
          <w:snapToGrid w:val="0"/>
          <w:color w:val="000000"/>
          <w:kern w:val="0"/>
          <w:szCs w:val="21"/>
        </w:rPr>
      </w:pPr>
      <w:r>
        <w:rPr>
          <w:bCs/>
          <w:snapToGrid w:val="0"/>
          <w:color w:val="000000"/>
          <w:kern w:val="0"/>
          <w:szCs w:val="21"/>
        </w:rPr>
        <w:t>2）认为耗能区的钢材属于应明确屈服强度</w:t>
      </w:r>
      <w:r>
        <w:rPr>
          <w:bCs/>
          <w:i/>
          <w:iCs/>
          <w:snapToGrid w:val="0"/>
          <w:color w:val="000000"/>
          <w:kern w:val="0"/>
          <w:szCs w:val="21"/>
        </w:rPr>
        <w:t>f</w:t>
      </w:r>
      <w:r>
        <w:rPr>
          <w:bCs/>
          <w:snapToGrid w:val="0"/>
          <w:color w:val="000000"/>
          <w:kern w:val="0"/>
          <w:szCs w:val="21"/>
          <w:vertAlign w:val="subscript"/>
        </w:rPr>
        <w:t>y,max</w:t>
      </w:r>
      <w:r>
        <w:rPr>
          <w:bCs/>
          <w:snapToGrid w:val="0"/>
          <w:color w:val="000000"/>
          <w:kern w:val="0"/>
          <w:szCs w:val="21"/>
        </w:rPr>
        <w:t>上限值和下限值</w:t>
      </w:r>
      <w:r>
        <w:rPr>
          <w:bCs/>
          <w:i/>
          <w:iCs/>
          <w:snapToGrid w:val="0"/>
          <w:color w:val="000000"/>
          <w:kern w:val="0"/>
          <w:szCs w:val="21"/>
        </w:rPr>
        <w:t>f</w:t>
      </w:r>
      <w:r>
        <w:rPr>
          <w:bCs/>
          <w:snapToGrid w:val="0"/>
          <w:color w:val="000000"/>
          <w:kern w:val="0"/>
          <w:szCs w:val="21"/>
          <w:vertAlign w:val="subscript"/>
        </w:rPr>
        <w:t>y,min</w:t>
      </w:r>
      <w:r>
        <w:rPr>
          <w:bCs/>
          <w:snapToGrid w:val="0"/>
          <w:color w:val="000000"/>
          <w:kern w:val="0"/>
          <w:szCs w:val="21"/>
        </w:rPr>
        <w:t>特种钢材范畴，非耗能区采用钢材的屈服强度公称值</w:t>
      </w:r>
      <w:r>
        <w:rPr>
          <w:bCs/>
          <w:i/>
          <w:iCs/>
          <w:snapToGrid w:val="0"/>
          <w:color w:val="000000"/>
          <w:kern w:val="0"/>
          <w:szCs w:val="21"/>
        </w:rPr>
        <w:t>f</w:t>
      </w:r>
      <w:r>
        <w:rPr>
          <w:bCs/>
          <w:snapToGrid w:val="0"/>
          <w:color w:val="000000"/>
          <w:kern w:val="0"/>
          <w:szCs w:val="21"/>
          <w:vertAlign w:val="subscript"/>
        </w:rPr>
        <w:t>y</w:t>
      </w:r>
      <w:r>
        <w:rPr>
          <w:bCs/>
          <w:snapToGrid w:val="0"/>
          <w:color w:val="000000"/>
          <w:kern w:val="0"/>
          <w:szCs w:val="21"/>
        </w:rPr>
        <w:t>超过耗能区的</w:t>
      </w:r>
      <w:r>
        <w:rPr>
          <w:bCs/>
          <w:i/>
          <w:iCs/>
          <w:snapToGrid w:val="0"/>
          <w:color w:val="000000"/>
          <w:kern w:val="0"/>
          <w:szCs w:val="21"/>
        </w:rPr>
        <w:t>f</w:t>
      </w:r>
      <w:r>
        <w:rPr>
          <w:bCs/>
          <w:snapToGrid w:val="0"/>
          <w:color w:val="000000"/>
          <w:kern w:val="0"/>
          <w:szCs w:val="21"/>
          <w:vertAlign w:val="subscript"/>
        </w:rPr>
        <w:t>y,max</w:t>
      </w:r>
      <w:r>
        <w:rPr>
          <w:bCs/>
          <w:snapToGrid w:val="0"/>
          <w:color w:val="000000"/>
          <w:kern w:val="0"/>
          <w:szCs w:val="21"/>
        </w:rPr>
        <w:t>。也就是说，若框架柱采用S355的钢材，框架梁塑性铰区采用S235，则其上限值可提升为</w:t>
      </w:r>
      <w:r>
        <w:rPr>
          <w:bCs/>
          <w:i/>
          <w:iCs/>
          <w:snapToGrid w:val="0"/>
          <w:color w:val="000000"/>
          <w:kern w:val="0"/>
          <w:szCs w:val="21"/>
        </w:rPr>
        <w:t>f</w:t>
      </w:r>
      <w:r>
        <w:rPr>
          <w:bCs/>
          <w:snapToGrid w:val="0"/>
          <w:color w:val="000000"/>
          <w:kern w:val="0"/>
          <w:szCs w:val="21"/>
          <w:vertAlign w:val="subscript"/>
        </w:rPr>
        <w:t>y,max</w:t>
      </w:r>
      <w:r>
        <w:rPr>
          <w:bCs/>
          <w:snapToGrid w:val="0"/>
          <w:color w:val="000000"/>
          <w:kern w:val="0"/>
          <w:szCs w:val="21"/>
        </w:rPr>
        <w:t>=355N/mm</w:t>
      </w:r>
      <w:r>
        <w:rPr>
          <w:bCs/>
          <w:snapToGrid w:val="0"/>
          <w:color w:val="000000"/>
          <w:kern w:val="0"/>
          <w:szCs w:val="21"/>
          <w:vertAlign w:val="superscript"/>
        </w:rPr>
        <w:t>2</w:t>
      </w:r>
      <w:r>
        <w:rPr>
          <w:bCs/>
          <w:snapToGrid w:val="0"/>
          <w:color w:val="000000"/>
          <w:kern w:val="0"/>
          <w:szCs w:val="21"/>
        </w:rPr>
        <w:t>；</w:t>
      </w:r>
    </w:p>
    <w:p>
      <w:pPr>
        <w:pStyle w:val="129"/>
        <w:adjustRightInd w:val="0"/>
        <w:spacing w:line="400" w:lineRule="exact"/>
        <w:ind w:firstLineChars="0"/>
        <w:rPr>
          <w:bCs/>
          <w:color w:val="000000"/>
          <w:szCs w:val="21"/>
        </w:rPr>
      </w:pPr>
      <w:r>
        <w:rPr>
          <w:bCs/>
          <w:snapToGrid w:val="0"/>
          <w:color w:val="000000"/>
          <w:kern w:val="0"/>
          <w:szCs w:val="21"/>
        </w:rPr>
        <w:t>3）采用实测耗能区钢材的</w:t>
      </w:r>
      <w:r>
        <w:rPr>
          <w:bCs/>
          <w:i/>
          <w:iCs/>
          <w:snapToGrid w:val="0"/>
          <w:color w:val="000000"/>
          <w:kern w:val="0"/>
          <w:szCs w:val="21"/>
        </w:rPr>
        <w:t>f</w:t>
      </w:r>
      <w:r>
        <w:rPr>
          <w:bCs/>
          <w:snapToGrid w:val="0"/>
          <w:color w:val="000000"/>
          <w:kern w:val="0"/>
          <w:szCs w:val="21"/>
          <w:vertAlign w:val="subscript"/>
        </w:rPr>
        <w:t>y,max</w:t>
      </w:r>
      <w:r>
        <w:rPr>
          <w:bCs/>
          <w:snapToGrid w:val="0"/>
          <w:color w:val="000000"/>
          <w:kern w:val="0"/>
          <w:szCs w:val="21"/>
        </w:rPr>
        <w:t>进行设计，取</w:t>
      </w:r>
      <w:r>
        <w:rPr>
          <w:bCs/>
          <w:snapToGrid w:val="0"/>
          <w:color w:val="000000"/>
          <w:kern w:val="0"/>
          <w:position w:val="-12"/>
          <w:szCs w:val="21"/>
        </w:rPr>
        <w:object>
          <v:shape id="_x0000_i1153" o:spt="75" type="#_x0000_t75" style="height:18pt;width:17.05pt;" o:ole="t" filled="f" o:preferrelative="t" stroked="f" coordsize="21600,21600">
            <v:path/>
            <v:fill on="f" focussize="0,0"/>
            <v:stroke on="f"/>
            <v:imagedata r:id="rId333" o:title=""/>
            <o:lock v:ext="edit" grouping="f" rotation="f" text="f" aspectratio="t"/>
            <w10:wrap type="none"/>
            <w10:anchorlock/>
          </v:shape>
          <o:OLEObject Type="Embed" ProgID="Equation.3" ShapeID="_x0000_i1153" DrawAspect="Content" ObjectID="_1468075843" r:id="rId332">
            <o:LockedField>false</o:LockedField>
          </o:OLEObject>
        </w:object>
      </w:r>
      <w:r>
        <w:rPr>
          <w:bCs/>
          <w:snapToGrid w:val="0"/>
          <w:color w:val="000000"/>
          <w:kern w:val="0"/>
          <w:szCs w:val="21"/>
        </w:rPr>
        <w:t>=1。上述三种情况，耗能区钢材的</w:t>
      </w:r>
      <w:r>
        <w:rPr>
          <w:bCs/>
          <w:i/>
          <w:iCs/>
          <w:snapToGrid w:val="0"/>
          <w:color w:val="000000"/>
          <w:kern w:val="0"/>
          <w:szCs w:val="21"/>
        </w:rPr>
        <w:t>f</w:t>
      </w:r>
      <w:r>
        <w:rPr>
          <w:bCs/>
          <w:snapToGrid w:val="0"/>
          <w:color w:val="000000"/>
          <w:kern w:val="0"/>
          <w:szCs w:val="21"/>
          <w:vertAlign w:val="subscript"/>
        </w:rPr>
        <w:t>y,max</w:t>
      </w:r>
      <w:r>
        <w:rPr>
          <w:bCs/>
          <w:snapToGrid w:val="0"/>
          <w:color w:val="000000"/>
          <w:kern w:val="0"/>
          <w:szCs w:val="21"/>
        </w:rPr>
        <w:t>应在图纸明确。</w:t>
      </w:r>
    </w:p>
    <w:p>
      <w:pPr>
        <w:pStyle w:val="129"/>
        <w:spacing w:line="400" w:lineRule="exact"/>
        <w:ind w:firstLineChars="0"/>
        <w:rPr>
          <w:bCs/>
          <w:color w:val="000000"/>
        </w:rPr>
      </w:pPr>
      <w:r>
        <w:rPr>
          <w:rFonts w:hint="eastAsia"/>
          <w:bCs/>
          <w:color w:val="000000"/>
        </w:rPr>
        <w:t>（3）日本规范虽基本不提梁柱弯矩比验算，但据调查，实际设计一般都遵守“强柱弱梁”准则。</w:t>
      </w:r>
      <w:r>
        <w:rPr>
          <w:bCs/>
          <w:color w:val="000000"/>
        </w:rPr>
        <w:t>日本SN钢材及其钢管产品对框架梁柱弯矩比，</w:t>
      </w:r>
      <w:r>
        <w:rPr>
          <w:rFonts w:hint="eastAsia"/>
          <w:bCs/>
          <w:color w:val="000000"/>
        </w:rPr>
        <w:t>却</w:t>
      </w:r>
      <w:r>
        <w:rPr>
          <w:bCs/>
          <w:color w:val="000000"/>
        </w:rPr>
        <w:t>要求</w:t>
      </w:r>
      <w:r>
        <w:rPr>
          <w:bCs/>
          <w:color w:val="000000"/>
          <w:position w:val="-14"/>
        </w:rPr>
        <w:object>
          <v:shape id="_x0000_i1154" o:spt="75" type="#_x0000_t75" style="height:16.45pt;width:78.5pt;" o:ole="t" filled="f" o:preferrelative="t" stroked="f" coordsize="21600,21600">
            <v:path/>
            <v:fill on="f" focussize="0,0"/>
            <v:stroke on="f"/>
            <v:imagedata r:id="rId335" o:title=""/>
            <o:lock v:ext="edit" grouping="f" rotation="f" text="f" aspectratio="t"/>
            <w10:wrap type="none"/>
            <w10:anchorlock/>
          </v:shape>
          <o:OLEObject Type="Embed" ProgID="Equation.3" ShapeID="_x0000_i1154" DrawAspect="Content" ObjectID="_1468075844" r:id="rId334">
            <o:LockedField>false</o:LockedField>
          </o:OLEObject>
        </w:object>
      </w:r>
      <w:r>
        <w:rPr>
          <w:bCs/>
          <w:color w:val="000000"/>
        </w:rPr>
        <w:t>。日本JIS的SN钢材与GB/T 19879的GJ钢性能基本相同，对屈服强度的上、下限值都有明确规定。</w:t>
      </w:r>
    </w:p>
    <w:p>
      <w:pPr>
        <w:pStyle w:val="129"/>
        <w:spacing w:line="400" w:lineRule="exact"/>
        <w:ind w:firstLineChars="0"/>
        <w:rPr>
          <w:bCs/>
          <w:color w:val="000000"/>
        </w:rPr>
      </w:pPr>
      <w:r>
        <w:rPr>
          <w:bCs/>
          <w:color w:val="000000"/>
        </w:rPr>
        <w:t>综上资料，并结合我国钢材市场的实际情况，确定</w:t>
      </w:r>
      <w:r>
        <w:rPr>
          <w:rFonts w:hint="eastAsia"/>
          <w:bCs/>
          <w:color w:val="000000"/>
        </w:rPr>
        <w:t>塑性框架的</w:t>
      </w:r>
      <w:r>
        <w:rPr>
          <w:bCs/>
          <w:color w:val="000000"/>
        </w:rPr>
        <w:t>强柱系数</w:t>
      </w:r>
      <w:r>
        <w:rPr>
          <w:bCs/>
          <w:i/>
          <w:iCs/>
          <w:color w:val="000000"/>
        </w:rPr>
        <w:t>η</w:t>
      </w:r>
      <w:r>
        <w:rPr>
          <w:bCs/>
          <w:color w:val="000000"/>
        </w:rPr>
        <w:t>值。</w:t>
      </w:r>
    </w:p>
    <w:p>
      <w:pPr>
        <w:pStyle w:val="129"/>
        <w:spacing w:line="400" w:lineRule="exact"/>
        <w:ind w:firstLineChars="0"/>
        <w:rPr>
          <w:bCs/>
          <w:color w:val="000000"/>
        </w:rPr>
      </w:pPr>
      <w:r>
        <w:rPr>
          <w:bCs/>
          <w:color w:val="000000"/>
        </w:rPr>
        <w:t>2 条文中关于“强柱弱梁”的免除条件，部分参考了美国AISC 341特殊抗弯框架的相关规定。“强柱弱梁”准则，考虑的不仅是单一的梁柱连接部位，在更大程度上是反映结构的整体性能，因此应着眼于结构整体的角度全面考虑。条文中，容许柱列中一定比例的柱，当轴力较小而足以限制其在地震下出现不利反应且仍有可接受的刚度，可不符合“强柱弱梁”准则。条文中的柱列，是指一个单线柱列或垂直于该柱列方向平面尺寸10%范围内的几列平行柱列。</w:t>
      </w:r>
    </w:p>
    <w:p>
      <w:pPr>
        <w:pStyle w:val="129"/>
        <w:spacing w:line="400" w:lineRule="exact"/>
        <w:ind w:firstLineChars="0"/>
        <w:rPr>
          <w:bCs/>
          <w:color w:val="000000"/>
        </w:rPr>
      </w:pPr>
      <w:r>
        <w:rPr>
          <w:bCs/>
          <w:snapToGrid w:val="0"/>
          <w:color w:val="000000"/>
        </w:rPr>
        <w:t>3 弹塑性框架遭遇强烈地震时，可发生有限的非弹性变形。弹塑性框架采用S3截面等级，弯矩作用下的</w:t>
      </w:r>
      <w:r>
        <w:rPr>
          <w:rFonts w:hint="eastAsia"/>
          <w:bCs/>
          <w:snapToGrid w:val="0"/>
          <w:color w:val="000000"/>
        </w:rPr>
        <w:t>截面</w:t>
      </w:r>
      <w:r>
        <w:rPr>
          <w:bCs/>
          <w:snapToGrid w:val="0"/>
          <w:color w:val="000000"/>
        </w:rPr>
        <w:t>塑性开展深度约是腹板高度的1/4，不能达到全截面塑性。</w:t>
      </w:r>
      <w:r>
        <w:rPr>
          <w:rFonts w:hint="eastAsia"/>
          <w:bCs/>
          <w:snapToGrid w:val="0"/>
          <w:color w:val="000000"/>
        </w:rPr>
        <w:t>条文对</w:t>
      </w:r>
      <w:r>
        <w:rPr>
          <w:bCs/>
          <w:snapToGrid w:val="0"/>
          <w:color w:val="000000"/>
        </w:rPr>
        <w:t>弹塑性框架假设截面达到塑性，套用塑性框架的梁柱弯矩比计算公式，</w:t>
      </w:r>
      <w:r>
        <w:rPr>
          <w:rFonts w:hint="eastAsia"/>
          <w:bCs/>
          <w:snapToGrid w:val="0"/>
          <w:color w:val="000000"/>
        </w:rPr>
        <w:t>偏于安全，故其强柱系数</w:t>
      </w:r>
      <w:r>
        <w:rPr>
          <w:bCs/>
          <w:snapToGrid w:val="0"/>
          <w:color w:val="000000"/>
        </w:rPr>
        <w:t>可相应适度降低。</w:t>
      </w:r>
    </w:p>
    <w:p>
      <w:pPr>
        <w:adjustRightInd w:val="0"/>
        <w:spacing w:line="400" w:lineRule="exact"/>
        <w:rPr>
          <w:bCs/>
          <w:snapToGrid w:val="0"/>
          <w:color w:val="000000"/>
          <w:kern w:val="0"/>
          <w:szCs w:val="21"/>
        </w:rPr>
      </w:pPr>
      <w:r>
        <w:rPr>
          <w:rFonts w:hint="eastAsia"/>
          <w:bCs/>
          <w:color w:val="000000"/>
          <w:szCs w:val="21"/>
        </w:rPr>
        <w:t>9</w:t>
      </w:r>
      <w:r>
        <w:rPr>
          <w:bCs/>
          <w:color w:val="000000"/>
          <w:szCs w:val="21"/>
        </w:rPr>
        <w:t>.</w:t>
      </w:r>
      <w:r>
        <w:rPr>
          <w:rFonts w:hint="eastAsia"/>
          <w:bCs/>
          <w:color w:val="000000"/>
          <w:szCs w:val="21"/>
        </w:rPr>
        <w:t>2.6</w:t>
      </w:r>
      <w:r>
        <w:rPr>
          <w:bCs/>
          <w:color w:val="000000"/>
          <w:szCs w:val="21"/>
        </w:rPr>
        <w:t xml:space="preserve"> 基于结构延性概念考虑，容许框架进入塑性状态工作的设计方法，可认为是利用结构中产生的不确定的塑性变形来抵抗特征和规模皆不确定的地震作用，从而实现抗震的目的。</w:t>
      </w:r>
      <w:r>
        <w:rPr>
          <w:rFonts w:hint="eastAsia"/>
          <w:bCs/>
          <w:color w:val="000000"/>
          <w:szCs w:val="21"/>
        </w:rPr>
        <w:t>换言之，</w:t>
      </w:r>
      <w:r>
        <w:rPr>
          <w:bCs/>
          <w:snapToGrid w:val="0"/>
          <w:color w:val="000000"/>
          <w:kern w:val="0"/>
          <w:szCs w:val="21"/>
        </w:rPr>
        <w:t>塑性框架容许梁端达到塑性铰状态。</w:t>
      </w:r>
      <w:r>
        <w:rPr>
          <w:rFonts w:hint="eastAsia"/>
          <w:bCs/>
          <w:snapToGrid w:val="0"/>
          <w:color w:val="000000"/>
          <w:kern w:val="0"/>
          <w:szCs w:val="21"/>
        </w:rPr>
        <w:t>显然，</w:t>
      </w:r>
      <w:r>
        <w:rPr>
          <w:bCs/>
          <w:snapToGrid w:val="0"/>
          <w:color w:val="000000"/>
          <w:kern w:val="0"/>
          <w:szCs w:val="21"/>
        </w:rPr>
        <w:t>要保证梁端能充分发挥塑性耗能能力，则就要保证梁不发生侧向屈曲，从而须设置梁的侧向支承。</w:t>
      </w:r>
    </w:p>
    <w:p>
      <w:pPr>
        <w:adjustRightInd w:val="0"/>
        <w:spacing w:line="400" w:lineRule="exact"/>
        <w:ind w:firstLine="420" w:firstLineChars="200"/>
        <w:rPr>
          <w:bCs/>
          <w:snapToGrid w:val="0"/>
          <w:color w:val="000000"/>
          <w:kern w:val="0"/>
          <w:szCs w:val="21"/>
        </w:rPr>
      </w:pPr>
      <w:r>
        <w:rPr>
          <w:bCs/>
          <w:snapToGrid w:val="0"/>
          <w:color w:val="000000"/>
          <w:kern w:val="0"/>
          <w:szCs w:val="21"/>
        </w:rPr>
        <w:t>据日本、美国的资料，对于两端受一对反对称弯矩的梁，侧向支承有沿梁的整长等间距设置和主要在梁端塑性铰区设置两种设计方法。</w:t>
      </w:r>
    </w:p>
    <w:p>
      <w:pPr>
        <w:adjustRightInd w:val="0"/>
        <w:spacing w:line="480" w:lineRule="exact"/>
        <w:ind w:firstLine="420" w:firstLineChars="200"/>
        <w:rPr>
          <w:bCs/>
          <w:snapToGrid w:val="0"/>
          <w:color w:val="000000"/>
          <w:kern w:val="0"/>
          <w:szCs w:val="21"/>
        </w:rPr>
      </w:pPr>
      <w:r>
        <w:rPr>
          <w:bCs/>
          <w:snapToGrid w:val="0"/>
          <w:color w:val="000000"/>
          <w:kern w:val="0"/>
          <w:szCs w:val="21"/>
        </w:rPr>
        <w:t>1 沿梁全长均布设置侧向支承，是按侧向屈曲在受临界弯矩、两端固结梁屈服后，应力上升约为1.1倍的条件解析得到的。</w:t>
      </w:r>
      <w:r>
        <w:rPr>
          <w:bCs/>
          <w:color w:val="000000"/>
          <w:szCs w:val="21"/>
        </w:rPr>
        <w:t>AISC 341对中等抗弯框架的要求</w:t>
      </w:r>
      <w:r>
        <w:rPr>
          <w:bCs/>
          <w:color w:val="000000"/>
          <w:position w:val="-14"/>
          <w:szCs w:val="21"/>
        </w:rPr>
        <w:object>
          <v:shape id="_x0000_i1155" o:spt="75" type="#_x0000_t75" style="height:16.1pt;width:76pt;" o:ole="t" filled="f" o:preferrelative="t" stroked="f" coordsize="21600,21600">
            <v:path/>
            <v:fill on="f" focussize="0,0"/>
            <v:stroke on="f"/>
            <v:imagedata r:id="rId337" o:title=""/>
            <o:lock v:ext="edit" grouping="f" rotation="f" text="f" aspectratio="t"/>
            <w10:wrap type="none"/>
            <w10:anchorlock/>
          </v:shape>
          <o:OLEObject Type="Embed" ProgID="Equation.3" ShapeID="_x0000_i1155" DrawAspect="Content" ObjectID="_1468075845" r:id="rId336">
            <o:LockedField>false</o:LockedField>
          </o:OLEObject>
        </w:object>
      </w:r>
      <w:r>
        <w:rPr>
          <w:rFonts w:hint="eastAsia"/>
          <w:bCs/>
          <w:color w:val="000000"/>
          <w:szCs w:val="21"/>
        </w:rPr>
        <w:t>，</w:t>
      </w:r>
      <w:r>
        <w:rPr>
          <w:bCs/>
          <w:color w:val="000000"/>
          <w:szCs w:val="21"/>
        </w:rPr>
        <w:t>特殊抗弯框架的要求</w:t>
      </w:r>
      <w:r>
        <w:rPr>
          <w:rFonts w:hint="eastAsia"/>
          <w:bCs/>
          <w:color w:val="000000"/>
          <w:szCs w:val="21"/>
        </w:rPr>
        <w:t>是</w:t>
      </w:r>
      <w:r>
        <w:rPr>
          <w:bCs/>
          <w:color w:val="000000"/>
          <w:position w:val="-14"/>
          <w:szCs w:val="21"/>
        </w:rPr>
        <w:object>
          <v:shape id="_x0000_i1156" o:spt="75" type="#_x0000_t75" style="height:16.15pt;width:80.4pt;" o:ole="t" filled="f" o:preferrelative="t" stroked="f" coordsize="21600,21600">
            <v:path/>
            <v:fill on="f" focussize="0,0"/>
            <v:stroke on="f"/>
            <v:imagedata r:id="rId339" o:title=""/>
            <o:lock v:ext="edit" grouping="f" rotation="f" text="f" aspectratio="t"/>
            <w10:wrap type="none"/>
            <w10:anchorlock/>
          </v:shape>
          <o:OLEObject Type="Embed" ProgID="Equation.3" ShapeID="_x0000_i1156" DrawAspect="Content" ObjectID="_1468075846" r:id="rId338">
            <o:LockedField>false</o:LockedField>
          </o:OLEObject>
        </w:object>
      </w:r>
      <w:r>
        <w:rPr>
          <w:bCs/>
          <w:color w:val="000000"/>
          <w:szCs w:val="21"/>
        </w:rPr>
        <w:t>。</w:t>
      </w:r>
    </w:p>
    <w:p>
      <w:pPr>
        <w:adjustRightInd w:val="0"/>
        <w:spacing w:line="400" w:lineRule="exact"/>
        <w:ind w:firstLine="420" w:firstLineChars="200"/>
        <w:rPr>
          <w:bCs/>
          <w:snapToGrid w:val="0"/>
          <w:color w:val="000000"/>
          <w:kern w:val="0"/>
          <w:szCs w:val="21"/>
        </w:rPr>
      </w:pPr>
      <w:r>
        <w:rPr>
          <w:bCs/>
          <w:snapToGrid w:val="0"/>
          <w:color w:val="000000"/>
          <w:kern w:val="0"/>
          <w:szCs w:val="21"/>
        </w:rPr>
        <w:t>2 梁端塑性铰区设置侧向支承间距，是把反对称作用于梁两端的弯矩值乘以安全系数（Q235钢为1.2，Q3</w:t>
      </w:r>
      <w:r>
        <w:rPr>
          <w:rFonts w:hint="eastAsia"/>
          <w:bCs/>
          <w:snapToGrid w:val="0"/>
          <w:color w:val="000000"/>
          <w:kern w:val="0"/>
          <w:szCs w:val="21"/>
        </w:rPr>
        <w:t>5</w:t>
      </w:r>
      <w:r>
        <w:rPr>
          <w:bCs/>
          <w:snapToGrid w:val="0"/>
          <w:color w:val="000000"/>
          <w:kern w:val="0"/>
          <w:szCs w:val="21"/>
        </w:rPr>
        <w:t>5钢为1.1），以考虑钢材应变强化以及屈强比不确定性等因素，并对其梁端的塑性状态进行评估所得到。梁跨中未达塑性弯矩的区域，可根据《钢结构设计规范》GB50017设置需要的侧向支承。</w:t>
      </w:r>
    </w:p>
    <w:p>
      <w:pPr>
        <w:adjustRightInd w:val="0"/>
        <w:spacing w:line="400" w:lineRule="exact"/>
        <w:ind w:firstLine="420" w:firstLineChars="200"/>
        <w:rPr>
          <w:bCs/>
          <w:snapToGrid w:val="0"/>
          <w:color w:val="000000"/>
          <w:kern w:val="0"/>
          <w:szCs w:val="21"/>
        </w:rPr>
      </w:pPr>
      <w:r>
        <w:rPr>
          <w:bCs/>
          <w:snapToGrid w:val="0"/>
          <w:color w:val="000000"/>
          <w:kern w:val="0"/>
          <w:szCs w:val="21"/>
        </w:rPr>
        <w:t>3 据AIJ《钢结构塑性设计指针》，侧向支承必须具有足够的强度，需满足梁受压翼缘轴向承载力的2%的侧向力，且需保证刚度大于5倍受压翼缘轴向承载力除以支承间距。</w:t>
      </w:r>
    </w:p>
    <w:p>
      <w:pPr>
        <w:adjustRightInd w:val="0"/>
        <w:spacing w:line="400" w:lineRule="exact"/>
        <w:ind w:firstLine="420" w:firstLineChars="200"/>
        <w:rPr>
          <w:bCs/>
          <w:snapToGrid w:val="0"/>
          <w:color w:val="000000"/>
          <w:kern w:val="0"/>
          <w:szCs w:val="21"/>
        </w:rPr>
      </w:pPr>
      <w:r>
        <w:rPr>
          <w:bCs/>
          <w:snapToGrid w:val="0"/>
          <w:color w:val="000000"/>
          <w:kern w:val="0"/>
          <w:szCs w:val="21"/>
        </w:rPr>
        <w:t>侧向支承可以是在受压翼缘设置的小梁、隅撑，其连接板也应有足够的强度、刚度。当受压翼缘不能设置侧向支承时，在受拉翼缘设置能够约束侧向变形和构件截面扭转变形的横向加劲肋，也能达到设置支撑同样的效果。</w:t>
      </w:r>
    </w:p>
    <w:p>
      <w:pPr>
        <w:adjustRightInd w:val="0"/>
        <w:spacing w:line="400" w:lineRule="exact"/>
        <w:ind w:firstLine="420" w:firstLineChars="200"/>
        <w:rPr>
          <w:bCs/>
          <w:snapToGrid w:val="0"/>
          <w:color w:val="000000"/>
          <w:kern w:val="0"/>
          <w:szCs w:val="21"/>
        </w:rPr>
      </w:pPr>
      <w:r>
        <w:rPr>
          <w:bCs/>
          <w:snapToGrid w:val="0"/>
          <w:color w:val="000000"/>
          <w:kern w:val="0"/>
          <w:szCs w:val="21"/>
        </w:rPr>
        <w:t>4  弹塑性框架的梁翼缘可达到全塑性状态，故</w:t>
      </w:r>
      <w:r>
        <w:rPr>
          <w:rFonts w:hint="eastAsia"/>
          <w:bCs/>
          <w:snapToGrid w:val="0"/>
          <w:color w:val="000000"/>
          <w:kern w:val="0"/>
          <w:szCs w:val="21"/>
        </w:rPr>
        <w:t>与塑性框架的梁一样需</w:t>
      </w:r>
      <w:r>
        <w:rPr>
          <w:bCs/>
          <w:snapToGrid w:val="0"/>
          <w:color w:val="000000"/>
          <w:kern w:val="0"/>
          <w:szCs w:val="21"/>
        </w:rPr>
        <w:t>设置侧向支承。条文对弹塑性框架梁的侧向支承间距取与塑性框架</w:t>
      </w:r>
      <w:r>
        <w:rPr>
          <w:rFonts w:hint="eastAsia"/>
          <w:bCs/>
          <w:snapToGrid w:val="0"/>
          <w:color w:val="000000"/>
          <w:kern w:val="0"/>
          <w:szCs w:val="21"/>
        </w:rPr>
        <w:t>同等要求</w:t>
      </w:r>
      <w:r>
        <w:rPr>
          <w:bCs/>
          <w:snapToGrid w:val="0"/>
          <w:color w:val="000000"/>
          <w:kern w:val="0"/>
          <w:szCs w:val="21"/>
        </w:rPr>
        <w:t>，是偏向安全一方的。</w:t>
      </w:r>
    </w:p>
    <w:p>
      <w:pPr>
        <w:autoSpaceDE w:val="0"/>
        <w:autoSpaceDN w:val="0"/>
        <w:adjustRightInd w:val="0"/>
        <w:spacing w:line="400" w:lineRule="exact"/>
        <w:rPr>
          <w:bCs/>
          <w:color w:val="000000"/>
          <w:kern w:val="0"/>
          <w:szCs w:val="21"/>
        </w:rPr>
      </w:pPr>
      <w:r>
        <w:rPr>
          <w:rFonts w:hint="eastAsia"/>
          <w:bCs/>
          <w:color w:val="000000"/>
          <w:kern w:val="0"/>
          <w:szCs w:val="21"/>
        </w:rPr>
        <w:t>9</w:t>
      </w:r>
      <w:r>
        <w:rPr>
          <w:bCs/>
          <w:color w:val="000000"/>
          <w:kern w:val="0"/>
          <w:szCs w:val="21"/>
        </w:rPr>
        <w:t>.</w:t>
      </w:r>
      <w:r>
        <w:rPr>
          <w:rFonts w:hint="eastAsia"/>
          <w:bCs/>
          <w:color w:val="000000"/>
          <w:kern w:val="0"/>
          <w:szCs w:val="21"/>
        </w:rPr>
        <w:t>2.7</w:t>
      </w:r>
      <w:r>
        <w:rPr>
          <w:bCs/>
          <w:color w:val="000000"/>
          <w:kern w:val="0"/>
          <w:szCs w:val="21"/>
          <w:lang w:eastAsia="ja-JP"/>
        </w:rPr>
        <w:t xml:space="preserve"> </w:t>
      </w:r>
      <w:r>
        <w:rPr>
          <w:bCs/>
          <w:color w:val="000000"/>
          <w:kern w:val="0"/>
          <w:szCs w:val="21"/>
        </w:rPr>
        <w:t>节点域腹板的应力十分复杂。当其不出现屈曲时，能充分发展塑性变形。由于剪切屈服时节点域腹板形成皱纹状的残留变形，虽不至于破坏，但在反复循环荷载下呈现滑移型恢复力特征。</w:t>
      </w:r>
    </w:p>
    <w:p>
      <w:pPr>
        <w:pStyle w:val="66"/>
        <w:adjustRightInd w:val="0"/>
        <w:spacing w:line="400" w:lineRule="exact"/>
        <w:ind w:firstLineChars="0"/>
        <w:jc w:val="both"/>
        <w:rPr>
          <w:bCs/>
          <w:color w:val="000000"/>
        </w:rPr>
      </w:pPr>
      <w:r>
        <w:rPr>
          <w:bCs/>
          <w:color w:val="000000"/>
          <w:kern w:val="0"/>
          <w:szCs w:val="21"/>
        </w:rPr>
        <w:t>框架的节点域是一个</w:t>
      </w:r>
      <w:r>
        <w:rPr>
          <w:bCs/>
          <w:snapToGrid w:val="0"/>
          <w:color w:val="000000"/>
          <w:kern w:val="0"/>
          <w:szCs w:val="21"/>
        </w:rPr>
        <w:t>独立</w:t>
      </w:r>
      <w:r>
        <w:rPr>
          <w:bCs/>
          <w:color w:val="000000"/>
          <w:kern w:val="0"/>
          <w:szCs w:val="21"/>
        </w:rPr>
        <w:t>的构件。</w:t>
      </w:r>
      <w:r>
        <w:rPr>
          <w:bCs/>
          <w:snapToGrid w:val="0"/>
          <w:color w:val="000000"/>
          <w:kern w:val="0"/>
          <w:szCs w:val="21"/>
        </w:rPr>
        <w:t>在</w:t>
      </w:r>
      <w:r>
        <w:rPr>
          <w:bCs/>
          <w:color w:val="000000"/>
          <w:kern w:val="0"/>
          <w:szCs w:val="21"/>
        </w:rPr>
        <w:t>框架整体的破坏机构中，节点域如在梁柱屈服前先行塑化，即形成弱节点域框架，在柱屈服前整个框架就有破坏的倾向。</w:t>
      </w:r>
      <w:r>
        <w:rPr>
          <w:rFonts w:hint="eastAsia"/>
          <w:bCs/>
          <w:color w:val="000000"/>
          <w:kern w:val="0"/>
          <w:szCs w:val="21"/>
        </w:rPr>
        <w:t>震害调查表明，</w:t>
      </w:r>
      <w:r>
        <w:rPr>
          <w:bCs/>
          <w:color w:val="000000"/>
          <w:kern w:val="0"/>
          <w:szCs w:val="21"/>
        </w:rPr>
        <w:t>弱节点域</w:t>
      </w:r>
      <w:r>
        <w:rPr>
          <w:rFonts w:hint="eastAsia"/>
          <w:bCs/>
          <w:color w:val="000000"/>
          <w:kern w:val="0"/>
          <w:szCs w:val="21"/>
        </w:rPr>
        <w:t>易</w:t>
      </w:r>
      <w:r>
        <w:rPr>
          <w:bCs/>
          <w:color w:val="000000"/>
        </w:rPr>
        <w:t>发生过度的剪切塑性变形，导致梁柱连接焊缝的应力集中，从而在地震初期即可伴随着大量的焊接连接破损。</w:t>
      </w:r>
    </w:p>
    <w:p>
      <w:pPr>
        <w:pStyle w:val="66"/>
        <w:adjustRightInd w:val="0"/>
        <w:spacing w:line="400" w:lineRule="exact"/>
        <w:ind w:firstLineChars="0"/>
        <w:jc w:val="both"/>
        <w:rPr>
          <w:rFonts w:hint="eastAsia"/>
          <w:bCs/>
          <w:color w:val="000000"/>
        </w:rPr>
      </w:pPr>
      <w:r>
        <w:rPr>
          <w:rFonts w:hint="eastAsia"/>
          <w:bCs/>
          <w:color w:val="000000"/>
        </w:rPr>
        <w:t>我国对节点域板厚构造借用AISC 341特殊抗弯框架的公式，抗剪承载力验算套用日本AIJ规范的公式。实践表明，大多数情况下是板厚构造要求决定的，承载力验算形同虚设。显然，这些严格要求对于要求显著耗能的结构是合适的，但对大量一般钢结构则要求太过严格，不仅浪费钢材，而且使设计、施工皆麻烦。</w:t>
      </w:r>
    </w:p>
    <w:p>
      <w:pPr>
        <w:pStyle w:val="66"/>
        <w:adjustRightInd w:val="0"/>
        <w:spacing w:line="400" w:lineRule="exact"/>
        <w:ind w:firstLineChars="0"/>
        <w:jc w:val="both"/>
        <w:rPr>
          <w:bCs/>
          <w:snapToGrid w:val="0"/>
          <w:color w:val="000000"/>
          <w:kern w:val="0"/>
          <w:szCs w:val="21"/>
        </w:rPr>
      </w:pPr>
      <w:r>
        <w:rPr>
          <w:bCs/>
          <w:snapToGrid w:val="0"/>
          <w:color w:val="000000"/>
          <w:kern w:val="0"/>
          <w:szCs w:val="21"/>
        </w:rPr>
        <w:t>1 条文对塑性结构的节点域腹板的正则化宽厚比（板厚）要求，是据</w:t>
      </w:r>
      <w:r>
        <w:rPr>
          <w:bCs/>
          <w:color w:val="000000"/>
        </w:rPr>
        <w:t>稳定理论导出的。</w:t>
      </w:r>
    </w:p>
    <w:p>
      <w:pPr>
        <w:snapToGrid w:val="0"/>
        <w:spacing w:line="440" w:lineRule="exact"/>
        <w:ind w:firstLine="420" w:firstLineChars="200"/>
        <w:textAlignment w:val="baseline"/>
        <w:rPr>
          <w:bCs/>
          <w:color w:val="000000"/>
        </w:rPr>
      </w:pPr>
      <w:r>
        <w:rPr>
          <w:bCs/>
          <w:color w:val="000000"/>
        </w:rPr>
        <w:t>四边受剪板的</w:t>
      </w:r>
      <w:r>
        <w:rPr>
          <w:bCs/>
          <w:color w:val="000000"/>
          <w:position w:val="-12"/>
        </w:rPr>
        <w:object>
          <v:shape id="_x0000_i1157" o:spt="75" type="#_x0000_t75" style="height:18pt;width:15pt;" o:ole="t" filled="f" o:preferrelative="t" stroked="f" coordsize="21600,21600">
            <v:path/>
            <v:fill on="f" focussize="0,0"/>
            <v:stroke on="f"/>
            <v:imagedata r:id="rId341" o:title=""/>
            <o:lock v:ext="edit" grouping="f" rotation="f" text="f" aspectratio="t"/>
            <w10:wrap type="none"/>
            <w10:anchorlock/>
          </v:shape>
          <o:OLEObject Type="Embed" ProgID="Equation.3" ShapeID="_x0000_i1157" DrawAspect="Content" ObjectID="_1468075847" r:id="rId340">
            <o:LockedField>false</o:LockedField>
          </o:OLEObject>
        </w:object>
      </w:r>
      <w:r>
        <w:rPr>
          <w:bCs/>
          <w:color w:val="000000"/>
        </w:rPr>
        <w:t>为：</w:t>
      </w:r>
    </w:p>
    <w:p>
      <w:pPr>
        <w:snapToGrid w:val="0"/>
        <w:spacing w:line="300" w:lineRule="auto"/>
        <w:ind w:firstLine="420" w:firstLineChars="200"/>
        <w:jc w:val="right"/>
        <w:textAlignment w:val="baseline"/>
        <w:rPr>
          <w:bCs/>
          <w:color w:val="000000"/>
          <w:szCs w:val="21"/>
        </w:rPr>
      </w:pPr>
      <w:r>
        <w:rPr>
          <w:bCs/>
          <w:color w:val="000000"/>
          <w:position w:val="-32"/>
          <w:szCs w:val="21"/>
        </w:rPr>
        <w:object>
          <v:shape id="_x0000_i1158" o:spt="75" type="#_x0000_t75" style="height:36.7pt;width:108.2pt;" o:ole="t" filled="f" o:preferrelative="t" stroked="f" coordsize="21600,21600">
            <v:path/>
            <v:fill on="f" focussize="0,0"/>
            <v:stroke on="f"/>
            <v:imagedata r:id="rId343" o:title=""/>
            <o:lock v:ext="edit" grouping="f" rotation="f" text="f" aspectratio="t"/>
            <w10:wrap type="none"/>
            <w10:anchorlock/>
          </v:shape>
          <o:OLEObject Type="Embed" ProgID="Equation.KSEE3" ShapeID="_x0000_i1158" DrawAspect="Content" ObjectID="_1468075848" r:id="rId342">
            <o:LockedField>false</o:LockedField>
          </o:OLEObject>
        </w:object>
      </w:r>
      <w:r>
        <w:rPr>
          <w:bCs/>
          <w:color w:val="000000"/>
          <w:szCs w:val="21"/>
        </w:rPr>
        <w:t xml:space="preserve">         </w:t>
      </w:r>
      <w:r>
        <w:rPr>
          <w:rFonts w:hint="eastAsia"/>
          <w:bCs/>
          <w:color w:val="000000"/>
          <w:szCs w:val="21"/>
        </w:rPr>
        <w:t xml:space="preserve">  </w:t>
      </w:r>
      <w:r>
        <w:rPr>
          <w:bCs/>
          <w:color w:val="000000"/>
          <w:szCs w:val="21"/>
        </w:rPr>
        <w:t xml:space="preserve">            （</w:t>
      </w:r>
      <w:r>
        <w:rPr>
          <w:rFonts w:hint="eastAsia"/>
          <w:bCs/>
          <w:color w:val="000000"/>
          <w:szCs w:val="21"/>
        </w:rPr>
        <w:t>1</w:t>
      </w:r>
      <w:r>
        <w:rPr>
          <w:bCs/>
          <w:color w:val="000000"/>
          <w:szCs w:val="21"/>
        </w:rPr>
        <w:t>）</w:t>
      </w:r>
    </w:p>
    <w:p>
      <w:pPr>
        <w:spacing w:line="400" w:lineRule="exact"/>
        <w:textAlignment w:val="baseline"/>
        <w:rPr>
          <w:bCs/>
          <w:color w:val="000000"/>
        </w:rPr>
      </w:pPr>
      <w:r>
        <w:rPr>
          <w:bCs/>
          <w:color w:val="000000"/>
        </w:rPr>
        <w:t>式中</w:t>
      </w:r>
      <w:r>
        <w:rPr>
          <w:rFonts w:hint="eastAsia"/>
          <w:bCs/>
          <w:color w:val="000000"/>
        </w:rPr>
        <w:t>：</w:t>
      </w:r>
      <w:r>
        <w:rPr>
          <w:bCs/>
          <w:color w:val="000000"/>
          <w:position w:val="-4"/>
        </w:rPr>
        <w:object>
          <v:shape id="_x0000_i1159" o:spt="75" type="#_x0000_t75" style="height:11.95pt;width:11.95pt;" o:ole="t" filled="f" o:preferrelative="t" stroked="f" coordsize="21600,21600">
            <v:path/>
            <v:fill on="f" focussize="0,0"/>
            <v:stroke on="f"/>
            <v:imagedata r:id="rId345" o:title=""/>
            <o:lock v:ext="edit" grouping="f" rotation="f" text="f" aspectratio="t"/>
            <w10:wrap type="none"/>
            <w10:anchorlock/>
          </v:shape>
          <o:OLEObject Type="Embed" ProgID="Equation.3" ShapeID="_x0000_i1159" DrawAspect="Content" ObjectID="_1468075849" r:id="rId344">
            <o:LockedField>false</o:LockedField>
          </o:OLEObject>
        </w:object>
      </w:r>
      <w:r>
        <w:rPr>
          <w:bCs/>
          <w:color w:val="000000"/>
        </w:rPr>
        <w:t>、</w:t>
      </w:r>
      <w:r>
        <w:rPr>
          <w:bCs/>
          <w:i/>
          <w:iCs/>
          <w:color w:val="000000"/>
        </w:rPr>
        <w:t>v</w:t>
      </w:r>
      <w:r>
        <w:rPr>
          <w:bCs/>
          <w:color w:val="000000"/>
        </w:rPr>
        <w:t>—分别为钢材的弹性模量、泊松比；</w:t>
      </w:r>
    </w:p>
    <w:p>
      <w:pPr>
        <w:spacing w:line="400" w:lineRule="exact"/>
        <w:ind w:firstLine="638" w:firstLineChars="304"/>
        <w:textAlignment w:val="baseline"/>
        <w:rPr>
          <w:bCs/>
          <w:color w:val="000000"/>
        </w:rPr>
      </w:pPr>
      <w:r>
        <w:rPr>
          <w:bCs/>
          <w:color w:val="000000"/>
          <w:position w:val="-12"/>
        </w:rPr>
        <w:object>
          <v:shape id="_x0000_i1160" o:spt="75" type="#_x0000_t75" style="height:18pt;width:12pt;" o:ole="t" filled="f" o:preferrelative="t" stroked="f" coordsize="21600,21600">
            <v:path/>
            <v:fill on="f" focussize="0,0"/>
            <v:stroke on="f"/>
            <v:imagedata r:id="rId347" o:title=""/>
            <o:lock v:ext="edit" grouping="f" rotation="f" text="f" aspectratio="t"/>
            <w10:wrap type="none"/>
            <w10:anchorlock/>
          </v:shape>
          <o:OLEObject Type="Embed" ProgID="Equation.3" ShapeID="_x0000_i1160" DrawAspect="Content" ObjectID="_1468075850" r:id="rId346">
            <o:LockedField>false</o:LockedField>
          </o:OLEObject>
        </w:object>
      </w:r>
      <w:r>
        <w:rPr>
          <w:bCs/>
          <w:color w:val="000000"/>
        </w:rPr>
        <w:t>－剪切系数；</w:t>
      </w:r>
    </w:p>
    <w:p>
      <w:pPr>
        <w:spacing w:line="400" w:lineRule="exact"/>
        <w:ind w:firstLine="638" w:firstLineChars="304"/>
        <w:textAlignment w:val="baseline"/>
        <w:rPr>
          <w:bCs/>
          <w:color w:val="000000"/>
        </w:rPr>
      </w:pPr>
      <w:r>
        <w:rPr>
          <w:bCs/>
          <w:color w:val="000000"/>
          <w:position w:val="-12"/>
        </w:rPr>
        <w:object>
          <v:shape id="_x0000_i1161" o:spt="75" type="#_x0000_t75" style="height:19pt;width:23pt;" o:ole="t" filled="f" o:preferrelative="t" stroked="f" coordsize="21600,21600">
            <v:path/>
            <v:fill on="f" focussize="0,0"/>
            <v:stroke on="f"/>
            <v:imagedata r:id="rId349" o:title=""/>
            <o:lock v:ext="edit" grouping="f" rotation="f" text="f" aspectratio="t"/>
            <w10:wrap type="none"/>
            <w10:anchorlock/>
          </v:shape>
          <o:OLEObject Type="Embed" ProgID="Equation.3" ShapeID="_x0000_i1161" DrawAspect="Content" ObjectID="_1468075851" r:id="rId348">
            <o:LockedField>false</o:LockedField>
          </o:OLEObject>
        </w:object>
      </w:r>
      <w:r>
        <w:rPr>
          <w:bCs/>
          <w:color w:val="000000"/>
        </w:rPr>
        <w:t>—塑性因子。</w:t>
      </w:r>
    </w:p>
    <w:p>
      <w:pPr>
        <w:autoSpaceDE w:val="0"/>
        <w:autoSpaceDN w:val="0"/>
        <w:spacing w:line="400" w:lineRule="exact"/>
        <w:ind w:firstLine="638" w:firstLineChars="304"/>
        <w:rPr>
          <w:bCs/>
          <w:color w:val="000000"/>
        </w:rPr>
      </w:pPr>
      <w:r>
        <w:rPr>
          <w:rFonts w:hint="eastAsia"/>
          <w:bCs/>
          <w:color w:val="000000"/>
        </w:rPr>
        <w:t>节点</w:t>
      </w:r>
      <w:r>
        <w:rPr>
          <w:bCs/>
          <w:color w:val="000000"/>
        </w:rPr>
        <w:t>域弹性</w:t>
      </w:r>
      <w:r>
        <w:rPr>
          <w:rFonts w:hint="eastAsia"/>
          <w:bCs/>
          <w:color w:val="000000"/>
        </w:rPr>
        <w:t>屈曲</w:t>
      </w:r>
      <w:r>
        <w:rPr>
          <w:bCs/>
          <w:snapToGrid w:val="0"/>
          <w:color w:val="000000"/>
          <w:kern w:val="0"/>
          <w:szCs w:val="21"/>
        </w:rPr>
        <w:t>时</w:t>
      </w:r>
      <w:r>
        <w:rPr>
          <w:bCs/>
          <w:color w:val="000000"/>
        </w:rPr>
        <w:t>，</w:t>
      </w:r>
      <w:r>
        <w:rPr>
          <w:bCs/>
          <w:color w:val="000000"/>
          <w:position w:val="-12"/>
        </w:rPr>
        <w:object>
          <v:shape id="_x0000_i1162" o:spt="75" type="#_x0000_t75" style="height:19pt;width:23pt;" o:ole="t" filled="f" o:preferrelative="t" stroked="f" coordsize="21600,21600">
            <v:path/>
            <v:fill on="f" focussize="0,0"/>
            <v:stroke on="f"/>
            <v:imagedata r:id="rId351" o:title=""/>
            <o:lock v:ext="edit" grouping="f" rotation="f" text="f" aspectratio="t"/>
            <w10:wrap type="none"/>
            <w10:anchorlock/>
          </v:shape>
          <o:OLEObject Type="Embed" ProgID="Equation.3" ShapeID="_x0000_i1162" DrawAspect="Content" ObjectID="_1468075852" r:id="rId350">
            <o:LockedField>false</o:LockedField>
          </o:OLEObject>
        </w:object>
      </w:r>
      <w:r>
        <w:rPr>
          <w:bCs/>
          <w:color w:val="000000"/>
        </w:rPr>
        <w:t>＝1；非弹性屈曲时</w:t>
      </w:r>
      <w:r>
        <w:rPr>
          <w:bCs/>
          <w:color w:val="000000"/>
          <w:position w:val="-12"/>
        </w:rPr>
        <w:object>
          <v:shape id="_x0000_i1163" o:spt="75" type="#_x0000_t75" style="height:19pt;width:23pt;" o:ole="t" filled="f" o:preferrelative="t" stroked="f" coordsize="21600,21600">
            <v:path/>
            <v:fill on="f" focussize="0,0"/>
            <v:stroke on="f"/>
            <v:imagedata r:id="rId353" o:title=""/>
            <o:lock v:ext="edit" grouping="f" rotation="f" text="f" aspectratio="t"/>
            <w10:wrap type="none"/>
            <w10:anchorlock/>
          </v:shape>
          <o:OLEObject Type="Embed" ProgID="Equation.3" ShapeID="_x0000_i1163" DrawAspect="Content" ObjectID="_1468075853" r:id="rId352">
            <o:LockedField>false</o:LockedField>
          </o:OLEObject>
        </w:object>
      </w:r>
      <w:r>
        <w:rPr>
          <w:bCs/>
          <w:color w:val="000000"/>
        </w:rPr>
        <w:t>&lt; 1，可取</w:t>
      </w:r>
      <w:r>
        <w:rPr>
          <w:bCs/>
          <w:color w:val="000000"/>
          <w:position w:val="-10"/>
        </w:rPr>
        <w:object>
          <v:shape id="_x0000_i1164" o:spt="75" type="#_x0000_t75" style="height:16pt;width:49.95pt;" o:ole="t" filled="f" o:preferrelative="t" stroked="f" coordsize="21600,21600">
            <v:path/>
            <v:fill on="f" focussize="0,0"/>
            <v:stroke on="f"/>
            <v:imagedata r:id="rId355" o:title=""/>
            <o:lock v:ext="edit" grouping="f" rotation="f" text="f" aspectratio="t"/>
            <w10:wrap type="none"/>
            <w10:anchorlock/>
          </v:shape>
          <o:OLEObject Type="Embed" ProgID="Equation.3" ShapeID="_x0000_i1164" DrawAspect="Content" ObjectID="_1468075854" r:id="rId354">
            <o:LockedField>false</o:LockedField>
          </o:OLEObject>
        </w:object>
      </w:r>
      <w:r>
        <w:rPr>
          <w:bCs/>
          <w:color w:val="000000"/>
        </w:rPr>
        <w:t>（</w:t>
      </w:r>
      <w:r>
        <w:rPr>
          <w:bCs/>
          <w:i/>
          <w:color w:val="000000"/>
        </w:rPr>
        <w:t>E</w:t>
      </w:r>
      <w:r>
        <w:rPr>
          <w:bCs/>
          <w:color w:val="000000"/>
          <w:vertAlign w:val="subscript"/>
        </w:rPr>
        <w:t>t</w:t>
      </w:r>
      <w:r>
        <w:rPr>
          <w:rFonts w:hint="eastAsia"/>
          <w:bCs/>
          <w:color w:val="000000"/>
        </w:rPr>
        <w:t>——</w:t>
      </w:r>
      <w:r>
        <w:rPr>
          <w:bCs/>
          <w:color w:val="000000"/>
        </w:rPr>
        <w:t>钢材的瞬时切线模量，一般可取</w:t>
      </w:r>
      <w:r>
        <w:rPr>
          <w:bCs/>
          <w:color w:val="000000"/>
          <w:position w:val="-10"/>
        </w:rPr>
        <w:object>
          <v:shape id="_x0000_i1165" o:spt="75" type="#_x0000_t75" style="height:16pt;width:51pt;" o:ole="t" filled="f" o:preferrelative="t" stroked="f" coordsize="21600,21600">
            <v:path/>
            <v:fill on="f" focussize="0,0"/>
            <v:stroke on="f"/>
            <v:imagedata r:id="rId357" o:title=""/>
            <o:lock v:ext="edit" grouping="f" rotation="f" text="f" aspectratio="t"/>
            <w10:wrap type="none"/>
            <w10:anchorlock/>
          </v:shape>
          <o:OLEObject Type="Embed" ProgID="Equation.3" ShapeID="_x0000_i1165" DrawAspect="Content" ObjectID="_1468075855" r:id="rId356">
            <o:LockedField>false</o:LockedField>
          </o:OLEObject>
        </w:object>
      </w:r>
      <w:r>
        <w:rPr>
          <w:bCs/>
          <w:color w:val="000000"/>
        </w:rPr>
        <w:t>，即取与钢材屈服后强化模量</w:t>
      </w:r>
      <w:r>
        <w:rPr>
          <w:rFonts w:hint="eastAsia"/>
          <w:bCs/>
          <w:color w:val="000000"/>
        </w:rPr>
        <w:t>相当</w:t>
      </w:r>
      <w:r>
        <w:rPr>
          <w:bCs/>
          <w:color w:val="000000"/>
        </w:rPr>
        <w:t>）。由此而得，塑性框架防止节点域腹板过早发生塑性屈曲</w:t>
      </w:r>
      <w:r>
        <w:rPr>
          <w:rFonts w:hint="eastAsia"/>
          <w:bCs/>
          <w:color w:val="000000"/>
        </w:rPr>
        <w:t>的</w:t>
      </w:r>
      <w:r>
        <w:rPr>
          <w:bCs/>
          <w:color w:val="000000"/>
        </w:rPr>
        <w:t>正则化宽厚比的</w:t>
      </w:r>
      <w:r>
        <w:rPr>
          <w:rFonts w:hint="eastAsia"/>
          <w:bCs/>
          <w:color w:val="000000"/>
        </w:rPr>
        <w:t>限值可取</w:t>
      </w:r>
      <w:r>
        <w:rPr>
          <w:bCs/>
          <w:color w:val="000000"/>
          <w:position w:val="-14"/>
        </w:rPr>
        <w:object>
          <v:shape id="_x0000_i1166" o:spt="75" type="#_x0000_t75" style="height:18.35pt;width:45.7pt;" o:ole="t" filled="f" o:preferrelative="t" stroked="f" coordsize="21600,21600">
            <v:path/>
            <v:fill on="f" focussize="0,0"/>
            <v:stroke on="f"/>
            <v:imagedata r:id="rId359" o:title=""/>
            <o:lock v:ext="edit" grouping="f" rotation="f" text="f" aspectratio="t"/>
            <w10:wrap type="none"/>
            <w10:anchorlock/>
          </v:shape>
          <o:OLEObject Type="Embed" ProgID="Equation.3" ShapeID="_x0000_i1166" DrawAspect="Content" ObjectID="_1468075856" r:id="rId358">
            <o:LockedField>false</o:LockedField>
          </o:OLEObject>
        </w:object>
      </w:r>
      <w:r>
        <w:rPr>
          <w:bCs/>
          <w:color w:val="000000"/>
        </w:rPr>
        <w:t>。</w:t>
      </w:r>
    </w:p>
    <w:p>
      <w:pPr>
        <w:autoSpaceDE w:val="0"/>
        <w:autoSpaceDN w:val="0"/>
        <w:spacing w:line="400" w:lineRule="exact"/>
        <w:ind w:firstLine="420" w:firstLineChars="200"/>
        <w:rPr>
          <w:bCs/>
          <w:snapToGrid w:val="0"/>
          <w:color w:val="000000"/>
          <w:kern w:val="0"/>
          <w:szCs w:val="21"/>
        </w:rPr>
      </w:pPr>
      <w:r>
        <w:rPr>
          <w:bCs/>
          <w:snapToGrid w:val="0"/>
          <w:color w:val="000000"/>
          <w:kern w:val="0"/>
          <w:szCs w:val="21"/>
        </w:rPr>
        <w:t>节点域正则化宽厚比与抗剪承载力</w:t>
      </w:r>
      <w:r>
        <w:rPr>
          <w:bCs/>
          <w:color w:val="000000"/>
        </w:rPr>
        <w:t>试验</w:t>
      </w:r>
      <w:r>
        <w:rPr>
          <w:bCs/>
          <w:snapToGrid w:val="0"/>
          <w:color w:val="000000"/>
          <w:kern w:val="0"/>
          <w:szCs w:val="21"/>
        </w:rPr>
        <w:t>结果的比较如图1。由图可知，节点域宽厚比</w:t>
      </w:r>
      <w:r>
        <w:rPr>
          <w:bCs/>
          <w:color w:val="000000"/>
          <w:position w:val="-14"/>
        </w:rPr>
        <w:object>
          <v:shape id="_x0000_i1167"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67" DrawAspect="Content" ObjectID="_1468075857" r:id="rId360">
            <o:LockedField>false</o:LockedField>
          </o:OLEObject>
        </w:object>
      </w:r>
      <w:r>
        <w:rPr>
          <w:bCs/>
          <w:snapToGrid w:val="0"/>
          <w:color w:val="000000"/>
          <w:kern w:val="0"/>
          <w:szCs w:val="21"/>
        </w:rPr>
        <w:t>≤</w:t>
      </w:r>
      <w:r>
        <w:rPr>
          <w:rFonts w:hint="eastAsia"/>
          <w:bCs/>
          <w:snapToGrid w:val="0"/>
          <w:color w:val="000000"/>
          <w:kern w:val="0"/>
          <w:szCs w:val="21"/>
        </w:rPr>
        <w:t xml:space="preserve"> </w:t>
      </w:r>
      <w:r>
        <w:rPr>
          <w:bCs/>
          <w:snapToGrid w:val="0"/>
          <w:color w:val="000000"/>
          <w:kern w:val="0"/>
          <w:szCs w:val="21"/>
        </w:rPr>
        <w:t>0.4时，相当于美国AISC 341对特殊抗弯框架的要求，并且考虑了柱和梁的宽度比值的影响，与试验结果吻合更好。</w:t>
      </w:r>
    </w:p>
    <w:p>
      <w:pPr>
        <w:autoSpaceDE w:val="0"/>
        <w:autoSpaceDN w:val="0"/>
        <w:spacing w:line="400" w:lineRule="exact"/>
        <w:ind w:firstLine="420" w:firstLineChars="200"/>
        <w:rPr>
          <w:bCs/>
          <w:color w:val="000000"/>
        </w:rPr>
      </w:pPr>
      <w:r>
        <w:rPr>
          <w:bCs/>
          <w:snapToGrid w:val="0"/>
          <w:color w:val="000000"/>
          <w:kern w:val="0"/>
          <w:szCs w:val="21"/>
        </w:rPr>
        <w:t>欧洲EC8/EC3</w:t>
      </w:r>
      <w:r>
        <w:rPr>
          <w:rFonts w:hint="eastAsia"/>
          <w:bCs/>
          <w:snapToGrid w:val="0"/>
          <w:color w:val="000000"/>
          <w:kern w:val="0"/>
          <w:szCs w:val="21"/>
        </w:rPr>
        <w:t>的高延性框架</w:t>
      </w:r>
      <w:r>
        <w:rPr>
          <w:bCs/>
          <w:snapToGrid w:val="0"/>
          <w:color w:val="000000"/>
          <w:kern w:val="0"/>
          <w:szCs w:val="21"/>
        </w:rPr>
        <w:t>，要求</w:t>
      </w:r>
      <w:r>
        <w:rPr>
          <w:bCs/>
          <w:color w:val="000000"/>
          <w:position w:val="-14"/>
        </w:rPr>
        <w:object>
          <v:shape id="_x0000_i1168" o:spt="75" type="#_x0000_t75" style="height:18pt;width:56.5pt;" o:ole="t" filled="f" o:preferrelative="t" stroked="f" coordsize="21600,21600">
            <v:path/>
            <v:fill on="f" focussize="0,0"/>
            <v:stroke on="f"/>
            <v:imagedata r:id="rId363" o:title=""/>
            <o:lock v:ext="edit" grouping="f" rotation="f" text="f" aspectratio="t"/>
            <w10:wrap type="none"/>
            <w10:anchorlock/>
          </v:shape>
          <o:OLEObject Type="Embed" ProgID="Equation.3" ShapeID="_x0000_i1168" DrawAspect="Content" ObjectID="_1468075858" r:id="rId362">
            <o:LockedField>false</o:LockedField>
          </o:OLEObject>
        </w:object>
      </w:r>
      <w:r>
        <w:rPr>
          <w:bCs/>
          <w:color w:val="000000"/>
        </w:rPr>
        <w:t>，EC8第三部分的旧建筑加固采用AISC341特殊抗弯框架的规定。日本的节点域承载力验算公式系按试验确定，AIJ《鋼構造</w:t>
      </w:r>
      <w:r>
        <w:rPr>
          <w:bCs/>
          <w:color w:val="000000"/>
          <w:lang w:eastAsia="ja-JP"/>
        </w:rPr>
        <w:t>接合</w:t>
      </w:r>
      <w:r>
        <w:rPr>
          <w:bCs/>
          <w:color w:val="000000"/>
        </w:rPr>
        <w:t>部設計指針》、AIJ《</w:t>
      </w:r>
      <w:r>
        <w:rPr>
          <w:bCs/>
          <w:color w:val="000000"/>
          <w:lang w:eastAsia="ja-JP"/>
        </w:rPr>
        <w:t>鋼構造塑性設計指針</w:t>
      </w:r>
      <w:r>
        <w:rPr>
          <w:bCs/>
          <w:color w:val="000000"/>
        </w:rPr>
        <w:t>》给出的H截面节点域呈塑性屈服时的</w:t>
      </w:r>
      <w:r>
        <w:rPr>
          <w:rFonts w:hint="eastAsia"/>
          <w:bCs/>
          <w:color w:val="000000"/>
        </w:rPr>
        <w:t>试验</w:t>
      </w:r>
      <w:r>
        <w:rPr>
          <w:bCs/>
          <w:color w:val="000000"/>
        </w:rPr>
        <w:t>范围，反演得到</w:t>
      </w:r>
      <w:r>
        <w:rPr>
          <w:rFonts w:hint="eastAsia"/>
          <w:bCs/>
          <w:color w:val="000000"/>
        </w:rPr>
        <w:t>试验的</w:t>
      </w:r>
      <w:r>
        <w:rPr>
          <w:bCs/>
          <w:color w:val="000000"/>
        </w:rPr>
        <w:t>腹板正则化宽厚比</w:t>
      </w:r>
      <w:r>
        <w:rPr>
          <w:bCs/>
          <w:color w:val="000000"/>
          <w:position w:val="-14"/>
        </w:rPr>
        <w:object>
          <v:shape id="_x0000_i1169" o:spt="75" type="#_x0000_t75" style="height:16.9pt;width:20.3pt;" o:ole="t" filled="f" o:preferrelative="t" stroked="f" coordsize="21600,21600">
            <v:path/>
            <v:fill on="f" focussize="0,0"/>
            <v:stroke on="f"/>
            <v:imagedata r:id="rId365" o:title=""/>
            <o:lock v:ext="edit" grouping="f" rotation="f" text="f" aspectratio="t"/>
            <w10:wrap type="none"/>
            <w10:anchorlock/>
          </v:shape>
          <o:OLEObject Type="Embed" ProgID="Equation.3" ShapeID="_x0000_i1169" DrawAspect="Content" ObjectID="_1468075859" r:id="rId364">
            <o:LockedField>false</o:LockedField>
          </o:OLEObject>
        </w:object>
      </w:r>
      <w:r>
        <w:rPr>
          <w:bCs/>
          <w:color w:val="000000"/>
        </w:rPr>
        <w:t>=0.52。</w:t>
      </w:r>
    </w:p>
    <w:p>
      <w:pPr>
        <w:pStyle w:val="66"/>
        <w:adjustRightInd w:val="0"/>
        <w:spacing w:line="360" w:lineRule="auto"/>
        <w:ind w:firstLine="0" w:firstLineChars="0"/>
        <w:jc w:val="center"/>
        <w:rPr>
          <w:bCs/>
          <w:color w:val="000000"/>
          <w:szCs w:val="21"/>
        </w:rPr>
      </w:pPr>
      <w:r>
        <w:rPr>
          <w:bCs/>
          <w:color w:val="000000"/>
          <w:szCs w:val="21"/>
        </w:rPr>
        <w:drawing>
          <wp:inline distT="0" distB="0" distL="114300" distR="114300">
            <wp:extent cx="3479165" cy="3087370"/>
            <wp:effectExtent l="0" t="0" r="7620" b="0"/>
            <wp:docPr id="137"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46"/>
                    <pic:cNvPicPr>
                      <a:picLocks noChangeAspect="1"/>
                    </pic:cNvPicPr>
                  </pic:nvPicPr>
                  <pic:blipFill>
                    <a:blip r:embed="rId366"/>
                    <a:stretch>
                      <a:fillRect/>
                    </a:stretch>
                  </pic:blipFill>
                  <pic:spPr>
                    <a:xfrm>
                      <a:off x="0" y="0"/>
                      <a:ext cx="3479165" cy="3087370"/>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 1  与国外规范的节点域宽厚比限值、试验结果的对比</w:t>
      </w:r>
    </w:p>
    <w:p>
      <w:pPr>
        <w:autoSpaceDE w:val="0"/>
        <w:autoSpaceDN w:val="0"/>
        <w:spacing w:line="400" w:lineRule="exact"/>
        <w:ind w:firstLine="420" w:firstLineChars="200"/>
        <w:rPr>
          <w:bCs/>
          <w:snapToGrid w:val="0"/>
          <w:color w:val="000000"/>
          <w:kern w:val="0"/>
          <w:szCs w:val="21"/>
        </w:rPr>
      </w:pPr>
      <w:r>
        <w:rPr>
          <w:bCs/>
          <w:snapToGrid w:val="0"/>
          <w:color w:val="000000"/>
          <w:kern w:val="0"/>
          <w:szCs w:val="21"/>
        </w:rPr>
        <w:t>AISC 341对其“中等抗弯框架”和“普通抗弯框架”的节点域宽厚比，只要求满足AISC 360规范一般钢结构的规定，大致相当于</w:t>
      </w:r>
      <w:r>
        <w:rPr>
          <w:bCs/>
          <w:color w:val="000000"/>
          <w:position w:val="-14"/>
        </w:rPr>
        <w:object>
          <v:shape id="_x0000_i1170"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70" DrawAspect="Content" ObjectID="_1468075860" r:id="rId367">
            <o:LockedField>false</o:LockedField>
          </o:OLEObject>
        </w:object>
      </w:r>
      <w:r>
        <w:rPr>
          <w:bCs/>
          <w:snapToGrid w:val="0"/>
          <w:color w:val="000000"/>
          <w:kern w:val="0"/>
          <w:szCs w:val="21"/>
        </w:rPr>
        <w:t>≤0.85。</w:t>
      </w:r>
    </w:p>
    <w:p>
      <w:pPr>
        <w:autoSpaceDE w:val="0"/>
        <w:autoSpaceDN w:val="0"/>
        <w:spacing w:line="400" w:lineRule="exact"/>
        <w:ind w:firstLine="420" w:firstLineChars="200"/>
        <w:rPr>
          <w:bCs/>
          <w:snapToGrid w:val="0"/>
          <w:color w:val="000000"/>
          <w:kern w:val="0"/>
          <w:szCs w:val="21"/>
        </w:rPr>
      </w:pPr>
      <w:r>
        <w:rPr>
          <w:bCs/>
          <w:snapToGrid w:val="0"/>
          <w:color w:val="000000"/>
          <w:kern w:val="0"/>
          <w:szCs w:val="21"/>
        </w:rPr>
        <w:t>综上所述</w:t>
      </w:r>
      <w:r>
        <w:rPr>
          <w:rFonts w:hint="eastAsia"/>
          <w:bCs/>
          <w:snapToGrid w:val="0"/>
          <w:color w:val="000000"/>
          <w:kern w:val="0"/>
          <w:szCs w:val="21"/>
        </w:rPr>
        <w:t>，条文规定的塑性结构框架的节点域宽厚比限值，大体在欧、美、日规范的中等位置。</w:t>
      </w:r>
    </w:p>
    <w:p>
      <w:pPr>
        <w:autoSpaceDE w:val="0"/>
        <w:autoSpaceDN w:val="0"/>
        <w:spacing w:line="400" w:lineRule="exact"/>
        <w:ind w:firstLine="420" w:firstLineChars="200"/>
        <w:rPr>
          <w:bCs/>
          <w:snapToGrid w:val="0"/>
          <w:color w:val="000000"/>
          <w:kern w:val="0"/>
          <w:szCs w:val="21"/>
        </w:rPr>
      </w:pPr>
      <w:r>
        <w:rPr>
          <w:bCs/>
          <w:snapToGrid w:val="0"/>
          <w:color w:val="000000"/>
          <w:kern w:val="0"/>
          <w:szCs w:val="21"/>
        </w:rPr>
        <w:t>2 条文给出了基于节点域宽厚比的抗剪承载力公式。</w:t>
      </w:r>
    </w:p>
    <w:p>
      <w:pPr>
        <w:autoSpaceDE w:val="0"/>
        <w:autoSpaceDN w:val="0"/>
        <w:spacing w:line="400" w:lineRule="exact"/>
        <w:ind w:firstLine="420" w:firstLineChars="200"/>
        <w:rPr>
          <w:bCs/>
          <w:snapToGrid w:val="0"/>
          <w:color w:val="000000"/>
          <w:kern w:val="0"/>
          <w:szCs w:val="21"/>
        </w:rPr>
      </w:pPr>
      <w:r>
        <w:rPr>
          <w:bCs/>
          <w:snapToGrid w:val="0"/>
          <w:color w:val="000000"/>
          <w:kern w:val="0"/>
          <w:szCs w:val="21"/>
        </w:rPr>
        <w:t>节点域的抗剪承载力，《建筑抗震设计规范》GB 50017借鉴AIJ-ASD规范</w:t>
      </w:r>
      <w:r>
        <w:rPr>
          <w:rFonts w:hint="eastAsia"/>
          <w:bCs/>
          <w:snapToGrid w:val="0"/>
          <w:color w:val="000000"/>
          <w:kern w:val="0"/>
          <w:szCs w:val="21"/>
        </w:rPr>
        <w:t>的</w:t>
      </w:r>
      <w:r>
        <w:rPr>
          <w:bCs/>
          <w:snapToGrid w:val="0"/>
          <w:color w:val="000000"/>
          <w:kern w:val="0"/>
          <w:szCs w:val="21"/>
        </w:rPr>
        <w:t>计算公式</w:t>
      </w:r>
      <w:r>
        <w:rPr>
          <w:rFonts w:hint="eastAsia"/>
          <w:bCs/>
          <w:snapToGrid w:val="0"/>
          <w:color w:val="000000"/>
          <w:kern w:val="0"/>
          <w:szCs w:val="21"/>
        </w:rPr>
        <w:t>，</w:t>
      </w:r>
      <w:r>
        <w:rPr>
          <w:bCs/>
          <w:snapToGrid w:val="0"/>
          <w:color w:val="000000"/>
          <w:kern w:val="0"/>
          <w:szCs w:val="21"/>
        </w:rPr>
        <w:t>用节点域抗剪承载力提高到4/3倍的方式，以考虑略去柱剪力、节点域弹性变形占结构整体的份额小、节点域屈服后的承载力有所提高等有利因素。</w:t>
      </w:r>
    </w:p>
    <w:p>
      <w:pPr>
        <w:pStyle w:val="66"/>
        <w:adjustRightInd w:val="0"/>
        <w:spacing w:line="400" w:lineRule="exact"/>
        <w:ind w:firstLineChars="0"/>
        <w:jc w:val="both"/>
        <w:rPr>
          <w:bCs/>
          <w:snapToGrid w:val="0"/>
          <w:color w:val="000000"/>
          <w:kern w:val="0"/>
          <w:szCs w:val="21"/>
        </w:rPr>
      </w:pPr>
      <w:r>
        <w:rPr>
          <w:bCs/>
          <w:snapToGrid w:val="0"/>
          <w:color w:val="000000"/>
          <w:kern w:val="0"/>
          <w:szCs w:val="21"/>
        </w:rPr>
        <w:t>节点域的抗剪承载力与其宽厚比紧密相关。AIJ《</w:t>
      </w:r>
      <w:r>
        <w:rPr>
          <w:bCs/>
          <w:snapToGrid w:val="0"/>
          <w:color w:val="000000"/>
          <w:kern w:val="0"/>
          <w:szCs w:val="21"/>
          <w:lang w:eastAsia="ja-JP"/>
        </w:rPr>
        <w:t>鋼構造接合部設計指針</w:t>
      </w:r>
      <w:r>
        <w:rPr>
          <w:bCs/>
          <w:snapToGrid w:val="0"/>
          <w:color w:val="000000"/>
          <w:kern w:val="0"/>
          <w:szCs w:val="21"/>
        </w:rPr>
        <w:t>》介绍了抗剪承载力提高系数取4/3的试验评估情况。据其</w:t>
      </w:r>
      <w:r>
        <w:rPr>
          <w:rFonts w:hint="eastAsia"/>
          <w:bCs/>
          <w:snapToGrid w:val="0"/>
          <w:color w:val="000000"/>
          <w:kern w:val="0"/>
          <w:szCs w:val="21"/>
        </w:rPr>
        <w:t>介绍的</w:t>
      </w:r>
      <w:r>
        <w:rPr>
          <w:bCs/>
          <w:snapToGrid w:val="0"/>
          <w:color w:val="000000"/>
          <w:kern w:val="0"/>
          <w:szCs w:val="21"/>
        </w:rPr>
        <w:t>试验</w:t>
      </w:r>
      <w:r>
        <w:rPr>
          <w:rFonts w:hint="eastAsia"/>
          <w:bCs/>
          <w:snapToGrid w:val="0"/>
          <w:color w:val="000000"/>
          <w:kern w:val="0"/>
          <w:szCs w:val="21"/>
        </w:rPr>
        <w:t>资料反演</w:t>
      </w:r>
      <w:r>
        <w:rPr>
          <w:bCs/>
          <w:snapToGrid w:val="0"/>
          <w:color w:val="000000"/>
          <w:kern w:val="0"/>
          <w:szCs w:val="21"/>
        </w:rPr>
        <w:t>，可得</w:t>
      </w:r>
      <w:r>
        <w:rPr>
          <w:rFonts w:hint="eastAsia"/>
          <w:bCs/>
          <w:snapToGrid w:val="0"/>
          <w:color w:val="000000"/>
          <w:kern w:val="0"/>
          <w:szCs w:val="21"/>
        </w:rPr>
        <w:t>到试验采用的</w:t>
      </w:r>
      <w:r>
        <w:rPr>
          <w:bCs/>
          <w:snapToGrid w:val="0"/>
          <w:color w:val="000000"/>
          <w:kern w:val="0"/>
          <w:szCs w:val="21"/>
        </w:rPr>
        <w:t>节点域宽厚比</w:t>
      </w:r>
      <w:r>
        <w:rPr>
          <w:bCs/>
          <w:color w:val="000000"/>
          <w:position w:val="-14"/>
        </w:rPr>
        <w:object>
          <v:shape id="_x0000_i1171"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71" DrawAspect="Content" ObjectID="_1468075861" r:id="rId368">
            <o:LockedField>false</o:LockedField>
          </o:OLEObject>
        </w:object>
      </w:r>
      <w:r>
        <w:rPr>
          <w:rFonts w:hint="eastAsia"/>
          <w:bCs/>
          <w:color w:val="000000"/>
        </w:rPr>
        <w:t>的</w:t>
      </w:r>
      <w:r>
        <w:rPr>
          <w:bCs/>
          <w:snapToGrid w:val="0"/>
          <w:color w:val="000000"/>
          <w:kern w:val="0"/>
          <w:szCs w:val="21"/>
        </w:rPr>
        <w:t>上限为0.52。</w:t>
      </w:r>
      <w:r>
        <w:rPr>
          <w:bCs/>
          <w:color w:val="000000"/>
          <w:position w:val="-14"/>
        </w:rPr>
        <w:object>
          <v:shape id="_x0000_i1172"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72" DrawAspect="Content" ObjectID="_1468075862" r:id="rId369">
            <o:LockedField>false</o:LockedField>
          </o:OLEObject>
        </w:object>
      </w:r>
      <w:r>
        <w:rPr>
          <w:bCs/>
          <w:snapToGrid w:val="0"/>
          <w:color w:val="000000"/>
          <w:kern w:val="0"/>
          <w:szCs w:val="21"/>
        </w:rPr>
        <w:t>=0.8是腹板塑性和弹塑性屈曲的拐点，此时节点域抗剪承载力已不适宜提高到4/3倍。为方便设计应用，将节点域抗剪承载力</w:t>
      </w:r>
      <w:r>
        <w:rPr>
          <w:rFonts w:hint="eastAsia"/>
          <w:bCs/>
          <w:snapToGrid w:val="0"/>
          <w:color w:val="000000"/>
          <w:kern w:val="0"/>
          <w:szCs w:val="21"/>
        </w:rPr>
        <w:t>调整</w:t>
      </w:r>
      <w:r>
        <w:rPr>
          <w:bCs/>
          <w:snapToGrid w:val="0"/>
          <w:color w:val="000000"/>
          <w:kern w:val="0"/>
          <w:szCs w:val="21"/>
        </w:rPr>
        <w:t>到4/3倍的上限宽厚比</w:t>
      </w:r>
      <w:r>
        <w:rPr>
          <w:bCs/>
          <w:color w:val="000000"/>
          <w:position w:val="-14"/>
        </w:rPr>
        <w:object>
          <v:shape id="_x0000_i1173"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73" DrawAspect="Content" ObjectID="_1468075863" r:id="rId370">
            <o:LockedField>false</o:LockedField>
          </o:OLEObject>
        </w:object>
      </w:r>
      <w:r>
        <w:rPr>
          <w:bCs/>
          <w:snapToGrid w:val="0"/>
          <w:color w:val="000000"/>
          <w:kern w:val="0"/>
          <w:szCs w:val="21"/>
        </w:rPr>
        <w:t>=0.6，在0.6&lt;</w:t>
      </w:r>
      <w:r>
        <w:rPr>
          <w:bCs/>
          <w:color w:val="000000"/>
          <w:position w:val="-14"/>
        </w:rPr>
        <w:object>
          <v:shape id="_x0000_i1174"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74" DrawAspect="Content" ObjectID="_1468075864" r:id="rId371">
            <o:LockedField>false</o:LockedField>
          </o:OLEObject>
        </w:object>
      </w:r>
      <w:r>
        <w:rPr>
          <w:bCs/>
          <w:snapToGrid w:val="0"/>
          <w:color w:val="000000"/>
          <w:kern w:val="0"/>
          <w:szCs w:val="21"/>
        </w:rPr>
        <w:t>≤0.8的过渡段，抗剪承载力</w:t>
      </w:r>
      <w:r>
        <w:rPr>
          <w:bCs/>
          <w:color w:val="000000"/>
          <w:position w:val="-14"/>
          <w:szCs w:val="21"/>
        </w:rPr>
        <w:object>
          <v:shape id="_x0000_i1175" o:spt="75" type="#_x0000_t75" style="height:19.5pt;width:16.7pt;" o:ole="t" filled="f" o:preferrelative="t" stroked="f" coordsize="21600,21600">
            <v:path/>
            <v:fill on="f" focussize="0,0"/>
            <v:stroke on="f"/>
            <v:imagedata r:id="rId373" o:title=""/>
            <o:lock v:ext="edit" grouping="f" rotation="f" text="f" aspectratio="t"/>
            <w10:wrap type="none"/>
            <w10:anchorlock/>
          </v:shape>
          <o:OLEObject Type="Embed" ProgID="Equation.3" ShapeID="_x0000_i1175" DrawAspect="Content" ObjectID="_1468075865" r:id="rId372">
            <o:LockedField>false</o:LockedField>
          </o:OLEObject>
        </w:object>
      </w:r>
      <w:r>
        <w:rPr>
          <w:bCs/>
          <w:snapToGrid w:val="0"/>
          <w:color w:val="000000"/>
          <w:kern w:val="0"/>
          <w:szCs w:val="21"/>
        </w:rPr>
        <w:t>在</w:t>
      </w:r>
      <w:r>
        <w:rPr>
          <w:bCs/>
          <w:snapToGrid w:val="0"/>
          <w:color w:val="000000"/>
          <w:kern w:val="0"/>
          <w:position w:val="-12"/>
          <w:szCs w:val="21"/>
        </w:rPr>
        <w:object>
          <v:shape id="_x0000_i1176" o:spt="75" type="#_x0000_t75" style="height:16.85pt;width:13.05pt;" o:ole="t" filled="f" o:preferrelative="t" stroked="f" coordsize="21600,21600">
            <v:path/>
            <v:fill on="f" focussize="0,0"/>
            <v:stroke on="f"/>
            <v:imagedata r:id="rId375" o:title=""/>
            <o:lock v:ext="edit" grouping="f" rotation="f" text="f" aspectratio="t"/>
            <w10:wrap type="none"/>
            <w10:anchorlock/>
          </v:shape>
          <o:OLEObject Type="Embed" ProgID="Equation.KSEE3" ShapeID="_x0000_i1176" DrawAspect="Content" ObjectID="_1468075866" r:id="rId374">
            <o:LockedField>false</o:LockedField>
          </o:OLEObject>
        </w:object>
      </w:r>
      <w:r>
        <w:rPr>
          <w:bCs/>
          <w:snapToGrid w:val="0"/>
          <w:color w:val="000000"/>
          <w:kern w:val="0"/>
          <w:szCs w:val="21"/>
        </w:rPr>
        <w:t>和</w:t>
      </w:r>
      <w:r>
        <w:rPr>
          <w:bCs/>
          <w:snapToGrid w:val="0"/>
          <w:color w:val="000000"/>
          <w:kern w:val="0"/>
          <w:position w:val="-12"/>
          <w:szCs w:val="21"/>
        </w:rPr>
        <w:object>
          <v:shape id="_x0000_i1177" o:spt="75" type="#_x0000_t75" style="height:16.85pt;width:31.7pt;" o:ole="t" filled="f" o:preferrelative="t" stroked="f" coordsize="21600,21600">
            <v:path/>
            <v:fill on="f" focussize="0,0"/>
            <v:stroke on="f"/>
            <v:imagedata r:id="rId377" o:title=""/>
            <o:lock v:ext="edit" grouping="f" rotation="f" text="f" aspectratio="t"/>
            <w10:wrap type="none"/>
            <w10:anchorlock/>
          </v:shape>
          <o:OLEObject Type="Embed" ProgID="Equation.KSEE3" ShapeID="_x0000_i1177" DrawAspect="Content" ObjectID="_1468075867" r:id="rId376">
            <o:LockedField>false</o:LockedField>
          </o:OLEObject>
        </w:object>
      </w:r>
      <w:r>
        <w:rPr>
          <w:bCs/>
          <w:snapToGrid w:val="0"/>
          <w:color w:val="000000"/>
          <w:kern w:val="0"/>
          <w:szCs w:val="21"/>
        </w:rPr>
        <w:t>之间插值计算。0.8&lt;</w:t>
      </w:r>
      <w:r>
        <w:rPr>
          <w:bCs/>
          <w:color w:val="000000"/>
          <w:position w:val="-14"/>
        </w:rPr>
        <w:object>
          <v:shape id="_x0000_i1178"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78" DrawAspect="Content" ObjectID="_1468075868" r:id="rId378">
            <o:LockedField>false</o:LockedField>
          </o:OLEObject>
        </w:object>
      </w:r>
      <w:r>
        <w:rPr>
          <w:bCs/>
          <w:snapToGrid w:val="0"/>
          <w:color w:val="000000"/>
          <w:kern w:val="0"/>
          <w:szCs w:val="21"/>
        </w:rPr>
        <w:t>≤1.2段给出的</w:t>
      </w:r>
      <w:r>
        <w:rPr>
          <w:bCs/>
          <w:color w:val="000000"/>
          <w:position w:val="-14"/>
          <w:szCs w:val="21"/>
        </w:rPr>
        <w:object>
          <v:shape id="_x0000_i1179" o:spt="75" type="#_x0000_t75" style="height:19.5pt;width:16.7pt;" o:ole="t" filled="f" o:preferrelative="t" stroked="f" coordsize="21600,21600">
            <v:path/>
            <v:fill on="f" focussize="0,0"/>
            <v:stroke on="f"/>
            <v:imagedata r:id="rId373" o:title=""/>
            <o:lock v:ext="edit" grouping="f" rotation="f" text="f" aspectratio="t"/>
            <w10:wrap type="none"/>
            <w10:anchorlock/>
          </v:shape>
          <o:OLEObject Type="Embed" ProgID="Equation.3" ShapeID="_x0000_i1179" DrawAspect="Content" ObjectID="_1468075869" r:id="rId379">
            <o:LockedField>false</o:LockedField>
          </o:OLEObject>
        </w:object>
      </w:r>
      <w:r>
        <w:rPr>
          <w:bCs/>
          <w:color w:val="000000"/>
          <w:szCs w:val="21"/>
        </w:rPr>
        <w:t>是由节点域</w:t>
      </w:r>
      <w:r>
        <w:rPr>
          <w:bCs/>
          <w:snapToGrid w:val="0"/>
          <w:color w:val="000000"/>
          <w:kern w:val="0"/>
          <w:szCs w:val="21"/>
        </w:rPr>
        <w:t>稳定性决定的，设置竖向加劲肋也可使其抗剪承载力达到抗剪强度</w:t>
      </w:r>
      <w:r>
        <w:rPr>
          <w:bCs/>
          <w:snapToGrid w:val="0"/>
          <w:color w:val="000000"/>
          <w:kern w:val="0"/>
          <w:position w:val="-12"/>
          <w:szCs w:val="21"/>
        </w:rPr>
        <w:object>
          <v:shape id="_x0000_i1180" o:spt="75" type="#_x0000_t75" style="height:16.85pt;width:13.05pt;" o:ole="t" filled="f" o:preferrelative="t" stroked="f" coordsize="21600,21600">
            <v:path/>
            <v:fill on="f" focussize="0,0"/>
            <v:stroke on="f"/>
            <v:imagedata r:id="rId375" o:title=""/>
            <o:lock v:ext="edit" grouping="f" rotation="f" text="f" aspectratio="t"/>
            <w10:wrap type="none"/>
            <w10:anchorlock/>
          </v:shape>
          <o:OLEObject Type="Embed" ProgID="Equation.KSEE3" ShapeID="_x0000_i1180" DrawAspect="Content" ObjectID="_1468075870" r:id="rId380">
            <o:LockedField>false</o:LockedField>
          </o:OLEObject>
        </w:object>
      </w:r>
      <w:r>
        <w:rPr>
          <w:bCs/>
          <w:snapToGrid w:val="0"/>
          <w:color w:val="000000"/>
          <w:kern w:val="0"/>
          <w:szCs w:val="21"/>
        </w:rPr>
        <w:t>。</w:t>
      </w:r>
    </w:p>
    <w:p>
      <w:pPr>
        <w:pStyle w:val="66"/>
        <w:adjustRightInd w:val="0"/>
        <w:spacing w:line="400" w:lineRule="exact"/>
        <w:ind w:firstLineChars="0"/>
        <w:jc w:val="both"/>
        <w:rPr>
          <w:bCs/>
          <w:snapToGrid w:val="0"/>
          <w:color w:val="000000"/>
          <w:kern w:val="0"/>
          <w:szCs w:val="21"/>
        </w:rPr>
      </w:pPr>
      <w:r>
        <w:rPr>
          <w:rFonts w:hint="eastAsia"/>
          <w:bCs/>
          <w:snapToGrid w:val="0"/>
          <w:color w:val="000000"/>
          <w:kern w:val="0"/>
          <w:szCs w:val="21"/>
        </w:rPr>
        <w:t>研究表明，</w:t>
      </w:r>
      <w:r>
        <w:rPr>
          <w:bCs/>
          <w:color w:val="000000"/>
          <w:position w:val="-14"/>
        </w:rPr>
        <w:object>
          <v:shape id="_x0000_i1181"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81" DrawAspect="Content" ObjectID="_1468075871" r:id="rId381">
            <o:LockedField>false</o:LockedField>
          </o:OLEObject>
        </w:object>
      </w:r>
      <w:r>
        <w:rPr>
          <w:rFonts w:ascii="Arial" w:hAnsi="Arial" w:cs="Arial"/>
          <w:bCs/>
          <w:snapToGrid w:val="0"/>
          <w:color w:val="000000"/>
          <w:kern w:val="0"/>
          <w:szCs w:val="21"/>
        </w:rPr>
        <w:t>≤</w:t>
      </w:r>
      <w:r>
        <w:rPr>
          <w:bCs/>
          <w:snapToGrid w:val="0"/>
          <w:color w:val="000000"/>
          <w:kern w:val="0"/>
          <w:szCs w:val="21"/>
        </w:rPr>
        <w:t>0.6</w:t>
      </w:r>
      <w:r>
        <w:rPr>
          <w:rFonts w:hint="eastAsia"/>
          <w:bCs/>
          <w:snapToGrid w:val="0"/>
          <w:color w:val="000000"/>
          <w:kern w:val="0"/>
          <w:szCs w:val="21"/>
        </w:rPr>
        <w:t>时，设置竖向加劲肋对提高节点域的抗剪承载力无效，设置斜向加劲肋、增加板厚才有效。</w:t>
      </w:r>
    </w:p>
    <w:p>
      <w:pPr>
        <w:pStyle w:val="66"/>
        <w:adjustRightInd w:val="0"/>
        <w:spacing w:line="400" w:lineRule="exact"/>
        <w:ind w:firstLineChars="0"/>
        <w:jc w:val="both"/>
        <w:rPr>
          <w:bCs/>
          <w:snapToGrid w:val="0"/>
          <w:color w:val="000000"/>
          <w:kern w:val="0"/>
          <w:szCs w:val="21"/>
        </w:rPr>
      </w:pPr>
      <w:r>
        <w:rPr>
          <w:bCs/>
          <w:snapToGrid w:val="0"/>
          <w:color w:val="000000"/>
          <w:kern w:val="0"/>
          <w:szCs w:val="21"/>
        </w:rPr>
        <w:t>柱轴压比较小时</w:t>
      </w:r>
      <w:r>
        <w:rPr>
          <w:rFonts w:hint="eastAsia"/>
          <w:bCs/>
          <w:snapToGrid w:val="0"/>
          <w:color w:val="000000"/>
          <w:kern w:val="0"/>
          <w:szCs w:val="21"/>
        </w:rPr>
        <w:t>，</w:t>
      </w:r>
      <w:r>
        <w:rPr>
          <w:bCs/>
          <w:snapToGrid w:val="0"/>
          <w:color w:val="000000"/>
          <w:kern w:val="0"/>
          <w:szCs w:val="21"/>
        </w:rPr>
        <w:t>一般</w:t>
      </w:r>
      <w:r>
        <w:rPr>
          <w:rFonts w:hint="eastAsia"/>
          <w:bCs/>
          <w:snapToGrid w:val="0"/>
          <w:color w:val="000000"/>
          <w:kern w:val="0"/>
          <w:szCs w:val="21"/>
        </w:rPr>
        <w:t>不</w:t>
      </w:r>
      <w:r>
        <w:rPr>
          <w:bCs/>
          <w:snapToGrid w:val="0"/>
          <w:color w:val="000000"/>
          <w:kern w:val="0"/>
          <w:szCs w:val="21"/>
        </w:rPr>
        <w:t>需</w:t>
      </w:r>
      <w:r>
        <w:rPr>
          <w:rFonts w:hint="eastAsia"/>
          <w:bCs/>
          <w:snapToGrid w:val="0"/>
          <w:color w:val="000000"/>
          <w:kern w:val="0"/>
          <w:szCs w:val="21"/>
        </w:rPr>
        <w:t>专门</w:t>
      </w:r>
      <w:r>
        <w:rPr>
          <w:bCs/>
          <w:snapToGrid w:val="0"/>
          <w:color w:val="000000"/>
          <w:kern w:val="0"/>
          <w:szCs w:val="21"/>
        </w:rPr>
        <w:t>考虑轴力对节点域承载力的影响。参考日本的相关规定，在轴压比超过0.4时，节点域抗剪承载力需</w:t>
      </w:r>
      <w:r>
        <w:rPr>
          <w:rFonts w:hint="eastAsia"/>
          <w:bCs/>
          <w:snapToGrid w:val="0"/>
          <w:color w:val="000000"/>
          <w:kern w:val="0"/>
          <w:szCs w:val="21"/>
        </w:rPr>
        <w:t>考虑轴压比影响的</w:t>
      </w:r>
      <w:r>
        <w:rPr>
          <w:bCs/>
          <w:snapToGrid w:val="0"/>
          <w:color w:val="000000"/>
          <w:kern w:val="0"/>
          <w:szCs w:val="21"/>
        </w:rPr>
        <w:t>修正。节点域宽厚比0.8&lt;</w:t>
      </w:r>
      <w:r>
        <w:rPr>
          <w:bCs/>
          <w:color w:val="000000"/>
          <w:position w:val="-14"/>
        </w:rPr>
        <w:object>
          <v:shape id="_x0000_i1182" o:spt="75" type="#_x0000_t75" style="height:18.5pt;width:21.4pt;" o:ole="t" filled="f" stroked="f" coordsize="21600,21600">
            <v:path/>
            <v:fill on="f" focussize="0,0"/>
            <v:stroke on="f"/>
            <v:imagedata r:id="rId361" o:title=""/>
            <o:lock v:ext="edit" grouping="f" rotation="f" text="f" aspectratio="t"/>
            <w10:wrap type="none"/>
            <w10:anchorlock/>
          </v:shape>
          <o:OLEObject Type="Embed" ProgID="Equation.KSEE3" ShapeID="_x0000_i1182" DrawAspect="Content" ObjectID="_1468075872" r:id="rId382">
            <o:LockedField>false</o:LockedField>
          </o:OLEObject>
        </w:object>
      </w:r>
      <w:r>
        <w:rPr>
          <w:bCs/>
          <w:snapToGrid w:val="0"/>
          <w:color w:val="000000"/>
          <w:kern w:val="0"/>
          <w:szCs w:val="21"/>
        </w:rPr>
        <w:t>≤1.2，仅适用于弹性结构ES2，如门式刚架轻型房屋等采用薄柔截面的单层和低层结构。一般情况下</w:t>
      </w:r>
      <w:r>
        <w:rPr>
          <w:rFonts w:hint="eastAsia"/>
          <w:bCs/>
          <w:snapToGrid w:val="0"/>
          <w:color w:val="000000"/>
          <w:kern w:val="0"/>
          <w:szCs w:val="21"/>
        </w:rPr>
        <w:t>，</w:t>
      </w:r>
      <w:r>
        <w:rPr>
          <w:bCs/>
          <w:snapToGrid w:val="0"/>
          <w:color w:val="000000"/>
          <w:kern w:val="0"/>
          <w:szCs w:val="21"/>
        </w:rPr>
        <w:t>这类结构的柱轴力较小，对节点域抗剪承载力的影响可略去。如轴力较大，则可按板件局部稳定承载力相关公式采用</w:t>
      </w:r>
      <w:r>
        <w:rPr>
          <w:bCs/>
          <w:color w:val="000000"/>
          <w:kern w:val="0"/>
          <w:position w:val="-14"/>
          <w:szCs w:val="21"/>
        </w:rPr>
        <w:object>
          <v:shape id="_x0000_i1183" o:spt="75" type="#_x0000_t75" style="height:17.4pt;width:60.15pt;" o:ole="t" filled="f" o:preferrelative="t" stroked="f" coordsize="21600,21600">
            <v:path/>
            <v:fill on="f" focussize="0,0"/>
            <v:stroke on="f"/>
            <v:imagedata r:id="rId384" o:title=""/>
            <o:lock v:ext="edit" grouping="f" rotation="f" text="f" aspectratio="t"/>
            <w10:wrap type="none"/>
            <w10:anchorlock/>
          </v:shape>
          <o:OLEObject Type="Embed" ProgID="Equation.3" ShapeID="_x0000_i1183" DrawAspect="Content" ObjectID="_1468075873" r:id="rId383">
            <o:LockedField>false</o:LockedField>
          </o:OLEObject>
        </w:object>
      </w:r>
      <w:r>
        <w:rPr>
          <w:bCs/>
          <w:snapToGrid w:val="0"/>
          <w:color w:val="000000"/>
          <w:kern w:val="0"/>
          <w:szCs w:val="21"/>
        </w:rPr>
        <w:t>（</w:t>
      </w:r>
      <w:r>
        <w:rPr>
          <w:bCs/>
          <w:snapToGrid w:val="0"/>
          <w:color w:val="000000"/>
          <w:kern w:val="0"/>
          <w:position w:val="-12"/>
          <w:szCs w:val="21"/>
        </w:rPr>
        <w:object>
          <v:shape id="_x0000_i1184" o:spt="75" type="#_x0000_t75" style="height:15.1pt;width:13.45pt;" o:ole="t" filled="f" o:preferrelative="t" stroked="f" coordsize="21600,21600">
            <v:path/>
            <v:fill on="f" focussize="0,0"/>
            <v:stroke on="f"/>
            <v:imagedata r:id="rId386" o:title=""/>
            <o:lock v:ext="edit" grouping="f" rotation="f" text="f" aspectratio="t"/>
            <w10:wrap type="none"/>
            <w10:anchorlock/>
          </v:shape>
          <o:OLEObject Type="Embed" ProgID="Equation.KSEE3" ShapeID="_x0000_i1184" DrawAspect="Content" ObjectID="_1468075874" r:id="rId385">
            <o:LockedField>false</o:LockedField>
          </o:OLEObject>
        </w:object>
      </w:r>
      <w:r>
        <w:rPr>
          <w:bCs/>
          <w:snapToGrid w:val="0"/>
          <w:color w:val="000000"/>
          <w:kern w:val="0"/>
          <w:szCs w:val="21"/>
        </w:rPr>
        <w:t>为受压临界应力）系数对抗剪承载力进行修正。</w:t>
      </w:r>
      <w:r>
        <w:rPr>
          <w:rFonts w:hint="eastAsia"/>
          <w:bCs/>
          <w:snapToGrid w:val="0"/>
          <w:color w:val="000000"/>
          <w:kern w:val="0"/>
          <w:szCs w:val="21"/>
        </w:rPr>
        <w:t>然而，</w:t>
      </w:r>
      <w:r>
        <w:rPr>
          <w:bCs/>
          <w:snapToGrid w:val="0"/>
          <w:color w:val="000000"/>
          <w:kern w:val="0"/>
          <w:szCs w:val="21"/>
        </w:rPr>
        <w:t>这种修正较复杂，</w:t>
      </w:r>
      <w:r>
        <w:rPr>
          <w:rFonts w:hint="eastAsia"/>
          <w:bCs/>
          <w:snapToGrid w:val="0"/>
          <w:color w:val="000000"/>
          <w:kern w:val="0"/>
          <w:szCs w:val="21"/>
        </w:rPr>
        <w:t>设计时</w:t>
      </w:r>
      <w:r>
        <w:rPr>
          <w:bCs/>
          <w:snapToGrid w:val="0"/>
          <w:color w:val="000000"/>
          <w:kern w:val="0"/>
          <w:szCs w:val="21"/>
        </w:rPr>
        <w:t>宜采用在节点域设置斜向加劲肋或竖向加劲肋</w:t>
      </w:r>
      <w:r>
        <w:rPr>
          <w:rFonts w:hint="eastAsia"/>
          <w:bCs/>
          <w:snapToGrid w:val="0"/>
          <w:color w:val="000000"/>
          <w:kern w:val="0"/>
          <w:szCs w:val="21"/>
        </w:rPr>
        <w:t>的形式</w:t>
      </w:r>
      <w:r>
        <w:rPr>
          <w:bCs/>
          <w:snapToGrid w:val="0"/>
          <w:color w:val="000000"/>
          <w:kern w:val="0"/>
          <w:szCs w:val="21"/>
        </w:rPr>
        <w:t>。</w:t>
      </w:r>
    </w:p>
    <w:p>
      <w:pPr>
        <w:pStyle w:val="66"/>
        <w:adjustRightInd w:val="0"/>
        <w:ind w:firstLineChars="0"/>
        <w:jc w:val="both"/>
        <w:rPr>
          <w:bCs/>
          <w:color w:val="000000"/>
        </w:rPr>
      </w:pPr>
      <w:r>
        <w:rPr>
          <w:bCs/>
          <w:snapToGrid w:val="0"/>
          <w:color w:val="000000"/>
          <w:kern w:val="0"/>
          <w:szCs w:val="21"/>
        </w:rPr>
        <w:t>3 参考日本相关规定，一般要求节点域不先于梁柱进入塑性；如节点域先于梁柱屈服</w:t>
      </w:r>
      <w:r>
        <w:rPr>
          <w:rFonts w:hint="eastAsia"/>
          <w:bCs/>
          <w:snapToGrid w:val="0"/>
          <w:color w:val="000000"/>
          <w:kern w:val="0"/>
          <w:szCs w:val="21"/>
        </w:rPr>
        <w:t>（弱节点域）</w:t>
      </w:r>
      <w:r>
        <w:rPr>
          <w:bCs/>
          <w:snapToGrid w:val="0"/>
          <w:color w:val="000000"/>
          <w:kern w:val="0"/>
          <w:szCs w:val="21"/>
        </w:rPr>
        <w:t>，则在框架二次设计的保有承载力验算时必须计入节点域屈服的影响。</w:t>
      </w:r>
      <w:r>
        <w:rPr>
          <w:rFonts w:hint="eastAsia"/>
          <w:bCs/>
          <w:snapToGrid w:val="0"/>
          <w:color w:val="000000"/>
          <w:kern w:val="0"/>
          <w:szCs w:val="21"/>
        </w:rPr>
        <w:t>考虑到</w:t>
      </w:r>
      <w:r>
        <w:rPr>
          <w:bCs/>
          <w:snapToGrid w:val="0"/>
          <w:color w:val="000000"/>
          <w:kern w:val="0"/>
          <w:szCs w:val="21"/>
        </w:rPr>
        <w:t>我国规范体系尚未引入</w:t>
      </w:r>
      <w:r>
        <w:rPr>
          <w:rFonts w:hint="eastAsia"/>
          <w:bCs/>
          <w:snapToGrid w:val="0"/>
          <w:color w:val="000000"/>
          <w:kern w:val="0"/>
          <w:szCs w:val="21"/>
        </w:rPr>
        <w:t>二次设计</w:t>
      </w:r>
      <w:r>
        <w:rPr>
          <w:bCs/>
          <w:snapToGrid w:val="0"/>
          <w:color w:val="000000"/>
          <w:kern w:val="0"/>
          <w:szCs w:val="21"/>
        </w:rPr>
        <w:t>这类要求，条文对塑性框架，要求节点域不先于框架梁端屈服。</w:t>
      </w:r>
      <w:r>
        <w:rPr>
          <w:rFonts w:hint="eastAsia"/>
          <w:bCs/>
          <w:snapToGrid w:val="0"/>
          <w:color w:val="000000"/>
          <w:kern w:val="0"/>
          <w:szCs w:val="21"/>
        </w:rPr>
        <w:t>为适应</w:t>
      </w:r>
      <w:r>
        <w:rPr>
          <w:bCs/>
          <w:snapToGrid w:val="0"/>
          <w:color w:val="000000"/>
          <w:kern w:val="0"/>
          <w:szCs w:val="21"/>
        </w:rPr>
        <w:t>我国工程师的习惯，公式仍然</w:t>
      </w:r>
      <w:r>
        <w:rPr>
          <w:rFonts w:hint="eastAsia"/>
          <w:bCs/>
          <w:snapToGrid w:val="0"/>
          <w:color w:val="000000"/>
          <w:kern w:val="0"/>
          <w:szCs w:val="21"/>
        </w:rPr>
        <w:t>以</w:t>
      </w:r>
      <w:r>
        <w:rPr>
          <w:bCs/>
          <w:snapToGrid w:val="0"/>
          <w:color w:val="000000"/>
          <w:kern w:val="0"/>
          <w:szCs w:val="21"/>
        </w:rPr>
        <w:t>梁端全截面塑性弯矩的形式表达，采用0.85的弯矩系数系</w:t>
      </w:r>
      <w:r>
        <w:rPr>
          <w:bCs/>
          <w:snapToGrid w:val="0"/>
          <w:color w:val="000000"/>
          <w:kern w:val="0"/>
          <w:position w:val="-14"/>
          <w:szCs w:val="21"/>
        </w:rPr>
        <w:object>
          <v:shape id="_x0000_i1185" o:spt="75" type="#_x0000_t75" style="height:18pt;width:13.95pt;" o:ole="t" filled="f" stroked="f" coordsize="21600,21600">
            <v:path/>
            <v:fill on="f" focussize="0,0"/>
            <v:stroke on="f"/>
            <v:imagedata r:id="rId388" o:title=""/>
            <o:lock v:ext="edit" grouping="f" rotation="f" text="f" aspectratio="t"/>
            <w10:wrap type="none"/>
            <w10:anchorlock/>
          </v:shape>
          <o:OLEObject Type="Embed" ProgID="Equation.KSEE3" ShapeID="_x0000_i1185" DrawAspect="Content" ObjectID="_1468075875" r:id="rId387">
            <o:LockedField>false</o:LockedField>
          </o:OLEObject>
        </w:object>
      </w:r>
      <w:r>
        <w:rPr>
          <w:bCs/>
          <w:snapToGrid w:val="0"/>
          <w:color w:val="000000"/>
          <w:kern w:val="0"/>
          <w:szCs w:val="21"/>
        </w:rPr>
        <w:t>考虑了H形截面梁全截面塑性弯矩一般为边缘屈服弯矩的1.15倍左右。同时，</w:t>
      </w:r>
      <w:r>
        <w:rPr>
          <w:bCs/>
          <w:color w:val="000000"/>
        </w:rPr>
        <w:t>结合边柱节点域和中柱节点域两侧重力作用弯矩和地震作用弯矩的差异（图</w:t>
      </w:r>
      <w:r>
        <w:rPr>
          <w:bCs/>
          <w:snapToGrid w:val="0"/>
          <w:color w:val="000000"/>
          <w:kern w:val="0"/>
          <w:szCs w:val="21"/>
        </w:rPr>
        <w:t>2</w:t>
      </w:r>
      <w:r>
        <w:rPr>
          <w:bCs/>
          <w:color w:val="000000"/>
        </w:rPr>
        <w:t>、</w:t>
      </w:r>
      <w:r>
        <w:rPr>
          <w:bCs/>
          <w:snapToGrid w:val="0"/>
          <w:color w:val="000000"/>
          <w:kern w:val="0"/>
          <w:szCs w:val="21"/>
        </w:rPr>
        <w:t>3</w:t>
      </w:r>
      <w:r>
        <w:rPr>
          <w:bCs/>
          <w:color w:val="000000"/>
        </w:rPr>
        <w:t>），</w:t>
      </w:r>
      <w:r>
        <w:rPr>
          <w:bCs/>
          <w:snapToGrid w:val="0"/>
          <w:color w:val="000000"/>
          <w:kern w:val="0"/>
          <w:szCs w:val="21"/>
        </w:rPr>
        <w:t>弯矩系数系</w:t>
      </w:r>
      <w:r>
        <w:rPr>
          <w:bCs/>
          <w:snapToGrid w:val="0"/>
          <w:color w:val="000000"/>
          <w:kern w:val="0"/>
          <w:position w:val="-14"/>
          <w:szCs w:val="21"/>
        </w:rPr>
        <w:object>
          <v:shape id="_x0000_i1186" o:spt="75" type="#_x0000_t75" style="height:18pt;width:13.95pt;" o:ole="t" filled="f" stroked="f" coordsize="21600,21600">
            <v:path/>
            <v:fill on="f" focussize="0,0"/>
            <v:stroke on="f"/>
            <v:imagedata r:id="rId388" o:title=""/>
            <o:lock v:ext="edit" grouping="f" rotation="f" text="f" aspectratio="t"/>
            <w10:wrap type="none"/>
            <w10:anchorlock/>
          </v:shape>
          <o:OLEObject Type="Embed" ProgID="Equation.KSEE3" ShapeID="_x0000_i1186" DrawAspect="Content" ObjectID="_1468075876" r:id="rId389">
            <o:LockedField>false</o:LockedField>
          </o:OLEObject>
        </w:object>
      </w:r>
      <w:r>
        <w:rPr>
          <w:bCs/>
          <w:color w:val="000000"/>
        </w:rPr>
        <w:t>中柱取0.85，边柱取0.95。</w:t>
      </w:r>
    </w:p>
    <w:p>
      <w:pPr>
        <w:snapToGrid w:val="0"/>
        <w:jc w:val="center"/>
        <w:textAlignment w:val="baseline"/>
        <w:rPr>
          <w:bCs/>
          <w:color w:val="000000"/>
        </w:rPr>
      </w:pPr>
      <w:r>
        <w:drawing>
          <wp:inline distT="0" distB="0" distL="114300" distR="114300">
            <wp:extent cx="5251450" cy="847725"/>
            <wp:effectExtent l="0" t="0" r="0" b="5080"/>
            <wp:docPr id="138"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64"/>
                    <pic:cNvPicPr>
                      <a:picLocks noChangeAspect="1"/>
                    </pic:cNvPicPr>
                  </pic:nvPicPr>
                  <pic:blipFill>
                    <a:blip r:embed="rId390"/>
                    <a:stretch>
                      <a:fillRect/>
                    </a:stretch>
                  </pic:blipFill>
                  <pic:spPr>
                    <a:xfrm>
                      <a:off x="0" y="0"/>
                      <a:ext cx="5251450" cy="847725"/>
                    </a:xfrm>
                    <a:prstGeom prst="rect">
                      <a:avLst/>
                    </a:prstGeom>
                    <a:noFill/>
                    <a:ln>
                      <a:noFill/>
                    </a:ln>
                  </pic:spPr>
                </pic:pic>
              </a:graphicData>
            </a:graphic>
          </wp:inline>
        </w:drawing>
      </w:r>
    </w:p>
    <w:p>
      <w:pPr>
        <w:snapToGrid w:val="0"/>
        <w:spacing w:line="440" w:lineRule="exact"/>
        <w:jc w:val="center"/>
        <w:textAlignment w:val="baseline"/>
        <w:rPr>
          <w:bCs/>
          <w:color w:val="000000"/>
          <w:sz w:val="18"/>
          <w:szCs w:val="18"/>
        </w:rPr>
      </w:pPr>
      <w:r>
        <w:rPr>
          <w:bCs/>
          <w:color w:val="000000"/>
          <w:sz w:val="18"/>
          <w:szCs w:val="18"/>
        </w:rPr>
        <w:t xml:space="preserve">a）重力作用的弯矩                b）地震作用弯矩          </w:t>
      </w:r>
      <w:r>
        <w:rPr>
          <w:bCs/>
          <w:color w:val="000000"/>
          <w:sz w:val="18"/>
          <w:szCs w:val="18"/>
          <w:lang w:eastAsia="ja-JP"/>
        </w:rPr>
        <w:t>　</w:t>
      </w:r>
      <w:r>
        <w:rPr>
          <w:bCs/>
          <w:color w:val="000000"/>
          <w:sz w:val="18"/>
          <w:szCs w:val="18"/>
        </w:rPr>
        <w:t xml:space="preserve">        c）总弯矩</w:t>
      </w:r>
    </w:p>
    <w:p>
      <w:pPr>
        <w:snapToGrid w:val="0"/>
        <w:spacing w:line="440" w:lineRule="exact"/>
        <w:jc w:val="center"/>
        <w:textAlignment w:val="baseline"/>
        <w:rPr>
          <w:bCs/>
          <w:color w:val="000000"/>
          <w:sz w:val="18"/>
        </w:rPr>
      </w:pPr>
      <w:r>
        <w:rPr>
          <w:bCs/>
          <w:color w:val="000000"/>
          <w:sz w:val="18"/>
        </w:rPr>
        <w:t>图</w:t>
      </w:r>
      <w:r>
        <w:rPr>
          <w:bCs/>
          <w:snapToGrid w:val="0"/>
          <w:color w:val="000000"/>
          <w:kern w:val="0"/>
          <w:sz w:val="18"/>
          <w:szCs w:val="21"/>
        </w:rPr>
        <w:t>2</w:t>
      </w:r>
      <w:r>
        <w:rPr>
          <w:bCs/>
          <w:color w:val="000000"/>
          <w:sz w:val="18"/>
          <w:lang w:eastAsia="ja-JP"/>
        </w:rPr>
        <w:t xml:space="preserve"> </w:t>
      </w:r>
      <w:r>
        <w:rPr>
          <w:bCs/>
          <w:color w:val="000000"/>
          <w:sz w:val="18"/>
        </w:rPr>
        <w:t xml:space="preserve"> 中柱节点域的弯矩</w:t>
      </w:r>
    </w:p>
    <w:p>
      <w:pPr>
        <w:snapToGrid w:val="0"/>
        <w:spacing w:line="440" w:lineRule="exact"/>
        <w:jc w:val="center"/>
        <w:textAlignment w:val="baseline"/>
        <w:rPr>
          <w:rFonts w:hint="eastAsia"/>
          <w:bCs/>
          <w:color w:val="000000"/>
          <w:sz w:val="18"/>
        </w:rPr>
      </w:pPr>
    </w:p>
    <w:p>
      <w:pPr>
        <w:snapToGrid w:val="0"/>
        <w:jc w:val="center"/>
        <w:textAlignment w:val="baseline"/>
        <w:rPr>
          <w:bCs/>
          <w:color w:val="000000"/>
        </w:rPr>
      </w:pPr>
      <w:r>
        <w:drawing>
          <wp:inline distT="0" distB="0" distL="114300" distR="114300">
            <wp:extent cx="4601210" cy="855980"/>
            <wp:effectExtent l="0" t="0" r="8255" b="7620"/>
            <wp:docPr id="136"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65"/>
                    <pic:cNvPicPr>
                      <a:picLocks noChangeAspect="1"/>
                    </pic:cNvPicPr>
                  </pic:nvPicPr>
                  <pic:blipFill>
                    <a:blip r:embed="rId391"/>
                    <a:stretch>
                      <a:fillRect/>
                    </a:stretch>
                  </pic:blipFill>
                  <pic:spPr>
                    <a:xfrm>
                      <a:off x="0" y="0"/>
                      <a:ext cx="4601210" cy="855980"/>
                    </a:xfrm>
                    <a:prstGeom prst="rect">
                      <a:avLst/>
                    </a:prstGeom>
                    <a:noFill/>
                    <a:ln>
                      <a:noFill/>
                    </a:ln>
                  </pic:spPr>
                </pic:pic>
              </a:graphicData>
            </a:graphic>
          </wp:inline>
        </w:drawing>
      </w:r>
      <w:r>
        <w:rPr>
          <w:rFonts w:hint="eastAsia"/>
          <w:bCs/>
          <w:color w:val="000000"/>
          <w:sz w:val="18"/>
        </w:rPr>
        <w:t>·</w:t>
      </w:r>
    </w:p>
    <w:p>
      <w:pPr>
        <w:snapToGrid w:val="0"/>
        <w:spacing w:line="440" w:lineRule="exact"/>
        <w:jc w:val="center"/>
        <w:textAlignment w:val="baseline"/>
        <w:rPr>
          <w:bCs/>
          <w:color w:val="000000"/>
          <w:sz w:val="18"/>
          <w:szCs w:val="18"/>
        </w:rPr>
      </w:pPr>
      <w:r>
        <w:rPr>
          <w:bCs/>
          <w:color w:val="000000"/>
          <w:sz w:val="18"/>
          <w:szCs w:val="18"/>
        </w:rPr>
        <w:t xml:space="preserve">a）重力作用的弯矩         b）地震作用弯矩            </w:t>
      </w:r>
      <w:r>
        <w:rPr>
          <w:bCs/>
          <w:color w:val="000000"/>
          <w:sz w:val="18"/>
          <w:szCs w:val="18"/>
          <w:lang w:eastAsia="ja-JP"/>
        </w:rPr>
        <w:t xml:space="preserve"> </w:t>
      </w:r>
      <w:r>
        <w:rPr>
          <w:bCs/>
          <w:color w:val="000000"/>
          <w:sz w:val="18"/>
          <w:szCs w:val="18"/>
        </w:rPr>
        <w:t xml:space="preserve">  c）总弯矩</w:t>
      </w:r>
    </w:p>
    <w:p>
      <w:pPr>
        <w:snapToGrid w:val="0"/>
        <w:spacing w:line="440" w:lineRule="exact"/>
        <w:jc w:val="center"/>
        <w:textAlignment w:val="baseline"/>
        <w:rPr>
          <w:bCs/>
          <w:color w:val="000000"/>
          <w:sz w:val="18"/>
        </w:rPr>
      </w:pPr>
      <w:r>
        <w:rPr>
          <w:bCs/>
          <w:color w:val="000000"/>
          <w:sz w:val="18"/>
        </w:rPr>
        <w:t>图</w:t>
      </w:r>
      <w:r>
        <w:rPr>
          <w:bCs/>
          <w:snapToGrid w:val="0"/>
          <w:color w:val="000000"/>
          <w:kern w:val="0"/>
          <w:sz w:val="18"/>
          <w:szCs w:val="21"/>
        </w:rPr>
        <w:t>3</w:t>
      </w:r>
      <w:r>
        <w:rPr>
          <w:bCs/>
          <w:color w:val="000000"/>
          <w:sz w:val="18"/>
          <w:lang w:eastAsia="ja-JP"/>
        </w:rPr>
        <w:t xml:space="preserve"> </w:t>
      </w:r>
      <w:r>
        <w:rPr>
          <w:bCs/>
          <w:color w:val="000000"/>
          <w:sz w:val="18"/>
        </w:rPr>
        <w:t xml:space="preserve"> 边柱节点域的弯矩</w:t>
      </w:r>
    </w:p>
    <w:p>
      <w:pPr>
        <w:pStyle w:val="66"/>
        <w:adjustRightInd w:val="0"/>
        <w:spacing w:line="400" w:lineRule="exact"/>
        <w:ind w:firstLineChars="0"/>
        <w:jc w:val="both"/>
        <w:rPr>
          <w:bCs/>
          <w:snapToGrid w:val="0"/>
          <w:color w:val="000000"/>
          <w:kern w:val="0"/>
          <w:szCs w:val="21"/>
        </w:rPr>
      </w:pPr>
      <w:r>
        <w:rPr>
          <w:rFonts w:hint="eastAsia"/>
          <w:bCs/>
          <w:snapToGrid w:val="0"/>
          <w:color w:val="000000"/>
          <w:kern w:val="0"/>
          <w:szCs w:val="21"/>
        </w:rPr>
        <w:t>鉴于</w:t>
      </w:r>
      <w:r>
        <w:rPr>
          <w:bCs/>
          <w:snapToGrid w:val="0"/>
          <w:color w:val="000000"/>
          <w:kern w:val="0"/>
          <w:szCs w:val="21"/>
        </w:rPr>
        <w:t>弹性框架、弹塑性框架不要求显著耗能，条文要求其节点域按弹性分析的内力，进行抗剪承载力验算。</w:t>
      </w:r>
    </w:p>
    <w:p>
      <w:pPr>
        <w:widowControl/>
        <w:autoSpaceDE w:val="0"/>
        <w:autoSpaceDN w:val="0"/>
        <w:adjustRightInd w:val="0"/>
        <w:spacing w:line="400" w:lineRule="exact"/>
        <w:rPr>
          <w:bCs/>
          <w:color w:val="000000"/>
          <w:kern w:val="0"/>
          <w:szCs w:val="21"/>
          <w:lang w:eastAsia="ja-JP"/>
        </w:rPr>
      </w:pPr>
      <w:r>
        <w:rPr>
          <w:rFonts w:hint="eastAsia"/>
          <w:bCs/>
          <w:color w:val="000000"/>
          <w:kern w:val="0"/>
          <w:szCs w:val="21"/>
        </w:rPr>
        <w:t>9</w:t>
      </w:r>
      <w:r>
        <w:rPr>
          <w:bCs/>
          <w:color w:val="000000"/>
          <w:kern w:val="0"/>
          <w:szCs w:val="21"/>
        </w:rPr>
        <w:t>.</w:t>
      </w:r>
      <w:r>
        <w:rPr>
          <w:rFonts w:hint="eastAsia"/>
          <w:bCs/>
          <w:color w:val="000000"/>
          <w:kern w:val="0"/>
          <w:szCs w:val="21"/>
        </w:rPr>
        <w:t>2.9</w:t>
      </w:r>
      <w:r>
        <w:rPr>
          <w:bCs/>
          <w:color w:val="000000"/>
          <w:kern w:val="0"/>
          <w:szCs w:val="21"/>
          <w:lang w:eastAsia="ja-JP"/>
        </w:rPr>
        <w:t xml:space="preserve"> </w:t>
      </w:r>
      <w:r>
        <w:rPr>
          <w:bCs/>
          <w:color w:val="000000"/>
          <w:kern w:val="0"/>
          <w:szCs w:val="21"/>
        </w:rPr>
        <w:t>钢结构构件连接</w:t>
      </w:r>
      <w:r>
        <w:rPr>
          <w:rFonts w:hint="eastAsia"/>
          <w:bCs/>
          <w:color w:val="000000"/>
          <w:kern w:val="0"/>
          <w:szCs w:val="21"/>
        </w:rPr>
        <w:t>可</w:t>
      </w:r>
      <w:r>
        <w:rPr>
          <w:bCs/>
          <w:color w:val="000000"/>
          <w:kern w:val="0"/>
          <w:szCs w:val="21"/>
        </w:rPr>
        <w:t>据需采用</w:t>
      </w:r>
      <w:r>
        <w:rPr>
          <w:bCs/>
          <w:color w:val="000000"/>
          <w:kern w:val="0"/>
          <w:szCs w:val="21"/>
          <w:lang w:eastAsia="ja-JP"/>
        </w:rPr>
        <w:t>能力</w:t>
      </w:r>
      <w:r>
        <w:rPr>
          <w:bCs/>
          <w:color w:val="000000"/>
          <w:kern w:val="0"/>
          <w:szCs w:val="21"/>
        </w:rPr>
        <w:t>设计</w:t>
      </w:r>
      <w:r>
        <w:rPr>
          <w:bCs/>
          <w:color w:val="000000"/>
          <w:kern w:val="0"/>
          <w:szCs w:val="21"/>
          <w:lang w:eastAsia="ja-JP"/>
        </w:rPr>
        <w:t>法</w:t>
      </w:r>
      <w:r>
        <w:rPr>
          <w:bCs/>
          <w:color w:val="000000"/>
          <w:kern w:val="0"/>
          <w:szCs w:val="21"/>
        </w:rPr>
        <w:t>和内力设计法。能力设计法是</w:t>
      </w:r>
      <w:r>
        <w:rPr>
          <w:bCs/>
          <w:color w:val="000000"/>
          <w:kern w:val="0"/>
          <w:szCs w:val="21"/>
          <w:lang w:eastAsia="ja-JP"/>
        </w:rPr>
        <w:t>以被连接构件能充分塑化而保持连接不断裂为准则的设计方法</w:t>
      </w:r>
      <w:r>
        <w:rPr>
          <w:bCs/>
          <w:color w:val="000000"/>
          <w:kern w:val="0"/>
          <w:szCs w:val="21"/>
        </w:rPr>
        <w:t>，就是</w:t>
      </w:r>
      <w:r>
        <w:rPr>
          <w:bCs/>
          <w:color w:val="000000"/>
          <w:kern w:val="0"/>
          <w:szCs w:val="21"/>
          <w:lang w:eastAsia="ja-JP"/>
        </w:rPr>
        <w:t>要求连接可靠传递相当于构件极限承载力的内力。</w:t>
      </w:r>
      <w:r>
        <w:rPr>
          <w:rFonts w:hint="eastAsia"/>
          <w:bCs/>
          <w:color w:val="000000"/>
          <w:kern w:val="0"/>
          <w:szCs w:val="21"/>
        </w:rPr>
        <w:t>能力设计法</w:t>
      </w:r>
      <w:r>
        <w:rPr>
          <w:bCs/>
          <w:color w:val="000000"/>
          <w:kern w:val="0"/>
          <w:szCs w:val="21"/>
          <w:lang w:eastAsia="ja-JP"/>
        </w:rPr>
        <w:t>一般用于轴心拉杆的拼接、支撑杆端连接、梁柱刚性连接、柱脚等。内力设计法</w:t>
      </w:r>
      <w:r>
        <w:rPr>
          <w:rFonts w:hint="eastAsia"/>
          <w:bCs/>
          <w:color w:val="000000"/>
          <w:kern w:val="0"/>
          <w:szCs w:val="21"/>
        </w:rPr>
        <w:t>，</w:t>
      </w:r>
      <w:r>
        <w:rPr>
          <w:bCs/>
          <w:color w:val="000000"/>
          <w:kern w:val="0"/>
          <w:szCs w:val="21"/>
          <w:lang w:eastAsia="ja-JP"/>
        </w:rPr>
        <w:t>一般适用于结构内力较小的部位或次要构件的连接，但也用于结构的关键节点</w:t>
      </w:r>
      <w:r>
        <w:rPr>
          <w:rFonts w:hint="eastAsia"/>
          <w:bCs/>
          <w:color w:val="000000"/>
          <w:kern w:val="0"/>
          <w:szCs w:val="21"/>
        </w:rPr>
        <w:t>。内力设计法用于关键节点的</w:t>
      </w:r>
      <w:r>
        <w:rPr>
          <w:bCs/>
          <w:color w:val="000000"/>
          <w:kern w:val="0"/>
          <w:szCs w:val="21"/>
        </w:rPr>
        <w:t>设计</w:t>
      </w:r>
      <w:r>
        <w:rPr>
          <w:bCs/>
          <w:color w:val="000000"/>
          <w:kern w:val="0"/>
          <w:szCs w:val="21"/>
          <w:lang w:eastAsia="ja-JP"/>
        </w:rPr>
        <w:t>思想</w:t>
      </w:r>
      <w:r>
        <w:rPr>
          <w:rFonts w:hint="eastAsia"/>
          <w:bCs/>
          <w:color w:val="000000"/>
          <w:kern w:val="0"/>
          <w:szCs w:val="21"/>
        </w:rPr>
        <w:t>，</w:t>
      </w:r>
      <w:r>
        <w:rPr>
          <w:bCs/>
          <w:color w:val="000000"/>
          <w:kern w:val="0"/>
          <w:szCs w:val="21"/>
          <w:lang w:eastAsia="ja-JP"/>
        </w:rPr>
        <w:t>是传递结构系统服役期内的最大内力——抗震设计可理解为设防烈度下的连接内力进行弹性设计。</w:t>
      </w:r>
    </w:p>
    <w:p>
      <w:pPr>
        <w:widowControl/>
        <w:autoSpaceDE w:val="0"/>
        <w:autoSpaceDN w:val="0"/>
        <w:adjustRightInd w:val="0"/>
        <w:spacing w:line="400" w:lineRule="exact"/>
        <w:ind w:firstLine="420" w:firstLineChars="200"/>
        <w:rPr>
          <w:bCs/>
          <w:color w:val="000000"/>
          <w:kern w:val="0"/>
          <w:szCs w:val="21"/>
        </w:rPr>
      </w:pPr>
      <w:r>
        <w:rPr>
          <w:bCs/>
          <w:color w:val="000000"/>
          <w:kern w:val="0"/>
          <w:szCs w:val="21"/>
        </w:rPr>
        <w:t>1 框架梁柱刚性连接采用高强度螺栓连接，应采用摩擦型连接，其</w:t>
      </w:r>
      <w:r>
        <w:rPr>
          <w:rFonts w:hint="eastAsia"/>
          <w:bCs/>
          <w:color w:val="000000"/>
          <w:kern w:val="0"/>
          <w:szCs w:val="21"/>
        </w:rPr>
        <w:t>破坏</w:t>
      </w:r>
      <w:r>
        <w:rPr>
          <w:bCs/>
          <w:color w:val="000000"/>
          <w:kern w:val="0"/>
          <w:szCs w:val="21"/>
        </w:rPr>
        <w:t>极限状态呈现承压型连接。为防止高强螺栓连接过早滑移，摩擦型连接弹性设计的弯矩不得小于0.6</w:t>
      </w:r>
      <w:r>
        <w:rPr>
          <w:bCs/>
          <w:i/>
          <w:color w:val="000000"/>
          <w:kern w:val="0"/>
          <w:szCs w:val="21"/>
        </w:rPr>
        <w:t>M</w:t>
      </w:r>
      <w:r>
        <w:rPr>
          <w:bCs/>
          <w:color w:val="000000"/>
          <w:kern w:val="0"/>
          <w:szCs w:val="21"/>
          <w:vertAlign w:val="subscript"/>
        </w:rPr>
        <w:t>pb</w:t>
      </w:r>
      <w:r>
        <w:rPr>
          <w:bCs/>
          <w:color w:val="000000"/>
          <w:kern w:val="0"/>
          <w:szCs w:val="21"/>
        </w:rPr>
        <w:t>。</w:t>
      </w:r>
    </w:p>
    <w:p>
      <w:pPr>
        <w:widowControl/>
        <w:autoSpaceDE w:val="0"/>
        <w:autoSpaceDN w:val="0"/>
        <w:adjustRightInd w:val="0"/>
        <w:spacing w:line="400" w:lineRule="exact"/>
        <w:ind w:firstLine="420" w:firstLineChars="200"/>
        <w:rPr>
          <w:bCs/>
          <w:color w:val="000000"/>
          <w:kern w:val="0"/>
          <w:szCs w:val="21"/>
        </w:rPr>
      </w:pPr>
      <w:r>
        <w:rPr>
          <w:bCs/>
          <w:color w:val="000000"/>
          <w:kern w:val="0"/>
          <w:szCs w:val="21"/>
        </w:rPr>
        <w:t>翼缘焊接——腹板高强度螺栓的混合连接或拼接，以及翼缘腹板全螺栓拼接，采用精确计算方法进行弹性设计时，翼缘和腹板连接承担的弯矩可按下式计算：</w:t>
      </w:r>
    </w:p>
    <w:p>
      <w:pPr>
        <w:adjustRightInd w:val="0"/>
        <w:spacing w:line="360" w:lineRule="auto"/>
        <w:jc w:val="right"/>
        <w:rPr>
          <w:bCs/>
          <w:color w:val="000000"/>
          <w:szCs w:val="21"/>
        </w:rPr>
      </w:pPr>
      <w:r>
        <w:rPr>
          <w:bCs/>
          <w:color w:val="000000"/>
          <w:position w:val="-30"/>
          <w:szCs w:val="21"/>
        </w:rPr>
        <w:object>
          <v:shape id="_x0000_i1187" o:spt="75" type="#_x0000_t75" style="height:33.9pt;width:93.45pt;" o:ole="t" filled="f" o:preferrelative="t" stroked="f" coordsize="21600,21600">
            <v:path/>
            <v:fill on="f" focussize="0,0"/>
            <v:stroke on="f"/>
            <v:imagedata r:id="rId393" o:title=""/>
            <o:lock v:ext="edit" grouping="f" rotation="f" text="f" aspectratio="t"/>
            <w10:wrap type="none"/>
            <w10:anchorlock/>
          </v:shape>
          <o:OLEObject Type="Embed" ProgID="Equation.KSEE3" ShapeID="_x0000_i1187" DrawAspect="Content" ObjectID="_1468075877" r:id="rId392">
            <o:LockedField>false</o:LockedField>
          </o:OLEObject>
        </w:object>
      </w:r>
      <w:r>
        <w:rPr>
          <w:bCs/>
          <w:color w:val="000000"/>
          <w:szCs w:val="21"/>
        </w:rPr>
        <w:t xml:space="preserve">                          （</w:t>
      </w:r>
      <w:r>
        <w:rPr>
          <w:rFonts w:hint="eastAsia"/>
          <w:bCs/>
          <w:color w:val="000000"/>
          <w:szCs w:val="21"/>
        </w:rPr>
        <w:t>2</w:t>
      </w:r>
      <w:r>
        <w:rPr>
          <w:bCs/>
          <w:color w:val="000000"/>
          <w:szCs w:val="21"/>
        </w:rPr>
        <w:t>）</w:t>
      </w:r>
    </w:p>
    <w:p>
      <w:pPr>
        <w:adjustRightInd w:val="0"/>
        <w:spacing w:line="360" w:lineRule="auto"/>
        <w:jc w:val="right"/>
        <w:rPr>
          <w:bCs/>
          <w:color w:val="000000"/>
          <w:szCs w:val="21"/>
        </w:rPr>
      </w:pPr>
      <w:r>
        <w:rPr>
          <w:bCs/>
          <w:color w:val="000000"/>
          <w:position w:val="-30"/>
          <w:szCs w:val="21"/>
        </w:rPr>
        <w:object>
          <v:shape id="_x0000_i1188" o:spt="75" type="#_x0000_t75" style="height:33.85pt;width:73.4pt;" o:ole="t" filled="f" o:preferrelative="t" stroked="f" coordsize="21600,21600">
            <v:path/>
            <v:fill on="f" focussize="0,0"/>
            <v:stroke on="f"/>
            <v:imagedata r:id="rId395" o:title=""/>
            <o:lock v:ext="edit" grouping="f" rotation="f" text="f" aspectratio="t"/>
            <w10:wrap type="none"/>
            <w10:anchorlock/>
          </v:shape>
          <o:OLEObject Type="Embed" ProgID="Equation.KSEE3" ShapeID="_x0000_i1188" DrawAspect="Content" ObjectID="_1468075878" r:id="rId394">
            <o:LockedField>false</o:LockedField>
          </o:OLEObject>
        </w:object>
      </w:r>
      <w:r>
        <w:rPr>
          <w:bCs/>
          <w:color w:val="000000"/>
          <w:szCs w:val="21"/>
        </w:rPr>
        <w:t xml:space="preserve">                            （</w:t>
      </w:r>
      <w:r>
        <w:rPr>
          <w:rFonts w:hint="eastAsia"/>
          <w:bCs/>
          <w:color w:val="000000"/>
          <w:szCs w:val="21"/>
        </w:rPr>
        <w:t>3</w:t>
      </w:r>
      <w:r>
        <w:rPr>
          <w:bCs/>
          <w:color w:val="000000"/>
          <w:szCs w:val="21"/>
        </w:rPr>
        <w:t>）</w:t>
      </w:r>
    </w:p>
    <w:p>
      <w:pPr>
        <w:adjustRightInd w:val="0"/>
        <w:spacing w:line="400" w:lineRule="exact"/>
        <w:rPr>
          <w:bCs/>
          <w:color w:val="000000"/>
          <w:szCs w:val="21"/>
        </w:rPr>
      </w:pPr>
      <w:r>
        <w:rPr>
          <w:bCs/>
          <w:color w:val="000000"/>
          <w:szCs w:val="21"/>
        </w:rPr>
        <w:t>式中</w:t>
      </w:r>
      <w:r>
        <w:rPr>
          <w:rFonts w:hint="eastAsia"/>
          <w:bCs/>
          <w:color w:val="000000"/>
          <w:szCs w:val="21"/>
        </w:rPr>
        <w:t>：</w:t>
      </w:r>
      <w:r>
        <w:rPr>
          <w:bCs/>
          <w:color w:val="000000"/>
          <w:position w:val="-14"/>
          <w:szCs w:val="21"/>
        </w:rPr>
        <w:object>
          <v:shape id="_x0000_i1189" o:spt="75" type="#_x0000_t75" style="height:18pt;width:17pt;" o:ole="t" filled="f" stroked="f" coordsize="21600,21600">
            <v:path/>
            <v:fill on="f" focussize="0,0"/>
            <v:stroke on="f"/>
            <v:imagedata r:id="rId397" o:title=""/>
            <o:lock v:ext="edit" grouping="f" rotation="f" text="f" aspectratio="t"/>
            <w10:wrap type="none"/>
            <w10:anchorlock/>
          </v:shape>
          <o:OLEObject Type="Embed" ProgID="Equation.KSEE3" ShapeID="_x0000_i1189" DrawAspect="Content" ObjectID="_1468075879" r:id="rId396">
            <o:LockedField>false</o:LockedField>
          </o:OLEObject>
        </w:object>
      </w:r>
      <w:r>
        <w:rPr>
          <w:bCs/>
          <w:color w:val="000000"/>
          <w:szCs w:val="21"/>
        </w:rPr>
        <w:t>——连接或拼接处的弯矩设计值；</w:t>
      </w:r>
    </w:p>
    <w:p>
      <w:pPr>
        <w:adjustRightInd w:val="0"/>
        <w:spacing w:line="400" w:lineRule="exact"/>
        <w:rPr>
          <w:bCs/>
          <w:color w:val="000000"/>
          <w:kern w:val="0"/>
          <w:szCs w:val="21"/>
        </w:rPr>
      </w:pPr>
      <w:r>
        <w:rPr>
          <w:bCs/>
          <w:color w:val="000000"/>
          <w:szCs w:val="21"/>
        </w:rPr>
        <w:t xml:space="preserve"> </w:t>
      </w:r>
      <w:r>
        <w:rPr>
          <w:rFonts w:hint="eastAsia"/>
          <w:bCs/>
          <w:color w:val="000000"/>
          <w:szCs w:val="21"/>
        </w:rPr>
        <w:t xml:space="preserve">    </w:t>
      </w:r>
      <w:r>
        <w:rPr>
          <w:bCs/>
          <w:color w:val="000000"/>
          <w:szCs w:val="21"/>
        </w:rPr>
        <w:t xml:space="preserve"> </w:t>
      </w:r>
      <w:r>
        <w:rPr>
          <w:bCs/>
          <w:color w:val="000000"/>
          <w:position w:val="-14"/>
          <w:szCs w:val="21"/>
        </w:rPr>
        <w:object>
          <v:shape id="_x0000_i1190" o:spt="75" type="#_x0000_t75" style="height:18pt;width:21pt;" o:ole="t" filled="f" stroked="f" coordsize="21600,21600">
            <v:path/>
            <v:fill on="f" focussize="0,0"/>
            <v:stroke on="f"/>
            <v:imagedata r:id="rId399" o:title=""/>
            <o:lock v:ext="edit" grouping="f" rotation="f" text="f" aspectratio="t"/>
            <w10:wrap type="none"/>
            <w10:anchorlock/>
          </v:shape>
          <o:OLEObject Type="Embed" ProgID="Equation.KSEE3" ShapeID="_x0000_i1190" DrawAspect="Content" ObjectID="_1468075880" r:id="rId398">
            <o:LockedField>false</o:LockedField>
          </o:OLEObject>
        </w:object>
      </w:r>
      <w:r>
        <w:rPr>
          <w:bCs/>
          <w:color w:val="000000"/>
          <w:szCs w:val="21"/>
        </w:rPr>
        <w:t>、</w:t>
      </w:r>
      <w:r>
        <w:rPr>
          <w:bCs/>
          <w:color w:val="000000"/>
          <w:position w:val="-14"/>
          <w:szCs w:val="21"/>
        </w:rPr>
        <w:object>
          <v:shape id="_x0000_i1191" o:spt="75" type="#_x0000_t75" style="height:18pt;width:23pt;" o:ole="t" filled="f" stroked="f" coordsize="21600,21600">
            <v:path/>
            <v:fill on="f" focussize="0,0"/>
            <v:stroke on="f"/>
            <v:imagedata r:id="rId401" o:title=""/>
            <o:lock v:ext="edit" grouping="f" rotation="f" text="f" aspectratio="t"/>
            <w10:wrap type="none"/>
            <w10:anchorlock/>
          </v:shape>
          <o:OLEObject Type="Embed" ProgID="Equation.KSEE3" ShapeID="_x0000_i1191" DrawAspect="Content" ObjectID="_1468075881" r:id="rId400">
            <o:LockedField>false</o:LockedField>
          </o:OLEObject>
        </w:object>
      </w:r>
      <w:r>
        <w:rPr>
          <w:bCs/>
          <w:color w:val="000000"/>
          <w:szCs w:val="21"/>
        </w:rPr>
        <w:t>——分别为连接或拼接处翼缘和腹板连接承担的弯矩；</w:t>
      </w:r>
    </w:p>
    <w:p>
      <w:pPr>
        <w:pStyle w:val="20"/>
        <w:adjustRightInd w:val="0"/>
        <w:spacing w:after="0" w:line="400" w:lineRule="exact"/>
        <w:ind w:left="0" w:leftChars="0" w:firstLine="0" w:firstLineChars="0"/>
        <w:rPr>
          <w:bCs/>
          <w:color w:val="000000"/>
          <w:sz w:val="21"/>
          <w:szCs w:val="21"/>
        </w:rPr>
      </w:pPr>
      <w:r>
        <w:rPr>
          <w:bCs/>
          <w:i/>
          <w:color w:val="000000"/>
          <w:sz w:val="21"/>
          <w:szCs w:val="21"/>
        </w:rPr>
        <w:t xml:space="preserve"> </w:t>
      </w:r>
      <w:r>
        <w:rPr>
          <w:rFonts w:hint="eastAsia"/>
          <w:bCs/>
          <w:i/>
          <w:color w:val="000000"/>
          <w:sz w:val="21"/>
          <w:szCs w:val="21"/>
        </w:rPr>
        <w:t xml:space="preserve">   </w:t>
      </w:r>
      <w:r>
        <w:rPr>
          <w:bCs/>
          <w:i/>
          <w:color w:val="000000"/>
          <w:sz w:val="21"/>
          <w:szCs w:val="21"/>
        </w:rPr>
        <w:t xml:space="preserve">  </w:t>
      </w:r>
      <w:r>
        <w:rPr>
          <w:bCs/>
          <w:i/>
          <w:color w:val="000000"/>
          <w:position w:val="-10"/>
          <w:sz w:val="21"/>
          <w:szCs w:val="21"/>
        </w:rPr>
        <w:object>
          <v:shape id="_x0000_i1192" o:spt="75" type="#_x0000_t75" style="height:16pt;width:12pt;" o:ole="t" filled="f" stroked="f" coordsize="21600,21600">
            <v:path/>
            <v:fill on="f" focussize="0,0"/>
            <v:stroke on="f"/>
            <v:imagedata r:id="rId403" o:title=""/>
            <o:lock v:ext="edit" grouping="f" rotation="f" text="f" aspectratio="t"/>
            <w10:wrap type="none"/>
            <w10:anchorlock/>
          </v:shape>
          <o:OLEObject Type="Embed" ProgID="Equation.KSEE3" ShapeID="_x0000_i1192" DrawAspect="Content" ObjectID="_1468075882" r:id="rId402">
            <o:LockedField>false</o:LockedField>
          </o:OLEObject>
        </w:object>
      </w:r>
      <w:r>
        <w:rPr>
          <w:bCs/>
          <w:color w:val="000000"/>
          <w:sz w:val="21"/>
          <w:szCs w:val="21"/>
        </w:rPr>
        <w:t>、</w:t>
      </w:r>
      <w:r>
        <w:rPr>
          <w:bCs/>
          <w:i/>
          <w:color w:val="000000"/>
          <w:position w:val="-10"/>
          <w:sz w:val="21"/>
          <w:szCs w:val="21"/>
        </w:rPr>
        <w:object>
          <v:shape id="_x0000_i1193" o:spt="75" type="#_x0000_t75" style="height:16pt;width:13.95pt;" o:ole="t" filled="f" stroked="f" coordsize="21600,21600">
            <v:path/>
            <v:fill on="f" focussize="0,0"/>
            <v:stroke on="f"/>
            <v:imagedata r:id="rId405" o:title=""/>
            <o:lock v:ext="edit" grouping="f" rotation="f" text="f" aspectratio="t"/>
            <w10:wrap type="none"/>
            <w10:anchorlock/>
          </v:shape>
          <o:OLEObject Type="Embed" ProgID="Equation.KSEE3" ShapeID="_x0000_i1193" DrawAspect="Content" ObjectID="_1468075883" r:id="rId404">
            <o:LockedField>false</o:LockedField>
          </o:OLEObject>
        </w:object>
      </w:r>
      <w:r>
        <w:rPr>
          <w:bCs/>
          <w:color w:val="000000"/>
          <w:sz w:val="21"/>
          <w:szCs w:val="21"/>
        </w:rPr>
        <w:t>——分别为梁和梁腹板的截面惯性矩；</w:t>
      </w:r>
    </w:p>
    <w:p>
      <w:pPr>
        <w:pStyle w:val="20"/>
        <w:adjustRightInd w:val="0"/>
        <w:spacing w:after="0" w:line="400" w:lineRule="exact"/>
        <w:ind w:left="1257" w:leftChars="303" w:hanging="621" w:hangingChars="296"/>
        <w:rPr>
          <w:bCs/>
          <w:color w:val="000000"/>
          <w:sz w:val="21"/>
          <w:szCs w:val="21"/>
        </w:rPr>
      </w:pPr>
      <w:r>
        <w:rPr>
          <w:bCs/>
          <w:color w:val="000000"/>
          <w:position w:val="-10"/>
          <w:sz w:val="21"/>
          <w:szCs w:val="21"/>
        </w:rPr>
        <w:object>
          <v:shape id="_x0000_i1194" o:spt="75" type="#_x0000_t75" style="height:16pt;width:10pt;" o:ole="t" filled="f" o:preferrelative="t" stroked="f" coordsize="21600,21600">
            <v:path/>
            <v:fill on="f" focussize="0,0"/>
            <v:stroke on="f"/>
            <v:imagedata r:id="rId407" o:title=""/>
            <o:lock v:ext="edit" grouping="f" rotation="f" text="f" aspectratio="t"/>
            <w10:wrap type="none"/>
            <w10:anchorlock/>
          </v:shape>
          <o:OLEObject Type="Embed" ProgID="Equation.KSEE3" ShapeID="_x0000_i1194" DrawAspect="Content" ObjectID="_1468075884" r:id="rId406">
            <o:LockedField>false</o:LockedField>
          </o:OLEObject>
        </w:object>
      </w:r>
      <w:r>
        <w:rPr>
          <w:bCs/>
          <w:color w:val="000000"/>
          <w:sz w:val="21"/>
          <w:szCs w:val="21"/>
        </w:rPr>
        <w:t>——腹板的弯矩传递效率系数。全螺栓拼接时，</w:t>
      </w:r>
      <w:r>
        <w:rPr>
          <w:rFonts w:hint="eastAsia"/>
          <w:bCs/>
          <w:color w:val="000000"/>
          <w:sz w:val="21"/>
          <w:szCs w:val="21"/>
        </w:rPr>
        <w:t>可</w:t>
      </w:r>
      <w:r>
        <w:rPr>
          <w:bCs/>
          <w:color w:val="000000"/>
          <w:sz w:val="21"/>
          <w:szCs w:val="21"/>
        </w:rPr>
        <w:t>取0.4</w:t>
      </w:r>
      <w:r>
        <w:rPr>
          <w:rFonts w:hint="eastAsia"/>
          <w:bCs/>
          <w:color w:val="000000"/>
          <w:sz w:val="21"/>
          <w:szCs w:val="21"/>
        </w:rPr>
        <w:t>~0.6</w:t>
      </w:r>
      <w:r>
        <w:rPr>
          <w:bCs/>
          <w:color w:val="000000"/>
          <w:sz w:val="21"/>
          <w:szCs w:val="21"/>
        </w:rPr>
        <w:t>；翼缘焊接——腹板高强度螺栓时，取1.0。</w:t>
      </w:r>
    </w:p>
    <w:p>
      <w:pPr>
        <w:autoSpaceDE w:val="0"/>
        <w:autoSpaceDN w:val="0"/>
        <w:adjustRightInd w:val="0"/>
        <w:spacing w:line="400" w:lineRule="exact"/>
        <w:ind w:firstLine="420" w:firstLineChars="200"/>
        <w:rPr>
          <w:bCs/>
          <w:color w:val="000000"/>
          <w:kern w:val="0"/>
          <w:szCs w:val="21"/>
        </w:rPr>
      </w:pPr>
      <w:r>
        <w:rPr>
          <w:bCs/>
          <w:color w:val="000000"/>
          <w:kern w:val="0"/>
          <w:szCs w:val="21"/>
        </w:rPr>
        <w:t>2 塑性结构的梁柱刚性连接、塑性铰区内的梁</w:t>
      </w:r>
      <w:r>
        <w:rPr>
          <w:rFonts w:hint="eastAsia"/>
          <w:bCs/>
          <w:color w:val="000000"/>
          <w:kern w:val="0"/>
          <w:szCs w:val="21"/>
        </w:rPr>
        <w:t>——梁</w:t>
      </w:r>
      <w:r>
        <w:rPr>
          <w:bCs/>
          <w:color w:val="000000"/>
          <w:kern w:val="0"/>
          <w:szCs w:val="21"/>
        </w:rPr>
        <w:t>拼接，应采用能力设计法，以保证框架梁端充分延性耗能而</w:t>
      </w:r>
      <w:r>
        <w:rPr>
          <w:rFonts w:hint="eastAsia"/>
          <w:bCs/>
          <w:color w:val="000000"/>
          <w:kern w:val="0"/>
          <w:szCs w:val="21"/>
        </w:rPr>
        <w:t>拼接</w:t>
      </w:r>
      <w:r>
        <w:rPr>
          <w:bCs/>
          <w:color w:val="000000"/>
          <w:kern w:val="0"/>
          <w:szCs w:val="21"/>
        </w:rPr>
        <w:t>不断裂。</w:t>
      </w:r>
      <w:r>
        <w:rPr>
          <w:rFonts w:hint="eastAsia"/>
          <w:bCs/>
          <w:color w:val="000000"/>
          <w:kern w:val="0"/>
          <w:szCs w:val="21"/>
        </w:rPr>
        <w:t>无疑，塑性铰区拼接的弯矩比梁端直接连接弯矩要小一些，其连接系数也相应降低。</w:t>
      </w:r>
    </w:p>
    <w:p>
      <w:pPr>
        <w:autoSpaceDE w:val="0"/>
        <w:autoSpaceDN w:val="0"/>
        <w:adjustRightInd w:val="0"/>
        <w:spacing w:line="400" w:lineRule="exact"/>
        <w:ind w:firstLine="420" w:firstLineChars="200"/>
        <w:rPr>
          <w:bCs/>
          <w:color w:val="000000"/>
          <w:kern w:val="0"/>
          <w:szCs w:val="21"/>
        </w:rPr>
      </w:pPr>
      <w:r>
        <w:rPr>
          <w:bCs/>
          <w:color w:val="000000"/>
          <w:kern w:val="0"/>
          <w:szCs w:val="21"/>
        </w:rPr>
        <w:t>梁端塑性铰区的长度（至柱表面的距离），</w:t>
      </w:r>
      <w:r>
        <w:rPr>
          <w:rFonts w:hint="eastAsia"/>
          <w:bCs/>
          <w:color w:val="000000"/>
          <w:kern w:val="0"/>
          <w:szCs w:val="21"/>
        </w:rPr>
        <w:t>等截面梁</w:t>
      </w:r>
      <w:r>
        <w:rPr>
          <w:bCs/>
          <w:color w:val="000000"/>
          <w:kern w:val="0"/>
          <w:szCs w:val="21"/>
        </w:rPr>
        <w:t>一般可按梁净跨的1/10和梁高的1.5倍中的较大值估计</w:t>
      </w:r>
      <w:r>
        <w:rPr>
          <w:rFonts w:hint="eastAsia"/>
          <w:bCs/>
          <w:color w:val="000000"/>
          <w:kern w:val="0"/>
          <w:szCs w:val="21"/>
        </w:rPr>
        <w:t>，也可按梁截面的塑性极限弯矩</w:t>
      </w:r>
      <w:r>
        <w:rPr>
          <w:rFonts w:hint="eastAsia"/>
          <w:bCs/>
          <w:i/>
          <w:iCs/>
          <w:color w:val="000000"/>
          <w:kern w:val="0"/>
          <w:szCs w:val="21"/>
        </w:rPr>
        <w:t>M</w:t>
      </w:r>
      <w:r>
        <w:rPr>
          <w:rFonts w:hint="eastAsia"/>
          <w:bCs/>
          <w:color w:val="000000"/>
          <w:kern w:val="0"/>
          <w:szCs w:val="21"/>
          <w:vertAlign w:val="subscript"/>
        </w:rPr>
        <w:t>pb</w:t>
      </w:r>
      <w:r>
        <w:rPr>
          <w:rFonts w:hint="eastAsia"/>
          <w:bCs/>
          <w:color w:val="000000"/>
          <w:kern w:val="0"/>
          <w:szCs w:val="21"/>
        </w:rPr>
        <w:t>除以1.1的斜率确定弹性极限弯矩（边缘纤维屈服弯矩）</w:t>
      </w:r>
      <w:r>
        <w:rPr>
          <w:rFonts w:hint="eastAsia"/>
          <w:bCs/>
          <w:i/>
          <w:iCs/>
          <w:color w:val="000000"/>
          <w:kern w:val="0"/>
          <w:szCs w:val="21"/>
        </w:rPr>
        <w:t>M</w:t>
      </w:r>
      <w:r>
        <w:rPr>
          <w:rFonts w:hint="eastAsia"/>
          <w:bCs/>
          <w:color w:val="000000"/>
          <w:kern w:val="0"/>
          <w:szCs w:val="21"/>
          <w:vertAlign w:val="subscript"/>
        </w:rPr>
        <w:t>y</w:t>
      </w:r>
      <w:r>
        <w:rPr>
          <w:rFonts w:hint="eastAsia"/>
          <w:bCs/>
          <w:color w:val="000000"/>
          <w:kern w:val="0"/>
          <w:szCs w:val="21"/>
        </w:rPr>
        <w:t>的位置，超过此位置则可认为是弹性区。</w:t>
      </w:r>
      <w:r>
        <w:rPr>
          <w:bCs/>
          <w:color w:val="000000"/>
          <w:kern w:val="0"/>
          <w:szCs w:val="21"/>
        </w:rPr>
        <w:t>避开塑性铰区的梁—梁拼接，属于弹性范围</w:t>
      </w:r>
      <w:r>
        <w:rPr>
          <w:rFonts w:hint="eastAsia"/>
          <w:bCs/>
          <w:color w:val="000000"/>
          <w:kern w:val="0"/>
          <w:szCs w:val="21"/>
        </w:rPr>
        <w:t>的</w:t>
      </w:r>
      <w:r>
        <w:rPr>
          <w:bCs/>
          <w:color w:val="000000"/>
          <w:kern w:val="0"/>
          <w:szCs w:val="21"/>
        </w:rPr>
        <w:t>拼接，一般采用不考虑连接系数的等强拼接。</w:t>
      </w:r>
    </w:p>
    <w:p>
      <w:pPr>
        <w:autoSpaceDE w:val="0"/>
        <w:autoSpaceDN w:val="0"/>
        <w:adjustRightInd w:val="0"/>
        <w:spacing w:line="400" w:lineRule="exact"/>
        <w:ind w:firstLine="420" w:firstLineChars="200"/>
        <w:rPr>
          <w:bCs/>
          <w:color w:val="000000"/>
          <w:kern w:val="0"/>
          <w:szCs w:val="21"/>
        </w:rPr>
      </w:pPr>
      <w:r>
        <w:rPr>
          <w:bCs/>
          <w:color w:val="000000"/>
          <w:kern w:val="0"/>
          <w:szCs w:val="21"/>
        </w:rPr>
        <w:t>弹塑性结构的梁柱刚性连接，采用能力设计法，</w:t>
      </w:r>
      <w:r>
        <w:rPr>
          <w:rFonts w:hint="eastAsia"/>
          <w:bCs/>
          <w:color w:val="000000"/>
          <w:kern w:val="0"/>
          <w:szCs w:val="21"/>
        </w:rPr>
        <w:t>并</w:t>
      </w:r>
      <w:r>
        <w:rPr>
          <w:bCs/>
          <w:color w:val="000000"/>
          <w:kern w:val="0"/>
          <w:szCs w:val="21"/>
        </w:rPr>
        <w:t>藉用塑性框架的公式验算极限受弯承载力是偏于安全的，故其连接系数予以适度降低。</w:t>
      </w:r>
    </w:p>
    <w:p>
      <w:pPr>
        <w:autoSpaceDE w:val="0"/>
        <w:autoSpaceDN w:val="0"/>
        <w:adjustRightInd w:val="0"/>
        <w:spacing w:line="400" w:lineRule="exact"/>
        <w:ind w:firstLine="420" w:firstLineChars="200"/>
        <w:rPr>
          <w:bCs/>
          <w:color w:val="000000"/>
          <w:kern w:val="0"/>
          <w:szCs w:val="21"/>
        </w:rPr>
      </w:pPr>
      <w:r>
        <w:rPr>
          <w:bCs/>
          <w:color w:val="000000"/>
          <w:kern w:val="0"/>
          <w:szCs w:val="21"/>
        </w:rPr>
        <w:t>弹性结构的框架，不期望梁端形成塑性铰，可偏安全地藉用塑性结构的要求验算其连接的极限承载力，也可采用内力设计法——按连接能可靠传递设防地震下最大内力的方式进行连接节点的弹性设计。</w:t>
      </w:r>
    </w:p>
    <w:p>
      <w:pPr>
        <w:autoSpaceDE w:val="0"/>
        <w:autoSpaceDN w:val="0"/>
        <w:adjustRightInd w:val="0"/>
        <w:spacing w:line="400" w:lineRule="exact"/>
        <w:ind w:firstLine="420" w:firstLineChars="200"/>
        <w:rPr>
          <w:bCs/>
          <w:color w:val="000000"/>
          <w:szCs w:val="21"/>
        </w:rPr>
      </w:pPr>
      <w:r>
        <w:rPr>
          <w:bCs/>
          <w:color w:val="000000"/>
          <w:kern w:val="0"/>
          <w:szCs w:val="21"/>
        </w:rPr>
        <w:t>1 梁（H形截面）柱刚性连接的极限受弯承载力</w:t>
      </w:r>
      <w:r>
        <w:rPr>
          <w:bCs/>
          <w:color w:val="000000"/>
          <w:szCs w:val="21"/>
        </w:rPr>
        <w:t>可按下列方法计算：</w:t>
      </w:r>
    </w:p>
    <w:p>
      <w:pPr>
        <w:autoSpaceDE w:val="0"/>
        <w:autoSpaceDN w:val="0"/>
        <w:adjustRightInd w:val="0"/>
        <w:spacing w:line="400" w:lineRule="exact"/>
        <w:ind w:firstLine="420" w:firstLineChars="200"/>
        <w:rPr>
          <w:bCs/>
          <w:color w:val="000000"/>
          <w:szCs w:val="21"/>
        </w:rPr>
      </w:pPr>
      <w:r>
        <w:rPr>
          <w:bCs/>
          <w:snapToGrid w:val="0"/>
          <w:color w:val="000000"/>
          <w:kern w:val="0"/>
          <w:szCs w:val="21"/>
        </w:rPr>
        <w:t>（1）</w:t>
      </w:r>
      <w:r>
        <w:rPr>
          <w:bCs/>
          <w:color w:val="000000"/>
          <w:szCs w:val="21"/>
        </w:rPr>
        <w:t>极限受弯</w:t>
      </w:r>
      <w:r>
        <w:rPr>
          <w:bCs/>
          <w:color w:val="000000"/>
          <w:kern w:val="0"/>
          <w:szCs w:val="21"/>
        </w:rPr>
        <w:t>承载力</w:t>
      </w:r>
      <w:r>
        <w:rPr>
          <w:bCs/>
          <w:color w:val="000000"/>
          <w:szCs w:val="21"/>
        </w:rPr>
        <w:t>可按下列公式计算：</w:t>
      </w:r>
    </w:p>
    <w:p>
      <w:pPr>
        <w:adjustRightInd w:val="0"/>
        <w:spacing w:line="360" w:lineRule="auto"/>
        <w:ind w:firstLine="420" w:firstLineChars="200"/>
        <w:jc w:val="right"/>
        <w:rPr>
          <w:bCs/>
          <w:color w:val="000000"/>
          <w:szCs w:val="21"/>
        </w:rPr>
      </w:pPr>
      <w:r>
        <w:rPr>
          <w:bCs/>
          <w:color w:val="000000"/>
          <w:position w:val="-14"/>
          <w:szCs w:val="21"/>
        </w:rPr>
        <w:object>
          <v:shape id="_x0000_i1195" o:spt="75" type="#_x0000_t75" style="height:19.7pt;width:89.55pt;" o:ole="t" filled="f" o:preferrelative="t" stroked="f" coordsize="21600,21600">
            <v:path/>
            <v:fill on="f" focussize="0,0"/>
            <v:stroke on="f"/>
            <v:imagedata r:id="rId409" o:title=""/>
            <o:lock v:ext="edit" grouping="f" rotation="f" text="f" aspectratio="t"/>
            <w10:wrap type="none"/>
            <w10:anchorlock/>
          </v:shape>
          <o:OLEObject Type="Embed" ProgID="Equation.3" ShapeID="_x0000_i1195" DrawAspect="Content" ObjectID="_1468075885" r:id="rId408">
            <o:LockedField>false</o:LockedField>
          </o:OLEObject>
        </w:object>
      </w:r>
      <w:r>
        <w:rPr>
          <w:bCs/>
          <w:color w:val="000000"/>
          <w:szCs w:val="21"/>
        </w:rPr>
        <w:t xml:space="preserve">                           （</w:t>
      </w:r>
      <w:r>
        <w:rPr>
          <w:rFonts w:hint="eastAsia"/>
          <w:bCs/>
          <w:color w:val="000000"/>
          <w:szCs w:val="21"/>
        </w:rPr>
        <w:t>4</w:t>
      </w:r>
      <w:r>
        <w:rPr>
          <w:bCs/>
          <w:color w:val="000000"/>
          <w:szCs w:val="21"/>
        </w:rPr>
        <w:t>）</w:t>
      </w:r>
    </w:p>
    <w:p>
      <w:pPr>
        <w:adjustRightInd w:val="0"/>
        <w:spacing w:line="400" w:lineRule="exact"/>
        <w:rPr>
          <w:bCs/>
          <w:color w:val="000000"/>
          <w:szCs w:val="21"/>
        </w:rPr>
      </w:pPr>
      <w:r>
        <w:rPr>
          <w:bCs/>
          <w:color w:val="000000"/>
          <w:szCs w:val="21"/>
        </w:rPr>
        <w:t>式中</w:t>
      </w:r>
      <w:r>
        <w:rPr>
          <w:rFonts w:hint="eastAsia"/>
          <w:bCs/>
          <w:color w:val="000000"/>
          <w:szCs w:val="21"/>
        </w:rPr>
        <w:t>：</w:t>
      </w:r>
      <w:r>
        <w:rPr>
          <w:bCs/>
          <w:color w:val="000000"/>
          <w:position w:val="-14"/>
          <w:szCs w:val="21"/>
        </w:rPr>
        <w:object>
          <v:shape id="_x0000_i1196" o:spt="75" type="#_x0000_t75" style="height:19.15pt;width:23pt;" o:ole="t" filled="f" o:preferrelative="t" stroked="f" coordsize="21600,21600">
            <v:path/>
            <v:fill on="f" focussize="0,0"/>
            <v:stroke on="f"/>
            <v:imagedata r:id="rId411" o:title=""/>
            <o:lock v:ext="edit" grouping="f" rotation="f" text="f" aspectratio="t"/>
            <w10:wrap type="none"/>
            <w10:anchorlock/>
          </v:shape>
          <o:OLEObject Type="Embed" ProgID="Equation.3" ShapeID="_x0000_i1196" DrawAspect="Content" ObjectID="_1468075886" r:id="rId410">
            <o:LockedField>false</o:LockedField>
          </o:OLEObject>
        </w:object>
      </w:r>
      <w:r>
        <w:rPr>
          <w:bCs/>
          <w:color w:val="000000"/>
          <w:szCs w:val="21"/>
        </w:rPr>
        <w:t>、</w:t>
      </w:r>
      <w:r>
        <w:rPr>
          <w:bCs/>
          <w:color w:val="000000"/>
          <w:position w:val="-14"/>
          <w:szCs w:val="21"/>
        </w:rPr>
        <w:object>
          <v:shape id="_x0000_i1197" o:spt="75" type="#_x0000_t75" style="height:19.7pt;width:26.65pt;" o:ole="t" filled="f" o:preferrelative="t" stroked="f" coordsize="21600,21600">
            <v:path/>
            <v:fill on="f" focussize="0,0"/>
            <v:stroke on="f"/>
            <v:imagedata r:id="rId413" o:title=""/>
            <o:lock v:ext="edit" grouping="f" rotation="f" text="f" aspectratio="t"/>
            <w10:wrap type="none"/>
            <w10:anchorlock/>
          </v:shape>
          <o:OLEObject Type="Embed" ProgID="Equation.3" ShapeID="_x0000_i1197" DrawAspect="Content" ObjectID="_1468075887" r:id="rId412">
            <o:LockedField>false</o:LockedField>
          </o:OLEObject>
        </w:object>
      </w:r>
      <w:r>
        <w:rPr>
          <w:bCs/>
          <w:color w:val="000000"/>
          <w:szCs w:val="21"/>
        </w:rPr>
        <w:t>——翼缘和腹板连接的极限受弯承载力。</w:t>
      </w:r>
    </w:p>
    <w:p>
      <w:pPr>
        <w:autoSpaceDE w:val="0"/>
        <w:autoSpaceDN w:val="0"/>
        <w:adjustRightInd w:val="0"/>
        <w:spacing w:line="400" w:lineRule="exact"/>
        <w:ind w:firstLine="420" w:firstLineChars="200"/>
        <w:rPr>
          <w:bCs/>
          <w:color w:val="000000"/>
          <w:szCs w:val="21"/>
        </w:rPr>
      </w:pPr>
      <w:r>
        <w:rPr>
          <w:bCs/>
          <w:color w:val="000000"/>
          <w:szCs w:val="21"/>
        </w:rPr>
        <w:t>1）翼缘采用高强度</w:t>
      </w:r>
      <w:r>
        <w:rPr>
          <w:bCs/>
          <w:color w:val="000000"/>
          <w:kern w:val="0"/>
          <w:szCs w:val="21"/>
        </w:rPr>
        <w:t>螺栓</w:t>
      </w:r>
      <w:r>
        <w:rPr>
          <w:bCs/>
          <w:color w:val="000000"/>
          <w:szCs w:val="21"/>
        </w:rPr>
        <w:t>摩擦型连接时，应按承压型连接计算极限承载力。翼缘采用焊接连接时，翼缘的极限受弯承载力可按下式计算：</w:t>
      </w:r>
    </w:p>
    <w:p>
      <w:pPr>
        <w:adjustRightInd w:val="0"/>
        <w:spacing w:line="440" w:lineRule="exact"/>
        <w:ind w:firstLine="420" w:firstLineChars="200"/>
        <w:jc w:val="right"/>
        <w:rPr>
          <w:bCs/>
          <w:color w:val="000000"/>
          <w:szCs w:val="21"/>
        </w:rPr>
      </w:pPr>
      <w:r>
        <w:rPr>
          <w:bCs/>
          <w:color w:val="000000"/>
          <w:position w:val="-14"/>
          <w:szCs w:val="21"/>
        </w:rPr>
        <w:object>
          <v:shape id="_x0000_i1198" o:spt="75" type="#_x0000_t75" style="height:19.7pt;width:69.85pt;" o:ole="t" filled="f" o:preferrelative="t" stroked="f" coordsize="21600,21600">
            <v:path/>
            <v:fill on="f" focussize="0,0"/>
            <v:stroke on="f"/>
            <v:imagedata r:id="rId415" o:title=""/>
            <o:lock v:ext="edit" grouping="f" rotation="f" text="f" aspectratio="t"/>
            <w10:wrap type="none"/>
            <w10:anchorlock/>
          </v:shape>
          <o:OLEObject Type="Embed" ProgID="Equation.3" ShapeID="_x0000_i1198" DrawAspect="Content" ObjectID="_1468075888" r:id="rId414">
            <o:LockedField>false</o:LockedField>
          </o:OLEObject>
        </w:object>
      </w:r>
      <w:r>
        <w:rPr>
          <w:bCs/>
          <w:color w:val="000000"/>
          <w:szCs w:val="21"/>
        </w:rPr>
        <w:t xml:space="preserve">                             （</w:t>
      </w:r>
      <w:r>
        <w:rPr>
          <w:rFonts w:hint="eastAsia"/>
          <w:bCs/>
          <w:color w:val="000000"/>
          <w:szCs w:val="21"/>
        </w:rPr>
        <w:t>5</w:t>
      </w:r>
      <w:r>
        <w:rPr>
          <w:bCs/>
          <w:color w:val="000000"/>
          <w:szCs w:val="21"/>
        </w:rPr>
        <w:t>）</w:t>
      </w:r>
    </w:p>
    <w:p>
      <w:pPr>
        <w:adjustRightInd w:val="0"/>
        <w:spacing w:line="400" w:lineRule="exact"/>
        <w:rPr>
          <w:bCs/>
          <w:color w:val="000000"/>
          <w:szCs w:val="21"/>
        </w:rPr>
      </w:pPr>
      <w:r>
        <w:rPr>
          <w:bCs/>
          <w:color w:val="000000"/>
          <w:szCs w:val="21"/>
        </w:rPr>
        <w:t>式中</w:t>
      </w:r>
      <w:r>
        <w:rPr>
          <w:rFonts w:hint="eastAsia"/>
          <w:bCs/>
          <w:color w:val="000000"/>
          <w:szCs w:val="21"/>
        </w:rPr>
        <w:t>：</w:t>
      </w:r>
      <w:r>
        <w:rPr>
          <w:bCs/>
          <w:color w:val="000000"/>
          <w:position w:val="-10"/>
          <w:szCs w:val="21"/>
        </w:rPr>
        <w:object>
          <v:shape id="_x0000_i1199" o:spt="75" type="#_x0000_t75" style="height:16.55pt;width:13.6pt;" o:ole="t" filled="f" o:preferrelative="t" stroked="f" coordsize="21600,21600">
            <v:path/>
            <v:fill on="f" focussize="0,0"/>
            <v:stroke on="f"/>
            <v:imagedata r:id="rId417" o:title=""/>
            <o:lock v:ext="edit" grouping="f" rotation="f" text="f" aspectratio="t"/>
            <w10:wrap type="none"/>
            <w10:anchorlock/>
          </v:shape>
          <o:OLEObject Type="Embed" ProgID="Equation.KSEE3" ShapeID="_x0000_i1199" DrawAspect="Content" ObjectID="_1468075889" r:id="rId416">
            <o:LockedField>false</o:LockedField>
          </o:OLEObject>
        </w:object>
      </w:r>
      <w:r>
        <w:rPr>
          <w:bCs/>
          <w:color w:val="000000"/>
          <w:szCs w:val="21"/>
        </w:rPr>
        <w:t>——翼缘板截面积；</w:t>
      </w:r>
    </w:p>
    <w:p>
      <w:pPr>
        <w:adjustRightInd w:val="0"/>
        <w:spacing w:line="400" w:lineRule="exact"/>
        <w:ind w:firstLine="638" w:firstLineChars="304"/>
        <w:rPr>
          <w:bCs/>
          <w:color w:val="000000"/>
          <w:szCs w:val="21"/>
        </w:rPr>
      </w:pPr>
      <w:r>
        <w:rPr>
          <w:bCs/>
          <w:color w:val="000000"/>
          <w:position w:val="-12"/>
          <w:szCs w:val="21"/>
        </w:rPr>
        <w:object>
          <v:shape id="_x0000_i1200" o:spt="75" type="#_x0000_t75" style="height:17.7pt;width:15.8pt;" o:ole="t" filled="f" o:preferrelative="t" stroked="f" coordsize="21600,21600">
            <v:path/>
            <v:fill on="f" focussize="0,0"/>
            <v:stroke on="f"/>
            <v:imagedata r:id="rId419" o:title=""/>
            <o:lock v:ext="edit" grouping="f" rotation="f" text="f" aspectratio="t"/>
            <w10:wrap type="none"/>
            <w10:anchorlock/>
          </v:shape>
          <o:OLEObject Type="Embed" ProgID="Equation.KSEE3" ShapeID="_x0000_i1200" DrawAspect="Content" ObjectID="_1468075890" r:id="rId418">
            <o:LockedField>false</o:LockedField>
          </o:OLEObject>
        </w:object>
      </w:r>
      <w:r>
        <w:rPr>
          <w:bCs/>
          <w:color w:val="000000"/>
          <w:szCs w:val="21"/>
        </w:rPr>
        <w:t>——梁</w:t>
      </w:r>
      <w:r>
        <w:rPr>
          <w:rFonts w:hint="eastAsia"/>
          <w:bCs/>
          <w:color w:val="000000"/>
          <w:szCs w:val="21"/>
        </w:rPr>
        <w:t>上下</w:t>
      </w:r>
      <w:r>
        <w:rPr>
          <w:bCs/>
          <w:color w:val="000000"/>
          <w:szCs w:val="21"/>
        </w:rPr>
        <w:t>翼缘中心线之间的距离；</w:t>
      </w:r>
    </w:p>
    <w:p>
      <w:pPr>
        <w:adjustRightInd w:val="0"/>
        <w:spacing w:line="400" w:lineRule="exact"/>
        <w:ind w:firstLine="638" w:firstLineChars="304"/>
        <w:rPr>
          <w:bCs/>
          <w:color w:val="000000"/>
          <w:szCs w:val="21"/>
        </w:rPr>
      </w:pPr>
      <w:r>
        <w:rPr>
          <w:bCs/>
          <w:color w:val="000000"/>
          <w:position w:val="-12"/>
          <w:szCs w:val="21"/>
        </w:rPr>
        <w:object>
          <v:shape id="_x0000_i1201" o:spt="75" type="#_x0000_t75" style="height:17.5pt;width:13.55pt;" o:ole="t" filled="f" o:preferrelative="t" stroked="f" coordsize="21600,21600">
            <v:path/>
            <v:fill on="f" focussize="0,0"/>
            <v:stroke on="f"/>
            <v:imagedata r:id="rId421" o:title=""/>
            <o:lock v:ext="edit" grouping="f" rotation="f" text="f" aspectratio="t"/>
            <w10:wrap type="none"/>
            <w10:anchorlock/>
          </v:shape>
          <o:OLEObject Type="Embed" ProgID="Equation.KSEE3" ShapeID="_x0000_i1201" DrawAspect="Content" ObjectID="_1468075891" r:id="rId420">
            <o:LockedField>false</o:LockedField>
          </o:OLEObject>
        </w:object>
      </w:r>
      <w:r>
        <w:rPr>
          <w:bCs/>
          <w:color w:val="000000"/>
          <w:szCs w:val="21"/>
        </w:rPr>
        <w:t>——钢材抗拉强度。</w:t>
      </w:r>
    </w:p>
    <w:p>
      <w:pPr>
        <w:autoSpaceDE w:val="0"/>
        <w:autoSpaceDN w:val="0"/>
        <w:adjustRightInd w:val="0"/>
        <w:spacing w:line="400" w:lineRule="exact"/>
        <w:ind w:firstLine="420" w:firstLineChars="200"/>
        <w:rPr>
          <w:bCs/>
          <w:color w:val="000000"/>
          <w:szCs w:val="21"/>
        </w:rPr>
      </w:pPr>
      <w:r>
        <w:rPr>
          <w:bCs/>
          <w:color w:val="000000"/>
          <w:szCs w:val="21"/>
        </w:rPr>
        <w:t>2）腹板连接的极限受弯承载力可按下列公式计算：</w:t>
      </w:r>
    </w:p>
    <w:p>
      <w:pPr>
        <w:adjustRightInd w:val="0"/>
        <w:spacing w:line="400" w:lineRule="exact"/>
        <w:jc w:val="right"/>
        <w:rPr>
          <w:bCs/>
          <w:color w:val="000000"/>
          <w:szCs w:val="21"/>
        </w:rPr>
      </w:pPr>
      <w:r>
        <w:rPr>
          <w:bCs/>
          <w:color w:val="000000"/>
          <w:position w:val="-14"/>
          <w:szCs w:val="21"/>
        </w:rPr>
        <w:object>
          <v:shape id="_x0000_i1202" o:spt="75" type="#_x0000_t75" style="height:19.65pt;width:78.7pt;" o:ole="t" filled="f" o:preferrelative="t" stroked="f" coordsize="21600,21600">
            <v:path/>
            <v:fill on="f" focussize="0,0"/>
            <v:stroke on="f"/>
            <v:imagedata r:id="rId423" o:title=""/>
            <o:lock v:ext="edit" grouping="f" rotation="f" text="f" aspectratio="t"/>
            <w10:wrap type="none"/>
            <w10:anchorlock/>
          </v:shape>
          <o:OLEObject Type="Embed" ProgID="Equation.3" ShapeID="_x0000_i1202" DrawAspect="Content" ObjectID="_1468075892" r:id="rId422">
            <o:LockedField>false</o:LockedField>
          </o:OLEObject>
        </w:object>
      </w:r>
      <w:r>
        <w:rPr>
          <w:bCs/>
          <w:color w:val="000000"/>
          <w:szCs w:val="21"/>
        </w:rPr>
        <w:t xml:space="preserve">                            （</w:t>
      </w:r>
      <w:r>
        <w:rPr>
          <w:rFonts w:hint="eastAsia"/>
          <w:bCs/>
          <w:color w:val="000000"/>
          <w:szCs w:val="21"/>
        </w:rPr>
        <w:t>6</w:t>
      </w:r>
      <w:r>
        <w:rPr>
          <w:bCs/>
          <w:color w:val="000000"/>
          <w:szCs w:val="21"/>
        </w:rPr>
        <w:t>）</w:t>
      </w:r>
    </w:p>
    <w:p>
      <w:pPr>
        <w:adjustRightInd w:val="0"/>
        <w:spacing w:line="400" w:lineRule="exact"/>
        <w:ind w:left="1260" w:hanging="1260" w:hangingChars="600"/>
        <w:rPr>
          <w:bCs/>
          <w:color w:val="000000"/>
          <w:szCs w:val="21"/>
        </w:rPr>
      </w:pPr>
      <w:r>
        <w:rPr>
          <w:bCs/>
          <w:color w:val="000000"/>
          <w:szCs w:val="21"/>
        </w:rPr>
        <w:t>式中</w:t>
      </w:r>
      <w:r>
        <w:rPr>
          <w:rFonts w:hint="eastAsia"/>
          <w:bCs/>
          <w:color w:val="000000"/>
          <w:szCs w:val="21"/>
        </w:rPr>
        <w:t>：</w:t>
      </w:r>
      <w:r>
        <w:rPr>
          <w:bCs/>
          <w:color w:val="000000"/>
          <w:position w:val="-14"/>
          <w:szCs w:val="21"/>
        </w:rPr>
        <w:object>
          <v:shape id="_x0000_i1203" o:spt="75" type="#_x0000_t75" style="height:18.35pt;width:23.2pt;" o:ole="t" filled="f" o:preferrelative="t" stroked="f" coordsize="21600,21600">
            <v:path/>
            <v:fill on="f" focussize="0,0"/>
            <v:stroke on="f"/>
            <v:imagedata r:id="rId425" o:title=""/>
            <o:lock v:ext="edit" grouping="f" rotation="f" text="f" aspectratio="t"/>
            <w10:wrap type="none"/>
            <w10:anchorlock/>
          </v:shape>
          <o:OLEObject Type="Embed" ProgID="Equation.3" ShapeID="_x0000_i1203" DrawAspect="Content" ObjectID="_1468075893" r:id="rId424">
            <o:LockedField>false</o:LockedField>
          </o:OLEObject>
        </w:object>
      </w:r>
      <w:r>
        <w:rPr>
          <w:bCs/>
          <w:color w:val="000000"/>
          <w:szCs w:val="21"/>
        </w:rPr>
        <w:t>——腹板扣除上下扇形切角后的有效塑性截面模量。采用高强度螺栓连接时取腹板和连接板有效塑性截面模量的较小值；</w:t>
      </w:r>
    </w:p>
    <w:p>
      <w:pPr>
        <w:adjustRightInd w:val="0"/>
        <w:spacing w:line="480" w:lineRule="exact"/>
        <w:ind w:firstLine="636" w:firstLineChars="303"/>
        <w:rPr>
          <w:bCs/>
          <w:color w:val="000000"/>
          <w:szCs w:val="21"/>
        </w:rPr>
      </w:pPr>
      <w:r>
        <w:rPr>
          <w:bCs/>
          <w:color w:val="000000"/>
          <w:position w:val="-14"/>
          <w:szCs w:val="21"/>
        </w:rPr>
        <w:object>
          <v:shape id="_x0000_i1204" o:spt="75" type="#_x0000_t75" style="height:18.55pt;width:18.55pt;" o:ole="t" filled="f" o:preferrelative="t" stroked="f" coordsize="21600,21600">
            <v:path/>
            <v:fill on="f" focussize="0,0"/>
            <v:stroke on="f"/>
            <v:imagedata r:id="rId427" o:title=""/>
            <o:lock v:ext="edit" grouping="f" rotation="f" text="f" aspectratio="t"/>
            <w10:wrap type="none"/>
            <w10:anchorlock/>
          </v:shape>
          <o:OLEObject Type="Embed" ProgID="Equation.KSEE3" ShapeID="_x0000_i1204" DrawAspect="Content" ObjectID="_1468075894" r:id="rId426">
            <o:LockedField>false</o:LockedField>
          </o:OLEObject>
        </w:object>
      </w:r>
      <w:r>
        <w:rPr>
          <w:bCs/>
          <w:color w:val="000000"/>
          <w:szCs w:val="21"/>
        </w:rPr>
        <w:t>——腹板或连接板钢材的屈服强度；</w:t>
      </w:r>
    </w:p>
    <w:p>
      <w:pPr>
        <w:adjustRightInd w:val="0"/>
        <w:spacing w:line="400" w:lineRule="exact"/>
        <w:ind w:firstLine="638" w:firstLineChars="304"/>
        <w:rPr>
          <w:bCs/>
          <w:color w:val="000000"/>
          <w:szCs w:val="21"/>
        </w:rPr>
      </w:pPr>
      <w:r>
        <w:rPr>
          <w:bCs/>
          <w:i/>
          <w:iCs/>
          <w:color w:val="000000"/>
          <w:position w:val="-6"/>
          <w:szCs w:val="21"/>
        </w:rPr>
        <w:object>
          <v:shape id="_x0000_i1205" o:spt="75" type="#_x0000_t75" style="height:10pt;width:12pt;" o:ole="t" filled="f" stroked="f" coordsize="21600,21600">
            <v:path/>
            <v:fill on="f" focussize="0,0"/>
            <v:stroke on="f"/>
            <v:imagedata r:id="rId429" o:title=""/>
            <o:lock v:ext="edit" grouping="f" rotation="f" text="f" aspectratio="t"/>
            <w10:wrap type="none"/>
            <w10:anchorlock/>
          </v:shape>
          <o:OLEObject Type="Embed" ProgID="Equation.KSEE3" ShapeID="_x0000_i1205" DrawAspect="Content" ObjectID="_1468075895" r:id="rId428">
            <o:LockedField>false</o:LockedField>
          </o:OLEObject>
        </w:object>
      </w:r>
      <w:r>
        <w:rPr>
          <w:bCs/>
          <w:color w:val="000000"/>
          <w:szCs w:val="21"/>
        </w:rPr>
        <w:t>——腹板的受弯承载力系数，可按下列公式计算：</w:t>
      </w:r>
    </w:p>
    <w:p>
      <w:pPr>
        <w:adjustRightInd w:val="0"/>
        <w:spacing w:line="400" w:lineRule="exact"/>
        <w:ind w:firstLine="638" w:firstLineChars="304"/>
        <w:rPr>
          <w:bCs/>
          <w:color w:val="000000"/>
          <w:szCs w:val="21"/>
        </w:rPr>
      </w:pPr>
      <w:r>
        <w:rPr>
          <w:bCs/>
          <w:snapToGrid w:val="0"/>
          <w:color w:val="000000"/>
          <w:kern w:val="0"/>
          <w:szCs w:val="21"/>
        </w:rPr>
        <w:t>柱为H形截面</w:t>
      </w:r>
      <w:r>
        <w:rPr>
          <w:bCs/>
          <w:color w:val="000000"/>
          <w:szCs w:val="21"/>
        </w:rPr>
        <w:t>时</w:t>
      </w:r>
      <w:r>
        <w:rPr>
          <w:bCs/>
          <w:snapToGrid w:val="0"/>
          <w:color w:val="000000"/>
          <w:kern w:val="0"/>
          <w:szCs w:val="21"/>
        </w:rPr>
        <w:t>：</w:t>
      </w:r>
    </w:p>
    <w:p>
      <w:pPr>
        <w:adjustRightInd w:val="0"/>
        <w:spacing w:line="440" w:lineRule="exact"/>
        <w:ind w:firstLine="420"/>
        <w:jc w:val="right"/>
        <w:rPr>
          <w:bCs/>
          <w:color w:val="000000"/>
          <w:szCs w:val="21"/>
        </w:rPr>
      </w:pPr>
      <w:r>
        <w:rPr>
          <w:bCs/>
          <w:snapToGrid w:val="0"/>
          <w:color w:val="000000"/>
          <w:kern w:val="0"/>
          <w:position w:val="-6"/>
          <w:szCs w:val="21"/>
        </w:rPr>
        <w:object>
          <v:shape id="_x0000_i1206" o:spt="75" type="#_x0000_t75" style="height:13.7pt;width:27.35pt;" o:ole="t" filled="f" o:preferrelative="t" stroked="f" coordsize="21600,21600">
            <v:path/>
            <v:fill on="f" focussize="0,0"/>
            <v:stroke on="f"/>
            <v:imagedata r:id="rId431" o:title=""/>
            <o:lock v:ext="edit" grouping="f" rotation="f" text="f" aspectratio="t"/>
            <w10:wrap type="none"/>
            <w10:anchorlock/>
          </v:shape>
          <o:OLEObject Type="Embed" ProgID="Equation.KSEE3" ShapeID="_x0000_i1206" DrawAspect="Content" ObjectID="_1468075896" r:id="rId430">
            <o:LockedField>false</o:LockedField>
          </o:OLEObject>
        </w:object>
      </w:r>
      <w:r>
        <w:rPr>
          <w:bCs/>
          <w:color w:val="000000"/>
          <w:szCs w:val="21"/>
          <w:lang w:eastAsia="ja-JP"/>
        </w:rPr>
        <w:t xml:space="preserve">  </w:t>
      </w:r>
      <w:r>
        <w:rPr>
          <w:bCs/>
          <w:color w:val="000000"/>
          <w:szCs w:val="21"/>
        </w:rPr>
        <w:t xml:space="preserve">                               （</w:t>
      </w:r>
      <w:r>
        <w:rPr>
          <w:rFonts w:hint="eastAsia"/>
          <w:bCs/>
          <w:color w:val="000000"/>
          <w:szCs w:val="21"/>
        </w:rPr>
        <w:t>7</w:t>
      </w:r>
      <w:r>
        <w:rPr>
          <w:bCs/>
          <w:color w:val="000000"/>
          <w:szCs w:val="21"/>
        </w:rPr>
        <w:t>）</w:t>
      </w:r>
    </w:p>
    <w:p>
      <w:pPr>
        <w:adjustRightInd w:val="0"/>
        <w:spacing w:line="400" w:lineRule="exact"/>
        <w:ind w:firstLine="638" w:firstLineChars="304"/>
        <w:rPr>
          <w:bCs/>
          <w:snapToGrid w:val="0"/>
          <w:color w:val="000000"/>
          <w:kern w:val="0"/>
          <w:szCs w:val="21"/>
        </w:rPr>
      </w:pPr>
      <w:r>
        <w:rPr>
          <w:bCs/>
          <w:snapToGrid w:val="0"/>
          <w:color w:val="000000"/>
          <w:kern w:val="0"/>
          <w:szCs w:val="21"/>
        </w:rPr>
        <w:t>柱为方管截</w:t>
      </w:r>
      <w:r>
        <w:rPr>
          <w:bCs/>
          <w:color w:val="000000"/>
          <w:szCs w:val="21"/>
        </w:rPr>
        <w:t>面</w:t>
      </w:r>
      <w:r>
        <w:rPr>
          <w:bCs/>
          <w:snapToGrid w:val="0"/>
          <w:color w:val="000000"/>
          <w:kern w:val="0"/>
          <w:szCs w:val="21"/>
        </w:rPr>
        <w:t>时：</w:t>
      </w:r>
    </w:p>
    <w:p>
      <w:pPr>
        <w:adjustRightInd w:val="0"/>
        <w:spacing w:line="360" w:lineRule="auto"/>
        <w:ind w:firstLine="420"/>
        <w:jc w:val="right"/>
        <w:rPr>
          <w:bCs/>
          <w:color w:val="000000"/>
          <w:szCs w:val="21"/>
        </w:rPr>
      </w:pPr>
      <w:r>
        <w:rPr>
          <w:bCs/>
          <w:snapToGrid w:val="0"/>
          <w:color w:val="000000"/>
          <w:kern w:val="0"/>
          <w:position w:val="-36"/>
          <w:szCs w:val="21"/>
        </w:rPr>
        <w:object>
          <v:shape id="_x0000_i1207" o:spt="75" type="#_x0000_t75" style="height:41.2pt;width:138.25pt;" o:ole="t" filled="f" o:preferrelative="t" stroked="f" coordsize="21600,21600">
            <v:path/>
            <v:fill on="f" focussize="0,0"/>
            <v:stroke on="f"/>
            <v:imagedata r:id="rId433" o:title=""/>
            <o:lock v:ext="edit" grouping="f" rotation="f" text="f" aspectratio="t"/>
            <w10:wrap type="none"/>
            <w10:anchorlock/>
          </v:shape>
          <o:OLEObject Type="Embed" ProgID="Equation.KSEE3" ShapeID="_x0000_i1207" DrawAspect="Content" ObjectID="_1468075897" r:id="rId432">
            <o:LockedField>false</o:LockedField>
          </o:OLEObject>
        </w:object>
      </w:r>
      <w:r>
        <w:rPr>
          <w:bCs/>
          <w:color w:val="000000"/>
          <w:szCs w:val="21"/>
          <w:lang w:eastAsia="ja-JP"/>
        </w:rPr>
        <w:t xml:space="preserve">  </w:t>
      </w:r>
      <w:r>
        <w:rPr>
          <w:bCs/>
          <w:color w:val="000000"/>
          <w:szCs w:val="21"/>
        </w:rPr>
        <w:t xml:space="preserve">                      （</w:t>
      </w:r>
      <w:r>
        <w:rPr>
          <w:rFonts w:hint="eastAsia"/>
          <w:bCs/>
          <w:color w:val="000000"/>
          <w:szCs w:val="21"/>
        </w:rPr>
        <w:t>8</w:t>
      </w:r>
      <w:r>
        <w:rPr>
          <w:bCs/>
          <w:color w:val="000000"/>
          <w:szCs w:val="21"/>
        </w:rPr>
        <w:t>）</w:t>
      </w:r>
    </w:p>
    <w:p>
      <w:pPr>
        <w:adjustRightInd w:val="0"/>
        <w:spacing w:line="400" w:lineRule="exact"/>
        <w:ind w:firstLine="638" w:firstLineChars="304"/>
        <w:rPr>
          <w:bCs/>
          <w:snapToGrid w:val="0"/>
          <w:color w:val="000000"/>
          <w:kern w:val="0"/>
          <w:szCs w:val="21"/>
        </w:rPr>
      </w:pPr>
      <w:r>
        <w:rPr>
          <w:bCs/>
          <w:snapToGrid w:val="0"/>
          <w:color w:val="000000"/>
          <w:kern w:val="0"/>
          <w:szCs w:val="21"/>
        </w:rPr>
        <w:t>柱为圆管</w:t>
      </w:r>
      <w:r>
        <w:rPr>
          <w:bCs/>
          <w:color w:val="000000"/>
          <w:szCs w:val="21"/>
        </w:rPr>
        <w:t>截</w:t>
      </w:r>
      <w:r>
        <w:rPr>
          <w:bCs/>
          <w:snapToGrid w:val="0"/>
          <w:color w:val="000000"/>
          <w:kern w:val="0"/>
          <w:szCs w:val="21"/>
        </w:rPr>
        <w:t xml:space="preserve">面时： </w:t>
      </w:r>
    </w:p>
    <w:p>
      <w:pPr>
        <w:adjustRightInd w:val="0"/>
        <w:spacing w:line="360" w:lineRule="auto"/>
        <w:ind w:firstLine="420"/>
        <w:jc w:val="right"/>
        <w:rPr>
          <w:bCs/>
          <w:color w:val="000000"/>
          <w:szCs w:val="21"/>
        </w:rPr>
      </w:pPr>
      <w:r>
        <w:rPr>
          <w:bCs/>
          <w:snapToGrid w:val="0"/>
          <w:color w:val="000000"/>
          <w:kern w:val="0"/>
          <w:position w:val="-40"/>
          <w:szCs w:val="21"/>
        </w:rPr>
        <w:object>
          <v:shape id="_x0000_i1208" o:spt="75" type="#_x0000_t75" style="height:45.25pt;width:221.15pt;" o:ole="t" filled="f" o:preferrelative="t" stroked="f" coordsize="21600,21600">
            <v:path/>
            <v:fill on="f" focussize="0,0"/>
            <v:stroke on="f"/>
            <v:imagedata r:id="rId435" o:title=""/>
            <o:lock v:ext="edit" grouping="f" rotation="f" text="f" aspectratio="t"/>
            <w10:wrap type="none"/>
            <w10:anchorlock/>
          </v:shape>
          <o:OLEObject Type="Embed" ProgID="Equation.KSEE3" ShapeID="_x0000_i1208" DrawAspect="Content" ObjectID="_1468075898" r:id="rId434">
            <o:LockedField>false</o:LockedField>
          </o:OLEObject>
        </w:object>
      </w:r>
      <w:r>
        <w:rPr>
          <w:bCs/>
          <w:color w:val="000000"/>
          <w:szCs w:val="21"/>
          <w:lang w:eastAsia="ja-JP"/>
        </w:rPr>
        <w:t xml:space="preserve"> </w:t>
      </w:r>
      <w:r>
        <w:rPr>
          <w:bCs/>
          <w:color w:val="000000"/>
          <w:szCs w:val="21"/>
        </w:rPr>
        <w:t xml:space="preserve">               （</w:t>
      </w:r>
      <w:r>
        <w:rPr>
          <w:rFonts w:hint="eastAsia"/>
          <w:bCs/>
          <w:color w:val="000000"/>
          <w:szCs w:val="21"/>
        </w:rPr>
        <w:t>9</w:t>
      </w:r>
      <w:r>
        <w:rPr>
          <w:bCs/>
          <w:color w:val="000000"/>
          <w:szCs w:val="21"/>
        </w:rPr>
        <w:t>）</w:t>
      </w:r>
    </w:p>
    <w:p>
      <w:pPr>
        <w:adjustRightInd w:val="0"/>
        <w:spacing w:line="440" w:lineRule="exact"/>
        <w:ind w:firstLine="420"/>
        <w:jc w:val="right"/>
        <w:rPr>
          <w:bCs/>
          <w:color w:val="000000"/>
          <w:szCs w:val="21"/>
        </w:rPr>
      </w:pPr>
      <w:r>
        <w:rPr>
          <w:bCs/>
          <w:color w:val="000000"/>
          <w:position w:val="-14"/>
          <w:szCs w:val="21"/>
        </w:rPr>
        <w:object>
          <v:shape id="_x0000_i1209" o:spt="75" type="#_x0000_t75" style="height:19pt;width:51pt;" o:ole="t" filled="f" stroked="f" coordsize="21600,21600">
            <v:path/>
            <v:fill on="f" focussize="0,0"/>
            <v:stroke on="f"/>
            <v:imagedata r:id="rId437" o:title=""/>
            <o:lock v:ext="edit" grouping="f" rotation="f" text="f" aspectratio="t"/>
            <w10:wrap type="none"/>
            <w10:anchorlock/>
          </v:shape>
          <o:OLEObject Type="Embed" ProgID="Equation.KSEE3" ShapeID="_x0000_i1209" DrawAspect="Content" ObjectID="_1468075899" r:id="rId436">
            <o:LockedField>false</o:LockedField>
          </o:OLEObject>
        </w:object>
      </w:r>
      <w:r>
        <w:rPr>
          <w:bCs/>
          <w:color w:val="000000"/>
          <w:szCs w:val="21"/>
          <w:lang w:eastAsia="ja-JP"/>
        </w:rPr>
        <w:t xml:space="preserve"> </w:t>
      </w:r>
      <w:r>
        <w:rPr>
          <w:bCs/>
          <w:color w:val="000000"/>
          <w:szCs w:val="21"/>
        </w:rPr>
        <w:t xml:space="preserve">                             （</w:t>
      </w:r>
      <w:r>
        <w:rPr>
          <w:rFonts w:hint="eastAsia"/>
          <w:bCs/>
          <w:color w:val="000000"/>
          <w:szCs w:val="21"/>
        </w:rPr>
        <w:t>10</w:t>
      </w:r>
      <w:r>
        <w:rPr>
          <w:bCs/>
          <w:color w:val="000000"/>
          <w:szCs w:val="21"/>
        </w:rPr>
        <w:t>）</w:t>
      </w:r>
    </w:p>
    <w:p>
      <w:pPr>
        <w:adjustRightInd w:val="0"/>
        <w:spacing w:line="440" w:lineRule="exact"/>
        <w:ind w:firstLine="420"/>
        <w:jc w:val="right"/>
        <w:rPr>
          <w:bCs/>
          <w:color w:val="000000"/>
          <w:szCs w:val="21"/>
        </w:rPr>
      </w:pPr>
      <w:r>
        <w:rPr>
          <w:bCs/>
          <w:color w:val="000000"/>
          <w:position w:val="-14"/>
          <w:szCs w:val="21"/>
        </w:rPr>
        <w:object>
          <v:shape id="_x0000_i1210" o:spt="75" type="#_x0000_t75" style="height:19pt;width:93.85pt;" o:ole="t" filled="f" stroked="f" coordsize="21600,21600">
            <v:path/>
            <v:fill on="f" focussize="0,0"/>
            <v:stroke on="f"/>
            <v:imagedata r:id="rId439" o:title=""/>
            <o:lock v:ext="edit" grouping="f" rotation="f" text="f" aspectratio="t"/>
            <w10:wrap type="none"/>
            <w10:anchorlock/>
          </v:shape>
          <o:OLEObject Type="Embed" ProgID="Equation.KSEE3" ShapeID="_x0000_i1210" DrawAspect="Content" ObjectID="_1468075900" r:id="rId438">
            <o:LockedField>false</o:LockedField>
          </o:OLEObject>
        </w:object>
      </w:r>
      <w:r>
        <w:rPr>
          <w:bCs/>
          <w:color w:val="000000"/>
          <w:szCs w:val="21"/>
          <w:lang w:eastAsia="ja-JP"/>
        </w:rPr>
        <w:t xml:space="preserve"> </w:t>
      </w:r>
      <w:r>
        <w:rPr>
          <w:bCs/>
          <w:color w:val="000000"/>
          <w:szCs w:val="21"/>
        </w:rPr>
        <w:t xml:space="preserve">                       （1</w:t>
      </w:r>
      <w:r>
        <w:rPr>
          <w:rFonts w:hint="eastAsia"/>
          <w:bCs/>
          <w:color w:val="000000"/>
          <w:szCs w:val="21"/>
        </w:rPr>
        <w:t>1</w:t>
      </w:r>
      <w:r>
        <w:rPr>
          <w:bCs/>
          <w:color w:val="000000"/>
          <w:szCs w:val="21"/>
        </w:rPr>
        <w:t>）</w:t>
      </w:r>
    </w:p>
    <w:p>
      <w:pPr>
        <w:adjustRightInd w:val="0"/>
        <w:spacing w:line="440" w:lineRule="exact"/>
        <w:ind w:firstLine="420"/>
        <w:jc w:val="right"/>
        <w:rPr>
          <w:bCs/>
          <w:color w:val="000000"/>
          <w:szCs w:val="21"/>
        </w:rPr>
      </w:pPr>
      <w:r>
        <w:rPr>
          <w:bCs/>
          <w:color w:val="000000"/>
          <w:position w:val="-14"/>
          <w:szCs w:val="21"/>
        </w:rPr>
        <w:object>
          <v:shape id="_x0000_i1211" o:spt="75" type="#_x0000_t75" style="height:19pt;width:60.95pt;" o:ole="t" filled="f" stroked="f" coordsize="21600,21600">
            <v:path/>
            <v:fill on="f" focussize="0,0"/>
            <v:stroke on="f"/>
            <v:imagedata r:id="rId441" o:title=""/>
            <o:lock v:ext="edit" grouping="f" rotation="f" text="f" aspectratio="t"/>
            <w10:wrap type="none"/>
            <w10:anchorlock/>
          </v:shape>
          <o:OLEObject Type="Embed" ProgID="Equation.KSEE3" ShapeID="_x0000_i1211" DrawAspect="Content" ObjectID="_1468075901" r:id="rId440">
            <o:LockedField>false</o:LockedField>
          </o:OLEObject>
        </w:object>
      </w:r>
      <w:r>
        <w:rPr>
          <w:bCs/>
          <w:color w:val="000000"/>
          <w:szCs w:val="21"/>
          <w:lang w:eastAsia="ja-JP"/>
        </w:rPr>
        <w:t xml:space="preserve"> </w:t>
      </w:r>
      <w:r>
        <w:rPr>
          <w:bCs/>
          <w:color w:val="000000"/>
          <w:szCs w:val="21"/>
        </w:rPr>
        <w:t xml:space="preserve">                           （1</w:t>
      </w:r>
      <w:r>
        <w:rPr>
          <w:rFonts w:hint="eastAsia"/>
          <w:bCs/>
          <w:color w:val="000000"/>
          <w:szCs w:val="21"/>
        </w:rPr>
        <w:t>2</w:t>
      </w:r>
      <w:r>
        <w:rPr>
          <w:bCs/>
          <w:color w:val="000000"/>
          <w:szCs w:val="21"/>
        </w:rPr>
        <w:t>）</w:t>
      </w:r>
    </w:p>
    <w:p>
      <w:pPr>
        <w:adjustRightInd w:val="0"/>
        <w:spacing w:line="440" w:lineRule="exact"/>
        <w:ind w:firstLine="420"/>
        <w:jc w:val="right"/>
        <w:rPr>
          <w:bCs/>
          <w:color w:val="000000"/>
          <w:szCs w:val="21"/>
        </w:rPr>
      </w:pPr>
      <w:r>
        <w:rPr>
          <w:bCs/>
          <w:color w:val="000000"/>
          <w:position w:val="-14"/>
          <w:szCs w:val="21"/>
        </w:rPr>
        <w:object>
          <v:shape id="_x0000_i1212" o:spt="75" type="#_x0000_t75" style="height:19pt;width:46pt;" o:ole="t" filled="f" stroked="f" coordsize="21600,21600">
            <v:path/>
            <v:fill on="f" focussize="0,0"/>
            <v:stroke on="f"/>
            <v:imagedata r:id="rId443" o:title=""/>
            <o:lock v:ext="edit" grouping="f" rotation="f" text="f" aspectratio="t"/>
            <w10:wrap type="none"/>
            <w10:anchorlock/>
          </v:shape>
          <o:OLEObject Type="Embed" ProgID="Equation.KSEE3" ShapeID="_x0000_i1212" DrawAspect="Content" ObjectID="_1468075902" r:id="rId442">
            <o:LockedField>false</o:LockedField>
          </o:OLEObject>
        </w:object>
      </w:r>
      <w:r>
        <w:rPr>
          <w:bCs/>
          <w:color w:val="000000"/>
          <w:szCs w:val="21"/>
          <w:lang w:eastAsia="ja-JP"/>
        </w:rPr>
        <w:t xml:space="preserve"> </w:t>
      </w:r>
      <w:r>
        <w:rPr>
          <w:bCs/>
          <w:color w:val="000000"/>
          <w:szCs w:val="21"/>
        </w:rPr>
        <w:t xml:space="preserve">                           （1</w:t>
      </w:r>
      <w:r>
        <w:rPr>
          <w:rFonts w:hint="eastAsia"/>
          <w:bCs/>
          <w:color w:val="000000"/>
          <w:szCs w:val="21"/>
        </w:rPr>
        <w:t>3</w:t>
      </w:r>
      <w:r>
        <w:rPr>
          <w:bCs/>
          <w:color w:val="000000"/>
          <w:szCs w:val="21"/>
        </w:rPr>
        <w:t>）</w:t>
      </w:r>
    </w:p>
    <w:p>
      <w:pPr>
        <w:adjustRightInd w:val="0"/>
        <w:spacing w:line="400" w:lineRule="exact"/>
        <w:rPr>
          <w:bCs/>
          <w:color w:val="000000"/>
          <w:szCs w:val="21"/>
        </w:rPr>
      </w:pPr>
      <w:r>
        <w:rPr>
          <w:bCs/>
          <w:color w:val="000000"/>
          <w:szCs w:val="21"/>
        </w:rPr>
        <w:t>式中</w:t>
      </w:r>
      <w:r>
        <w:rPr>
          <w:rFonts w:hint="eastAsia"/>
          <w:bCs/>
          <w:color w:val="000000"/>
          <w:szCs w:val="21"/>
        </w:rPr>
        <w:t>：</w:t>
      </w:r>
      <w:r>
        <w:rPr>
          <w:bCs/>
          <w:i/>
          <w:iCs/>
          <w:color w:val="000000"/>
          <w:szCs w:val="21"/>
        </w:rPr>
        <w:t>k</w:t>
      </w:r>
      <w:r>
        <w:rPr>
          <w:bCs/>
          <w:color w:val="000000"/>
          <w:szCs w:val="21"/>
          <w:vertAlign w:val="subscript"/>
        </w:rPr>
        <w:t>1</w:t>
      </w:r>
      <w:r>
        <w:rPr>
          <w:bCs/>
          <w:color w:val="000000"/>
          <w:szCs w:val="21"/>
        </w:rPr>
        <w:t>、</w:t>
      </w:r>
      <w:r>
        <w:rPr>
          <w:bCs/>
          <w:i/>
          <w:iCs/>
          <w:color w:val="000000"/>
          <w:szCs w:val="21"/>
        </w:rPr>
        <w:t>k</w:t>
      </w:r>
      <w:r>
        <w:rPr>
          <w:bCs/>
          <w:color w:val="000000"/>
          <w:szCs w:val="21"/>
          <w:vertAlign w:val="subscript"/>
        </w:rPr>
        <w:t>2</w:t>
      </w:r>
      <w:r>
        <w:rPr>
          <w:bCs/>
          <w:color w:val="000000"/>
          <w:szCs w:val="21"/>
        </w:rPr>
        <w:t>——圆管柱有关的截面和承载力指标；</w:t>
      </w:r>
    </w:p>
    <w:p>
      <w:pPr>
        <w:adjustRightInd w:val="0"/>
        <w:spacing w:line="400" w:lineRule="exact"/>
        <w:ind w:firstLine="630" w:firstLineChars="300"/>
        <w:rPr>
          <w:bCs/>
          <w:color w:val="000000"/>
          <w:szCs w:val="21"/>
        </w:rPr>
      </w:pPr>
      <w:r>
        <w:rPr>
          <w:bCs/>
          <w:i/>
          <w:iCs/>
          <w:color w:val="000000"/>
          <w:szCs w:val="21"/>
        </w:rPr>
        <w:t>d</w:t>
      </w:r>
      <w:r>
        <w:rPr>
          <w:bCs/>
          <w:color w:val="000000"/>
          <w:szCs w:val="21"/>
          <w:vertAlign w:val="subscript"/>
        </w:rPr>
        <w:t>j</w:t>
      </w:r>
      <w:r>
        <w:rPr>
          <w:bCs/>
          <w:color w:val="000000"/>
          <w:szCs w:val="21"/>
        </w:rPr>
        <w:t>——柱上下水平加劲肋（横隔板）内侧之间的距离；</w:t>
      </w:r>
    </w:p>
    <w:p>
      <w:pPr>
        <w:adjustRightInd w:val="0"/>
        <w:spacing w:line="400" w:lineRule="exact"/>
        <w:ind w:firstLine="630" w:firstLineChars="300"/>
        <w:rPr>
          <w:bCs/>
          <w:color w:val="000000"/>
          <w:szCs w:val="21"/>
        </w:rPr>
      </w:pPr>
      <w:r>
        <w:rPr>
          <w:bCs/>
          <w:i/>
          <w:iCs/>
          <w:color w:val="000000"/>
          <w:szCs w:val="21"/>
        </w:rPr>
        <w:t>b</w:t>
      </w:r>
      <w:r>
        <w:rPr>
          <w:bCs/>
          <w:color w:val="000000"/>
          <w:szCs w:val="21"/>
          <w:vertAlign w:val="subscript"/>
        </w:rPr>
        <w:t>j</w:t>
      </w:r>
      <w:r>
        <w:rPr>
          <w:bCs/>
          <w:color w:val="000000"/>
          <w:szCs w:val="21"/>
        </w:rPr>
        <w:t>——方管柱壁板内侧的宽度或圆管柱内径；</w:t>
      </w:r>
    </w:p>
    <w:p>
      <w:pPr>
        <w:adjustRightInd w:val="0"/>
        <w:spacing w:line="400" w:lineRule="exact"/>
        <w:ind w:firstLine="630" w:firstLineChars="300"/>
        <w:rPr>
          <w:bCs/>
          <w:color w:val="000000"/>
          <w:szCs w:val="21"/>
        </w:rPr>
      </w:pPr>
      <w:r>
        <w:rPr>
          <w:bCs/>
          <w:i/>
          <w:iCs/>
          <w:color w:val="000000"/>
          <w:szCs w:val="21"/>
        </w:rPr>
        <w:t>b</w:t>
      </w:r>
      <w:r>
        <w:rPr>
          <w:bCs/>
          <w:color w:val="000000"/>
          <w:szCs w:val="21"/>
          <w:vertAlign w:val="subscript"/>
        </w:rPr>
        <w:t>c</w:t>
      </w:r>
      <w:r>
        <w:rPr>
          <w:bCs/>
          <w:color w:val="000000"/>
          <w:szCs w:val="21"/>
        </w:rPr>
        <w:t>——方管柱壁板外侧的宽度或圆管柱外径；</w:t>
      </w:r>
    </w:p>
    <w:p>
      <w:pPr>
        <w:adjustRightInd w:val="0"/>
        <w:spacing w:line="400" w:lineRule="exact"/>
        <w:ind w:firstLine="630" w:firstLineChars="300"/>
        <w:rPr>
          <w:bCs/>
          <w:color w:val="000000"/>
          <w:szCs w:val="21"/>
        </w:rPr>
      </w:pPr>
      <w:r>
        <w:rPr>
          <w:bCs/>
          <w:i/>
          <w:iCs/>
          <w:color w:val="000000"/>
          <w:szCs w:val="21"/>
        </w:rPr>
        <w:t>r</w:t>
      </w:r>
      <w:r>
        <w:rPr>
          <w:bCs/>
          <w:color w:val="000000"/>
          <w:szCs w:val="21"/>
        </w:rPr>
        <w:t>——圆钢管上下横隔板之间的距离与钢管内径的比值；</w:t>
      </w:r>
    </w:p>
    <w:p>
      <w:pPr>
        <w:adjustRightInd w:val="0"/>
        <w:spacing w:line="400" w:lineRule="exact"/>
        <w:ind w:firstLine="630" w:firstLineChars="300"/>
        <w:rPr>
          <w:bCs/>
          <w:color w:val="000000"/>
          <w:szCs w:val="21"/>
        </w:rPr>
      </w:pPr>
      <w:r>
        <w:rPr>
          <w:bCs/>
          <w:i/>
          <w:iCs/>
          <w:color w:val="000000"/>
          <w:szCs w:val="21"/>
        </w:rPr>
        <w:t>t</w:t>
      </w:r>
      <w:r>
        <w:rPr>
          <w:bCs/>
          <w:color w:val="000000"/>
          <w:szCs w:val="21"/>
          <w:vertAlign w:val="subscript"/>
        </w:rPr>
        <w:t>cf</w:t>
      </w:r>
      <w:r>
        <w:rPr>
          <w:bCs/>
          <w:color w:val="000000"/>
          <w:szCs w:val="21"/>
        </w:rPr>
        <w:t>——方管柱或圆管柱壁板的厚度；</w:t>
      </w:r>
    </w:p>
    <w:p>
      <w:pPr>
        <w:adjustRightInd w:val="0"/>
        <w:spacing w:line="400" w:lineRule="exact"/>
        <w:ind w:firstLine="630" w:firstLineChars="300"/>
        <w:rPr>
          <w:bCs/>
          <w:color w:val="000000"/>
          <w:szCs w:val="21"/>
        </w:rPr>
      </w:pPr>
      <w:r>
        <w:rPr>
          <w:bCs/>
          <w:i/>
          <w:iCs/>
          <w:color w:val="000000"/>
          <w:szCs w:val="21"/>
        </w:rPr>
        <w:t>f</w:t>
      </w:r>
      <w:r>
        <w:rPr>
          <w:bCs/>
          <w:color w:val="000000"/>
          <w:szCs w:val="21"/>
          <w:vertAlign w:val="subscript"/>
        </w:rPr>
        <w:t>yc</w:t>
      </w:r>
      <w:r>
        <w:rPr>
          <w:bCs/>
          <w:color w:val="000000"/>
          <w:szCs w:val="21"/>
        </w:rPr>
        <w:t>——柱钢材的屈服强度；</w:t>
      </w:r>
    </w:p>
    <w:p>
      <w:pPr>
        <w:adjustRightInd w:val="0"/>
        <w:spacing w:line="400" w:lineRule="exact"/>
        <w:ind w:firstLine="630" w:firstLineChars="300"/>
        <w:rPr>
          <w:bCs/>
          <w:color w:val="000000"/>
          <w:szCs w:val="21"/>
        </w:rPr>
      </w:pPr>
      <w:r>
        <w:rPr>
          <w:bCs/>
          <w:i/>
          <w:iCs/>
          <w:color w:val="000000"/>
          <w:szCs w:val="21"/>
        </w:rPr>
        <w:t>t</w:t>
      </w:r>
      <w:r>
        <w:rPr>
          <w:bCs/>
          <w:color w:val="000000"/>
          <w:szCs w:val="21"/>
          <w:vertAlign w:val="subscript"/>
        </w:rPr>
        <w:t>bw</w:t>
      </w:r>
      <w:r>
        <w:rPr>
          <w:bCs/>
          <w:color w:val="000000"/>
          <w:szCs w:val="21"/>
        </w:rPr>
        <w:t>——梁腹板的厚度。</w:t>
      </w:r>
    </w:p>
    <w:p>
      <w:pPr>
        <w:adjustRightInd w:val="0"/>
        <w:spacing w:line="400" w:lineRule="exact"/>
        <w:ind w:firstLine="420"/>
        <w:rPr>
          <w:bCs/>
          <w:color w:val="000000"/>
          <w:szCs w:val="21"/>
        </w:rPr>
      </w:pPr>
      <w:r>
        <w:rPr>
          <w:bCs/>
          <w:color w:val="000000"/>
          <w:szCs w:val="21"/>
        </w:rPr>
        <w:t>（2）腹板高强度螺栓连接的极限承载力</w:t>
      </w:r>
      <w:r>
        <w:rPr>
          <w:rFonts w:hint="eastAsia"/>
          <w:bCs/>
          <w:color w:val="000000"/>
          <w:szCs w:val="21"/>
        </w:rPr>
        <w:t>，</w:t>
      </w:r>
      <w:r>
        <w:rPr>
          <w:bCs/>
          <w:color w:val="000000"/>
          <w:szCs w:val="21"/>
        </w:rPr>
        <w:t>可采用每颗螺栓均承担剪力的方法，也可采用腹板中性轴附近螺栓承担剪力，其余螺栓承担弯矩（图4）的方法进行验算：</w:t>
      </w:r>
    </w:p>
    <w:p>
      <w:pPr>
        <w:adjustRightInd w:val="0"/>
        <w:spacing w:line="400" w:lineRule="exact"/>
        <w:ind w:left="420" w:firstLine="420"/>
        <w:rPr>
          <w:bCs/>
          <w:color w:val="000000"/>
          <w:szCs w:val="21"/>
        </w:rPr>
      </w:pPr>
      <w:r>
        <w:rPr>
          <w:bCs/>
          <w:color w:val="000000"/>
          <w:szCs w:val="21"/>
        </w:rPr>
        <w:t>1）每颗螺栓均承担剪力的方法：</w:t>
      </w:r>
    </w:p>
    <w:p>
      <w:pPr>
        <w:adjustRightInd w:val="0"/>
        <w:spacing w:line="440" w:lineRule="exact"/>
        <w:jc w:val="right"/>
        <w:rPr>
          <w:bCs/>
          <w:color w:val="000000"/>
          <w:szCs w:val="21"/>
        </w:rPr>
      </w:pPr>
      <w:r>
        <w:rPr>
          <w:bCs/>
          <w:color w:val="000000"/>
          <w:position w:val="-14"/>
          <w:szCs w:val="21"/>
        </w:rPr>
        <w:object>
          <v:shape id="_x0000_i1213" o:spt="75" type="#_x0000_t75" style="height:18.75pt;width:58pt;" o:ole="t" filled="f" o:preferrelative="t" stroked="f" coordsize="21600,21600">
            <v:path/>
            <v:fill on="f" focussize="0,0"/>
            <v:stroke on="f"/>
            <v:imagedata r:id="rId445" o:title=""/>
            <o:lock v:ext="edit" grouping="f" rotation="f" text="f" aspectratio="t"/>
            <w10:wrap type="none"/>
            <w10:anchorlock/>
          </v:shape>
          <o:OLEObject Type="Embed" ProgID="Equation.KSEE3" ShapeID="_x0000_i1213" DrawAspect="Content" ObjectID="_1468075903" r:id="rId444">
            <o:LockedField>false</o:LockedField>
          </o:OLEObject>
        </w:object>
      </w:r>
      <w:r>
        <w:rPr>
          <w:bCs/>
          <w:color w:val="000000"/>
          <w:szCs w:val="21"/>
        </w:rPr>
        <w:t xml:space="preserve">                            （1</w:t>
      </w:r>
      <w:r>
        <w:rPr>
          <w:rFonts w:hint="eastAsia"/>
          <w:bCs/>
          <w:color w:val="000000"/>
          <w:szCs w:val="21"/>
        </w:rPr>
        <w:t>4</w:t>
      </w:r>
      <w:r>
        <w:rPr>
          <w:bCs/>
          <w:color w:val="000000"/>
          <w:szCs w:val="21"/>
        </w:rPr>
        <w:t>）</w:t>
      </w:r>
    </w:p>
    <w:p>
      <w:pPr>
        <w:adjustRightInd w:val="0"/>
        <w:spacing w:line="440" w:lineRule="exact"/>
        <w:jc w:val="right"/>
        <w:rPr>
          <w:bCs/>
          <w:color w:val="000000"/>
          <w:szCs w:val="21"/>
        </w:rPr>
      </w:pPr>
      <w:r>
        <w:rPr>
          <w:bCs/>
          <w:color w:val="000000"/>
          <w:position w:val="-14"/>
          <w:szCs w:val="21"/>
        </w:rPr>
        <w:object>
          <v:shape id="_x0000_i1214" o:spt="75" type="#_x0000_t75" style="height:19.55pt;width:84.65pt;" o:ole="t" filled="f" o:preferrelative="t" stroked="f" coordsize="21600,21600">
            <v:path/>
            <v:fill on="f" focussize="0,0"/>
            <v:stroke on="f"/>
            <v:imagedata r:id="rId447" o:title=""/>
            <o:lock v:ext="edit" grouping="f" rotation="f" text="f" aspectratio="t"/>
            <w10:wrap type="none"/>
            <w10:anchorlock/>
          </v:shape>
          <o:OLEObject Type="Embed" ProgID="Equation.KSEE3" ShapeID="_x0000_i1214" DrawAspect="Content" ObjectID="_1468075904" r:id="rId446">
            <o:LockedField>false</o:LockedField>
          </o:OLEObject>
        </w:object>
      </w:r>
      <w:r>
        <w:rPr>
          <w:bCs/>
          <w:color w:val="000000"/>
          <w:szCs w:val="21"/>
        </w:rPr>
        <w:t xml:space="preserve">                         （1</w:t>
      </w:r>
      <w:r>
        <w:rPr>
          <w:rFonts w:hint="eastAsia"/>
          <w:bCs/>
          <w:color w:val="000000"/>
          <w:szCs w:val="21"/>
        </w:rPr>
        <w:t>5</w:t>
      </w:r>
      <w:r>
        <w:rPr>
          <w:bCs/>
          <w:color w:val="000000"/>
          <w:szCs w:val="21"/>
        </w:rPr>
        <w:t>）</w:t>
      </w:r>
    </w:p>
    <w:p>
      <w:pPr>
        <w:adjustRightInd w:val="0"/>
        <w:spacing w:line="440" w:lineRule="exact"/>
        <w:jc w:val="right"/>
        <w:rPr>
          <w:bCs/>
          <w:color w:val="000000"/>
          <w:szCs w:val="21"/>
        </w:rPr>
      </w:pPr>
      <w:r>
        <w:rPr>
          <w:bCs/>
          <w:color w:val="000000"/>
          <w:position w:val="-14"/>
          <w:szCs w:val="21"/>
        </w:rPr>
        <w:object>
          <v:shape id="_x0000_i1215" o:spt="75" type="#_x0000_t75" style="height:22.9pt;width:119.95pt;" o:ole="t" filled="f" o:preferrelative="t" stroked="f" coordsize="21600,21600">
            <v:path/>
            <v:fill on="f" focussize="0,0"/>
            <v:stroke on="f"/>
            <v:imagedata r:id="rId449" o:title=""/>
            <o:lock v:ext="edit" grouping="f" rotation="f" text="f" aspectratio="t"/>
            <w10:wrap type="none"/>
            <w10:anchorlock/>
          </v:shape>
          <o:OLEObject Type="Embed" ProgID="Equation.KSEE3" ShapeID="_x0000_i1215" DrawAspect="Content" ObjectID="_1468075905" r:id="rId448">
            <o:LockedField>false</o:LockedField>
          </o:OLEObject>
        </w:object>
      </w:r>
      <w:r>
        <w:rPr>
          <w:bCs/>
          <w:color w:val="000000"/>
          <w:szCs w:val="21"/>
        </w:rPr>
        <w:t xml:space="preserve">                    （1</w:t>
      </w:r>
      <w:r>
        <w:rPr>
          <w:rFonts w:hint="eastAsia"/>
          <w:bCs/>
          <w:color w:val="000000"/>
          <w:szCs w:val="21"/>
        </w:rPr>
        <w:t>6</w:t>
      </w:r>
      <w:r>
        <w:rPr>
          <w:bCs/>
          <w:color w:val="000000"/>
          <w:szCs w:val="21"/>
        </w:rPr>
        <w:t>）</w:t>
      </w:r>
    </w:p>
    <w:p>
      <w:pPr>
        <w:adjustRightInd w:val="0"/>
        <w:spacing w:line="440" w:lineRule="exact"/>
        <w:jc w:val="right"/>
        <w:rPr>
          <w:bCs/>
          <w:color w:val="000000"/>
          <w:szCs w:val="21"/>
        </w:rPr>
      </w:pPr>
      <w:r>
        <w:rPr>
          <w:rFonts w:hint="eastAsia"/>
          <w:bCs/>
          <w:color w:val="000000"/>
          <w:position w:val="-14"/>
          <w:szCs w:val="21"/>
        </w:rPr>
        <w:object>
          <v:shape id="_x0000_i1216" o:spt="75" type="#_x0000_t75" style="height:18pt;width:112pt;" o:ole="t" filled="f" stroked="f" coordsize="21600,21600">
            <v:path/>
            <v:fill on="f" focussize="0,0"/>
            <v:stroke on="f"/>
            <v:imagedata r:id="rId451" o:title=""/>
            <o:lock v:ext="edit" grouping="f" rotation="f" text="f" aspectratio="t"/>
            <w10:wrap type="none"/>
            <w10:anchorlock/>
          </v:shape>
          <o:OLEObject Type="Embed" ProgID="Equation.KSEE3" ShapeID="_x0000_i1216" DrawAspect="Content" ObjectID="_1468075906" r:id="rId450">
            <o:LockedField>false</o:LockedField>
          </o:OLEObject>
        </w:object>
      </w:r>
      <w:r>
        <w:rPr>
          <w:bCs/>
          <w:color w:val="000000"/>
          <w:szCs w:val="21"/>
        </w:rPr>
        <w:t xml:space="preserve">                    （1</w:t>
      </w:r>
      <w:r>
        <w:rPr>
          <w:rFonts w:hint="eastAsia"/>
          <w:bCs/>
          <w:color w:val="000000"/>
          <w:szCs w:val="21"/>
        </w:rPr>
        <w:t>7</w:t>
      </w:r>
      <w:r>
        <w:rPr>
          <w:bCs/>
          <w:color w:val="000000"/>
          <w:szCs w:val="21"/>
        </w:rPr>
        <w:t>）</w:t>
      </w:r>
    </w:p>
    <w:p>
      <w:pPr>
        <w:adjustRightInd w:val="0"/>
        <w:spacing w:line="400" w:lineRule="exact"/>
        <w:rPr>
          <w:bCs/>
          <w:color w:val="000000"/>
          <w:szCs w:val="21"/>
        </w:rPr>
      </w:pPr>
      <w:r>
        <w:rPr>
          <w:bCs/>
          <w:color w:val="000000"/>
          <w:szCs w:val="21"/>
        </w:rPr>
        <w:t>式中</w:t>
      </w:r>
      <w:r>
        <w:rPr>
          <w:rFonts w:hint="eastAsia"/>
          <w:bCs/>
          <w:color w:val="000000"/>
          <w:szCs w:val="21"/>
        </w:rPr>
        <w:t>：</w:t>
      </w:r>
      <w:r>
        <w:rPr>
          <w:bCs/>
          <w:color w:val="000000"/>
          <w:position w:val="-12"/>
          <w:szCs w:val="21"/>
        </w:rPr>
        <w:object>
          <v:shape id="_x0000_i1217" o:spt="75" type="#_x0000_t75" style="height:17.75pt;width:22.65pt;" o:ole="t" filled="f" o:preferrelative="t" stroked="f" coordsize="21600,21600">
            <v:path/>
            <v:fill on="f" focussize="0,0"/>
            <v:stroke on="f"/>
            <v:imagedata r:id="rId453" o:title=""/>
            <o:lock v:ext="edit" grouping="f" rotation="f" text="f" aspectratio="t"/>
            <w10:wrap type="none"/>
            <w10:anchorlock/>
          </v:shape>
          <o:OLEObject Type="Embed" ProgID="Equation.KSEE3" ShapeID="_x0000_i1217" DrawAspect="Content" ObjectID="_1468075907" r:id="rId452">
            <o:LockedField>false</o:LockedField>
          </o:OLEObject>
        </w:object>
      </w:r>
      <w:r>
        <w:rPr>
          <w:bCs/>
          <w:color w:val="000000"/>
          <w:szCs w:val="21"/>
        </w:rPr>
        <w:t>——腹板螺栓连接的极限受弯承载力；</w:t>
      </w:r>
    </w:p>
    <w:p>
      <w:pPr>
        <w:adjustRightInd w:val="0"/>
        <w:spacing w:line="400" w:lineRule="exact"/>
        <w:ind w:firstLine="638" w:firstLineChars="304"/>
        <w:rPr>
          <w:bCs/>
          <w:color w:val="000000"/>
          <w:szCs w:val="21"/>
        </w:rPr>
      </w:pPr>
      <w:r>
        <w:rPr>
          <w:bCs/>
          <w:color w:val="000000"/>
          <w:position w:val="-12"/>
          <w:szCs w:val="21"/>
        </w:rPr>
        <w:object>
          <v:shape id="_x0000_i1218" o:spt="75" type="#_x0000_t75" style="height:18pt;width:13pt;" o:ole="t" filled="f" o:preferrelative="t" stroked="f" coordsize="21600,21600">
            <v:path/>
            <v:fill on="f" focussize="0,0"/>
            <v:stroke on="f"/>
            <v:imagedata r:id="rId455" o:title=""/>
            <o:lock v:ext="edit" grouping="f" rotation="f" text="f" aspectratio="t"/>
            <w10:wrap type="none"/>
            <w10:anchorlock/>
          </v:shape>
          <o:OLEObject Type="Embed" ProgID="Equation.3" ShapeID="_x0000_i1218" DrawAspect="Content" ObjectID="_1468075908" r:id="rId454">
            <o:LockedField>false</o:LockedField>
          </o:OLEObject>
        </w:object>
      </w:r>
      <w:r>
        <w:rPr>
          <w:bCs/>
          <w:color w:val="000000"/>
          <w:szCs w:val="21"/>
        </w:rPr>
        <w:t>——各螺栓到梁中性轴的距离；</w:t>
      </w:r>
    </w:p>
    <w:p>
      <w:pPr>
        <w:adjustRightInd w:val="0"/>
        <w:spacing w:line="400" w:lineRule="exact"/>
        <w:ind w:firstLine="638" w:firstLineChars="304"/>
        <w:rPr>
          <w:bCs/>
          <w:color w:val="000000"/>
          <w:szCs w:val="21"/>
        </w:rPr>
      </w:pPr>
      <w:r>
        <w:rPr>
          <w:bCs/>
          <w:color w:val="000000"/>
          <w:position w:val="-12"/>
          <w:szCs w:val="21"/>
        </w:rPr>
        <w:object>
          <v:shape id="_x0000_i1219" o:spt="75" type="#_x0000_t75" style="height:17.85pt;width:22.55pt;" o:ole="t" filled="f" o:preferrelative="t" stroked="f" coordsize="21600,21600">
            <v:path/>
            <v:fill on="f" focussize="0,0"/>
            <v:stroke on="f"/>
            <v:imagedata r:id="rId457" o:title=""/>
            <o:lock v:ext="edit" grouping="f" rotation="f" text="f" aspectratio="t"/>
            <w10:wrap type="none"/>
            <w10:anchorlock/>
          </v:shape>
          <o:OLEObject Type="Embed" ProgID="Equation.3" ShapeID="_x0000_i1219" DrawAspect="Content" ObjectID="_1468075909" r:id="rId456">
            <o:LockedField>false</o:LockedField>
          </o:OLEObject>
        </w:object>
      </w:r>
      <w:r>
        <w:rPr>
          <w:bCs/>
          <w:color w:val="000000"/>
          <w:szCs w:val="21"/>
        </w:rPr>
        <w:t>——每颗螺栓考虑剪力影响后的极限受剪承载力；</w:t>
      </w:r>
    </w:p>
    <w:p>
      <w:pPr>
        <w:adjustRightInd w:val="0"/>
        <w:spacing w:line="400" w:lineRule="exact"/>
        <w:ind w:firstLine="638" w:firstLineChars="304"/>
        <w:rPr>
          <w:bCs/>
          <w:color w:val="000000"/>
          <w:szCs w:val="21"/>
        </w:rPr>
      </w:pPr>
      <w:r>
        <w:rPr>
          <w:bCs/>
          <w:color w:val="000000"/>
          <w:position w:val="-12"/>
          <w:szCs w:val="21"/>
        </w:rPr>
        <w:object>
          <v:shape id="_x0000_i1220" o:spt="75" type="#_x0000_t75" style="height:18.05pt;width:19.95pt;" o:ole="t" filled="f" o:preferrelative="t" stroked="f" coordsize="21600,21600">
            <v:path/>
            <v:fill on="f" focussize="0,0"/>
            <v:stroke on="f"/>
            <v:imagedata r:id="rId459" o:title=""/>
            <o:lock v:ext="edit" grouping="f" rotation="f" text="f" aspectratio="t"/>
            <w10:wrap type="none"/>
            <w10:anchorlock/>
          </v:shape>
          <o:OLEObject Type="Embed" ProgID="Equation.3" ShapeID="_x0000_i1220" DrawAspect="Content" ObjectID="_1468075910" r:id="rId458">
            <o:LockedField>false</o:LockedField>
          </o:OLEObject>
        </w:object>
      </w:r>
      <w:r>
        <w:rPr>
          <w:bCs/>
          <w:color w:val="000000"/>
          <w:szCs w:val="21"/>
        </w:rPr>
        <w:t>——每颗高强度螺栓的极限受剪承载力；</w:t>
      </w:r>
    </w:p>
    <w:p>
      <w:pPr>
        <w:adjustRightInd w:val="0"/>
        <w:spacing w:line="400" w:lineRule="exact"/>
        <w:ind w:firstLine="638" w:firstLineChars="304"/>
        <w:rPr>
          <w:bCs/>
          <w:color w:val="000000"/>
          <w:szCs w:val="21"/>
        </w:rPr>
      </w:pPr>
      <w:r>
        <w:rPr>
          <w:bCs/>
          <w:i/>
          <w:color w:val="000000"/>
          <w:position w:val="-12"/>
          <w:szCs w:val="21"/>
        </w:rPr>
        <w:object>
          <v:shape id="_x0000_i1221" o:spt="75" type="#_x0000_t75" style="height:15.9pt;width:13.2pt;" o:ole="t" filled="f" o:preferrelative="t" stroked="f" coordsize="21600,21600">
            <v:path/>
            <v:fill on="f" focussize="0,0"/>
            <v:stroke on="f"/>
            <v:imagedata r:id="rId461" o:title=""/>
            <o:lock v:ext="edit" grouping="f" rotation="f" text="f" aspectratio="t"/>
            <w10:wrap type="none"/>
            <w10:anchorlock/>
          </v:shape>
          <o:OLEObject Type="Embed" ProgID="Equation.3" ShapeID="_x0000_i1221" DrawAspect="Content" ObjectID="_1468075911" r:id="rId460">
            <o:LockedField>false</o:LockedField>
          </o:OLEObject>
        </w:object>
      </w:r>
      <w:r>
        <w:rPr>
          <w:bCs/>
          <w:color w:val="000000"/>
          <w:szCs w:val="21"/>
        </w:rPr>
        <w:t>——腹板连接处每侧的螺栓数量；</w:t>
      </w:r>
    </w:p>
    <w:p>
      <w:pPr>
        <w:adjustRightInd w:val="0"/>
        <w:spacing w:line="400" w:lineRule="exact"/>
        <w:ind w:firstLine="638" w:firstLineChars="304"/>
        <w:rPr>
          <w:bCs/>
          <w:color w:val="000000"/>
          <w:szCs w:val="21"/>
        </w:rPr>
      </w:pPr>
      <w:r>
        <w:rPr>
          <w:bCs/>
          <w:color w:val="000000"/>
          <w:position w:val="-12"/>
          <w:szCs w:val="21"/>
        </w:rPr>
        <w:object>
          <v:shape id="_x0000_i1222" o:spt="75" type="#_x0000_t75" style="height:17.55pt;width:13.85pt;" o:ole="t" filled="f" o:preferrelative="t" stroked="f" coordsize="21600,21600">
            <v:path/>
            <v:fill on="f" focussize="0,0"/>
            <v:stroke on="f"/>
            <v:imagedata r:id="rId463" o:title=""/>
            <o:lock v:ext="edit" grouping="f" rotation="f" text="f" aspectratio="t"/>
            <w10:wrap type="none"/>
            <w10:anchorlock/>
          </v:shape>
          <o:OLEObject Type="Embed" ProgID="Equation.3" ShapeID="_x0000_i1222" DrawAspect="Content" ObjectID="_1468075912" r:id="rId462">
            <o:LockedField>false</o:LockedField>
          </o:OLEObject>
        </w:object>
      </w:r>
      <w:r>
        <w:rPr>
          <w:bCs/>
          <w:color w:val="000000"/>
          <w:szCs w:val="21"/>
        </w:rPr>
        <w:t>——</w:t>
      </w:r>
      <w:r>
        <w:rPr>
          <w:rFonts w:hint="eastAsia"/>
          <w:bCs/>
          <w:color w:val="000000"/>
          <w:szCs w:val="21"/>
        </w:rPr>
        <w:t>框架呈塑性铰状态时在梁柱</w:t>
      </w:r>
      <w:r>
        <w:rPr>
          <w:bCs/>
          <w:color w:val="000000"/>
          <w:szCs w:val="21"/>
        </w:rPr>
        <w:t>连接处</w:t>
      </w:r>
      <w:r>
        <w:rPr>
          <w:rFonts w:hint="eastAsia"/>
          <w:bCs/>
          <w:color w:val="000000"/>
          <w:szCs w:val="21"/>
        </w:rPr>
        <w:t>相应</w:t>
      </w:r>
      <w:r>
        <w:rPr>
          <w:bCs/>
          <w:color w:val="000000"/>
          <w:szCs w:val="21"/>
        </w:rPr>
        <w:t>的剪力。</w:t>
      </w:r>
    </w:p>
    <w:p>
      <w:pPr>
        <w:adjustRightInd w:val="0"/>
        <w:spacing w:line="400" w:lineRule="exact"/>
        <w:ind w:left="420" w:firstLine="420"/>
        <w:rPr>
          <w:bCs/>
          <w:color w:val="000000"/>
          <w:szCs w:val="21"/>
        </w:rPr>
      </w:pPr>
      <w:r>
        <w:rPr>
          <w:bCs/>
          <w:color w:val="000000"/>
          <w:szCs w:val="21"/>
        </w:rPr>
        <w:t>2）试验研究表明，在反复循环荷载作用下</w:t>
      </w:r>
      <w:r>
        <w:rPr>
          <w:rFonts w:hint="eastAsia"/>
          <w:bCs/>
          <w:color w:val="000000"/>
          <w:szCs w:val="21"/>
        </w:rPr>
        <w:t>，</w:t>
      </w:r>
      <w:r>
        <w:rPr>
          <w:bCs/>
          <w:color w:val="000000"/>
          <w:szCs w:val="21"/>
        </w:rPr>
        <w:t>H</w:t>
      </w:r>
      <w:r>
        <w:rPr>
          <w:rFonts w:hint="eastAsia"/>
          <w:bCs/>
          <w:color w:val="000000"/>
          <w:szCs w:val="21"/>
        </w:rPr>
        <w:t>形</w:t>
      </w:r>
      <w:r>
        <w:rPr>
          <w:bCs/>
          <w:color w:val="000000"/>
          <w:szCs w:val="21"/>
        </w:rPr>
        <w:t>梁</w:t>
      </w:r>
      <w:r>
        <w:rPr>
          <w:rFonts w:hint="eastAsia"/>
          <w:bCs/>
          <w:color w:val="000000"/>
          <w:szCs w:val="21"/>
        </w:rPr>
        <w:t>的</w:t>
      </w:r>
      <w:r>
        <w:rPr>
          <w:bCs/>
          <w:color w:val="000000"/>
          <w:szCs w:val="21"/>
        </w:rPr>
        <w:t>塑性深度逐步发展的过程，</w:t>
      </w:r>
      <w:r>
        <w:rPr>
          <w:rFonts w:hint="eastAsia"/>
          <w:bCs/>
          <w:color w:val="000000"/>
          <w:szCs w:val="21"/>
        </w:rPr>
        <w:t>就</w:t>
      </w:r>
      <w:r>
        <w:rPr>
          <w:bCs/>
          <w:color w:val="000000"/>
          <w:szCs w:val="21"/>
        </w:rPr>
        <w:t>是剪应力向腹板中央集中的过程。</w:t>
      </w:r>
      <w:r>
        <w:rPr>
          <w:rFonts w:hint="eastAsia"/>
          <w:bCs/>
          <w:color w:val="000000"/>
          <w:szCs w:val="21"/>
        </w:rPr>
        <w:t>达</w:t>
      </w:r>
      <w:r>
        <w:rPr>
          <w:bCs/>
          <w:color w:val="000000"/>
          <w:szCs w:val="21"/>
        </w:rPr>
        <w:t>塑性极限状态</w:t>
      </w:r>
      <w:r>
        <w:rPr>
          <w:rFonts w:hint="eastAsia"/>
          <w:bCs/>
          <w:color w:val="000000"/>
          <w:szCs w:val="21"/>
        </w:rPr>
        <w:t>时</w:t>
      </w:r>
      <w:r>
        <w:rPr>
          <w:bCs/>
          <w:color w:val="000000"/>
          <w:szCs w:val="21"/>
        </w:rPr>
        <w:t>，剪应力基本集中在腹板中央。因此，</w:t>
      </w:r>
      <w:r>
        <w:rPr>
          <w:rFonts w:hint="eastAsia"/>
          <w:bCs/>
          <w:color w:val="000000"/>
          <w:szCs w:val="21"/>
        </w:rPr>
        <w:t>极限承载力验算</w:t>
      </w:r>
      <w:r>
        <w:rPr>
          <w:bCs/>
          <w:color w:val="000000"/>
          <w:szCs w:val="21"/>
        </w:rPr>
        <w:t>可采用腹板中性轴附近</w:t>
      </w:r>
      <w:r>
        <w:rPr>
          <w:rFonts w:hint="eastAsia"/>
          <w:bCs/>
          <w:color w:val="000000"/>
          <w:szCs w:val="21"/>
        </w:rPr>
        <w:t>几行</w:t>
      </w:r>
      <w:r>
        <w:rPr>
          <w:bCs/>
          <w:color w:val="000000"/>
          <w:szCs w:val="21"/>
        </w:rPr>
        <w:t>螺栓承担剪力，其余</w:t>
      </w:r>
      <w:r>
        <w:rPr>
          <w:rFonts w:hint="eastAsia"/>
          <w:bCs/>
          <w:color w:val="000000"/>
          <w:szCs w:val="21"/>
        </w:rPr>
        <w:t>几行靠近翼缘的</w:t>
      </w:r>
      <w:r>
        <w:rPr>
          <w:bCs/>
          <w:color w:val="000000"/>
          <w:szCs w:val="21"/>
        </w:rPr>
        <w:t>螺栓承担弯矩的方法。这种方法，可按下式先确定腹板承受的最大剪力作用下的螺栓数量，剩余的螺栓按式（13）验算腹板连接的极限受弯承载力。</w:t>
      </w:r>
    </w:p>
    <w:p>
      <w:pPr>
        <w:spacing w:line="360" w:lineRule="auto"/>
        <w:jc w:val="center"/>
        <w:rPr>
          <w:bCs/>
          <w:color w:val="000000"/>
          <w:szCs w:val="21"/>
        </w:rPr>
      </w:pPr>
      <w:r>
        <w:rPr>
          <w:bCs/>
          <w:color w:val="000000"/>
        </w:rPr>
        <w:drawing>
          <wp:inline distT="0" distB="0" distL="114300" distR="114300">
            <wp:extent cx="2124710" cy="1160145"/>
            <wp:effectExtent l="0" t="0" r="1905" b="5715"/>
            <wp:docPr id="141"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02"/>
                    <pic:cNvPicPr>
                      <a:picLocks noChangeAspect="1"/>
                    </pic:cNvPicPr>
                  </pic:nvPicPr>
                  <pic:blipFill>
                    <a:blip r:embed="rId464"/>
                    <a:stretch>
                      <a:fillRect/>
                    </a:stretch>
                  </pic:blipFill>
                  <pic:spPr>
                    <a:xfrm>
                      <a:off x="0" y="0"/>
                      <a:ext cx="2124710" cy="1160145"/>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图4  腹板高强度螺栓连接的内力分摊</w:t>
      </w:r>
    </w:p>
    <w:p>
      <w:pPr>
        <w:adjustRightInd w:val="0"/>
        <w:jc w:val="right"/>
        <w:rPr>
          <w:bCs/>
          <w:color w:val="000000"/>
          <w:szCs w:val="21"/>
        </w:rPr>
      </w:pPr>
      <w:r>
        <w:rPr>
          <w:bCs/>
          <w:color w:val="000000"/>
          <w:position w:val="-12"/>
          <w:szCs w:val="21"/>
        </w:rPr>
        <w:object>
          <v:shape id="_x0000_i1223" o:spt="75" type="#_x0000_t75" style="height:17.65pt;width:39.05pt;" o:ole="t" filled="f" o:preferrelative="t" stroked="f" coordsize="21600,21600">
            <v:path/>
            <v:fill on="f" focussize="0,0"/>
            <v:stroke on="f"/>
            <v:imagedata r:id="rId466" o:title=""/>
            <o:lock v:ext="edit" grouping="f" rotation="f" text="f" aspectratio="t"/>
            <w10:wrap type="none"/>
            <w10:anchorlock/>
          </v:shape>
          <o:OLEObject Type="Embed" ProgID="Equation.KSEE3" ShapeID="_x0000_i1223" DrawAspect="Content" ObjectID="_1468075913" r:id="rId465">
            <o:LockedField>false</o:LockedField>
          </o:OLEObject>
        </w:object>
      </w:r>
      <w:r>
        <w:rPr>
          <w:bCs/>
          <w:color w:val="000000"/>
          <w:szCs w:val="21"/>
        </w:rPr>
        <w:t xml:space="preserve">                              （1</w:t>
      </w:r>
      <w:r>
        <w:rPr>
          <w:rFonts w:hint="eastAsia"/>
          <w:bCs/>
          <w:color w:val="000000"/>
          <w:szCs w:val="21"/>
        </w:rPr>
        <w:t>8</w:t>
      </w:r>
      <w:r>
        <w:rPr>
          <w:bCs/>
          <w:color w:val="000000"/>
          <w:szCs w:val="21"/>
        </w:rPr>
        <w:t>）</w:t>
      </w:r>
    </w:p>
    <w:p>
      <w:pPr>
        <w:adjustRightInd w:val="0"/>
        <w:spacing w:line="400" w:lineRule="exact"/>
        <w:rPr>
          <w:bCs/>
          <w:color w:val="000000"/>
          <w:szCs w:val="21"/>
        </w:rPr>
      </w:pPr>
      <w:r>
        <w:rPr>
          <w:bCs/>
          <w:color w:val="000000"/>
          <w:szCs w:val="21"/>
        </w:rPr>
        <w:t>式中</w:t>
      </w:r>
      <w:r>
        <w:rPr>
          <w:rFonts w:hint="eastAsia"/>
          <w:bCs/>
          <w:color w:val="000000"/>
          <w:szCs w:val="21"/>
        </w:rPr>
        <w:t>：</w:t>
      </w:r>
      <w:r>
        <w:rPr>
          <w:bCs/>
          <w:color w:val="000000"/>
          <w:position w:val="-12"/>
          <w:szCs w:val="21"/>
        </w:rPr>
        <w:object>
          <v:shape id="_x0000_i1224" o:spt="75" type="#_x0000_t75" style="height:18.05pt;width:16.15pt;" o:ole="t" filled="f" o:preferrelative="t" stroked="f" coordsize="21600,21600">
            <v:path/>
            <v:fill on="f" focussize="0,0"/>
            <v:stroke on="f"/>
            <v:imagedata r:id="rId468" o:title=""/>
            <o:lock v:ext="edit" grouping="f" rotation="f" text="f" aspectratio="t"/>
            <w10:wrap type="none"/>
            <w10:anchorlock/>
          </v:shape>
          <o:OLEObject Type="Embed" ProgID="Equation.3" ShapeID="_x0000_i1224" DrawAspect="Content" ObjectID="_1468075914" r:id="rId467">
            <o:LockedField>false</o:LockedField>
          </o:OLEObject>
        </w:object>
      </w:r>
      <w:r>
        <w:rPr>
          <w:bCs/>
          <w:color w:val="000000"/>
          <w:szCs w:val="21"/>
        </w:rPr>
        <w:t>——抗剪区螺栓的极限受剪承载力。</w:t>
      </w:r>
    </w:p>
    <w:p>
      <w:pPr>
        <w:autoSpaceDE w:val="0"/>
        <w:autoSpaceDN w:val="0"/>
        <w:adjustRightInd w:val="0"/>
        <w:spacing w:line="400" w:lineRule="exact"/>
        <w:ind w:firstLine="420" w:firstLineChars="200"/>
        <w:rPr>
          <w:bCs/>
          <w:color w:val="000000"/>
          <w:kern w:val="0"/>
          <w:szCs w:val="21"/>
        </w:rPr>
      </w:pPr>
      <w:r>
        <w:rPr>
          <w:bCs/>
          <w:color w:val="000000"/>
          <w:kern w:val="0"/>
          <w:szCs w:val="21"/>
        </w:rPr>
        <w:t>第一种方法，假定所有螺栓同时受弯矩和剪力作用，均达到极限受剪承载力，按到梁中性轴的距离传递弯矩。虽然腹板高强度螺栓连接达极限受弯承载力时，螺栓群的内力传递机制尚未弄清，但据以往的试验和解析研究证实，这种假定是合适的。</w:t>
      </w:r>
    </w:p>
    <w:p>
      <w:pPr>
        <w:autoSpaceDE w:val="0"/>
        <w:autoSpaceDN w:val="0"/>
        <w:adjustRightInd w:val="0"/>
        <w:spacing w:line="400" w:lineRule="exact"/>
        <w:ind w:firstLine="420" w:firstLineChars="200"/>
        <w:rPr>
          <w:bCs/>
          <w:color w:val="000000"/>
          <w:kern w:val="0"/>
          <w:szCs w:val="21"/>
        </w:rPr>
      </w:pPr>
      <w:r>
        <w:rPr>
          <w:bCs/>
          <w:color w:val="000000"/>
          <w:kern w:val="0"/>
          <w:szCs w:val="21"/>
        </w:rPr>
        <w:t>第二种方法</w:t>
      </w:r>
      <w:r>
        <w:rPr>
          <w:rFonts w:hint="eastAsia"/>
          <w:bCs/>
          <w:color w:val="000000"/>
          <w:kern w:val="0"/>
          <w:szCs w:val="21"/>
        </w:rPr>
        <w:t>，</w:t>
      </w:r>
      <w:r>
        <w:rPr>
          <w:bCs/>
          <w:color w:val="000000"/>
          <w:kern w:val="0"/>
          <w:szCs w:val="21"/>
        </w:rPr>
        <w:t>考虑了</w:t>
      </w:r>
      <w:r>
        <w:rPr>
          <w:rFonts w:hint="eastAsia"/>
          <w:bCs/>
          <w:color w:val="000000"/>
          <w:kern w:val="0"/>
          <w:szCs w:val="21"/>
        </w:rPr>
        <w:t>破坏</w:t>
      </w:r>
      <w:r>
        <w:rPr>
          <w:bCs/>
          <w:color w:val="000000"/>
          <w:kern w:val="0"/>
          <w:szCs w:val="21"/>
        </w:rPr>
        <w:t>极限状态的实际受力情况。截面塑性屈服从边缘逐步向梁的中性轴深入的过程中，由于</w:t>
      </w:r>
      <w:r>
        <w:rPr>
          <w:rFonts w:hint="eastAsia"/>
          <w:bCs/>
          <w:color w:val="000000"/>
          <w:kern w:val="0"/>
          <w:szCs w:val="21"/>
        </w:rPr>
        <w:t>边缘</w:t>
      </w:r>
      <w:r>
        <w:rPr>
          <w:bCs/>
          <w:color w:val="000000"/>
          <w:kern w:val="0"/>
          <w:szCs w:val="21"/>
        </w:rPr>
        <w:t>钢材屈服流动状态所承受的剪力比在弹性状态时要小得多，从而导致梁端在</w:t>
      </w:r>
      <w:r>
        <w:rPr>
          <w:rFonts w:hint="eastAsia"/>
          <w:bCs/>
          <w:color w:val="000000"/>
          <w:kern w:val="0"/>
          <w:szCs w:val="21"/>
        </w:rPr>
        <w:t>破坏</w:t>
      </w:r>
      <w:r>
        <w:rPr>
          <w:bCs/>
          <w:color w:val="000000"/>
          <w:kern w:val="0"/>
          <w:szCs w:val="21"/>
        </w:rPr>
        <w:t>极限状态发生剪应力集中在腹板中性轴附近区域。同时，对于箱型等中空截面柱，腹板受弯矩</w:t>
      </w:r>
      <w:r>
        <w:rPr>
          <w:rFonts w:hint="eastAsia"/>
          <w:bCs/>
          <w:color w:val="000000"/>
          <w:kern w:val="0"/>
          <w:szCs w:val="21"/>
        </w:rPr>
        <w:t>作用的</w:t>
      </w:r>
      <w:r>
        <w:rPr>
          <w:bCs/>
          <w:color w:val="000000"/>
          <w:kern w:val="0"/>
          <w:szCs w:val="21"/>
        </w:rPr>
        <w:t>变形模式</w:t>
      </w:r>
      <w:r>
        <w:rPr>
          <w:rFonts w:hint="eastAsia"/>
          <w:bCs/>
          <w:color w:val="000000"/>
          <w:kern w:val="0"/>
          <w:szCs w:val="21"/>
        </w:rPr>
        <w:t>，</w:t>
      </w:r>
      <w:r>
        <w:rPr>
          <w:bCs/>
          <w:color w:val="000000"/>
          <w:kern w:val="0"/>
          <w:szCs w:val="21"/>
        </w:rPr>
        <w:t>也倾向于形成承受弯矩区和承受剪力区。</w:t>
      </w:r>
    </w:p>
    <w:p>
      <w:pPr>
        <w:autoSpaceDE w:val="0"/>
        <w:autoSpaceDN w:val="0"/>
        <w:adjustRightInd w:val="0"/>
        <w:spacing w:line="400" w:lineRule="exact"/>
        <w:ind w:firstLine="420" w:firstLineChars="200"/>
        <w:rPr>
          <w:bCs/>
          <w:color w:val="000000"/>
          <w:szCs w:val="21"/>
        </w:rPr>
      </w:pPr>
      <w:r>
        <w:rPr>
          <w:bCs/>
          <w:color w:val="000000"/>
          <w:szCs w:val="21"/>
        </w:rPr>
        <w:t>2 H截面梁拼接的极限承载力，当翼缘腹板均为高强度螺栓连接时，可按式（3）分配翼缘和腹板承担的弯矩，连接的极限抗剪承载力由下式计算：</w:t>
      </w:r>
    </w:p>
    <w:p>
      <w:pPr>
        <w:autoSpaceDE w:val="0"/>
        <w:autoSpaceDN w:val="0"/>
        <w:adjustRightInd w:val="0"/>
        <w:spacing w:line="400" w:lineRule="exact"/>
        <w:ind w:firstLine="420" w:firstLineChars="200"/>
        <w:jc w:val="right"/>
        <w:rPr>
          <w:bCs/>
          <w:color w:val="000000"/>
          <w:kern w:val="0"/>
          <w:szCs w:val="21"/>
        </w:rPr>
      </w:pPr>
      <w:r>
        <w:rPr>
          <w:bCs/>
          <w:color w:val="000000"/>
          <w:kern w:val="0"/>
          <w:position w:val="-14"/>
          <w:szCs w:val="21"/>
        </w:rPr>
        <w:object>
          <v:shape id="_x0000_i1225" o:spt="75" type="#_x0000_t75" style="height:18.85pt;width:57.45pt;" o:ole="t" filled="f" o:preferrelative="t" stroked="f" coordsize="21600,21600">
            <v:path/>
            <v:fill on="f" focussize="0,0"/>
            <v:stroke on="f"/>
            <v:imagedata r:id="rId470" o:title=""/>
            <o:lock v:ext="edit" grouping="f" rotation="f" text="f" aspectratio="t"/>
            <w10:wrap type="none"/>
            <w10:anchorlock/>
          </v:shape>
          <o:OLEObject Type="Embed" ProgID="Equation.KSEE3" ShapeID="_x0000_i1225" DrawAspect="Content" ObjectID="_1468075915" r:id="rId469">
            <o:LockedField>false</o:LockedField>
          </o:OLEObject>
        </w:object>
      </w:r>
      <w:r>
        <w:rPr>
          <w:bCs/>
          <w:color w:val="000000"/>
          <w:kern w:val="0"/>
          <w:szCs w:val="21"/>
        </w:rPr>
        <w:t xml:space="preserve">                             （1</w:t>
      </w:r>
      <w:r>
        <w:rPr>
          <w:rFonts w:hint="eastAsia"/>
          <w:bCs/>
          <w:color w:val="000000"/>
          <w:kern w:val="0"/>
          <w:szCs w:val="21"/>
        </w:rPr>
        <w:t>9</w:t>
      </w:r>
      <w:r>
        <w:rPr>
          <w:bCs/>
          <w:color w:val="000000"/>
          <w:kern w:val="0"/>
          <w:szCs w:val="21"/>
        </w:rPr>
        <w:t>）</w:t>
      </w:r>
    </w:p>
    <w:p>
      <w:pPr>
        <w:autoSpaceDE w:val="0"/>
        <w:autoSpaceDN w:val="0"/>
        <w:adjustRightInd w:val="0"/>
        <w:spacing w:line="400" w:lineRule="exact"/>
        <w:ind w:firstLine="420" w:firstLineChars="200"/>
        <w:rPr>
          <w:bCs/>
          <w:color w:val="000000"/>
          <w:szCs w:val="21"/>
        </w:rPr>
      </w:pPr>
      <w:r>
        <w:rPr>
          <w:bCs/>
          <w:color w:val="000000"/>
          <w:szCs w:val="21"/>
        </w:rPr>
        <w:t>1）梁翼缘拼接的极限受弯承载力应按下列公式计算：</w:t>
      </w:r>
    </w:p>
    <w:p>
      <w:pPr>
        <w:pStyle w:val="29"/>
        <w:widowControl/>
        <w:adjustRightInd w:val="0"/>
        <w:spacing w:before="0" w:beforeAutospacing="0" w:after="0" w:afterAutospacing="0" w:line="440" w:lineRule="exact"/>
        <w:ind w:firstLine="638" w:firstLineChars="304"/>
        <w:jc w:val="right"/>
        <w:rPr>
          <w:rFonts w:ascii="Times New Roman" w:hAnsi="Times New Roman"/>
          <w:bCs/>
          <w:color w:val="000000"/>
          <w:sz w:val="21"/>
          <w:szCs w:val="21"/>
        </w:rPr>
      </w:pPr>
      <w:r>
        <w:rPr>
          <w:rFonts w:ascii="Times New Roman" w:hAnsi="Times New Roman"/>
          <w:bCs/>
          <w:color w:val="000000"/>
          <w:position w:val="-14"/>
          <w:sz w:val="21"/>
          <w:szCs w:val="21"/>
        </w:rPr>
        <w:object>
          <v:shape id="_x0000_i1226" o:spt="75" type="#_x0000_t75" style="height:19.6pt;width:198.4pt;" o:ole="t" filled="f" o:preferrelative="t" stroked="f" coordsize="21600,21600">
            <v:path/>
            <v:fill on="f" focussize="0,0"/>
            <v:stroke on="f"/>
            <v:imagedata r:id="rId472" o:title=""/>
            <o:lock v:ext="edit" grouping="f" rotation="f" text="f" aspectratio="t"/>
            <w10:wrap type="none"/>
            <w10:anchorlock/>
          </v:shape>
          <o:OLEObject Type="Embed" ProgID="Equation.3" ShapeID="_x0000_i1226" DrawAspect="Content" ObjectID="_1468075916" r:id="rId471">
            <o:LockedField>false</o:LockedField>
          </o:OLEObject>
        </w:object>
      </w:r>
      <w:r>
        <w:rPr>
          <w:rFonts w:ascii="Times New Roman" w:hAnsi="Times New Roman"/>
          <w:bCs/>
          <w:color w:val="000000"/>
          <w:sz w:val="21"/>
          <w:szCs w:val="21"/>
        </w:rPr>
        <w:t xml:space="preserve">                 （</w:t>
      </w:r>
      <w:r>
        <w:rPr>
          <w:rFonts w:hint="eastAsia" w:ascii="Times New Roman" w:hAnsi="Times New Roman"/>
          <w:bCs/>
          <w:color w:val="000000"/>
          <w:sz w:val="21"/>
          <w:szCs w:val="21"/>
        </w:rPr>
        <w:t>20</w:t>
      </w:r>
      <w:r>
        <w:rPr>
          <w:rFonts w:ascii="Times New Roman" w:hAnsi="Times New Roman"/>
          <w:bCs/>
          <w:color w:val="000000"/>
          <w:sz w:val="21"/>
          <w:szCs w:val="21"/>
        </w:rPr>
        <w:t>）</w:t>
      </w:r>
    </w:p>
    <w:p>
      <w:pPr>
        <w:adjustRightInd w:val="0"/>
        <w:spacing w:line="440" w:lineRule="exact"/>
        <w:ind w:firstLine="420" w:firstLineChars="200"/>
        <w:jc w:val="right"/>
        <w:rPr>
          <w:bCs/>
          <w:color w:val="000000"/>
          <w:szCs w:val="21"/>
        </w:rPr>
      </w:pPr>
      <w:r>
        <w:rPr>
          <w:bCs/>
          <w:color w:val="000000"/>
          <w:position w:val="-14"/>
          <w:szCs w:val="21"/>
        </w:rPr>
        <w:object>
          <v:shape id="_x0000_i1227" o:spt="75" type="#_x0000_t75" style="height:19.6pt;width:76.2pt;" o:ole="t" filled="f" o:preferrelative="t" stroked="f" coordsize="21600,21600">
            <v:path/>
            <v:fill on="f" focussize="0,0"/>
            <v:stroke on="f"/>
            <v:imagedata r:id="rId474" o:title=""/>
            <o:lock v:ext="edit" grouping="f" rotation="f" text="f" aspectratio="t"/>
            <w10:wrap type="none"/>
            <w10:anchorlock/>
          </v:shape>
          <o:OLEObject Type="Embed" ProgID="Equation.3" ShapeID="_x0000_i1227" DrawAspect="Content" ObjectID="_1468075917" r:id="rId473">
            <o:LockedField>false</o:LockedField>
          </o:OLEObject>
        </w:object>
      </w:r>
      <w:r>
        <w:rPr>
          <w:bCs/>
          <w:color w:val="000000"/>
          <w:szCs w:val="21"/>
        </w:rPr>
        <w:t xml:space="preserve">                             （</w:t>
      </w:r>
      <w:r>
        <w:rPr>
          <w:rFonts w:hint="eastAsia"/>
          <w:bCs/>
          <w:color w:val="000000"/>
          <w:szCs w:val="21"/>
        </w:rPr>
        <w:t>21</w:t>
      </w:r>
      <w:r>
        <w:rPr>
          <w:bCs/>
          <w:color w:val="000000"/>
          <w:szCs w:val="21"/>
        </w:rPr>
        <w:t>）</w:t>
      </w:r>
    </w:p>
    <w:p>
      <w:pPr>
        <w:adjustRightInd w:val="0"/>
        <w:spacing w:line="440" w:lineRule="exact"/>
        <w:ind w:firstLine="420" w:firstLineChars="200"/>
        <w:jc w:val="right"/>
        <w:rPr>
          <w:bCs/>
          <w:color w:val="000000"/>
          <w:szCs w:val="21"/>
        </w:rPr>
      </w:pPr>
      <w:r>
        <w:rPr>
          <w:bCs/>
          <w:color w:val="000000"/>
          <w:position w:val="-14"/>
          <w:szCs w:val="21"/>
        </w:rPr>
        <w:object>
          <v:shape id="_x0000_i1228" o:spt="75" type="#_x0000_t75" style="height:19.6pt;width:81.1pt;" o:ole="t" filled="f" o:preferrelative="t" stroked="f" coordsize="21600,21600">
            <v:path/>
            <v:fill on="f" focussize="0,0"/>
            <v:stroke on="f"/>
            <v:imagedata r:id="rId476" o:title=""/>
            <o:lock v:ext="edit" grouping="f" rotation="f" text="f" aspectratio="t"/>
            <w10:wrap type="none"/>
            <w10:anchorlock/>
          </v:shape>
          <o:OLEObject Type="Embed" ProgID="Equation.3" ShapeID="_x0000_i1228" DrawAspect="Content" ObjectID="_1468075918" r:id="rId475">
            <o:LockedField>false</o:LockedField>
          </o:OLEObject>
        </w:object>
      </w:r>
      <w:r>
        <w:rPr>
          <w:bCs/>
          <w:color w:val="000000"/>
          <w:szCs w:val="21"/>
        </w:rPr>
        <w:t xml:space="preserve">                            （2</w:t>
      </w:r>
      <w:r>
        <w:rPr>
          <w:rFonts w:hint="eastAsia"/>
          <w:bCs/>
          <w:color w:val="000000"/>
          <w:szCs w:val="21"/>
        </w:rPr>
        <w:t>2</w:t>
      </w:r>
      <w:r>
        <w:rPr>
          <w:bCs/>
          <w:color w:val="000000"/>
          <w:szCs w:val="21"/>
        </w:rPr>
        <w:t>）</w:t>
      </w:r>
    </w:p>
    <w:p>
      <w:pPr>
        <w:adjustRightInd w:val="0"/>
        <w:spacing w:line="440" w:lineRule="exact"/>
        <w:ind w:firstLine="420" w:firstLineChars="200"/>
        <w:jc w:val="right"/>
        <w:rPr>
          <w:bCs/>
          <w:color w:val="000000"/>
          <w:szCs w:val="21"/>
        </w:rPr>
      </w:pPr>
      <w:r>
        <w:rPr>
          <w:bCs/>
          <w:color w:val="000000"/>
          <w:position w:val="-14"/>
          <w:szCs w:val="21"/>
        </w:rPr>
        <w:object>
          <v:shape id="_x0000_i1229" o:spt="75" type="#_x0000_t75" style="height:19.6pt;width:147.6pt;" o:ole="t" filled="f" o:preferrelative="t" stroked="f" coordsize="21600,21600">
            <v:path/>
            <v:fill on="f" focussize="0,0"/>
            <v:stroke on="f"/>
            <v:imagedata r:id="rId478" o:title=""/>
            <o:lock v:ext="edit" grouping="f" rotation="f" text="f" aspectratio="t"/>
            <w10:wrap type="none"/>
            <w10:anchorlock/>
          </v:shape>
          <o:OLEObject Type="Embed" ProgID="Equation.3" ShapeID="_x0000_i1229" DrawAspect="Content" ObjectID="_1468075919" r:id="rId477">
            <o:LockedField>false</o:LockedField>
          </o:OLEObject>
        </w:object>
      </w:r>
      <w:r>
        <w:rPr>
          <w:bCs/>
          <w:color w:val="000000"/>
          <w:szCs w:val="21"/>
        </w:rPr>
        <w:t xml:space="preserve">                    （2</w:t>
      </w:r>
      <w:r>
        <w:rPr>
          <w:rFonts w:hint="eastAsia"/>
          <w:bCs/>
          <w:color w:val="000000"/>
          <w:szCs w:val="21"/>
        </w:rPr>
        <w:t>3</w:t>
      </w:r>
      <w:r>
        <w:rPr>
          <w:bCs/>
          <w:color w:val="000000"/>
          <w:szCs w:val="21"/>
        </w:rPr>
        <w:t>）</w:t>
      </w:r>
    </w:p>
    <w:p>
      <w:pPr>
        <w:adjustRightInd w:val="0"/>
        <w:spacing w:line="440" w:lineRule="exact"/>
        <w:ind w:firstLine="420" w:firstLineChars="200"/>
        <w:jc w:val="right"/>
        <w:rPr>
          <w:bCs/>
          <w:color w:val="000000"/>
          <w:szCs w:val="21"/>
        </w:rPr>
      </w:pPr>
      <w:r>
        <w:rPr>
          <w:bCs/>
          <w:color w:val="000000"/>
          <w:position w:val="-14"/>
          <w:szCs w:val="21"/>
        </w:rPr>
        <w:object>
          <v:shape id="_x0000_i1230" o:spt="75" type="#_x0000_t75" style="height:19.6pt;width:154.45pt;" o:ole="t" filled="f" o:preferrelative="t" stroked="f" coordsize="21600,21600">
            <v:path/>
            <v:fill on="f" focussize="0,0"/>
            <v:stroke on="f"/>
            <v:imagedata r:id="rId480" o:title=""/>
            <o:lock v:ext="edit" grouping="f" rotation="f" text="f" aspectratio="t"/>
            <w10:wrap type="none"/>
            <w10:anchorlock/>
          </v:shape>
          <o:OLEObject Type="Embed" ProgID="Equation.3" ShapeID="_x0000_i1230" DrawAspect="Content" ObjectID="_1468075920" r:id="rId479">
            <o:LockedField>false</o:LockedField>
          </o:OLEObject>
        </w:object>
      </w:r>
      <w:r>
        <w:rPr>
          <w:bCs/>
          <w:color w:val="000000"/>
          <w:szCs w:val="21"/>
        </w:rPr>
        <w:t xml:space="preserve">                   （2</w:t>
      </w:r>
      <w:r>
        <w:rPr>
          <w:rFonts w:hint="eastAsia"/>
          <w:bCs/>
          <w:color w:val="000000"/>
          <w:szCs w:val="21"/>
        </w:rPr>
        <w:t>4</w:t>
      </w:r>
      <w:r>
        <w:rPr>
          <w:bCs/>
          <w:color w:val="000000"/>
          <w:szCs w:val="21"/>
        </w:rPr>
        <w:t>）</w:t>
      </w:r>
    </w:p>
    <w:p>
      <w:pPr>
        <w:adjustRightInd w:val="0"/>
        <w:spacing w:line="440" w:lineRule="exact"/>
        <w:ind w:firstLine="420" w:firstLineChars="200"/>
        <w:jc w:val="right"/>
        <w:rPr>
          <w:bCs/>
          <w:color w:val="000000"/>
          <w:szCs w:val="21"/>
        </w:rPr>
      </w:pPr>
      <w:r>
        <w:rPr>
          <w:bCs/>
          <w:color w:val="000000"/>
          <w:position w:val="-14"/>
          <w:szCs w:val="21"/>
        </w:rPr>
        <w:object>
          <v:shape id="_x0000_i1231" o:spt="75" type="#_x0000_t75" style="height:19.6pt;width:75.35pt;" o:ole="t" filled="f" o:preferrelative="t" stroked="f" coordsize="21600,21600">
            <v:path/>
            <v:fill on="f" focussize="0,0"/>
            <v:stroke on="f"/>
            <v:imagedata r:id="rId482" o:title=""/>
            <o:lock v:ext="edit" grouping="f" rotation="f" text="f" aspectratio="t"/>
            <w10:wrap type="none"/>
            <w10:anchorlock/>
          </v:shape>
          <o:OLEObject Type="Embed" ProgID="Equation.3" ShapeID="_x0000_i1231" DrawAspect="Content" ObjectID="_1468075921" r:id="rId481">
            <o:LockedField>false</o:LockedField>
          </o:OLEObject>
        </w:object>
      </w:r>
      <w:r>
        <w:rPr>
          <w:bCs/>
          <w:color w:val="000000"/>
          <w:szCs w:val="21"/>
        </w:rPr>
        <w:t xml:space="preserve">                          （2</w:t>
      </w:r>
      <w:r>
        <w:rPr>
          <w:rFonts w:hint="eastAsia"/>
          <w:bCs/>
          <w:color w:val="000000"/>
          <w:szCs w:val="21"/>
        </w:rPr>
        <w:t>5</w:t>
      </w:r>
      <w:r>
        <w:rPr>
          <w:bCs/>
          <w:color w:val="000000"/>
          <w:szCs w:val="21"/>
        </w:rPr>
        <w:t>）</w:t>
      </w:r>
    </w:p>
    <w:p>
      <w:pPr>
        <w:pStyle w:val="29"/>
        <w:widowControl/>
        <w:adjustRightInd w:val="0"/>
        <w:spacing w:before="0" w:beforeAutospacing="0" w:after="0" w:afterAutospacing="0" w:line="400" w:lineRule="exact"/>
        <w:rPr>
          <w:rFonts w:ascii="Times New Roman" w:hAnsi="Times New Roman"/>
          <w:bCs/>
          <w:color w:val="000000"/>
          <w:sz w:val="21"/>
          <w:szCs w:val="21"/>
        </w:rPr>
      </w:pPr>
      <w:r>
        <w:rPr>
          <w:rFonts w:ascii="Times New Roman" w:hAnsi="Times New Roman"/>
          <w:bCs/>
          <w:color w:val="000000"/>
          <w:sz w:val="21"/>
          <w:szCs w:val="21"/>
        </w:rPr>
        <w:t>式中</w:t>
      </w:r>
      <w:r>
        <w:rPr>
          <w:rFonts w:hint="eastAsia" w:ascii="Times New Roman" w:hAnsi="Times New Roman"/>
          <w:bCs/>
          <w:color w:val="000000"/>
          <w:sz w:val="21"/>
          <w:szCs w:val="21"/>
        </w:rPr>
        <w:t>：</w:t>
      </w:r>
      <w:r>
        <w:rPr>
          <w:rFonts w:ascii="Times New Roman" w:hAnsi="Times New Roman"/>
          <w:bCs/>
          <w:i/>
          <w:iCs/>
          <w:color w:val="000000"/>
          <w:sz w:val="21"/>
          <w:szCs w:val="21"/>
        </w:rPr>
        <w:t>M</w:t>
      </w:r>
      <w:r>
        <w:rPr>
          <w:rFonts w:hint="eastAsia" w:ascii="Times New Roman" w:hAnsi="Times New Roman" w:eastAsia="MS Mincho"/>
          <w:bCs/>
          <w:color w:val="000000"/>
          <w:sz w:val="21"/>
          <w:szCs w:val="21"/>
          <w:vertAlign w:val="subscript"/>
          <w:lang w:eastAsia="ja-JP"/>
        </w:rPr>
        <w:t>ju</w:t>
      </w:r>
      <w:r>
        <w:rPr>
          <w:rFonts w:ascii="Times New Roman" w:hAnsi="Times New Roman"/>
          <w:bCs/>
          <w:color w:val="000000"/>
          <w:sz w:val="21"/>
          <w:szCs w:val="21"/>
          <w:vertAlign w:val="subscript"/>
        </w:rPr>
        <w:t>f1</w:t>
      </w:r>
      <w:r>
        <w:rPr>
          <w:rFonts w:ascii="Times New Roman" w:hAnsi="Times New Roman"/>
          <w:bCs/>
          <w:color w:val="000000"/>
          <w:sz w:val="21"/>
          <w:szCs w:val="21"/>
        </w:rPr>
        <w:t>——翼缘净截面面积决定的最大受弯承载力；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M</w:t>
      </w:r>
      <w:r>
        <w:rPr>
          <w:rFonts w:hint="eastAsia" w:ascii="Times New Roman" w:hAnsi="Times New Roman" w:eastAsia="MS Mincho"/>
          <w:bCs/>
          <w:color w:val="000000"/>
          <w:sz w:val="21"/>
          <w:szCs w:val="21"/>
          <w:vertAlign w:val="subscript"/>
          <w:lang w:eastAsia="ja-JP"/>
        </w:rPr>
        <w:t>ju</w:t>
      </w:r>
      <w:r>
        <w:rPr>
          <w:rFonts w:ascii="Times New Roman" w:hAnsi="Times New Roman"/>
          <w:bCs/>
          <w:color w:val="000000"/>
          <w:sz w:val="21"/>
          <w:szCs w:val="21"/>
          <w:vertAlign w:val="subscript"/>
        </w:rPr>
        <w:t>f2</w:t>
      </w:r>
      <w:r>
        <w:rPr>
          <w:rFonts w:ascii="Times New Roman" w:hAnsi="Times New Roman"/>
          <w:bCs/>
          <w:color w:val="000000"/>
          <w:sz w:val="21"/>
          <w:szCs w:val="21"/>
        </w:rPr>
        <w:t>——翼缘拼接板净截面面积决定的拼接最大受弯承载力；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M</w:t>
      </w:r>
      <w:r>
        <w:rPr>
          <w:rFonts w:hint="eastAsia" w:ascii="Times New Roman" w:hAnsi="Times New Roman" w:eastAsia="MS Mincho"/>
          <w:bCs/>
          <w:color w:val="000000"/>
          <w:sz w:val="21"/>
          <w:szCs w:val="21"/>
          <w:vertAlign w:val="subscript"/>
          <w:lang w:eastAsia="ja-JP"/>
        </w:rPr>
        <w:t>ju</w:t>
      </w:r>
      <w:r>
        <w:rPr>
          <w:rFonts w:ascii="Times New Roman" w:hAnsi="Times New Roman"/>
          <w:bCs/>
          <w:color w:val="000000"/>
          <w:sz w:val="21"/>
          <w:szCs w:val="21"/>
          <w:vertAlign w:val="subscript"/>
        </w:rPr>
        <w:t>f3</w:t>
      </w:r>
      <w:r>
        <w:rPr>
          <w:rFonts w:ascii="Times New Roman" w:hAnsi="Times New Roman"/>
          <w:bCs/>
          <w:color w:val="000000"/>
          <w:sz w:val="21"/>
          <w:szCs w:val="21"/>
        </w:rPr>
        <w:t>——翼缘沿螺栓中心线挤穿时的最大受弯承载力；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M</w:t>
      </w:r>
      <w:r>
        <w:rPr>
          <w:rFonts w:hint="eastAsia" w:ascii="Times New Roman" w:hAnsi="Times New Roman" w:eastAsia="MS Mincho"/>
          <w:bCs/>
          <w:color w:val="000000"/>
          <w:sz w:val="21"/>
          <w:szCs w:val="21"/>
          <w:vertAlign w:val="subscript"/>
          <w:lang w:eastAsia="ja-JP"/>
        </w:rPr>
        <w:t>ju</w:t>
      </w:r>
      <w:r>
        <w:rPr>
          <w:rFonts w:ascii="Times New Roman" w:hAnsi="Times New Roman"/>
          <w:bCs/>
          <w:color w:val="000000"/>
          <w:sz w:val="21"/>
          <w:szCs w:val="21"/>
          <w:vertAlign w:val="subscript"/>
        </w:rPr>
        <w:t>f4</w:t>
      </w:r>
      <w:r>
        <w:rPr>
          <w:rFonts w:ascii="Times New Roman" w:hAnsi="Times New Roman"/>
          <w:bCs/>
          <w:color w:val="000000"/>
          <w:sz w:val="21"/>
          <w:szCs w:val="21"/>
        </w:rPr>
        <w:t>——翼缘拼接板沿螺栓中心线挤穿时的最大受弯承载力；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M</w:t>
      </w:r>
      <w:r>
        <w:rPr>
          <w:rFonts w:hint="eastAsia" w:ascii="Times New Roman" w:hAnsi="Times New Roman" w:eastAsia="MS Mincho"/>
          <w:bCs/>
          <w:color w:val="000000"/>
          <w:sz w:val="21"/>
          <w:szCs w:val="21"/>
          <w:vertAlign w:val="subscript"/>
          <w:lang w:eastAsia="ja-JP"/>
        </w:rPr>
        <w:t>ju</w:t>
      </w:r>
      <w:r>
        <w:rPr>
          <w:rFonts w:ascii="Times New Roman" w:hAnsi="Times New Roman"/>
          <w:bCs/>
          <w:color w:val="000000"/>
          <w:sz w:val="21"/>
          <w:szCs w:val="21"/>
          <w:vertAlign w:val="subscript"/>
        </w:rPr>
        <w:t>f5</w:t>
      </w:r>
      <w:r>
        <w:rPr>
          <w:rFonts w:ascii="Times New Roman" w:hAnsi="Times New Roman"/>
          <w:bCs/>
          <w:color w:val="000000"/>
          <w:sz w:val="21"/>
          <w:szCs w:val="21"/>
        </w:rPr>
        <w:t>——高强螺栓受剪决定的最大受弯承载力；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A</w:t>
      </w:r>
      <w:r>
        <w:rPr>
          <w:rFonts w:ascii="Times New Roman" w:hAnsi="Times New Roman"/>
          <w:bCs/>
          <w:color w:val="000000"/>
          <w:sz w:val="21"/>
          <w:szCs w:val="21"/>
          <w:vertAlign w:val="subscript"/>
        </w:rPr>
        <w:t>nf</w:t>
      </w:r>
      <w:r>
        <w:rPr>
          <w:rFonts w:ascii="Times New Roman" w:hAnsi="Times New Roman"/>
          <w:bCs/>
          <w:color w:val="000000"/>
          <w:sz w:val="21"/>
          <w:szCs w:val="21"/>
        </w:rPr>
        <w:t>——翼缘净截面面积；</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A</w:t>
      </w:r>
      <w:r>
        <w:rPr>
          <w:rFonts w:ascii="Times New Roman" w:hAnsi="Times New Roman"/>
          <w:bCs/>
          <w:color w:val="000000"/>
          <w:sz w:val="21"/>
          <w:szCs w:val="21"/>
          <w:vertAlign w:val="subscript"/>
        </w:rPr>
        <w:t>ns</w:t>
      </w:r>
      <w:r>
        <w:rPr>
          <w:rFonts w:ascii="Times New Roman" w:hAnsi="Times New Roman"/>
          <w:bCs/>
          <w:color w:val="000000"/>
          <w:sz w:val="21"/>
          <w:szCs w:val="21"/>
        </w:rPr>
        <w:t>——翼缘拼接板净截面面积；</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f</w:t>
      </w:r>
      <w:r>
        <w:rPr>
          <w:rFonts w:ascii="Times New Roman" w:hAnsi="Times New Roman"/>
          <w:bCs/>
          <w:color w:val="000000"/>
          <w:sz w:val="21"/>
          <w:szCs w:val="21"/>
          <w:vertAlign w:val="subscript"/>
        </w:rPr>
        <w:t>u</w:t>
      </w:r>
      <w:r>
        <w:rPr>
          <w:rFonts w:ascii="Times New Roman" w:hAnsi="Times New Roman"/>
          <w:bCs/>
          <w:color w:val="000000"/>
          <w:sz w:val="21"/>
          <w:szCs w:val="21"/>
        </w:rPr>
        <w:t>——翼缘钢材抗拉强度最小值；</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f</w:t>
      </w:r>
      <w:r>
        <w:rPr>
          <w:rFonts w:ascii="Times New Roman" w:hAnsi="Times New Roman"/>
          <w:bCs/>
          <w:color w:val="000000"/>
          <w:sz w:val="21"/>
          <w:szCs w:val="21"/>
          <w:vertAlign w:val="subscript"/>
        </w:rPr>
        <w:t>us</w:t>
      </w:r>
      <w:r>
        <w:rPr>
          <w:rFonts w:ascii="Times New Roman" w:hAnsi="Times New Roman"/>
          <w:bCs/>
          <w:color w:val="000000"/>
          <w:sz w:val="21"/>
          <w:szCs w:val="21"/>
        </w:rPr>
        <w:t>——拼接板钢材抗拉强度最小值；</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h</w:t>
      </w:r>
      <w:r>
        <w:rPr>
          <w:rFonts w:ascii="Times New Roman" w:hAnsi="Times New Roman"/>
          <w:bCs/>
          <w:color w:val="000000"/>
          <w:sz w:val="21"/>
          <w:szCs w:val="21"/>
          <w:vertAlign w:val="subscript"/>
        </w:rPr>
        <w:t>bs1</w:t>
      </w:r>
      <w:r>
        <w:rPr>
          <w:rFonts w:ascii="Times New Roman" w:hAnsi="Times New Roman"/>
          <w:bCs/>
          <w:color w:val="000000"/>
          <w:sz w:val="21"/>
          <w:szCs w:val="21"/>
        </w:rPr>
        <w:t>——上、下翼缘拼接板厚度中心之间的距离；</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n</w:t>
      </w:r>
      <w:r>
        <w:rPr>
          <w:rFonts w:ascii="Times New Roman" w:hAnsi="Times New Roman"/>
          <w:bCs/>
          <w:color w:val="000000"/>
          <w:sz w:val="21"/>
          <w:szCs w:val="21"/>
          <w:vertAlign w:val="subscript"/>
        </w:rPr>
        <w:t>1</w:t>
      </w:r>
      <w:r>
        <w:rPr>
          <w:rFonts w:ascii="Times New Roman" w:hAnsi="Times New Roman"/>
          <w:bCs/>
          <w:color w:val="000000"/>
          <w:sz w:val="21"/>
          <w:szCs w:val="21"/>
        </w:rPr>
        <w:t>——翼缘拼接螺栓每列中的螺栓数；</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n</w:t>
      </w:r>
      <w:r>
        <w:rPr>
          <w:rFonts w:ascii="Times New Roman" w:hAnsi="Times New Roman"/>
          <w:bCs/>
          <w:color w:val="000000"/>
          <w:sz w:val="21"/>
          <w:szCs w:val="21"/>
          <w:vertAlign w:val="subscript"/>
        </w:rPr>
        <w:t>2</w:t>
      </w:r>
      <w:r>
        <w:rPr>
          <w:rFonts w:ascii="Times New Roman" w:hAnsi="Times New Roman"/>
          <w:bCs/>
          <w:color w:val="000000"/>
          <w:sz w:val="21"/>
          <w:szCs w:val="21"/>
        </w:rPr>
        <w:t>——翼缘拼接螺栓（沿梁轴线方向）的列数；</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n</w:t>
      </w:r>
      <w:r>
        <w:rPr>
          <w:rFonts w:ascii="Times New Roman" w:hAnsi="Times New Roman"/>
          <w:bCs/>
          <w:color w:val="000000"/>
          <w:sz w:val="21"/>
          <w:szCs w:val="21"/>
          <w:vertAlign w:val="subscript"/>
        </w:rPr>
        <w:t>f</w:t>
      </w:r>
      <w:r>
        <w:rPr>
          <w:rFonts w:ascii="Times New Roman" w:hAnsi="Times New Roman"/>
          <w:bCs/>
          <w:color w:val="000000"/>
          <w:sz w:val="21"/>
          <w:szCs w:val="21"/>
        </w:rPr>
        <w:t>——翼缘拼接（一侧）的螺栓总数；</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p</w:t>
      </w:r>
      <w:r>
        <w:rPr>
          <w:rFonts w:ascii="Times New Roman" w:hAnsi="Times New Roman"/>
          <w:bCs/>
          <w:color w:val="000000"/>
          <w:sz w:val="21"/>
          <w:szCs w:val="21"/>
        </w:rPr>
        <w:t>——翼缘拼接螺栓沿梁长度方向的间距；</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e</w:t>
      </w:r>
      <w:r>
        <w:rPr>
          <w:rFonts w:ascii="Times New Roman" w:hAnsi="Times New Roman"/>
          <w:bCs/>
          <w:color w:val="000000"/>
          <w:sz w:val="21"/>
          <w:szCs w:val="21"/>
          <w:vertAlign w:val="subscript"/>
        </w:rPr>
        <w:t>f1</w:t>
      </w:r>
      <w:r>
        <w:rPr>
          <w:rFonts w:ascii="Times New Roman" w:hAnsi="Times New Roman"/>
          <w:bCs/>
          <w:color w:val="000000"/>
          <w:sz w:val="21"/>
          <w:szCs w:val="21"/>
        </w:rPr>
        <w:t>——翼缘拼接螺栓沿梁长度方向的边距；</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e</w:t>
      </w:r>
      <w:r>
        <w:rPr>
          <w:rFonts w:ascii="Times New Roman" w:hAnsi="Times New Roman"/>
          <w:bCs/>
          <w:color w:val="000000"/>
          <w:sz w:val="21"/>
          <w:szCs w:val="21"/>
          <w:vertAlign w:val="subscript"/>
        </w:rPr>
        <w:t>s1</w:t>
      </w:r>
      <w:r>
        <w:rPr>
          <w:rFonts w:ascii="Times New Roman" w:hAnsi="Times New Roman"/>
          <w:bCs/>
          <w:color w:val="000000"/>
          <w:sz w:val="21"/>
          <w:szCs w:val="21"/>
        </w:rPr>
        <w:t>——翼缘拼接板沿梁长度方向的边距；</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t</w:t>
      </w:r>
      <w:r>
        <w:rPr>
          <w:rFonts w:ascii="Times New Roman" w:hAnsi="Times New Roman"/>
          <w:bCs/>
          <w:color w:val="000000"/>
          <w:sz w:val="21"/>
          <w:szCs w:val="21"/>
          <w:vertAlign w:val="subscript"/>
        </w:rPr>
        <w:t>f</w:t>
      </w:r>
      <w:r>
        <w:rPr>
          <w:rFonts w:ascii="Times New Roman" w:hAnsi="Times New Roman"/>
          <w:bCs/>
          <w:color w:val="000000"/>
          <w:sz w:val="21"/>
          <w:szCs w:val="21"/>
        </w:rPr>
        <w:t>——梁翼缘板厚度；</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t</w:t>
      </w:r>
      <w:r>
        <w:rPr>
          <w:rFonts w:ascii="Times New Roman" w:hAnsi="Times New Roman"/>
          <w:bCs/>
          <w:color w:val="000000"/>
          <w:sz w:val="21"/>
          <w:szCs w:val="21"/>
          <w:vertAlign w:val="subscript"/>
        </w:rPr>
        <w:t>fs</w:t>
      </w:r>
      <w:r>
        <w:rPr>
          <w:rFonts w:ascii="Times New Roman" w:hAnsi="Times New Roman"/>
          <w:bCs/>
          <w:color w:val="000000"/>
          <w:sz w:val="21"/>
          <w:szCs w:val="21"/>
        </w:rPr>
        <w:t>——翼缘拼接板厚度（两块时为其厚度之和）。</w:t>
      </w:r>
    </w:p>
    <w:p>
      <w:pPr>
        <w:autoSpaceDE w:val="0"/>
        <w:autoSpaceDN w:val="0"/>
        <w:adjustRightInd w:val="0"/>
        <w:spacing w:line="360" w:lineRule="auto"/>
        <w:ind w:firstLine="420" w:firstLineChars="200"/>
        <w:rPr>
          <w:bCs/>
          <w:color w:val="000000"/>
          <w:szCs w:val="21"/>
        </w:rPr>
      </w:pPr>
      <w:r>
        <w:rPr>
          <w:bCs/>
          <w:color w:val="000000"/>
          <w:szCs w:val="21"/>
        </w:rPr>
        <w:t>2）梁腹板拼接的极限受弯承载力</w:t>
      </w:r>
      <w:r>
        <w:rPr>
          <w:rFonts w:hint="eastAsia"/>
          <w:bCs/>
          <w:color w:val="000000"/>
          <w:szCs w:val="21"/>
        </w:rPr>
        <w:t>，</w:t>
      </w:r>
      <w:r>
        <w:rPr>
          <w:bCs/>
          <w:color w:val="000000"/>
          <w:szCs w:val="21"/>
        </w:rPr>
        <w:t>应按下列公式计算：</w:t>
      </w:r>
    </w:p>
    <w:p>
      <w:pPr>
        <w:pStyle w:val="29"/>
        <w:widowControl/>
        <w:adjustRightInd w:val="0"/>
        <w:spacing w:before="0" w:beforeAutospacing="0" w:after="0" w:afterAutospacing="0" w:line="440" w:lineRule="exact"/>
        <w:ind w:firstLine="636" w:firstLineChars="303"/>
        <w:jc w:val="right"/>
        <w:rPr>
          <w:rFonts w:ascii="Times New Roman" w:hAnsi="Times New Roman"/>
          <w:bCs/>
          <w:color w:val="000000"/>
          <w:sz w:val="21"/>
          <w:szCs w:val="21"/>
        </w:rPr>
      </w:pPr>
      <w:r>
        <w:rPr>
          <w:rFonts w:ascii="Times New Roman" w:hAnsi="Times New Roman"/>
          <w:bCs/>
          <w:color w:val="000000"/>
          <w:position w:val="-14"/>
          <w:sz w:val="21"/>
          <w:szCs w:val="21"/>
        </w:rPr>
        <w:object>
          <v:shape id="_x0000_i1232" o:spt="75" type="#_x0000_t75" style="height:19.6pt;width:213pt;" o:ole="t" filled="f" o:preferrelative="t" stroked="f" coordsize="21600,21600">
            <v:path/>
            <v:fill on="f" focussize="0,0"/>
            <v:stroke on="f"/>
            <v:imagedata r:id="rId484" o:title=""/>
            <o:lock v:ext="edit" grouping="f" rotation="f" text="f" aspectratio="t"/>
            <w10:wrap type="none"/>
            <w10:anchorlock/>
          </v:shape>
          <o:OLEObject Type="Embed" ProgID="Equation.3" ShapeID="_x0000_i1232" DrawAspect="Content" ObjectID="_1468075922" r:id="rId483">
            <o:LockedField>false</o:LockedField>
          </o:OLEObject>
        </w:object>
      </w:r>
      <w:r>
        <w:rPr>
          <w:rFonts w:ascii="Times New Roman" w:hAnsi="Times New Roman"/>
          <w:bCs/>
          <w:color w:val="000000"/>
          <w:sz w:val="21"/>
          <w:szCs w:val="21"/>
        </w:rPr>
        <w:t xml:space="preserve">               （2</w:t>
      </w:r>
      <w:r>
        <w:rPr>
          <w:rFonts w:hint="eastAsia" w:ascii="Times New Roman" w:hAnsi="Times New Roman"/>
          <w:bCs/>
          <w:color w:val="000000"/>
          <w:sz w:val="21"/>
          <w:szCs w:val="21"/>
        </w:rPr>
        <w:t>6</w:t>
      </w:r>
      <w:r>
        <w:rPr>
          <w:rFonts w:ascii="Times New Roman" w:hAnsi="Times New Roman"/>
          <w:bCs/>
          <w:color w:val="000000"/>
          <w:sz w:val="21"/>
          <w:szCs w:val="21"/>
        </w:rPr>
        <w:t>）</w:t>
      </w:r>
    </w:p>
    <w:p>
      <w:pPr>
        <w:pStyle w:val="29"/>
        <w:widowControl/>
        <w:adjustRightInd w:val="0"/>
        <w:spacing w:before="0" w:beforeAutospacing="0" w:after="0" w:afterAutospacing="0" w:line="440" w:lineRule="exact"/>
        <w:ind w:firstLine="636" w:firstLineChars="303"/>
        <w:jc w:val="right"/>
        <w:rPr>
          <w:rFonts w:ascii="Times New Roman" w:hAnsi="Times New Roman"/>
          <w:bCs/>
          <w:color w:val="000000"/>
          <w:sz w:val="21"/>
          <w:szCs w:val="21"/>
        </w:rPr>
      </w:pPr>
      <w:r>
        <w:rPr>
          <w:rFonts w:ascii="Times New Roman" w:hAnsi="Times New Roman"/>
          <w:bCs/>
          <w:color w:val="000000"/>
          <w:position w:val="-14"/>
          <w:sz w:val="21"/>
          <w:szCs w:val="21"/>
        </w:rPr>
        <w:object>
          <v:shape id="_x0000_i1233" o:spt="75" type="#_x0000_t75" style="height:19.6pt;width:69.4pt;" o:ole="t" filled="f" o:preferrelative="t" stroked="f" coordsize="21600,21600">
            <v:path/>
            <v:fill on="f" focussize="0,0"/>
            <v:stroke on="f"/>
            <v:imagedata r:id="rId486" o:title=""/>
            <o:lock v:ext="edit" grouping="f" rotation="f" text="f" aspectratio="t"/>
            <w10:wrap type="none"/>
            <w10:anchorlock/>
          </v:shape>
          <o:OLEObject Type="Embed" ProgID="Equation.3" ShapeID="_x0000_i1233" DrawAspect="Content" ObjectID="_1468075923" r:id="rId485">
            <o:LockedField>false</o:LockedField>
          </o:OLEObject>
        </w:object>
      </w:r>
      <w:r>
        <w:rPr>
          <w:rFonts w:ascii="Times New Roman" w:hAnsi="Times New Roman"/>
          <w:bCs/>
          <w:color w:val="000000"/>
          <w:sz w:val="21"/>
          <w:szCs w:val="21"/>
        </w:rPr>
        <w:t xml:space="preserve">                               （2</w:t>
      </w:r>
      <w:r>
        <w:rPr>
          <w:rFonts w:hint="eastAsia" w:ascii="Times New Roman" w:hAnsi="Times New Roman"/>
          <w:bCs/>
          <w:color w:val="000000"/>
          <w:sz w:val="21"/>
          <w:szCs w:val="21"/>
        </w:rPr>
        <w:t>7</w:t>
      </w:r>
      <w:r>
        <w:rPr>
          <w:rFonts w:ascii="Times New Roman" w:hAnsi="Times New Roman"/>
          <w:bCs/>
          <w:color w:val="000000"/>
          <w:sz w:val="21"/>
          <w:szCs w:val="21"/>
        </w:rPr>
        <w:t>）</w:t>
      </w:r>
    </w:p>
    <w:p>
      <w:pPr>
        <w:pStyle w:val="29"/>
        <w:widowControl/>
        <w:adjustRightInd w:val="0"/>
        <w:spacing w:before="0" w:beforeAutospacing="0" w:after="0" w:afterAutospacing="0" w:line="440" w:lineRule="exact"/>
        <w:ind w:firstLine="636" w:firstLineChars="303"/>
        <w:jc w:val="right"/>
        <w:rPr>
          <w:rFonts w:ascii="Times New Roman" w:hAnsi="Times New Roman"/>
          <w:bCs/>
          <w:color w:val="000000"/>
          <w:sz w:val="21"/>
          <w:szCs w:val="21"/>
        </w:rPr>
      </w:pPr>
      <w:r>
        <w:rPr>
          <w:rFonts w:ascii="Times New Roman" w:hAnsi="Times New Roman"/>
          <w:bCs/>
          <w:color w:val="000000"/>
          <w:position w:val="-14"/>
          <w:sz w:val="21"/>
          <w:szCs w:val="21"/>
        </w:rPr>
        <w:object>
          <v:shape id="_x0000_i1234" o:spt="75" type="#_x0000_t75" style="height:19.6pt;width:69.4pt;" o:ole="t" filled="f" o:preferrelative="t" stroked="f" coordsize="21600,21600">
            <v:path/>
            <v:fill on="f" focussize="0,0"/>
            <v:stroke on="f"/>
            <v:imagedata r:id="rId488" o:title=""/>
            <o:lock v:ext="edit" grouping="f" rotation="f" text="f" aspectratio="t"/>
            <w10:wrap type="none"/>
            <w10:anchorlock/>
          </v:shape>
          <o:OLEObject Type="Embed" ProgID="Equation.3" ShapeID="_x0000_i1234" DrawAspect="Content" ObjectID="_1468075924" r:id="rId487">
            <o:LockedField>false</o:LockedField>
          </o:OLEObject>
        </w:object>
      </w:r>
      <w:r>
        <w:rPr>
          <w:rFonts w:ascii="Times New Roman" w:hAnsi="Times New Roman"/>
          <w:bCs/>
          <w:color w:val="000000"/>
          <w:sz w:val="21"/>
          <w:szCs w:val="21"/>
        </w:rPr>
        <w:t xml:space="preserve">                               （2</w:t>
      </w:r>
      <w:r>
        <w:rPr>
          <w:rFonts w:hint="eastAsia" w:ascii="Times New Roman" w:hAnsi="Times New Roman"/>
          <w:bCs/>
          <w:color w:val="000000"/>
          <w:sz w:val="21"/>
          <w:szCs w:val="21"/>
        </w:rPr>
        <w:t>8</w:t>
      </w:r>
      <w:r>
        <w:rPr>
          <w:rFonts w:ascii="Times New Roman" w:hAnsi="Times New Roman"/>
          <w:bCs/>
          <w:color w:val="000000"/>
          <w:sz w:val="21"/>
          <w:szCs w:val="21"/>
        </w:rPr>
        <w:t>）</w:t>
      </w:r>
    </w:p>
    <w:p>
      <w:pPr>
        <w:pStyle w:val="29"/>
        <w:widowControl/>
        <w:adjustRightInd w:val="0"/>
        <w:spacing w:before="0" w:beforeAutospacing="0" w:after="0" w:afterAutospacing="0" w:line="360" w:lineRule="auto"/>
        <w:ind w:firstLine="638" w:firstLineChars="304"/>
        <w:jc w:val="right"/>
        <w:rPr>
          <w:rFonts w:ascii="Times New Roman" w:hAnsi="Times New Roman"/>
          <w:bCs/>
          <w:color w:val="000000"/>
          <w:sz w:val="21"/>
          <w:szCs w:val="21"/>
        </w:rPr>
      </w:pPr>
      <w:r>
        <w:rPr>
          <w:rFonts w:ascii="Times New Roman" w:hAnsi="Times New Roman"/>
          <w:bCs/>
          <w:color w:val="000000"/>
          <w:position w:val="-14"/>
          <w:sz w:val="21"/>
          <w:szCs w:val="21"/>
        </w:rPr>
        <w:object>
          <v:shape id="_x0000_i1235" o:spt="75" type="#_x0000_t75" style="height:19.6pt;width:116.35pt;" o:ole="t" filled="f" o:preferrelative="t" stroked="f" coordsize="21600,21600">
            <v:path/>
            <v:fill on="f" focussize="0,0"/>
            <v:stroke on="f"/>
            <v:imagedata r:id="rId490" o:title=""/>
            <o:lock v:ext="edit" grouping="f" rotation="f" text="f" aspectratio="t"/>
            <w10:wrap type="none"/>
            <w10:anchorlock/>
          </v:shape>
          <o:OLEObject Type="Embed" ProgID="Equation.3" ShapeID="_x0000_i1235" DrawAspect="Content" ObjectID="_1468075925" r:id="rId489">
            <o:LockedField>false</o:LockedField>
          </o:OLEObject>
        </w:object>
      </w:r>
      <w:r>
        <w:rPr>
          <w:rFonts w:ascii="Times New Roman" w:hAnsi="Times New Roman"/>
          <w:bCs/>
          <w:color w:val="000000"/>
          <w:sz w:val="21"/>
          <w:szCs w:val="21"/>
        </w:rPr>
        <w:t xml:space="preserve">                         （2</w:t>
      </w:r>
      <w:r>
        <w:rPr>
          <w:rFonts w:hint="eastAsia" w:ascii="Times New Roman" w:hAnsi="Times New Roman"/>
          <w:bCs/>
          <w:color w:val="000000"/>
          <w:sz w:val="21"/>
          <w:szCs w:val="21"/>
        </w:rPr>
        <w:t>9</w:t>
      </w:r>
      <w:r>
        <w:rPr>
          <w:rFonts w:ascii="Times New Roman" w:hAnsi="Times New Roman"/>
          <w:bCs/>
          <w:color w:val="000000"/>
          <w:sz w:val="21"/>
          <w:szCs w:val="21"/>
        </w:rPr>
        <w:t>）</w:t>
      </w:r>
    </w:p>
    <w:p>
      <w:pPr>
        <w:pStyle w:val="29"/>
        <w:widowControl/>
        <w:adjustRightInd w:val="0"/>
        <w:spacing w:before="0" w:beforeAutospacing="0" w:after="0" w:afterAutospacing="0" w:line="360" w:lineRule="auto"/>
        <w:ind w:firstLine="638" w:firstLineChars="304"/>
        <w:jc w:val="right"/>
        <w:rPr>
          <w:rFonts w:ascii="Times New Roman" w:hAnsi="Times New Roman"/>
          <w:bCs/>
          <w:color w:val="000000"/>
          <w:sz w:val="21"/>
          <w:szCs w:val="21"/>
        </w:rPr>
      </w:pPr>
      <w:r>
        <w:rPr>
          <w:rFonts w:ascii="Times New Roman" w:hAnsi="Times New Roman"/>
          <w:bCs/>
          <w:color w:val="000000"/>
          <w:position w:val="-14"/>
          <w:sz w:val="21"/>
          <w:szCs w:val="21"/>
        </w:rPr>
        <w:object>
          <v:shape id="_x0000_i1236" o:spt="75" type="#_x0000_t75" style="height:19.6pt;width:119.25pt;" o:ole="t" filled="f" o:preferrelative="t" stroked="f" coordsize="21600,21600">
            <v:path/>
            <v:fill on="f" focussize="0,0"/>
            <v:stroke on="f"/>
            <v:imagedata r:id="rId492" o:title=""/>
            <o:lock v:ext="edit" grouping="f" rotation="f" text="f" aspectratio="t"/>
            <w10:wrap type="none"/>
            <w10:anchorlock/>
          </v:shape>
          <o:OLEObject Type="Embed" ProgID="Equation.3" ShapeID="_x0000_i1236" DrawAspect="Content" ObjectID="_1468075926" r:id="rId491">
            <o:LockedField>false</o:LockedField>
          </o:OLEObject>
        </w:object>
      </w:r>
      <w:r>
        <w:rPr>
          <w:rFonts w:ascii="Times New Roman" w:hAnsi="Times New Roman"/>
          <w:bCs/>
          <w:color w:val="000000"/>
          <w:sz w:val="21"/>
          <w:szCs w:val="21"/>
        </w:rPr>
        <w:t xml:space="preserve">                         （</w:t>
      </w:r>
      <w:r>
        <w:rPr>
          <w:rFonts w:hint="eastAsia" w:ascii="Times New Roman" w:hAnsi="Times New Roman"/>
          <w:bCs/>
          <w:color w:val="000000"/>
          <w:sz w:val="21"/>
          <w:szCs w:val="21"/>
        </w:rPr>
        <w:t>30</w:t>
      </w:r>
      <w:r>
        <w:rPr>
          <w:rFonts w:ascii="Times New Roman" w:hAnsi="Times New Roman"/>
          <w:bCs/>
          <w:color w:val="000000"/>
          <w:sz w:val="21"/>
          <w:szCs w:val="21"/>
        </w:rPr>
        <w:t>）</w:t>
      </w:r>
    </w:p>
    <w:p>
      <w:pPr>
        <w:pStyle w:val="29"/>
        <w:widowControl/>
        <w:adjustRightInd w:val="0"/>
        <w:spacing w:before="0" w:beforeAutospacing="0" w:after="0" w:afterAutospacing="0" w:line="360" w:lineRule="auto"/>
        <w:ind w:firstLine="638" w:firstLineChars="304"/>
        <w:jc w:val="right"/>
        <w:rPr>
          <w:rFonts w:ascii="Times New Roman" w:hAnsi="Times New Roman"/>
          <w:bCs/>
          <w:color w:val="000000"/>
          <w:sz w:val="21"/>
          <w:szCs w:val="21"/>
        </w:rPr>
      </w:pPr>
      <w:r>
        <w:rPr>
          <w:rFonts w:ascii="Times New Roman" w:hAnsi="Times New Roman"/>
          <w:bCs/>
          <w:color w:val="000000"/>
          <w:position w:val="-44"/>
          <w:sz w:val="21"/>
          <w:szCs w:val="21"/>
        </w:rPr>
        <w:object>
          <v:shape id="_x0000_i1237" o:spt="75" type="#_x0000_t75" style="height:49pt;width:182.8pt;" o:ole="t" filled="f" o:preferrelative="t" stroked="f" coordsize="21600,21600">
            <v:path/>
            <v:fill on="f" focussize="0,0"/>
            <v:stroke on="f"/>
            <v:imagedata r:id="rId494" o:title=""/>
            <o:lock v:ext="edit" grouping="f" rotation="f" text="f" aspectratio="t"/>
            <w10:wrap type="none"/>
            <w10:anchorlock/>
          </v:shape>
          <o:OLEObject Type="Embed" ProgID="Equation.3" ShapeID="_x0000_i1237" DrawAspect="Content" ObjectID="_1468075927" r:id="rId493">
            <o:LockedField>false</o:LockedField>
          </o:OLEObject>
        </w:object>
      </w:r>
      <w:r>
        <w:rPr>
          <w:rFonts w:ascii="Times New Roman" w:hAnsi="Times New Roman"/>
          <w:bCs/>
          <w:color w:val="000000"/>
          <w:sz w:val="21"/>
          <w:szCs w:val="21"/>
        </w:rPr>
        <w:t xml:space="preserve">                   （</w:t>
      </w:r>
      <w:r>
        <w:rPr>
          <w:rFonts w:hint="eastAsia" w:ascii="Times New Roman" w:hAnsi="Times New Roman"/>
          <w:bCs/>
          <w:color w:val="000000"/>
          <w:sz w:val="21"/>
          <w:szCs w:val="21"/>
        </w:rPr>
        <w:t>31</w:t>
      </w:r>
      <w:r>
        <w:rPr>
          <w:rFonts w:ascii="Times New Roman" w:hAnsi="Times New Roman"/>
          <w:bCs/>
          <w:color w:val="000000"/>
          <w:sz w:val="21"/>
          <w:szCs w:val="21"/>
        </w:rPr>
        <w:t>）</w:t>
      </w:r>
    </w:p>
    <w:p>
      <w:pPr>
        <w:pStyle w:val="29"/>
        <w:widowControl/>
        <w:adjustRightInd w:val="0"/>
        <w:spacing w:before="0" w:beforeAutospacing="0" w:after="0" w:afterAutospacing="0" w:line="360" w:lineRule="auto"/>
        <w:ind w:firstLine="638" w:firstLineChars="304"/>
        <w:jc w:val="right"/>
        <w:rPr>
          <w:rFonts w:ascii="Times New Roman" w:hAnsi="Times New Roman"/>
          <w:bCs/>
          <w:color w:val="000000"/>
          <w:sz w:val="21"/>
          <w:szCs w:val="21"/>
        </w:rPr>
      </w:pPr>
      <w:r>
        <w:rPr>
          <w:rFonts w:ascii="Times New Roman" w:hAnsi="Times New Roman"/>
          <w:bCs/>
          <w:color w:val="000000"/>
          <w:position w:val="-12"/>
          <w:sz w:val="21"/>
          <w:szCs w:val="21"/>
        </w:rPr>
        <w:object>
          <v:shape id="_x0000_i1238" o:spt="75" type="#_x0000_t75" style="height:21.6pt;width:71.4pt;" o:ole="t" filled="f" o:preferrelative="t" stroked="f" coordsize="21600,21600">
            <v:path/>
            <v:fill on="f" focussize="0,0"/>
            <v:stroke on="f"/>
            <v:imagedata r:id="rId496" o:title=""/>
            <o:lock v:ext="edit" grouping="f" rotation="f" text="f" aspectratio="t"/>
            <w10:wrap type="none"/>
            <w10:anchorlock/>
          </v:shape>
          <o:OLEObject Type="Embed" ProgID="Equation.3" ShapeID="_x0000_i1238" DrawAspect="Content" ObjectID="_1468075928" r:id="rId495">
            <o:LockedField>false</o:LockedField>
          </o:OLEObject>
        </w:object>
      </w:r>
      <w:r>
        <w:rPr>
          <w:rFonts w:ascii="Times New Roman" w:hAnsi="Times New Roman"/>
          <w:bCs/>
          <w:color w:val="000000"/>
          <w:sz w:val="21"/>
          <w:szCs w:val="21"/>
        </w:rPr>
        <w:t xml:space="preserve">                            （3</w:t>
      </w:r>
      <w:r>
        <w:rPr>
          <w:rFonts w:hint="eastAsia" w:ascii="Times New Roman" w:hAnsi="Times New Roman"/>
          <w:bCs/>
          <w:color w:val="000000"/>
          <w:sz w:val="21"/>
          <w:szCs w:val="21"/>
        </w:rPr>
        <w:t>2</w:t>
      </w:r>
      <w:r>
        <w:rPr>
          <w:rFonts w:ascii="Times New Roman" w:hAnsi="Times New Roman"/>
          <w:bCs/>
          <w:color w:val="000000"/>
          <w:sz w:val="21"/>
          <w:szCs w:val="21"/>
        </w:rPr>
        <w:t>）</w:t>
      </w:r>
    </w:p>
    <w:p>
      <w:pPr>
        <w:pStyle w:val="29"/>
        <w:widowControl/>
        <w:adjustRightInd w:val="0"/>
        <w:spacing w:before="0" w:beforeAutospacing="0" w:after="0" w:afterAutospacing="0" w:line="400" w:lineRule="exact"/>
        <w:rPr>
          <w:rFonts w:ascii="Times New Roman" w:hAnsi="Times New Roman"/>
          <w:bCs/>
          <w:color w:val="000000"/>
          <w:sz w:val="21"/>
          <w:szCs w:val="21"/>
        </w:rPr>
      </w:pPr>
      <w:r>
        <w:rPr>
          <w:rFonts w:ascii="Times New Roman" w:hAnsi="Times New Roman"/>
          <w:bCs/>
          <w:color w:val="000000"/>
          <w:sz w:val="21"/>
          <w:szCs w:val="21"/>
        </w:rPr>
        <w:t>式中</w:t>
      </w:r>
      <w:r>
        <w:rPr>
          <w:rFonts w:hint="eastAsia" w:ascii="Times New Roman" w:hAnsi="Times New Roman"/>
          <w:bCs/>
          <w:color w:val="000000"/>
          <w:sz w:val="21"/>
          <w:szCs w:val="21"/>
        </w:rPr>
        <w:t>：</w:t>
      </w:r>
      <w:r>
        <w:rPr>
          <w:rFonts w:ascii="Times New Roman" w:hAnsi="Times New Roman"/>
          <w:bCs/>
          <w:i/>
          <w:iCs/>
          <w:color w:val="000000"/>
          <w:sz w:val="21"/>
          <w:szCs w:val="21"/>
        </w:rPr>
        <w:t>M</w:t>
      </w:r>
      <w:r>
        <w:rPr>
          <w:rFonts w:hint="eastAsia" w:ascii="Times New Roman" w:hAnsi="Times New Roman"/>
          <w:bCs/>
          <w:color w:val="000000"/>
          <w:sz w:val="21"/>
          <w:szCs w:val="21"/>
          <w:vertAlign w:val="subscript"/>
        </w:rPr>
        <w:t>ju</w:t>
      </w:r>
      <w:r>
        <w:rPr>
          <w:rFonts w:ascii="Times New Roman" w:hAnsi="Times New Roman"/>
          <w:bCs/>
          <w:color w:val="000000"/>
          <w:sz w:val="21"/>
          <w:szCs w:val="21"/>
          <w:vertAlign w:val="subscript"/>
        </w:rPr>
        <w:t>w1</w:t>
      </w:r>
      <w:r>
        <w:rPr>
          <w:rFonts w:ascii="Times New Roman" w:hAnsi="Times New Roman"/>
          <w:bCs/>
          <w:color w:val="000000"/>
          <w:sz w:val="21"/>
          <w:szCs w:val="21"/>
        </w:rPr>
        <w:t>——梁腹板的极限受弯承载力；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M</w:t>
      </w:r>
      <w:r>
        <w:rPr>
          <w:rFonts w:hint="eastAsia" w:ascii="Times New Roman" w:hAnsi="Times New Roman"/>
          <w:bCs/>
          <w:color w:val="000000"/>
          <w:sz w:val="21"/>
          <w:szCs w:val="21"/>
          <w:vertAlign w:val="subscript"/>
        </w:rPr>
        <w:t>ju</w:t>
      </w:r>
      <w:r>
        <w:rPr>
          <w:rFonts w:ascii="Times New Roman" w:hAnsi="Times New Roman"/>
          <w:bCs/>
          <w:color w:val="000000"/>
          <w:sz w:val="21"/>
          <w:szCs w:val="21"/>
          <w:vertAlign w:val="subscript"/>
        </w:rPr>
        <w:t>w2</w:t>
      </w:r>
      <w:r>
        <w:rPr>
          <w:rFonts w:ascii="Times New Roman" w:hAnsi="Times New Roman"/>
          <w:bCs/>
          <w:color w:val="000000"/>
          <w:sz w:val="21"/>
          <w:szCs w:val="21"/>
        </w:rPr>
        <w:t>——腹板拼接板净截面决定的极限受弯承载力；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M</w:t>
      </w:r>
      <w:r>
        <w:rPr>
          <w:rFonts w:hint="eastAsia" w:ascii="Times New Roman" w:hAnsi="Times New Roman"/>
          <w:bCs/>
          <w:color w:val="000000"/>
          <w:sz w:val="21"/>
          <w:szCs w:val="21"/>
          <w:vertAlign w:val="subscript"/>
        </w:rPr>
        <w:t>ju</w:t>
      </w:r>
      <w:r>
        <w:rPr>
          <w:rFonts w:ascii="Times New Roman" w:hAnsi="Times New Roman"/>
          <w:bCs/>
          <w:color w:val="000000"/>
          <w:sz w:val="21"/>
          <w:szCs w:val="21"/>
          <w:vertAlign w:val="subscript"/>
        </w:rPr>
        <w:t>w3</w:t>
      </w:r>
      <w:r>
        <w:rPr>
          <w:rFonts w:ascii="Times New Roman" w:hAnsi="Times New Roman"/>
          <w:bCs/>
          <w:color w:val="000000"/>
          <w:sz w:val="21"/>
          <w:szCs w:val="21"/>
        </w:rPr>
        <w:t>——腹板横向单排螺栓拉脱时的极限受弯承载力；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M</w:t>
      </w:r>
      <w:r>
        <w:rPr>
          <w:rFonts w:hint="eastAsia" w:ascii="Times New Roman" w:hAnsi="Times New Roman"/>
          <w:bCs/>
          <w:color w:val="000000"/>
          <w:sz w:val="21"/>
          <w:szCs w:val="21"/>
          <w:vertAlign w:val="subscript"/>
        </w:rPr>
        <w:t>ju</w:t>
      </w:r>
      <w:r>
        <w:rPr>
          <w:rFonts w:ascii="Times New Roman" w:hAnsi="Times New Roman"/>
          <w:bCs/>
          <w:color w:val="000000"/>
          <w:sz w:val="21"/>
          <w:szCs w:val="21"/>
          <w:vertAlign w:val="subscript"/>
        </w:rPr>
        <w:t>w4</w:t>
      </w:r>
      <w:r>
        <w:rPr>
          <w:rFonts w:ascii="Times New Roman" w:hAnsi="Times New Roman"/>
          <w:bCs/>
          <w:color w:val="000000"/>
          <w:sz w:val="21"/>
          <w:szCs w:val="21"/>
        </w:rPr>
        <w:t>——腹板拼接板横向单排螺栓拉脱时的极限受弯承载力；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M</w:t>
      </w:r>
      <w:r>
        <w:rPr>
          <w:rFonts w:hint="eastAsia" w:ascii="Times New Roman" w:hAnsi="Times New Roman"/>
          <w:bCs/>
          <w:color w:val="000000"/>
          <w:sz w:val="21"/>
          <w:szCs w:val="21"/>
          <w:vertAlign w:val="superscript"/>
        </w:rPr>
        <w:t>ju</w:t>
      </w:r>
      <w:r>
        <w:rPr>
          <w:rFonts w:ascii="Times New Roman" w:hAnsi="Times New Roman"/>
          <w:bCs/>
          <w:color w:val="000000"/>
          <w:sz w:val="21"/>
          <w:szCs w:val="21"/>
          <w:vertAlign w:val="subscript"/>
        </w:rPr>
        <w:t>w5</w:t>
      </w:r>
      <w:r>
        <w:rPr>
          <w:rFonts w:ascii="Times New Roman" w:hAnsi="Times New Roman"/>
          <w:bCs/>
          <w:color w:val="000000"/>
          <w:sz w:val="21"/>
          <w:szCs w:val="21"/>
        </w:rPr>
        <w:t>——腹板螺栓决定的极限受弯承载力；</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W</w:t>
      </w:r>
      <w:r>
        <w:rPr>
          <w:rFonts w:ascii="Times New Roman" w:hAnsi="Times New Roman"/>
          <w:bCs/>
          <w:color w:val="000000"/>
          <w:sz w:val="21"/>
          <w:szCs w:val="21"/>
          <w:vertAlign w:val="subscript"/>
        </w:rPr>
        <w:t>pw</w:t>
      </w:r>
      <w:r>
        <w:rPr>
          <w:rFonts w:ascii="Times New Roman" w:hAnsi="Times New Roman"/>
          <w:bCs/>
          <w:color w:val="000000"/>
          <w:sz w:val="21"/>
          <w:szCs w:val="21"/>
        </w:rPr>
        <w:t>——梁腹板全截面塑性截面模量；</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W</w:t>
      </w:r>
      <w:r>
        <w:rPr>
          <w:rFonts w:ascii="Times New Roman" w:hAnsi="Times New Roman"/>
          <w:bCs/>
          <w:color w:val="000000"/>
          <w:sz w:val="21"/>
          <w:szCs w:val="21"/>
          <w:vertAlign w:val="subscript"/>
        </w:rPr>
        <w:t>sn</w:t>
      </w:r>
      <w:r>
        <w:rPr>
          <w:rFonts w:ascii="Times New Roman" w:hAnsi="Times New Roman"/>
          <w:bCs/>
          <w:color w:val="000000"/>
          <w:sz w:val="21"/>
          <w:szCs w:val="21"/>
        </w:rPr>
        <w:t>——腹板拼接板净截面的截面模量；</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e</w:t>
      </w:r>
      <w:r>
        <w:rPr>
          <w:rFonts w:ascii="Times New Roman" w:hAnsi="Times New Roman"/>
          <w:bCs/>
          <w:color w:val="000000"/>
          <w:sz w:val="21"/>
          <w:szCs w:val="21"/>
          <w:vertAlign w:val="subscript"/>
        </w:rPr>
        <w:t>w1</w:t>
      </w:r>
      <w:r>
        <w:rPr>
          <w:rFonts w:ascii="Times New Roman" w:hAnsi="Times New Roman"/>
          <w:bCs/>
          <w:color w:val="000000"/>
          <w:sz w:val="21"/>
          <w:szCs w:val="21"/>
        </w:rPr>
        <w:t>——梁腹板受力方向的端距；</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e</w:t>
      </w:r>
      <w:r>
        <w:rPr>
          <w:rFonts w:ascii="Times New Roman" w:hAnsi="Times New Roman"/>
          <w:bCs/>
          <w:color w:val="000000"/>
          <w:sz w:val="21"/>
          <w:szCs w:val="21"/>
          <w:vertAlign w:val="subscript"/>
        </w:rPr>
        <w:t>s1</w:t>
      </w:r>
      <w:r>
        <w:rPr>
          <w:rFonts w:ascii="Times New Roman" w:hAnsi="Times New Roman"/>
          <w:bCs/>
          <w:color w:val="000000"/>
          <w:sz w:val="21"/>
          <w:szCs w:val="21"/>
        </w:rPr>
        <w:t>——腹板拼接板受力方向的端距；</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t</w:t>
      </w:r>
      <w:r>
        <w:rPr>
          <w:rFonts w:ascii="Times New Roman" w:hAnsi="Times New Roman"/>
          <w:bCs/>
          <w:color w:val="000000"/>
          <w:sz w:val="21"/>
          <w:szCs w:val="21"/>
          <w:vertAlign w:val="subscript"/>
        </w:rPr>
        <w:t>w</w:t>
      </w:r>
      <w:r>
        <w:rPr>
          <w:rFonts w:ascii="Times New Roman" w:hAnsi="Times New Roman"/>
          <w:bCs/>
          <w:color w:val="000000"/>
          <w:sz w:val="21"/>
          <w:szCs w:val="21"/>
        </w:rPr>
        <w:t>——梁腹板的板厚；</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t</w:t>
      </w:r>
      <w:r>
        <w:rPr>
          <w:rFonts w:ascii="Times New Roman" w:hAnsi="Times New Roman"/>
          <w:bCs/>
          <w:color w:val="000000"/>
          <w:sz w:val="21"/>
          <w:szCs w:val="21"/>
          <w:vertAlign w:val="subscript"/>
        </w:rPr>
        <w:t>ws</w:t>
      </w:r>
      <w:r>
        <w:rPr>
          <w:rFonts w:ascii="Times New Roman" w:hAnsi="Times New Roman"/>
          <w:bCs/>
          <w:color w:val="000000"/>
          <w:sz w:val="21"/>
          <w:szCs w:val="21"/>
        </w:rPr>
        <w:t>——腹板拼接板板厚（两块时为其厚度之和）；</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r</w:t>
      </w:r>
      <w:r>
        <w:rPr>
          <w:rFonts w:ascii="Times New Roman" w:hAnsi="Times New Roman"/>
          <w:bCs/>
          <w:i/>
          <w:iCs/>
          <w:color w:val="000000"/>
          <w:sz w:val="21"/>
          <w:szCs w:val="21"/>
          <w:vertAlign w:val="subscript"/>
        </w:rPr>
        <w:t>i</w:t>
      </w:r>
      <w:r>
        <w:rPr>
          <w:rFonts w:ascii="Times New Roman" w:hAnsi="Times New Roman"/>
          <w:bCs/>
          <w:color w:val="000000"/>
          <w:sz w:val="21"/>
          <w:szCs w:val="21"/>
        </w:rPr>
        <w:t>、</w:t>
      </w:r>
      <w:r>
        <w:rPr>
          <w:rFonts w:ascii="Times New Roman" w:hAnsi="Times New Roman"/>
          <w:bCs/>
          <w:i/>
          <w:iCs/>
          <w:color w:val="000000"/>
          <w:sz w:val="21"/>
          <w:szCs w:val="21"/>
        </w:rPr>
        <w:t>r</w:t>
      </w:r>
      <w:r>
        <w:rPr>
          <w:rFonts w:ascii="Times New Roman" w:hAnsi="Times New Roman"/>
          <w:bCs/>
          <w:color w:val="000000"/>
          <w:sz w:val="21"/>
          <w:szCs w:val="21"/>
          <w:vertAlign w:val="subscript"/>
        </w:rPr>
        <w:t>m</w:t>
      </w:r>
      <w:r>
        <w:rPr>
          <w:rFonts w:ascii="Times New Roman" w:hAnsi="Times New Roman"/>
          <w:bCs/>
          <w:color w:val="000000"/>
          <w:sz w:val="21"/>
          <w:szCs w:val="21"/>
        </w:rPr>
        <w:t>——腹板螺栓群中心至所计算螺栓的距离，</w:t>
      </w:r>
      <w:r>
        <w:rPr>
          <w:rFonts w:ascii="Times New Roman" w:hAnsi="Times New Roman"/>
          <w:bCs/>
          <w:i/>
          <w:iCs/>
          <w:color w:val="000000"/>
          <w:sz w:val="21"/>
          <w:szCs w:val="21"/>
        </w:rPr>
        <w:t>r</w:t>
      </w:r>
      <w:r>
        <w:rPr>
          <w:rFonts w:ascii="Times New Roman" w:hAnsi="Times New Roman"/>
          <w:bCs/>
          <w:color w:val="000000"/>
          <w:sz w:val="21"/>
          <w:szCs w:val="21"/>
          <w:vertAlign w:val="subscript"/>
        </w:rPr>
        <w:t>m</w:t>
      </w:r>
      <w:r>
        <w:rPr>
          <w:rFonts w:ascii="Times New Roman" w:hAnsi="Times New Roman"/>
          <w:bCs/>
          <w:color w:val="000000"/>
          <w:sz w:val="21"/>
          <w:szCs w:val="21"/>
        </w:rPr>
        <w:t>为</w:t>
      </w:r>
      <w:r>
        <w:rPr>
          <w:rFonts w:ascii="Times New Roman" w:hAnsi="Times New Roman"/>
          <w:bCs/>
          <w:i/>
          <w:iCs/>
          <w:color w:val="000000"/>
          <w:sz w:val="21"/>
          <w:szCs w:val="21"/>
        </w:rPr>
        <w:t>r</w:t>
      </w:r>
      <w:r>
        <w:rPr>
          <w:rFonts w:ascii="Times New Roman" w:hAnsi="Times New Roman"/>
          <w:bCs/>
          <w:i/>
          <w:iCs/>
          <w:color w:val="000000"/>
          <w:sz w:val="21"/>
          <w:szCs w:val="21"/>
          <w:vertAlign w:val="subscript"/>
        </w:rPr>
        <w:t>i</w:t>
      </w:r>
      <w:r>
        <w:rPr>
          <w:rFonts w:ascii="Times New Roman" w:hAnsi="Times New Roman"/>
          <w:bCs/>
          <w:color w:val="000000"/>
          <w:sz w:val="21"/>
          <w:szCs w:val="21"/>
        </w:rPr>
        <w:t>的最大值；</w:t>
      </w:r>
    </w:p>
    <w:p>
      <w:pPr>
        <w:pStyle w:val="29"/>
        <w:widowControl/>
        <w:adjustRightInd w:val="0"/>
        <w:spacing w:before="0" w:beforeAutospacing="0" w:after="0" w:afterAutospacing="0" w:line="400" w:lineRule="exact"/>
        <w:ind w:firstLine="638" w:firstLineChars="304"/>
        <w:rPr>
          <w:rFonts w:ascii="Times New Roman" w:hAnsi="Times New Roman"/>
          <w:bCs/>
          <w:color w:val="000000"/>
          <w:sz w:val="21"/>
          <w:szCs w:val="21"/>
        </w:rPr>
      </w:pPr>
      <w:r>
        <w:rPr>
          <w:rFonts w:ascii="Times New Roman" w:hAnsi="Times New Roman"/>
          <w:bCs/>
          <w:i/>
          <w:iCs/>
          <w:color w:val="000000"/>
          <w:sz w:val="21"/>
          <w:szCs w:val="21"/>
        </w:rPr>
        <w:t>V</w:t>
      </w:r>
      <w:r>
        <w:rPr>
          <w:rFonts w:ascii="Times New Roman" w:hAnsi="Times New Roman"/>
          <w:bCs/>
          <w:color w:val="000000"/>
          <w:sz w:val="21"/>
          <w:szCs w:val="21"/>
          <w:vertAlign w:val="subscript"/>
        </w:rPr>
        <w:t>j</w:t>
      </w:r>
      <w:r>
        <w:rPr>
          <w:rFonts w:ascii="Times New Roman" w:hAnsi="Times New Roman"/>
          <w:bCs/>
          <w:color w:val="000000"/>
          <w:sz w:val="21"/>
          <w:szCs w:val="21"/>
        </w:rPr>
        <w:t>——腹板拼接处的剪力，按梁端极限状态计算时的剪力</w:t>
      </w:r>
      <w:r>
        <w:rPr>
          <w:rFonts w:ascii="Times New Roman" w:hAnsi="Times New Roman"/>
          <w:bCs/>
          <w:i/>
          <w:iCs/>
          <w:color w:val="000000"/>
          <w:sz w:val="21"/>
          <w:szCs w:val="21"/>
        </w:rPr>
        <w:t>V</w:t>
      </w:r>
      <w:r>
        <w:rPr>
          <w:rFonts w:ascii="Times New Roman" w:hAnsi="Times New Roman"/>
          <w:bCs/>
          <w:color w:val="000000"/>
          <w:sz w:val="21"/>
          <w:szCs w:val="21"/>
          <w:vertAlign w:val="subscript"/>
        </w:rPr>
        <w:t>u</w:t>
      </w:r>
      <w:r>
        <w:rPr>
          <w:rFonts w:ascii="Times New Roman" w:hAnsi="Times New Roman"/>
          <w:bCs/>
          <w:color w:val="000000"/>
          <w:sz w:val="21"/>
          <w:szCs w:val="21"/>
        </w:rPr>
        <w:t>；</w:t>
      </w:r>
    </w:p>
    <w:p>
      <w:pPr>
        <w:pStyle w:val="29"/>
        <w:widowControl/>
        <w:adjustRightInd w:val="0"/>
        <w:spacing w:before="0" w:beforeAutospacing="0" w:after="0" w:afterAutospacing="0" w:line="400" w:lineRule="exact"/>
        <w:ind w:firstLine="638" w:firstLineChars="304"/>
        <w:rPr>
          <w:rFonts w:ascii="Times New Roman" w:hAnsi="Times New Roman"/>
          <w:bCs/>
          <w:color w:val="000000"/>
          <w:szCs w:val="21"/>
        </w:rPr>
      </w:pPr>
      <w:r>
        <w:rPr>
          <w:rFonts w:ascii="Times New Roman" w:hAnsi="Times New Roman"/>
          <w:bCs/>
          <w:i/>
          <w:iCs/>
          <w:color w:val="000000"/>
          <w:sz w:val="21"/>
          <w:szCs w:val="21"/>
        </w:rPr>
        <w:t>x</w:t>
      </w:r>
      <w:r>
        <w:rPr>
          <w:rFonts w:ascii="Times New Roman" w:hAnsi="Times New Roman"/>
          <w:bCs/>
          <w:color w:val="000000"/>
          <w:sz w:val="21"/>
          <w:szCs w:val="21"/>
          <w:vertAlign w:val="subscript"/>
        </w:rPr>
        <w:t>m</w:t>
      </w:r>
      <w:r>
        <w:rPr>
          <w:rFonts w:ascii="Times New Roman" w:hAnsi="Times New Roman"/>
          <w:bCs/>
          <w:color w:val="000000"/>
          <w:sz w:val="21"/>
          <w:szCs w:val="21"/>
        </w:rPr>
        <w:t>、</w:t>
      </w:r>
      <w:r>
        <w:rPr>
          <w:rFonts w:ascii="Times New Roman" w:hAnsi="Times New Roman"/>
          <w:bCs/>
          <w:i/>
          <w:iCs/>
          <w:color w:val="000000"/>
          <w:sz w:val="21"/>
          <w:szCs w:val="21"/>
        </w:rPr>
        <w:t>y</w:t>
      </w:r>
      <w:r>
        <w:rPr>
          <w:rFonts w:ascii="Times New Roman" w:hAnsi="Times New Roman"/>
          <w:bCs/>
          <w:color w:val="000000"/>
          <w:sz w:val="21"/>
          <w:szCs w:val="21"/>
          <w:vertAlign w:val="subscript"/>
        </w:rPr>
        <w:t>m</w:t>
      </w:r>
      <w:r>
        <w:rPr>
          <w:rFonts w:ascii="Times New Roman" w:hAnsi="Times New Roman"/>
          <w:bCs/>
          <w:color w:val="000000"/>
          <w:sz w:val="21"/>
          <w:szCs w:val="21"/>
        </w:rPr>
        <w:t>——分别为最外侧螺栓至螺栓群中心的横标距和纵标距。</w:t>
      </w:r>
    </w:p>
    <w:p>
      <w:pPr>
        <w:pStyle w:val="29"/>
        <w:widowControl/>
        <w:adjustRightInd w:val="0"/>
        <w:spacing w:before="0" w:beforeAutospacing="0" w:after="0" w:afterAutospacing="0" w:line="360" w:lineRule="auto"/>
        <w:jc w:val="center"/>
        <w:rPr>
          <w:rFonts w:ascii="Times New Roman" w:hAnsi="Times New Roman"/>
          <w:bCs/>
          <w:color w:val="000000"/>
        </w:rPr>
      </w:pPr>
      <w:r>
        <w:rPr>
          <w:rFonts w:ascii="Times New Roman" w:hAnsi="Times New Roman"/>
          <w:bCs/>
          <w:color w:val="000000"/>
        </w:rPr>
        <w:drawing>
          <wp:inline distT="0" distB="0" distL="114300" distR="114300">
            <wp:extent cx="1120775" cy="1794510"/>
            <wp:effectExtent l="15875" t="9525" r="18415" b="9525"/>
            <wp:docPr id="142"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19"/>
                    <pic:cNvPicPr>
                      <a:picLocks noChangeAspect="1"/>
                    </pic:cNvPicPr>
                  </pic:nvPicPr>
                  <pic:blipFill>
                    <a:blip r:embed="rId497"/>
                    <a:stretch>
                      <a:fillRect/>
                    </a:stretch>
                  </pic:blipFill>
                  <pic:spPr>
                    <a:xfrm rot="21540000">
                      <a:off x="0" y="0"/>
                      <a:ext cx="1120775" cy="1794510"/>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图5  螺栓群的尺寸关系</w:t>
      </w:r>
    </w:p>
    <w:p>
      <w:pPr>
        <w:adjustRightInd w:val="0"/>
        <w:spacing w:line="360" w:lineRule="auto"/>
        <w:ind w:firstLine="420" w:firstLineChars="200"/>
        <w:rPr>
          <w:bCs/>
          <w:color w:val="000000"/>
          <w:kern w:val="0"/>
          <w:szCs w:val="21"/>
        </w:rPr>
      </w:pPr>
      <w:r>
        <w:rPr>
          <w:bCs/>
          <w:color w:val="000000"/>
          <w:kern w:val="0"/>
          <w:szCs w:val="21"/>
        </w:rPr>
        <w:t xml:space="preserve">3 </w:t>
      </w:r>
      <w:r>
        <w:rPr>
          <w:bCs/>
          <w:color w:val="000000"/>
          <w:szCs w:val="21"/>
        </w:rPr>
        <w:t>框架的梁柱刚性连接，可采用工厂预留悬臂梁段</w:t>
      </w:r>
      <w:r>
        <w:rPr>
          <w:rFonts w:hint="eastAsia"/>
          <w:bCs/>
          <w:color w:val="000000"/>
          <w:szCs w:val="21"/>
        </w:rPr>
        <w:t>（Column tree）</w:t>
      </w:r>
      <w:r>
        <w:rPr>
          <w:bCs/>
          <w:color w:val="000000"/>
          <w:szCs w:val="21"/>
        </w:rPr>
        <w:t>，现场翼缘</w:t>
      </w:r>
      <w:r>
        <w:rPr>
          <w:rFonts w:hint="eastAsia"/>
          <w:bCs/>
          <w:color w:val="000000"/>
          <w:szCs w:val="21"/>
        </w:rPr>
        <w:t>梁——梁拼接的方式</w:t>
      </w:r>
      <w:r>
        <w:rPr>
          <w:bCs/>
          <w:color w:val="000000"/>
          <w:szCs w:val="21"/>
        </w:rPr>
        <w:t>，也可采用梁与柱的直接连接</w:t>
      </w:r>
      <w:r>
        <w:rPr>
          <w:rFonts w:hint="eastAsia"/>
          <w:bCs/>
          <w:color w:val="000000"/>
          <w:szCs w:val="21"/>
        </w:rPr>
        <w:t>的方式</w:t>
      </w:r>
      <w:r>
        <w:rPr>
          <w:bCs/>
          <w:color w:val="000000"/>
          <w:szCs w:val="21"/>
        </w:rPr>
        <w:t>。</w:t>
      </w:r>
      <w:r>
        <w:rPr>
          <w:bCs/>
          <w:color w:val="000000"/>
          <w:kern w:val="0"/>
          <w:szCs w:val="21"/>
        </w:rPr>
        <w:t>框架梁端</w:t>
      </w:r>
      <w:r>
        <w:rPr>
          <w:bCs/>
          <w:color w:val="000000"/>
          <w:szCs w:val="21"/>
        </w:rPr>
        <w:t>预留</w:t>
      </w:r>
      <w:r>
        <w:rPr>
          <w:bCs/>
          <w:color w:val="000000"/>
          <w:kern w:val="0"/>
          <w:szCs w:val="21"/>
        </w:rPr>
        <w:t>梁段，现场</w:t>
      </w:r>
      <w:r>
        <w:rPr>
          <w:rFonts w:hint="eastAsia"/>
          <w:bCs/>
          <w:color w:val="000000"/>
          <w:kern w:val="0"/>
          <w:szCs w:val="21"/>
        </w:rPr>
        <w:t>采用</w:t>
      </w:r>
      <w:r>
        <w:rPr>
          <w:bCs/>
          <w:color w:val="000000"/>
          <w:kern w:val="0"/>
          <w:szCs w:val="21"/>
        </w:rPr>
        <w:t>翼缘焊接—腹板高强度螺栓</w:t>
      </w:r>
      <w:r>
        <w:rPr>
          <w:rFonts w:hint="eastAsia"/>
          <w:bCs/>
          <w:color w:val="000000"/>
          <w:kern w:val="0"/>
          <w:szCs w:val="21"/>
        </w:rPr>
        <w:t>拼接</w:t>
      </w:r>
      <w:r>
        <w:rPr>
          <w:bCs/>
          <w:color w:val="000000"/>
          <w:kern w:val="0"/>
          <w:szCs w:val="21"/>
        </w:rPr>
        <w:t>，是目前工业建筑中广泛应用的梁柱刚性连接做法。日本阪神地震震害调查表明，这种连接的震害率是梁柱直接连接的1/3，抗震性能更好。</w:t>
      </w:r>
    </w:p>
    <w:p>
      <w:pPr>
        <w:pStyle w:val="62"/>
        <w:adjustRightInd w:val="0"/>
        <w:spacing w:line="360" w:lineRule="auto"/>
        <w:jc w:val="center"/>
        <w:rPr>
          <w:bCs/>
          <w:color w:val="000000"/>
          <w:szCs w:val="21"/>
        </w:rPr>
      </w:pPr>
      <w:r>
        <w:rPr>
          <w:bCs/>
          <w:color w:val="000000"/>
          <w:szCs w:val="21"/>
        </w:rPr>
        <w:drawing>
          <wp:inline distT="0" distB="0" distL="114300" distR="114300">
            <wp:extent cx="4349750" cy="1110615"/>
            <wp:effectExtent l="0" t="0" r="0" b="1270"/>
            <wp:docPr id="139"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220"/>
                    <pic:cNvPicPr>
                      <a:picLocks noChangeAspect="1"/>
                    </pic:cNvPicPr>
                  </pic:nvPicPr>
                  <pic:blipFill>
                    <a:blip r:embed="rId498"/>
                    <a:stretch>
                      <a:fillRect/>
                    </a:stretch>
                  </pic:blipFill>
                  <pic:spPr>
                    <a:xfrm>
                      <a:off x="0" y="0"/>
                      <a:ext cx="4349750" cy="1110615"/>
                    </a:xfrm>
                    <a:prstGeom prst="rect">
                      <a:avLst/>
                    </a:prstGeom>
                    <a:noFill/>
                    <a:ln>
                      <a:noFill/>
                    </a:ln>
                  </pic:spPr>
                </pic:pic>
              </a:graphicData>
            </a:graphic>
          </wp:inline>
        </w:drawing>
      </w:r>
    </w:p>
    <w:p>
      <w:pPr>
        <w:pStyle w:val="62"/>
        <w:adjustRightInd w:val="0"/>
        <w:spacing w:line="360" w:lineRule="auto"/>
        <w:rPr>
          <w:bCs/>
          <w:color w:val="000000"/>
          <w:sz w:val="18"/>
          <w:szCs w:val="18"/>
        </w:rPr>
      </w:pPr>
      <w:r>
        <w:rPr>
          <w:bCs/>
          <w:color w:val="000000"/>
          <w:sz w:val="18"/>
          <w:szCs w:val="18"/>
        </w:rPr>
        <w:t xml:space="preserve">     （a）梁柱直接连接节点                           （b）带悬臂梁段的梁柱连接节点</w:t>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图6  梁柱刚性连接节点</w:t>
      </w:r>
    </w:p>
    <w:p>
      <w:pPr>
        <w:adjustRightInd w:val="0"/>
        <w:spacing w:line="360" w:lineRule="auto"/>
        <w:ind w:firstLine="420" w:firstLineChars="200"/>
        <w:rPr>
          <w:bCs/>
          <w:color w:val="000000"/>
          <w:szCs w:val="21"/>
        </w:rPr>
      </w:pPr>
      <w:r>
        <w:rPr>
          <w:bCs/>
          <w:color w:val="000000"/>
          <w:szCs w:val="21"/>
        </w:rPr>
        <w:t>4 工业建筑</w:t>
      </w:r>
      <w:r>
        <w:rPr>
          <w:rFonts w:hint="eastAsia"/>
          <w:bCs/>
          <w:color w:val="000000"/>
          <w:szCs w:val="21"/>
        </w:rPr>
        <w:t>注重功能性，</w:t>
      </w:r>
      <w:r>
        <w:rPr>
          <w:bCs/>
          <w:color w:val="000000"/>
          <w:szCs w:val="21"/>
        </w:rPr>
        <w:t>对美观的要求一般不如</w:t>
      </w:r>
      <w:r>
        <w:rPr>
          <w:rFonts w:hint="eastAsia"/>
          <w:bCs/>
          <w:color w:val="000000"/>
          <w:szCs w:val="21"/>
        </w:rPr>
        <w:t>民用</w:t>
      </w:r>
      <w:r>
        <w:rPr>
          <w:bCs/>
          <w:color w:val="000000"/>
          <w:szCs w:val="21"/>
        </w:rPr>
        <w:t>建筑，应用</w:t>
      </w:r>
      <w:r>
        <w:rPr>
          <w:rFonts w:hint="eastAsia"/>
          <w:bCs/>
          <w:color w:val="000000"/>
          <w:szCs w:val="21"/>
        </w:rPr>
        <w:t>框架</w:t>
      </w:r>
      <w:r>
        <w:rPr>
          <w:bCs/>
          <w:color w:val="000000"/>
          <w:szCs w:val="21"/>
        </w:rPr>
        <w:t>梁端扩大式（翼缘扩大、腹板加腋）连接（图7）较多。</w:t>
      </w:r>
      <w:r>
        <w:rPr>
          <w:rFonts w:hint="eastAsia"/>
          <w:bCs/>
          <w:color w:val="000000"/>
          <w:szCs w:val="21"/>
        </w:rPr>
        <w:t>梁端扩大</w:t>
      </w:r>
      <w:r>
        <w:rPr>
          <w:bCs/>
          <w:color w:val="000000"/>
          <w:szCs w:val="21"/>
        </w:rPr>
        <w:t>可使塑性铰外移，连接焊缝加长，</w:t>
      </w:r>
      <w:r>
        <w:rPr>
          <w:rFonts w:hint="eastAsia"/>
          <w:bCs/>
          <w:color w:val="000000"/>
          <w:szCs w:val="21"/>
        </w:rPr>
        <w:t>从而</w:t>
      </w:r>
      <w:r>
        <w:rPr>
          <w:bCs/>
          <w:color w:val="000000"/>
          <w:szCs w:val="21"/>
        </w:rPr>
        <w:t>使连接的承载能力提高。图7b~7g给出</w:t>
      </w:r>
      <w:r>
        <w:rPr>
          <w:bCs/>
          <w:color w:val="000000"/>
          <w:kern w:val="0"/>
          <w:szCs w:val="21"/>
        </w:rPr>
        <w:t>的</w:t>
      </w:r>
      <w:r>
        <w:rPr>
          <w:bCs/>
          <w:color w:val="000000"/>
          <w:szCs w:val="21"/>
        </w:rPr>
        <w:t>连接构造，已为美国AISC 358所验证，</w:t>
      </w:r>
      <w:r>
        <w:rPr>
          <w:rFonts w:hint="eastAsia"/>
          <w:bCs/>
          <w:color w:val="000000"/>
          <w:szCs w:val="21"/>
        </w:rPr>
        <w:t>也</w:t>
      </w:r>
      <w:r>
        <w:rPr>
          <w:bCs/>
          <w:color w:val="000000"/>
          <w:szCs w:val="21"/>
        </w:rPr>
        <w:t>可据需在工程中应用。</w:t>
      </w:r>
      <w:r>
        <w:rPr>
          <w:rFonts w:hint="eastAsia"/>
          <w:bCs/>
          <w:color w:val="000000"/>
          <w:szCs w:val="21"/>
        </w:rPr>
        <w:t>但应注意，半剛性的螺栓連接的適用條件——1）應有足夠的變形能力；2）應保證與之連接的構件穩定；3）在结构變形分析中應計入連接變形的影響。</w:t>
      </w:r>
    </w:p>
    <w:p>
      <w:pPr>
        <w:pStyle w:val="62"/>
        <w:adjustRightInd w:val="0"/>
        <w:spacing w:line="360" w:lineRule="auto"/>
        <w:jc w:val="center"/>
        <w:rPr>
          <w:bCs/>
          <w:color w:val="000000"/>
        </w:rPr>
      </w:pPr>
      <w:r>
        <w:rPr>
          <w:bCs/>
          <w:color w:val="000000"/>
        </w:rPr>
        <w:drawing>
          <wp:inline distT="0" distB="0" distL="114300" distR="114300">
            <wp:extent cx="3430270" cy="1659255"/>
            <wp:effectExtent l="0" t="0" r="2540" b="3175"/>
            <wp:docPr id="140"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21"/>
                    <pic:cNvPicPr>
                      <a:picLocks noChangeAspect="1"/>
                    </pic:cNvPicPr>
                  </pic:nvPicPr>
                  <pic:blipFill>
                    <a:blip r:embed="rId499"/>
                    <a:stretch>
                      <a:fillRect/>
                    </a:stretch>
                  </pic:blipFill>
                  <pic:spPr>
                    <a:xfrm>
                      <a:off x="0" y="0"/>
                      <a:ext cx="3430270" cy="1659255"/>
                    </a:xfrm>
                    <a:prstGeom prst="rect">
                      <a:avLst/>
                    </a:prstGeom>
                    <a:noFill/>
                    <a:ln>
                      <a:noFill/>
                    </a:ln>
                  </pic:spPr>
                </pic:pic>
              </a:graphicData>
            </a:graphic>
          </wp:inline>
        </w:drawing>
      </w:r>
      <w:r>
        <w:rPr>
          <w:bCs/>
          <w:color w:val="000000"/>
        </w:rPr>
        <w:t xml:space="preserve">  </w:t>
      </w:r>
    </w:p>
    <w:p>
      <w:pPr>
        <w:pStyle w:val="62"/>
        <w:adjustRightInd w:val="0"/>
        <w:spacing w:line="360" w:lineRule="auto"/>
        <w:jc w:val="center"/>
        <w:rPr>
          <w:bCs/>
          <w:color w:val="000000"/>
          <w:sz w:val="18"/>
          <w:szCs w:val="18"/>
        </w:rPr>
      </w:pPr>
      <w:r>
        <w:rPr>
          <w:bCs/>
          <w:color w:val="000000"/>
          <w:sz w:val="18"/>
          <w:szCs w:val="18"/>
        </w:rPr>
        <w:t>（a）梁端扩大型连接</w:t>
      </w:r>
    </w:p>
    <w:p>
      <w:pPr>
        <w:pStyle w:val="62"/>
        <w:adjustRightInd w:val="0"/>
        <w:spacing w:line="360" w:lineRule="auto"/>
        <w:jc w:val="center"/>
        <w:rPr>
          <w:bCs/>
          <w:color w:val="000000"/>
          <w:szCs w:val="21"/>
        </w:rPr>
      </w:pPr>
      <w:r>
        <w:rPr>
          <w:bCs/>
          <w:color w:val="000000"/>
          <w:sz w:val="18"/>
        </w:rPr>
        <mc:AlternateContent>
          <mc:Choice Requires="wps">
            <w:drawing>
              <wp:anchor distT="0" distB="0" distL="114300" distR="114300" simplePos="0" relativeHeight="251674624" behindDoc="0" locked="0" layoutInCell="1" allowOverlap="1">
                <wp:simplePos x="0" y="0"/>
                <wp:positionH relativeFrom="column">
                  <wp:posOffset>2268220</wp:posOffset>
                </wp:positionH>
                <wp:positionV relativeFrom="paragraph">
                  <wp:posOffset>2091690</wp:posOffset>
                </wp:positionV>
                <wp:extent cx="2653030" cy="3733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3030" cy="373380"/>
                        </a:xfrm>
                        <a:prstGeom prst="rect">
                          <a:avLst/>
                        </a:prstGeom>
                        <a:noFill/>
                        <a:ln>
                          <a:noFill/>
                        </a:ln>
                      </wps:spPr>
                      <wps:txbx>
                        <w:txbxContent>
                          <w:p>
                            <w:pPr>
                              <w:pStyle w:val="62"/>
                              <w:adjustRightInd w:val="0"/>
                              <w:spacing w:line="360" w:lineRule="auto"/>
                              <w:jc w:val="center"/>
                              <w:rPr>
                                <w:b/>
                                <w:sz w:val="15"/>
                                <w:szCs w:val="15"/>
                              </w:rPr>
                            </w:pPr>
                            <w:r>
                              <w:rPr>
                                <w:b/>
                                <w:sz w:val="15"/>
                                <w:szCs w:val="15"/>
                              </w:rPr>
                              <w:t>（0.5</w:t>
                            </w:r>
                            <w:r>
                              <w:rPr>
                                <w:b/>
                                <w:i/>
                                <w:iCs/>
                                <w:sz w:val="15"/>
                                <w:szCs w:val="15"/>
                              </w:rPr>
                              <w:t>b</w:t>
                            </w:r>
                            <w:r>
                              <w:rPr>
                                <w:b/>
                                <w:sz w:val="15"/>
                                <w:szCs w:val="15"/>
                                <w:vertAlign w:val="subscript"/>
                              </w:rPr>
                              <w:t>bf</w:t>
                            </w:r>
                            <w:r>
                              <w:rPr>
                                <w:b/>
                                <w:i/>
                                <w:iCs/>
                                <w:sz w:val="15"/>
                                <w:szCs w:val="15"/>
                              </w:rPr>
                              <w:t xml:space="preserve"> ≤ a ≤ </w:t>
                            </w:r>
                            <w:r>
                              <w:rPr>
                                <w:b/>
                                <w:sz w:val="15"/>
                                <w:szCs w:val="15"/>
                              </w:rPr>
                              <w:t>0.75</w:t>
                            </w:r>
                            <w:r>
                              <w:rPr>
                                <w:b/>
                                <w:i/>
                                <w:iCs/>
                                <w:sz w:val="15"/>
                                <w:szCs w:val="15"/>
                              </w:rPr>
                              <w:t>b</w:t>
                            </w:r>
                            <w:r>
                              <w:rPr>
                                <w:b/>
                                <w:sz w:val="15"/>
                                <w:szCs w:val="15"/>
                                <w:vertAlign w:val="subscript"/>
                              </w:rPr>
                              <w:t>bf</w:t>
                            </w:r>
                            <w:r>
                              <w:rPr>
                                <w:b/>
                                <w:sz w:val="15"/>
                                <w:szCs w:val="15"/>
                              </w:rPr>
                              <w:t>，0.65</w:t>
                            </w:r>
                            <w:r>
                              <w:rPr>
                                <w:b/>
                                <w:i/>
                                <w:iCs/>
                                <w:sz w:val="15"/>
                                <w:szCs w:val="15"/>
                                <w:lang w:eastAsia="ja-JP"/>
                              </w:rPr>
                              <w:t>h</w:t>
                            </w:r>
                            <w:r>
                              <w:rPr>
                                <w:b/>
                                <w:sz w:val="15"/>
                                <w:szCs w:val="15"/>
                                <w:vertAlign w:val="subscript"/>
                              </w:rPr>
                              <w:t>b</w:t>
                            </w:r>
                            <w:r>
                              <w:rPr>
                                <w:b/>
                                <w:sz w:val="15"/>
                                <w:szCs w:val="15"/>
                              </w:rPr>
                              <w:t xml:space="preserve"> </w:t>
                            </w:r>
                            <w:r>
                              <w:rPr>
                                <w:b/>
                                <w:i/>
                                <w:iCs/>
                                <w:sz w:val="15"/>
                                <w:szCs w:val="15"/>
                              </w:rPr>
                              <w:t xml:space="preserve">≤ b ≤ </w:t>
                            </w:r>
                            <w:r>
                              <w:rPr>
                                <w:b/>
                                <w:sz w:val="15"/>
                                <w:szCs w:val="15"/>
                              </w:rPr>
                              <w:t>0.85</w:t>
                            </w:r>
                            <w:r>
                              <w:rPr>
                                <w:b/>
                                <w:i/>
                                <w:iCs/>
                                <w:sz w:val="15"/>
                                <w:szCs w:val="15"/>
                                <w:lang w:eastAsia="ja-JP"/>
                              </w:rPr>
                              <w:t>h</w:t>
                            </w:r>
                            <w:r>
                              <w:rPr>
                                <w:b/>
                                <w:sz w:val="15"/>
                                <w:szCs w:val="15"/>
                                <w:vertAlign w:val="subscript"/>
                              </w:rPr>
                              <w:t>b</w:t>
                            </w:r>
                            <w:r>
                              <w:rPr>
                                <w:b/>
                                <w:sz w:val="15"/>
                                <w:szCs w:val="15"/>
                              </w:rPr>
                              <w:t>，0.1</w:t>
                            </w:r>
                            <w:r>
                              <w:rPr>
                                <w:b/>
                                <w:i/>
                                <w:iCs/>
                                <w:sz w:val="15"/>
                                <w:szCs w:val="15"/>
                              </w:rPr>
                              <w:t>b</w:t>
                            </w:r>
                            <w:r>
                              <w:rPr>
                                <w:b/>
                                <w:sz w:val="15"/>
                                <w:szCs w:val="15"/>
                                <w:vertAlign w:val="subscript"/>
                              </w:rPr>
                              <w:t>bf</w:t>
                            </w:r>
                            <w:r>
                              <w:rPr>
                                <w:b/>
                                <w:i/>
                                <w:iCs/>
                                <w:sz w:val="15"/>
                                <w:szCs w:val="15"/>
                              </w:rPr>
                              <w:t xml:space="preserve"> ≤ c ≤ </w:t>
                            </w:r>
                            <w:r>
                              <w:rPr>
                                <w:b/>
                                <w:sz w:val="15"/>
                                <w:szCs w:val="15"/>
                              </w:rPr>
                              <w:t>0.25</w:t>
                            </w:r>
                            <w:r>
                              <w:rPr>
                                <w:b/>
                                <w:i/>
                                <w:iCs/>
                                <w:sz w:val="15"/>
                                <w:szCs w:val="15"/>
                              </w:rPr>
                              <w:t>b</w:t>
                            </w:r>
                            <w:r>
                              <w:rPr>
                                <w:b/>
                                <w:sz w:val="15"/>
                                <w:szCs w:val="15"/>
                                <w:vertAlign w:val="subscript"/>
                              </w:rPr>
                              <w:t>bf</w:t>
                            </w:r>
                            <w:r>
                              <w:rPr>
                                <w:b/>
                                <w:sz w:val="15"/>
                                <w:szCs w:val="15"/>
                              </w:rPr>
                              <w:t>）</w:t>
                            </w:r>
                          </w:p>
                        </w:txbxContent>
                      </wps:txbx>
                      <wps:bodyPr lIns="91439" tIns="45719" rIns="91439" bIns="45719" upright="1"/>
                    </wps:wsp>
                  </a:graphicData>
                </a:graphic>
              </wp:anchor>
            </w:drawing>
          </mc:Choice>
          <mc:Fallback>
            <w:pict>
              <v:shape id="_x0000_s1026" o:spid="_x0000_s1026" o:spt="202" type="#_x0000_t202" style="position:absolute;left:0pt;margin-left:178.6pt;margin-top:164.7pt;height:29.4pt;width:208.9pt;z-index:251674624;mso-width-relative:page;mso-height-relative:page;" filled="f" stroked="f" coordsize="21600,21600" o:gfxdata="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4prozZAAAA&#10;CwEAAA8AAAAAAAAAAQAgAAAAIgAAAGRycy9kb3ducmV2LnhtbFBLAQIUABQAAAAIAIdO4kA4w8xK&#10;qgEAADYDAAAOAAAAAAAAAAEAIAAAACgBAABkcnMvZTJvRG9jLnhtbFBLBQYAAAAABgAGAFkBAABE&#10;BQAAAAA=&#10;">
                <v:fill on="f" focussize="0,0"/>
                <v:stroke on="f"/>
                <v:imagedata o:title=""/>
                <o:lock v:ext="edit" aspectratio="f"/>
                <v:textbox inset="7.19992125984252pt,3.59992125984252pt,7.19992125984252pt,3.59992125984252pt">
                  <w:txbxContent>
                    <w:p>
                      <w:pPr>
                        <w:pStyle w:val="62"/>
                        <w:adjustRightInd w:val="0"/>
                        <w:spacing w:line="360" w:lineRule="auto"/>
                        <w:jc w:val="center"/>
                        <w:rPr>
                          <w:b/>
                          <w:sz w:val="15"/>
                          <w:szCs w:val="15"/>
                        </w:rPr>
                      </w:pPr>
                      <w:r>
                        <w:rPr>
                          <w:b/>
                          <w:sz w:val="15"/>
                          <w:szCs w:val="15"/>
                        </w:rPr>
                        <w:t>（0.5</w:t>
                      </w:r>
                      <w:r>
                        <w:rPr>
                          <w:b/>
                          <w:i/>
                          <w:iCs/>
                          <w:sz w:val="15"/>
                          <w:szCs w:val="15"/>
                        </w:rPr>
                        <w:t>b</w:t>
                      </w:r>
                      <w:r>
                        <w:rPr>
                          <w:b/>
                          <w:sz w:val="15"/>
                          <w:szCs w:val="15"/>
                          <w:vertAlign w:val="subscript"/>
                        </w:rPr>
                        <w:t>bf</w:t>
                      </w:r>
                      <w:r>
                        <w:rPr>
                          <w:b/>
                          <w:i/>
                          <w:iCs/>
                          <w:sz w:val="15"/>
                          <w:szCs w:val="15"/>
                        </w:rPr>
                        <w:t xml:space="preserve"> ≤ a ≤ </w:t>
                      </w:r>
                      <w:r>
                        <w:rPr>
                          <w:b/>
                          <w:sz w:val="15"/>
                          <w:szCs w:val="15"/>
                        </w:rPr>
                        <w:t>0.75</w:t>
                      </w:r>
                      <w:r>
                        <w:rPr>
                          <w:b/>
                          <w:i/>
                          <w:iCs/>
                          <w:sz w:val="15"/>
                          <w:szCs w:val="15"/>
                        </w:rPr>
                        <w:t>b</w:t>
                      </w:r>
                      <w:r>
                        <w:rPr>
                          <w:b/>
                          <w:sz w:val="15"/>
                          <w:szCs w:val="15"/>
                          <w:vertAlign w:val="subscript"/>
                        </w:rPr>
                        <w:t>bf</w:t>
                      </w:r>
                      <w:r>
                        <w:rPr>
                          <w:b/>
                          <w:sz w:val="15"/>
                          <w:szCs w:val="15"/>
                        </w:rPr>
                        <w:t>，0.65</w:t>
                      </w:r>
                      <w:r>
                        <w:rPr>
                          <w:b/>
                          <w:i/>
                          <w:iCs/>
                          <w:sz w:val="15"/>
                          <w:szCs w:val="15"/>
                          <w:lang w:eastAsia="ja-JP"/>
                        </w:rPr>
                        <w:t>h</w:t>
                      </w:r>
                      <w:r>
                        <w:rPr>
                          <w:b/>
                          <w:sz w:val="15"/>
                          <w:szCs w:val="15"/>
                          <w:vertAlign w:val="subscript"/>
                        </w:rPr>
                        <w:t>b</w:t>
                      </w:r>
                      <w:r>
                        <w:rPr>
                          <w:b/>
                          <w:sz w:val="15"/>
                          <w:szCs w:val="15"/>
                        </w:rPr>
                        <w:t xml:space="preserve"> </w:t>
                      </w:r>
                      <w:r>
                        <w:rPr>
                          <w:b/>
                          <w:i/>
                          <w:iCs/>
                          <w:sz w:val="15"/>
                          <w:szCs w:val="15"/>
                        </w:rPr>
                        <w:t xml:space="preserve">≤ b ≤ </w:t>
                      </w:r>
                      <w:r>
                        <w:rPr>
                          <w:b/>
                          <w:sz w:val="15"/>
                          <w:szCs w:val="15"/>
                        </w:rPr>
                        <w:t>0.85</w:t>
                      </w:r>
                      <w:r>
                        <w:rPr>
                          <w:b/>
                          <w:i/>
                          <w:iCs/>
                          <w:sz w:val="15"/>
                          <w:szCs w:val="15"/>
                          <w:lang w:eastAsia="ja-JP"/>
                        </w:rPr>
                        <w:t>h</w:t>
                      </w:r>
                      <w:r>
                        <w:rPr>
                          <w:b/>
                          <w:sz w:val="15"/>
                          <w:szCs w:val="15"/>
                          <w:vertAlign w:val="subscript"/>
                        </w:rPr>
                        <w:t>b</w:t>
                      </w:r>
                      <w:r>
                        <w:rPr>
                          <w:b/>
                          <w:sz w:val="15"/>
                          <w:szCs w:val="15"/>
                        </w:rPr>
                        <w:t>，0.1</w:t>
                      </w:r>
                      <w:r>
                        <w:rPr>
                          <w:b/>
                          <w:i/>
                          <w:iCs/>
                          <w:sz w:val="15"/>
                          <w:szCs w:val="15"/>
                        </w:rPr>
                        <w:t>b</w:t>
                      </w:r>
                      <w:r>
                        <w:rPr>
                          <w:b/>
                          <w:sz w:val="15"/>
                          <w:szCs w:val="15"/>
                          <w:vertAlign w:val="subscript"/>
                        </w:rPr>
                        <w:t>bf</w:t>
                      </w:r>
                      <w:r>
                        <w:rPr>
                          <w:b/>
                          <w:i/>
                          <w:iCs/>
                          <w:sz w:val="15"/>
                          <w:szCs w:val="15"/>
                        </w:rPr>
                        <w:t xml:space="preserve"> ≤ c ≤ </w:t>
                      </w:r>
                      <w:r>
                        <w:rPr>
                          <w:b/>
                          <w:sz w:val="15"/>
                          <w:szCs w:val="15"/>
                        </w:rPr>
                        <w:t>0.25</w:t>
                      </w:r>
                      <w:r>
                        <w:rPr>
                          <w:b/>
                          <w:i/>
                          <w:iCs/>
                          <w:sz w:val="15"/>
                          <w:szCs w:val="15"/>
                        </w:rPr>
                        <w:t>b</w:t>
                      </w:r>
                      <w:r>
                        <w:rPr>
                          <w:b/>
                          <w:sz w:val="15"/>
                          <w:szCs w:val="15"/>
                          <w:vertAlign w:val="subscript"/>
                        </w:rPr>
                        <w:t>bf</w:t>
                      </w:r>
                      <w:r>
                        <w:rPr>
                          <w:b/>
                          <w:sz w:val="15"/>
                          <w:szCs w:val="15"/>
                        </w:rPr>
                        <w:t>）</w:t>
                      </w:r>
                    </w:p>
                  </w:txbxContent>
                </v:textbox>
              </v:shape>
            </w:pict>
          </mc:Fallback>
        </mc:AlternateContent>
      </w:r>
      <w:r>
        <w:rPr>
          <w:bCs/>
          <w:color w:val="000000"/>
        </w:rPr>
        <w:drawing>
          <wp:inline distT="0" distB="0" distL="114300" distR="114300">
            <wp:extent cx="3437255" cy="2574925"/>
            <wp:effectExtent l="0" t="0" r="6350" b="5080"/>
            <wp:docPr id="9"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22"/>
                    <pic:cNvPicPr>
                      <a:picLocks noChangeAspect="1"/>
                    </pic:cNvPicPr>
                  </pic:nvPicPr>
                  <pic:blipFill>
                    <a:blip r:embed="rId500"/>
                    <a:stretch>
                      <a:fillRect/>
                    </a:stretch>
                  </pic:blipFill>
                  <pic:spPr>
                    <a:xfrm>
                      <a:off x="0" y="0"/>
                      <a:ext cx="3437255" cy="2574925"/>
                    </a:xfrm>
                    <a:prstGeom prst="rect">
                      <a:avLst/>
                    </a:prstGeom>
                    <a:noFill/>
                    <a:ln>
                      <a:noFill/>
                    </a:ln>
                  </pic:spPr>
                </pic:pic>
              </a:graphicData>
            </a:graphic>
          </wp:inline>
        </w:drawing>
      </w:r>
    </w:p>
    <w:p>
      <w:pPr>
        <w:pStyle w:val="62"/>
        <w:adjustRightInd w:val="0"/>
        <w:snapToGrid w:val="0"/>
        <w:rPr>
          <w:bCs/>
          <w:color w:val="000000"/>
          <w:sz w:val="18"/>
          <w:szCs w:val="18"/>
        </w:rPr>
      </w:pPr>
      <w:r>
        <w:rPr>
          <w:bCs/>
          <w:color w:val="000000"/>
          <w:sz w:val="18"/>
          <w:szCs w:val="18"/>
        </w:rPr>
        <w:t xml:space="preserve">                （b）盖板式连接                         （c）狗骨式连接</w:t>
      </w:r>
    </w:p>
    <w:p>
      <w:pPr>
        <w:pStyle w:val="62"/>
        <w:adjustRightInd w:val="0"/>
        <w:spacing w:line="360" w:lineRule="auto"/>
        <w:jc w:val="center"/>
        <w:rPr>
          <w:bCs/>
          <w:color w:val="000000"/>
          <w:szCs w:val="21"/>
        </w:rPr>
      </w:pPr>
      <w:r>
        <w:rPr>
          <w:bCs/>
          <w:color w:val="000000"/>
          <w:szCs w:val="21"/>
        </w:rPr>
        <w:drawing>
          <wp:inline distT="0" distB="0" distL="114300" distR="114300">
            <wp:extent cx="4635500" cy="1443355"/>
            <wp:effectExtent l="0" t="0" r="0" b="0"/>
            <wp:docPr id="14"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23"/>
                    <pic:cNvPicPr>
                      <a:picLocks noChangeAspect="1"/>
                    </pic:cNvPicPr>
                  </pic:nvPicPr>
                  <pic:blipFill>
                    <a:blip r:embed="rId501"/>
                    <a:stretch>
                      <a:fillRect/>
                    </a:stretch>
                  </pic:blipFill>
                  <pic:spPr>
                    <a:xfrm>
                      <a:off x="0" y="0"/>
                      <a:ext cx="4635500" cy="1443355"/>
                    </a:xfrm>
                    <a:prstGeom prst="rect">
                      <a:avLst/>
                    </a:prstGeom>
                    <a:noFill/>
                    <a:ln>
                      <a:noFill/>
                    </a:ln>
                  </pic:spPr>
                </pic:pic>
              </a:graphicData>
            </a:graphic>
          </wp:inline>
        </w:drawing>
      </w:r>
    </w:p>
    <w:p>
      <w:pPr>
        <w:pStyle w:val="62"/>
        <w:adjustRightInd w:val="0"/>
        <w:snapToGrid w:val="0"/>
        <w:jc w:val="center"/>
        <w:rPr>
          <w:bCs/>
          <w:color w:val="000000"/>
          <w:sz w:val="18"/>
          <w:szCs w:val="18"/>
        </w:rPr>
      </w:pPr>
      <w:r>
        <w:rPr>
          <w:bCs/>
          <w:color w:val="000000"/>
          <w:sz w:val="18"/>
          <w:szCs w:val="18"/>
        </w:rPr>
        <w:t>（d）端板连接</w:t>
      </w:r>
    </w:p>
    <w:p>
      <w:pPr>
        <w:pStyle w:val="62"/>
        <w:adjustRightInd w:val="0"/>
        <w:spacing w:line="360" w:lineRule="auto"/>
        <w:jc w:val="center"/>
        <w:rPr>
          <w:bCs/>
          <w:color w:val="000000"/>
          <w:sz w:val="18"/>
          <w:szCs w:val="18"/>
        </w:rPr>
      </w:pPr>
      <w:r>
        <w:rPr>
          <w:bCs/>
          <w:color w:val="000000"/>
          <w:sz w:val="18"/>
          <w:szCs w:val="18"/>
        </w:rPr>
        <w:drawing>
          <wp:inline distT="0" distB="0" distL="114300" distR="114300">
            <wp:extent cx="1527810" cy="1393190"/>
            <wp:effectExtent l="0" t="0" r="5080" b="10160"/>
            <wp:docPr id="32"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4"/>
                    <pic:cNvPicPr>
                      <a:picLocks noChangeAspect="1"/>
                    </pic:cNvPicPr>
                  </pic:nvPicPr>
                  <pic:blipFill>
                    <a:blip r:embed="rId502"/>
                    <a:stretch>
                      <a:fillRect/>
                    </a:stretch>
                  </pic:blipFill>
                  <pic:spPr>
                    <a:xfrm>
                      <a:off x="0" y="0"/>
                      <a:ext cx="1527810" cy="1393190"/>
                    </a:xfrm>
                    <a:prstGeom prst="rect">
                      <a:avLst/>
                    </a:prstGeom>
                    <a:noFill/>
                    <a:ln>
                      <a:noFill/>
                    </a:ln>
                  </pic:spPr>
                </pic:pic>
              </a:graphicData>
            </a:graphic>
          </wp:inline>
        </w:drawing>
      </w:r>
      <w:r>
        <w:rPr>
          <w:bCs/>
          <w:color w:val="000000"/>
          <w:sz w:val="18"/>
          <w:szCs w:val="18"/>
        </w:rPr>
        <w:t xml:space="preserve">   </w:t>
      </w:r>
      <w:r>
        <w:rPr>
          <w:bCs/>
          <w:color w:val="000000"/>
          <w:sz w:val="18"/>
          <w:szCs w:val="18"/>
        </w:rPr>
        <w:drawing>
          <wp:inline distT="0" distB="0" distL="114300" distR="114300">
            <wp:extent cx="1479550" cy="1379855"/>
            <wp:effectExtent l="0" t="0" r="10160" b="1905"/>
            <wp:docPr id="30"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25"/>
                    <pic:cNvPicPr>
                      <a:picLocks noChangeAspect="1"/>
                    </pic:cNvPicPr>
                  </pic:nvPicPr>
                  <pic:blipFill>
                    <a:blip r:embed="rId503"/>
                    <a:stretch>
                      <a:fillRect/>
                    </a:stretch>
                  </pic:blipFill>
                  <pic:spPr>
                    <a:xfrm>
                      <a:off x="0" y="0"/>
                      <a:ext cx="1479550" cy="1379855"/>
                    </a:xfrm>
                    <a:prstGeom prst="rect">
                      <a:avLst/>
                    </a:prstGeom>
                    <a:noFill/>
                    <a:ln>
                      <a:noFill/>
                    </a:ln>
                  </pic:spPr>
                </pic:pic>
              </a:graphicData>
            </a:graphic>
          </wp:inline>
        </w:drawing>
      </w:r>
      <w:r>
        <w:rPr>
          <w:bCs/>
          <w:color w:val="000000"/>
          <w:sz w:val="18"/>
          <w:szCs w:val="18"/>
        </w:rPr>
        <w:t xml:space="preserve">    </w:t>
      </w:r>
      <w:r>
        <w:rPr>
          <w:bCs/>
          <w:color w:val="000000"/>
          <w:sz w:val="18"/>
          <w:szCs w:val="18"/>
        </w:rPr>
        <w:drawing>
          <wp:inline distT="0" distB="0" distL="114300" distR="114300">
            <wp:extent cx="1713230" cy="1423035"/>
            <wp:effectExtent l="0" t="0" r="3175" b="1905"/>
            <wp:docPr id="29"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26"/>
                    <pic:cNvPicPr>
                      <a:picLocks noChangeAspect="1"/>
                    </pic:cNvPicPr>
                  </pic:nvPicPr>
                  <pic:blipFill>
                    <a:blip r:embed="rId504"/>
                    <a:stretch>
                      <a:fillRect/>
                    </a:stretch>
                  </pic:blipFill>
                  <pic:spPr>
                    <a:xfrm>
                      <a:off x="0" y="0"/>
                      <a:ext cx="1713230" cy="1423035"/>
                    </a:xfrm>
                    <a:prstGeom prst="rect">
                      <a:avLst/>
                    </a:prstGeom>
                    <a:noFill/>
                    <a:ln>
                      <a:noFill/>
                    </a:ln>
                  </pic:spPr>
                </pic:pic>
              </a:graphicData>
            </a:graphic>
          </wp:inline>
        </w:drawing>
      </w:r>
    </w:p>
    <w:p>
      <w:pPr>
        <w:pStyle w:val="62"/>
        <w:adjustRightInd w:val="0"/>
        <w:jc w:val="center"/>
        <w:rPr>
          <w:bCs/>
          <w:color w:val="000000"/>
          <w:sz w:val="18"/>
          <w:szCs w:val="18"/>
        </w:rPr>
      </w:pPr>
      <w:r>
        <w:rPr>
          <w:bCs/>
          <w:color w:val="000000"/>
          <w:sz w:val="18"/>
          <w:szCs w:val="18"/>
        </w:rPr>
        <w:t>（e）翼缘板螺栓连接    （f）翼缘未加强焊接-腹板焊接连接        （g）双T形钢螺栓连接</w:t>
      </w:r>
    </w:p>
    <w:p>
      <w:pPr>
        <w:adjustRightInd w:val="0"/>
        <w:spacing w:line="360" w:lineRule="auto"/>
        <w:jc w:val="center"/>
        <w:rPr>
          <w:bCs/>
          <w:snapToGrid w:val="0"/>
          <w:color w:val="000000"/>
          <w:kern w:val="0"/>
          <w:sz w:val="18"/>
          <w:szCs w:val="21"/>
        </w:rPr>
      </w:pPr>
      <w:r>
        <w:rPr>
          <w:bCs/>
          <w:snapToGrid w:val="0"/>
          <w:color w:val="000000"/>
          <w:kern w:val="0"/>
          <w:sz w:val="18"/>
          <w:szCs w:val="21"/>
        </w:rPr>
        <w:t>图7  改进型梁柱刚性连接</w:t>
      </w:r>
    </w:p>
    <w:p>
      <w:pPr>
        <w:adjustRightInd w:val="0"/>
        <w:spacing w:line="380" w:lineRule="exact"/>
        <w:ind w:firstLine="420"/>
        <w:rPr>
          <w:bCs/>
          <w:color w:val="000000"/>
          <w:szCs w:val="21"/>
        </w:rPr>
      </w:pPr>
      <w:r>
        <w:rPr>
          <w:bCs/>
          <w:color w:val="000000"/>
          <w:szCs w:val="21"/>
        </w:rPr>
        <w:t>5 焊接孔作为断裂的起点，对梁柱刚性连接节点的塑性变形能力影响较大</w:t>
      </w:r>
      <w:r>
        <w:rPr>
          <w:rFonts w:hint="eastAsia"/>
          <w:bCs/>
          <w:color w:val="000000"/>
          <w:szCs w:val="21"/>
        </w:rPr>
        <w:t>。</w:t>
      </w:r>
      <w:r>
        <w:rPr>
          <w:bCs/>
          <w:color w:val="000000"/>
          <w:szCs w:val="21"/>
        </w:rPr>
        <w:t>美国北岭地震和日本阪神地震后，日本就此问题进行了大量的研究。针对焊接孔形状和有无焊接孔的连接节点抗震性能对比试验研究表明，无焊接孔连接节点的承载力和塑形变形能力均有所提高，防止脆断作用明显，抗震性能更好。《</w:t>
      </w:r>
      <w:r>
        <w:rPr>
          <w:bCs/>
          <w:color w:val="000000"/>
          <w:szCs w:val="21"/>
          <w:lang w:eastAsia="ja-JP"/>
        </w:rPr>
        <w:t>建築工事標準仕様書JASS 6鉄骨工事</w:t>
      </w:r>
      <w:r>
        <w:rPr>
          <w:bCs/>
          <w:color w:val="000000"/>
          <w:szCs w:val="21"/>
        </w:rPr>
        <w:t>（2007年版）》基于研究成果，给出了梁柱刚接节点推荐的焊接孔以及无焊接孔的构造内容。有条件时，可在采用塑性结构的多层厂房框架中采用。</w:t>
      </w:r>
    </w:p>
    <w:p>
      <w:pPr>
        <w:adjustRightInd w:val="0"/>
        <w:spacing w:line="380" w:lineRule="exact"/>
        <w:ind w:firstLine="420"/>
        <w:rPr>
          <w:bCs/>
          <w:color w:val="000000"/>
          <w:sz w:val="24"/>
        </w:rPr>
      </w:pPr>
      <w:r>
        <w:rPr>
          <w:rFonts w:hint="eastAsia"/>
          <w:bCs/>
          <w:color w:val="000000"/>
          <w:szCs w:val="21"/>
        </w:rPr>
        <w:t>6 塑性结构H截面单层刚架、多层厂房框架顶层常用</w:t>
      </w:r>
      <w:r>
        <w:rPr>
          <w:bCs/>
          <w:color w:val="000000"/>
          <w:szCs w:val="21"/>
        </w:rPr>
        <w:t>楔形加腋节点</w:t>
      </w:r>
      <w:r>
        <w:rPr>
          <w:rFonts w:hint="eastAsia"/>
          <w:bCs/>
          <w:color w:val="000000"/>
          <w:szCs w:val="21"/>
        </w:rPr>
        <w:t>（图8），可按下列公式设计。</w:t>
      </w:r>
    </w:p>
    <w:p>
      <w:pPr>
        <w:pStyle w:val="20"/>
        <w:spacing w:line="400" w:lineRule="atLeast"/>
        <w:ind w:firstLine="420"/>
        <w:jc w:val="center"/>
        <w:rPr>
          <w:bCs/>
          <w:color w:val="000000"/>
          <w:sz w:val="21"/>
        </w:rPr>
      </w:pPr>
      <w:r>
        <w:rPr>
          <w:bCs/>
          <w:color w:val="000000"/>
          <w:sz w:val="21"/>
        </w:rPr>
        <w:drawing>
          <wp:inline distT="0" distB="0" distL="114300" distR="114300">
            <wp:extent cx="2301875" cy="2403475"/>
            <wp:effectExtent l="0" t="0" r="8255" b="3810"/>
            <wp:docPr id="1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7"/>
                    <pic:cNvPicPr>
                      <a:picLocks noChangeAspect="1"/>
                    </pic:cNvPicPr>
                  </pic:nvPicPr>
                  <pic:blipFill>
                    <a:blip r:embed="rId505"/>
                    <a:stretch>
                      <a:fillRect/>
                    </a:stretch>
                  </pic:blipFill>
                  <pic:spPr>
                    <a:xfrm>
                      <a:off x="0" y="0"/>
                      <a:ext cx="2301875" cy="2403475"/>
                    </a:xfrm>
                    <a:prstGeom prst="rect">
                      <a:avLst/>
                    </a:prstGeom>
                    <a:noFill/>
                    <a:ln>
                      <a:noFill/>
                    </a:ln>
                  </pic:spPr>
                </pic:pic>
              </a:graphicData>
            </a:graphic>
          </wp:inline>
        </w:drawing>
      </w:r>
    </w:p>
    <w:p>
      <w:pPr>
        <w:jc w:val="center"/>
        <w:rPr>
          <w:bCs/>
          <w:color w:val="000000"/>
          <w:sz w:val="18"/>
          <w:szCs w:val="18"/>
        </w:rPr>
      </w:pPr>
      <w:r>
        <w:rPr>
          <w:bCs/>
          <w:color w:val="000000"/>
          <w:sz w:val="18"/>
          <w:szCs w:val="18"/>
        </w:rPr>
        <w:t>图</w:t>
      </w:r>
      <w:r>
        <w:rPr>
          <w:rFonts w:hint="eastAsia"/>
          <w:bCs/>
          <w:color w:val="000000"/>
          <w:sz w:val="18"/>
          <w:szCs w:val="18"/>
        </w:rPr>
        <w:t>8</w:t>
      </w:r>
      <w:r>
        <w:rPr>
          <w:bCs/>
          <w:color w:val="000000"/>
          <w:sz w:val="18"/>
          <w:szCs w:val="18"/>
        </w:rPr>
        <w:t xml:space="preserve">  楔形加腋节点</w:t>
      </w:r>
    </w:p>
    <w:p>
      <w:pPr>
        <w:pStyle w:val="20"/>
        <w:spacing w:line="400" w:lineRule="atLeast"/>
        <w:ind w:firstLine="420"/>
        <w:rPr>
          <w:bCs/>
          <w:color w:val="000000"/>
          <w:sz w:val="21"/>
        </w:rPr>
      </w:pPr>
      <w:r>
        <w:rPr>
          <w:bCs/>
          <w:color w:val="000000"/>
          <w:sz w:val="21"/>
        </w:rPr>
        <w:t>（1）加腋区段的翼缘板</w:t>
      </w:r>
    </w:p>
    <w:p>
      <w:pPr>
        <w:snapToGrid w:val="0"/>
        <w:spacing w:line="400" w:lineRule="exact"/>
        <w:ind w:firstLine="420" w:firstLineChars="200"/>
        <w:rPr>
          <w:bCs/>
          <w:color w:val="000000"/>
        </w:rPr>
      </w:pPr>
      <w:r>
        <w:rPr>
          <w:bCs/>
          <w:color w:val="000000"/>
        </w:rPr>
        <w:t>加腋区段的翼缘板厚度可按下式验算：</w:t>
      </w:r>
    </w:p>
    <w:p>
      <w:pPr>
        <w:snapToGrid w:val="0"/>
        <w:ind w:firstLine="420" w:firstLineChars="200"/>
        <w:jc w:val="right"/>
        <w:rPr>
          <w:bCs/>
          <w:color w:val="000000"/>
        </w:rPr>
      </w:pPr>
      <w:r>
        <w:rPr>
          <w:bCs/>
          <w:color w:val="000000"/>
          <w:position w:val="-36"/>
        </w:rPr>
        <w:object>
          <v:shape id="_x0000_i1239" o:spt="75" type="#_x0000_t75" style="height:42pt;width:186pt;" o:ole="t" filled="f" o:preferrelative="t" stroked="f" coordsize="21600,21600">
            <v:path/>
            <v:fill on="f" focussize="0,0"/>
            <v:stroke on="f"/>
            <v:imagedata r:id="rId507" o:title=""/>
            <o:lock v:ext="edit" grouping="f" rotation="f" text="f" aspectratio="t"/>
            <w10:wrap type="none"/>
            <w10:anchorlock/>
          </v:shape>
          <o:OLEObject Type="Embed" ProgID="Equation.3" ShapeID="_x0000_i1239" DrawAspect="Content" ObjectID="_1468075929" r:id="rId506">
            <o:LockedField>false</o:LockedField>
          </o:OLEObject>
        </w:object>
      </w:r>
      <w:r>
        <w:rPr>
          <w:bCs/>
          <w:color w:val="000000"/>
        </w:rPr>
        <w:tab/>
      </w:r>
      <w:r>
        <w:rPr>
          <w:bCs/>
          <w:color w:val="000000"/>
        </w:rPr>
        <w:tab/>
      </w:r>
      <w:r>
        <w:rPr>
          <w:bCs/>
          <w:color w:val="000000"/>
        </w:rPr>
        <w:tab/>
      </w:r>
      <w:r>
        <w:rPr>
          <w:bCs/>
          <w:color w:val="000000"/>
        </w:rPr>
        <w:tab/>
      </w:r>
      <w:r>
        <w:rPr>
          <w:bCs/>
          <w:color w:val="000000"/>
        </w:rPr>
        <w:t>（</w:t>
      </w:r>
      <w:r>
        <w:rPr>
          <w:rFonts w:hint="eastAsia"/>
          <w:bCs/>
          <w:color w:val="000000"/>
        </w:rPr>
        <w:t>33</w:t>
      </w:r>
      <w:r>
        <w:rPr>
          <w:bCs/>
          <w:color w:val="000000"/>
        </w:rPr>
        <w:t>）</w:t>
      </w:r>
    </w:p>
    <w:p>
      <w:pPr>
        <w:pStyle w:val="20"/>
        <w:spacing w:line="400" w:lineRule="atLeast"/>
        <w:ind w:left="0" w:leftChars="0" w:firstLine="0" w:firstLineChars="0"/>
        <w:rPr>
          <w:bCs/>
          <w:color w:val="000000"/>
          <w:sz w:val="21"/>
        </w:rPr>
      </w:pPr>
      <w:r>
        <w:rPr>
          <w:bCs/>
          <w:color w:val="000000"/>
          <w:sz w:val="21"/>
        </w:rPr>
        <w:t>式中：</w:t>
      </w:r>
      <w:r>
        <w:rPr>
          <w:bCs/>
          <w:i/>
          <w:color w:val="000000"/>
          <w:sz w:val="21"/>
        </w:rPr>
        <w:t>t</w:t>
      </w:r>
      <w:r>
        <w:rPr>
          <w:bCs/>
          <w:color w:val="000000"/>
          <w:sz w:val="21"/>
          <w:vertAlign w:val="subscript"/>
        </w:rPr>
        <w:t>f1</w:t>
      </w:r>
      <w:r>
        <w:rPr>
          <w:rFonts w:hint="eastAsia"/>
          <w:bCs/>
          <w:color w:val="000000"/>
          <w:sz w:val="21"/>
        </w:rPr>
        <w:t>——</w:t>
      </w:r>
      <w:r>
        <w:rPr>
          <w:bCs/>
          <w:color w:val="000000"/>
          <w:sz w:val="21"/>
        </w:rPr>
        <w:t>加腋区内翼缘板厚度；</w:t>
      </w:r>
    </w:p>
    <w:p>
      <w:pPr>
        <w:snapToGrid w:val="0"/>
        <w:spacing w:line="400" w:lineRule="exact"/>
        <w:ind w:left="1253" w:leftChars="304" w:hanging="615" w:hangingChars="293"/>
        <w:rPr>
          <w:bCs/>
          <w:color w:val="000000"/>
        </w:rPr>
      </w:pPr>
      <w:r>
        <w:rPr>
          <w:bCs/>
          <w:i/>
          <w:color w:val="000000"/>
        </w:rPr>
        <w:t>h</w:t>
      </w:r>
      <w:r>
        <w:rPr>
          <w:bCs/>
          <w:i/>
          <w:color w:val="000000"/>
          <w:vertAlign w:val="subscript"/>
        </w:rPr>
        <w:t>x</w:t>
      </w:r>
      <w:r>
        <w:rPr>
          <w:rFonts w:hint="eastAsia"/>
          <w:bCs/>
          <w:color w:val="000000"/>
        </w:rPr>
        <w:t>——</w:t>
      </w:r>
      <w:r>
        <w:rPr>
          <w:bCs/>
          <w:color w:val="000000"/>
        </w:rPr>
        <w:t>沿梁轴线距A点</w:t>
      </w:r>
      <w:r>
        <w:rPr>
          <w:bCs/>
          <w:i/>
          <w:color w:val="000000"/>
        </w:rPr>
        <w:t>x</w:t>
      </w:r>
      <w:r>
        <w:rPr>
          <w:bCs/>
          <w:color w:val="000000"/>
        </w:rPr>
        <w:t>处加腋段截面的高度，可近似地取上、下翼板中心线之间的距离；</w:t>
      </w:r>
    </w:p>
    <w:p>
      <w:pPr>
        <w:snapToGrid w:val="0"/>
        <w:spacing w:line="400" w:lineRule="exact"/>
        <w:ind w:firstLine="558" w:firstLineChars="266"/>
        <w:rPr>
          <w:bCs/>
          <w:color w:val="000000"/>
        </w:rPr>
      </w:pPr>
      <w:r>
        <w:rPr>
          <w:bCs/>
          <w:i/>
          <w:color w:val="000000"/>
        </w:rPr>
        <w:t>M</w:t>
      </w:r>
      <w:r>
        <w:rPr>
          <w:bCs/>
          <w:i/>
          <w:color w:val="000000"/>
          <w:vertAlign w:val="subscript"/>
        </w:rPr>
        <w:t>x</w:t>
      </w:r>
      <w:r>
        <w:rPr>
          <w:rFonts w:hint="eastAsia"/>
          <w:bCs/>
          <w:color w:val="000000"/>
        </w:rPr>
        <w:t>——</w:t>
      </w:r>
      <w:r>
        <w:rPr>
          <w:bCs/>
          <w:color w:val="000000"/>
        </w:rPr>
        <w:t>距A点</w:t>
      </w:r>
      <w:r>
        <w:rPr>
          <w:bCs/>
          <w:i/>
          <w:color w:val="000000"/>
        </w:rPr>
        <w:t>x</w:t>
      </w:r>
      <w:r>
        <w:rPr>
          <w:bCs/>
          <w:color w:val="000000"/>
        </w:rPr>
        <w:t>处的弯矩；</w:t>
      </w:r>
    </w:p>
    <w:p>
      <w:pPr>
        <w:snapToGrid w:val="0"/>
        <w:spacing w:line="400" w:lineRule="exact"/>
        <w:ind w:firstLine="558" w:firstLineChars="266"/>
        <w:rPr>
          <w:bCs/>
          <w:color w:val="000000"/>
        </w:rPr>
      </w:pPr>
      <w:r>
        <w:rPr>
          <w:bCs/>
          <w:i/>
          <w:color w:val="000000"/>
        </w:rPr>
        <w:t>M</w:t>
      </w:r>
      <w:r>
        <w:rPr>
          <w:bCs/>
          <w:i/>
          <w:color w:val="000000"/>
          <w:vertAlign w:val="subscript"/>
        </w:rPr>
        <w:t>A</w:t>
      </w:r>
      <w:r>
        <w:rPr>
          <w:rFonts w:hint="eastAsia"/>
          <w:bCs/>
          <w:color w:val="000000"/>
        </w:rPr>
        <w:t>——</w:t>
      </w:r>
      <w:r>
        <w:rPr>
          <w:bCs/>
          <w:color w:val="000000"/>
        </w:rPr>
        <w:t xml:space="preserve">沿梁轴线A点处的弯矩； </w:t>
      </w:r>
    </w:p>
    <w:p>
      <w:pPr>
        <w:snapToGrid w:val="0"/>
        <w:spacing w:line="400" w:lineRule="exact"/>
        <w:ind w:firstLine="558" w:firstLineChars="266"/>
        <w:rPr>
          <w:bCs/>
          <w:color w:val="000000"/>
        </w:rPr>
      </w:pPr>
      <w:r>
        <w:rPr>
          <w:bCs/>
          <w:i/>
          <w:color w:val="000000"/>
        </w:rPr>
        <w:t>B</w:t>
      </w:r>
      <w:r>
        <w:rPr>
          <w:rFonts w:hint="eastAsia"/>
          <w:bCs/>
          <w:color w:val="000000"/>
        </w:rPr>
        <w:t>——</w:t>
      </w:r>
      <w:r>
        <w:rPr>
          <w:bCs/>
          <w:color w:val="000000"/>
        </w:rPr>
        <w:t>下翼缘的宽度；</w:t>
      </w:r>
    </w:p>
    <w:p>
      <w:pPr>
        <w:snapToGrid w:val="0"/>
        <w:spacing w:line="400" w:lineRule="exact"/>
        <w:ind w:firstLine="558" w:firstLineChars="266"/>
        <w:rPr>
          <w:bCs/>
          <w:color w:val="000000"/>
        </w:rPr>
      </w:pPr>
      <w:r>
        <w:rPr>
          <w:bCs/>
          <w:i/>
          <w:color w:val="000000"/>
        </w:rPr>
        <w:t>t</w:t>
      </w:r>
      <w:r>
        <w:rPr>
          <w:bCs/>
          <w:color w:val="000000"/>
          <w:vertAlign w:val="subscript"/>
        </w:rPr>
        <w:t>w</w:t>
      </w:r>
      <w:r>
        <w:rPr>
          <w:rFonts w:hint="eastAsia"/>
          <w:bCs/>
          <w:color w:val="000000"/>
        </w:rPr>
        <w:t>——</w:t>
      </w:r>
      <w:r>
        <w:rPr>
          <w:bCs/>
          <w:color w:val="000000"/>
        </w:rPr>
        <w:t>加腋区的腹板厚度。</w:t>
      </w:r>
    </w:p>
    <w:p>
      <w:pPr>
        <w:snapToGrid w:val="0"/>
        <w:spacing w:line="400" w:lineRule="exact"/>
        <w:ind w:firstLine="420" w:firstLineChars="200"/>
        <w:rPr>
          <w:bCs/>
          <w:color w:val="000000"/>
        </w:rPr>
      </w:pPr>
      <w:r>
        <w:rPr>
          <w:bCs/>
          <w:color w:val="000000"/>
        </w:rPr>
        <w:t>（2）楔形加腋节点的斜向加劲肋</w:t>
      </w:r>
    </w:p>
    <w:p>
      <w:pPr>
        <w:snapToGrid w:val="0"/>
        <w:spacing w:line="400" w:lineRule="exact"/>
        <w:ind w:firstLine="420" w:firstLineChars="200"/>
        <w:rPr>
          <w:bCs/>
          <w:color w:val="000000"/>
        </w:rPr>
      </w:pPr>
      <w:r>
        <w:rPr>
          <w:bCs/>
          <w:color w:val="000000"/>
        </w:rPr>
        <w:t>楔形加腋节点中斜向加劲肋BF的截面面积（腹板两侧加劲肋的截面面积之和），可按下式计算确定：</w:t>
      </w:r>
    </w:p>
    <w:p>
      <w:pPr>
        <w:wordWrap w:val="0"/>
        <w:snapToGrid w:val="0"/>
        <w:ind w:right="26"/>
        <w:jc w:val="right"/>
        <w:rPr>
          <w:bCs/>
          <w:color w:val="000000"/>
        </w:rPr>
      </w:pPr>
      <w:r>
        <w:rPr>
          <w:bCs/>
          <w:color w:val="000000"/>
          <w:position w:val="-34"/>
        </w:rPr>
        <w:object>
          <v:shape id="_x0000_i1240" o:spt="75" type="#_x0000_t75" style="height:39pt;width:340pt;" o:ole="t" fillcolor="#6D6D6D" filled="f" o:preferrelative="t" stroked="f" coordsize="21600,21600">
            <v:path/>
            <v:fill on="f" focussize="0,0"/>
            <v:stroke on="f"/>
            <v:imagedata r:id="rId509" o:title=""/>
            <o:lock v:ext="edit" grouping="f" rotation="f" text="f" aspectratio="t"/>
            <w10:wrap type="none"/>
            <w10:anchorlock/>
          </v:shape>
          <o:OLEObject Type="Embed" ProgID="Equation.3" ShapeID="_x0000_i1240" DrawAspect="Content" ObjectID="_1468075930" r:id="rId508">
            <o:LockedField>false</o:LockedField>
          </o:OLEObject>
        </w:object>
      </w:r>
      <w:r>
        <w:rPr>
          <w:bCs/>
          <w:color w:val="000000"/>
        </w:rPr>
        <w:t xml:space="preserve"> </w:t>
      </w:r>
      <w:r>
        <w:rPr>
          <w:rFonts w:hint="eastAsia"/>
          <w:bCs/>
          <w:color w:val="000000"/>
        </w:rPr>
        <w:t xml:space="preserve">  </w:t>
      </w:r>
      <w:r>
        <w:rPr>
          <w:bCs/>
          <w:color w:val="000000"/>
        </w:rPr>
        <w:t>（</w:t>
      </w:r>
      <w:r>
        <w:rPr>
          <w:rFonts w:hint="eastAsia"/>
          <w:bCs/>
          <w:color w:val="000000"/>
        </w:rPr>
        <w:t>34</w:t>
      </w:r>
      <w:r>
        <w:rPr>
          <w:bCs/>
          <w:color w:val="000000"/>
        </w:rPr>
        <w:t>）</w:t>
      </w:r>
    </w:p>
    <w:p>
      <w:pPr>
        <w:pStyle w:val="20"/>
        <w:spacing w:line="400" w:lineRule="exact"/>
        <w:ind w:left="0" w:leftChars="0" w:firstLine="0" w:firstLineChars="0"/>
        <w:rPr>
          <w:bCs/>
          <w:color w:val="000000"/>
          <w:sz w:val="21"/>
        </w:rPr>
      </w:pPr>
      <w:r>
        <w:rPr>
          <w:bCs/>
          <w:color w:val="000000"/>
          <w:sz w:val="21"/>
        </w:rPr>
        <w:t>式中：</w:t>
      </w:r>
      <w:r>
        <w:rPr>
          <w:bCs/>
          <w:color w:val="000000"/>
          <w:position w:val="-12"/>
          <w:sz w:val="21"/>
        </w:rPr>
        <w:object>
          <v:shape id="_x0000_i1241" o:spt="75" type="#_x0000_t75" style="height:18pt;width:16pt;" o:ole="t" filled="f" o:preferrelative="t" stroked="f" coordsize="21600,21600">
            <v:path/>
            <v:fill on="f" focussize="0,0"/>
            <v:stroke on="f"/>
            <v:imagedata r:id="rId511" o:title=""/>
            <o:lock v:ext="edit" grouping="f" rotation="f" text="f" aspectratio="t"/>
            <w10:wrap type="none"/>
            <w10:anchorlock/>
          </v:shape>
          <o:OLEObject Type="Embed" ProgID="Equation.3" ShapeID="_x0000_i1241" DrawAspect="Content" ObjectID="_1468075931" r:id="rId510">
            <o:LockedField>false</o:LockedField>
          </o:OLEObject>
        </w:object>
      </w:r>
      <w:r>
        <w:rPr>
          <w:rFonts w:hint="eastAsia"/>
          <w:bCs/>
          <w:color w:val="000000"/>
          <w:sz w:val="21"/>
        </w:rPr>
        <w:t>——</w:t>
      </w:r>
      <w:r>
        <w:rPr>
          <w:bCs/>
          <w:color w:val="000000"/>
          <w:sz w:val="21"/>
        </w:rPr>
        <w:t>斜向加劲肋的截面面积；</w:t>
      </w:r>
    </w:p>
    <w:p>
      <w:pPr>
        <w:snapToGrid w:val="0"/>
        <w:spacing w:line="400" w:lineRule="exact"/>
        <w:ind w:firstLine="718" w:firstLineChars="342"/>
        <w:rPr>
          <w:bCs/>
          <w:color w:val="000000"/>
        </w:rPr>
      </w:pPr>
      <w:r>
        <w:rPr>
          <w:bCs/>
          <w:i/>
          <w:color w:val="000000"/>
          <w:position w:val="-10"/>
        </w:rPr>
        <w:object>
          <v:shape id="_x0000_i1242" o:spt="75" type="#_x0000_t75" style="height:15.95pt;width:16.95pt;" o:ole="t" filled="f" stroked="f" coordsize="21600,21600">
            <v:path/>
            <v:fill on="f" focussize="0,0"/>
            <v:stroke on="f"/>
            <v:imagedata r:id="rId513" o:title=""/>
            <o:lock v:ext="edit" grouping="f" rotation="f" text="f" aspectratio="t"/>
            <w10:wrap type="none"/>
            <w10:anchorlock/>
          </v:shape>
          <o:OLEObject Type="Embed" ProgID="Equation.KSEE3" ShapeID="_x0000_i1242" DrawAspect="Content" ObjectID="_1468075932" r:id="rId512">
            <o:LockedField>false</o:LockedField>
          </o:OLEObject>
        </w:object>
      </w:r>
      <w:r>
        <w:rPr>
          <w:bCs/>
          <w:i/>
          <w:color w:val="000000"/>
        </w:rPr>
        <w:t>、</w:t>
      </w:r>
      <w:r>
        <w:rPr>
          <w:bCs/>
          <w:i/>
          <w:color w:val="000000"/>
          <w:position w:val="-10"/>
        </w:rPr>
        <w:object>
          <v:shape id="_x0000_i1243" o:spt="75" type="#_x0000_t75" style="height:15.95pt;width:18pt;" o:ole="t" filled="f" stroked="f" coordsize="21600,21600">
            <v:path/>
            <v:fill on="f" focussize="0,0"/>
            <v:stroke on="f"/>
            <v:imagedata r:id="rId515" o:title=""/>
            <o:lock v:ext="edit" grouping="f" rotation="f" text="f" aspectratio="t"/>
            <w10:wrap type="none"/>
            <w10:anchorlock/>
          </v:shape>
          <o:OLEObject Type="Embed" ProgID="Equation.KSEE3" ShapeID="_x0000_i1243" DrawAspect="Content" ObjectID="_1468075933" r:id="rId514">
            <o:LockedField>false</o:LockedField>
          </o:OLEObject>
        </w:object>
      </w:r>
      <w:r>
        <w:rPr>
          <w:rFonts w:hint="eastAsia"/>
          <w:bCs/>
          <w:color w:val="000000"/>
        </w:rPr>
        <w:t>——</w:t>
      </w:r>
      <w:r>
        <w:rPr>
          <w:bCs/>
          <w:color w:val="000000"/>
        </w:rPr>
        <w:t>分别为加腋区AB和BC段下翼缘的截面面积；</w:t>
      </w:r>
    </w:p>
    <w:p>
      <w:pPr>
        <w:snapToGrid w:val="0"/>
        <w:spacing w:line="400" w:lineRule="exact"/>
        <w:ind w:firstLine="718" w:firstLineChars="342"/>
        <w:rPr>
          <w:bCs/>
          <w:color w:val="000000"/>
        </w:rPr>
      </w:pPr>
      <w:r>
        <w:rPr>
          <w:bCs/>
          <w:color w:val="000000"/>
          <w:position w:val="-10"/>
        </w:rPr>
        <w:object>
          <v:shape id="_x0000_i1244" o:spt="75" type="#_x0000_t75" style="height:16pt;width:13pt;" o:ole="t" filled="f" o:preferrelative="t" stroked="f" coordsize="21600,21600">
            <v:path/>
            <v:fill on="f" focussize="0,0"/>
            <v:stroke on="f"/>
            <v:imagedata r:id="rId517" o:title=""/>
            <o:lock v:ext="edit" grouping="f" rotation="f" text="f" aspectratio="t"/>
            <w10:wrap type="none"/>
            <w10:anchorlock/>
          </v:shape>
          <o:OLEObject Type="Embed" ProgID="Equation.3" ShapeID="_x0000_i1244" DrawAspect="Content" ObjectID="_1468075934" r:id="rId516">
            <o:LockedField>false</o:LockedField>
          </o:OLEObject>
        </w:object>
      </w:r>
      <w:r>
        <w:rPr>
          <w:rFonts w:hint="eastAsia"/>
          <w:bCs/>
          <w:color w:val="000000"/>
        </w:rPr>
        <w:t>——</w:t>
      </w:r>
      <w:r>
        <w:rPr>
          <w:bCs/>
          <w:color w:val="000000"/>
        </w:rPr>
        <w:t>加腋区AB段与刚架柱轴线之间的夹角；</w:t>
      </w:r>
    </w:p>
    <w:p>
      <w:pPr>
        <w:snapToGrid w:val="0"/>
        <w:spacing w:line="400" w:lineRule="exact"/>
        <w:ind w:firstLine="718" w:firstLineChars="342"/>
        <w:rPr>
          <w:bCs/>
          <w:color w:val="000000"/>
        </w:rPr>
      </w:pPr>
      <w:r>
        <w:rPr>
          <w:bCs/>
          <w:color w:val="000000"/>
          <w:position w:val="-10"/>
        </w:rPr>
        <w:object>
          <v:shape id="_x0000_i1245" o:spt="75" type="#_x0000_t75" style="height:16pt;width:13.95pt;" o:ole="t" filled="f" o:preferrelative="t" stroked="f" coordsize="21600,21600">
            <v:path/>
            <v:fill on="f" focussize="0,0"/>
            <v:stroke on="f"/>
            <v:imagedata r:id="rId519" o:title=""/>
            <o:lock v:ext="edit" grouping="f" rotation="f" text="f" aspectratio="t"/>
            <w10:wrap type="none"/>
            <w10:anchorlock/>
          </v:shape>
          <o:OLEObject Type="Embed" ProgID="Equation.3" ShapeID="_x0000_i1245" DrawAspect="Content" ObjectID="_1468075935" r:id="rId518">
            <o:LockedField>false</o:LockedField>
          </o:OLEObject>
        </w:object>
      </w:r>
      <w:r>
        <w:rPr>
          <w:rFonts w:hint="eastAsia"/>
          <w:bCs/>
          <w:color w:val="000000"/>
        </w:rPr>
        <w:t>——</w:t>
      </w:r>
      <w:r>
        <w:rPr>
          <w:bCs/>
          <w:color w:val="000000"/>
        </w:rPr>
        <w:t>加腋区BC段与刚架柱轴线之间的夹角；</w:t>
      </w:r>
    </w:p>
    <w:p>
      <w:pPr>
        <w:snapToGrid w:val="0"/>
        <w:spacing w:line="400" w:lineRule="exact"/>
        <w:ind w:firstLine="718" w:firstLineChars="342"/>
        <w:rPr>
          <w:bCs/>
          <w:color w:val="000000"/>
        </w:rPr>
      </w:pPr>
      <w:r>
        <w:rPr>
          <w:bCs/>
          <w:color w:val="000000"/>
          <w:position w:val="-6"/>
        </w:rPr>
        <w:object>
          <v:shape id="_x0000_i1246" o:spt="75" type="#_x0000_t75" style="height:13pt;width:10pt;" o:ole="t" filled="f" o:preferrelative="t" stroked="f" coordsize="21600,21600">
            <v:path/>
            <v:fill on="f" focussize="0,0"/>
            <v:stroke on="f"/>
            <v:imagedata r:id="rId521" o:title=""/>
            <o:lock v:ext="edit" grouping="f" rotation="f" text="f" aspectratio="t"/>
            <w10:wrap type="none"/>
            <w10:anchorlock/>
          </v:shape>
          <o:OLEObject Type="Embed" ProgID="Equation.3" ShapeID="_x0000_i1246" DrawAspect="Content" ObjectID="_1468075936" r:id="rId520">
            <o:LockedField>false</o:LockedField>
          </o:OLEObject>
        </w:object>
      </w:r>
      <w:r>
        <w:rPr>
          <w:rFonts w:hint="eastAsia"/>
          <w:bCs/>
          <w:color w:val="000000"/>
        </w:rPr>
        <w:t>——</w:t>
      </w:r>
      <w:r>
        <w:rPr>
          <w:bCs/>
          <w:color w:val="000000"/>
        </w:rPr>
        <w:t>斜向加劲肋与水平面之间的夹角；</w:t>
      </w:r>
    </w:p>
    <w:p>
      <w:pPr>
        <w:snapToGrid w:val="0"/>
        <w:spacing w:line="400" w:lineRule="exact"/>
        <w:ind w:firstLine="718" w:firstLineChars="342"/>
        <w:rPr>
          <w:bCs/>
          <w:color w:val="000000"/>
        </w:rPr>
      </w:pPr>
      <w:r>
        <w:rPr>
          <w:bCs/>
          <w:color w:val="000000"/>
          <w:position w:val="-14"/>
        </w:rPr>
        <w:object>
          <v:shape id="_x0000_i1247" o:spt="75" type="#_x0000_t75" style="height:18pt;width:13pt;" o:ole="t" filled="f" o:preferrelative="t" stroked="f" coordsize="21600,21600">
            <v:path/>
            <v:fill on="f" focussize="0,0"/>
            <v:stroke on="f"/>
            <v:imagedata r:id="rId523" o:title=""/>
            <o:lock v:ext="edit" grouping="f" rotation="f" text="f" aspectratio="t"/>
            <w10:wrap type="none"/>
            <w10:anchorlock/>
          </v:shape>
          <o:OLEObject Type="Embed" ProgID="Equation.3" ShapeID="_x0000_i1247" DrawAspect="Content" ObjectID="_1468075937" r:id="rId522">
            <o:LockedField>false</o:LockedField>
          </o:OLEObject>
        </w:object>
      </w:r>
      <w:r>
        <w:rPr>
          <w:rFonts w:hint="eastAsia"/>
          <w:bCs/>
          <w:color w:val="000000"/>
        </w:rPr>
        <w:t>——</w:t>
      </w:r>
      <w:r>
        <w:rPr>
          <w:bCs/>
          <w:color w:val="000000"/>
        </w:rPr>
        <w:t>加腋区上、下翼缘板钢材的屈服强度；</w:t>
      </w:r>
    </w:p>
    <w:p>
      <w:pPr>
        <w:snapToGrid w:val="0"/>
        <w:spacing w:line="400" w:lineRule="exact"/>
        <w:ind w:firstLine="718" w:firstLineChars="342"/>
        <w:rPr>
          <w:bCs/>
          <w:color w:val="000000"/>
        </w:rPr>
      </w:pPr>
      <w:r>
        <w:rPr>
          <w:bCs/>
          <w:color w:val="000000"/>
          <w:position w:val="-14"/>
        </w:rPr>
        <w:object>
          <v:shape id="_x0000_i1248" o:spt="75" type="#_x0000_t75" style="height:20pt;width:17.8pt;" o:ole="t" fillcolor="#6D6D6D" filled="f" o:preferrelative="t" stroked="f" coordsize="21600,21600">
            <v:path/>
            <v:fill on="f" focussize="0,0"/>
            <v:stroke on="f"/>
            <v:imagedata r:id="rId525" o:title=""/>
            <o:lock v:ext="edit" grouping="f" rotation="f" text="f" aspectratio="t"/>
            <w10:wrap type="none"/>
            <w10:anchorlock/>
          </v:shape>
          <o:OLEObject Type="Embed" ProgID="Equation.3" ShapeID="_x0000_i1248" DrawAspect="Content" ObjectID="_1468075938" r:id="rId524">
            <o:LockedField>false</o:LockedField>
          </o:OLEObject>
        </w:object>
      </w:r>
      <w:r>
        <w:rPr>
          <w:rFonts w:hint="eastAsia"/>
          <w:bCs/>
          <w:color w:val="000000"/>
        </w:rPr>
        <w:t>——</w:t>
      </w:r>
      <w:r>
        <w:rPr>
          <w:bCs/>
          <w:color w:val="000000"/>
        </w:rPr>
        <w:t>斜向加劲肋钢材的屈服强度；</w:t>
      </w:r>
    </w:p>
    <w:p>
      <w:pPr>
        <w:snapToGrid w:val="0"/>
        <w:spacing w:line="400" w:lineRule="exact"/>
        <w:ind w:firstLine="718" w:firstLineChars="342"/>
        <w:rPr>
          <w:bCs/>
          <w:color w:val="000000"/>
        </w:rPr>
      </w:pPr>
      <w:r>
        <w:rPr>
          <w:bCs/>
          <w:color w:val="000000"/>
          <w:position w:val="-10"/>
        </w:rPr>
        <w:object>
          <v:shape id="_x0000_i1249" o:spt="75" type="#_x0000_t75" style="height:13pt;width:10pt;" o:ole="t" fillcolor="#6D6D6D" filled="f" o:preferrelative="t" stroked="f" coordsize="21600,21600">
            <v:path/>
            <v:fill on="f" focussize="0,0"/>
            <v:stroke on="f"/>
            <v:imagedata r:id="rId527" o:title=""/>
            <o:lock v:ext="edit" grouping="f" rotation="f" text="f" aspectratio="t"/>
            <w10:wrap type="none"/>
            <w10:anchorlock/>
          </v:shape>
          <o:OLEObject Type="Embed" ProgID="Equation.3" ShapeID="_x0000_i1249" DrawAspect="Content" ObjectID="_1468075939" r:id="rId526">
            <o:LockedField>false</o:LockedField>
          </o:OLEObject>
        </w:object>
      </w:r>
      <w:r>
        <w:rPr>
          <w:rFonts w:hint="eastAsia"/>
          <w:bCs/>
          <w:color w:val="000000"/>
        </w:rPr>
        <w:t>——</w:t>
      </w:r>
      <w:r>
        <w:rPr>
          <w:bCs/>
          <w:color w:val="000000"/>
        </w:rPr>
        <w:t>刚架梁轴线（或上翼缘）与水平面之间的夹角；</w:t>
      </w:r>
    </w:p>
    <w:p>
      <w:pPr>
        <w:snapToGrid w:val="0"/>
        <w:spacing w:line="400" w:lineRule="exact"/>
        <w:ind w:firstLine="718" w:firstLineChars="342"/>
        <w:rPr>
          <w:bCs/>
          <w:color w:val="000000"/>
        </w:rPr>
      </w:pPr>
      <w:r>
        <w:rPr>
          <w:bCs/>
          <w:color w:val="000000"/>
          <w:position w:val="-10"/>
        </w:rPr>
        <w:object>
          <v:shape id="_x0000_i1250" o:spt="75" type="#_x0000_t75" style="height:15.95pt;width:13.1pt;" o:ole="t" filled="f" o:preferrelative="t" stroked="f" coordsize="21600,21600">
            <v:path/>
            <v:fill on="f" focussize="0,0"/>
            <v:stroke on="f"/>
            <v:imagedata r:id="rId529" o:title=""/>
            <o:lock v:ext="edit" grouping="f" rotation="f" text="f" aspectratio="t"/>
            <w10:wrap type="none"/>
            <w10:anchorlock/>
          </v:shape>
          <o:OLEObject Type="Embed" ProgID="Equation.3" ShapeID="_x0000_i1250" DrawAspect="Content" ObjectID="_1468075940" r:id="rId528">
            <o:LockedField>false</o:LockedField>
          </o:OLEObject>
        </w:object>
      </w:r>
      <w:r>
        <w:rPr>
          <w:rFonts w:hint="eastAsia"/>
          <w:bCs/>
          <w:color w:val="000000"/>
        </w:rPr>
        <w:t>——</w:t>
      </w:r>
      <w:r>
        <w:rPr>
          <w:bCs/>
          <w:color w:val="000000"/>
        </w:rPr>
        <w:t>加腋区上翼缘板的截面面积，一般可与刚架梁上翼缘相同；</w:t>
      </w:r>
    </w:p>
    <w:p>
      <w:pPr>
        <w:snapToGrid w:val="0"/>
        <w:spacing w:line="400" w:lineRule="exact"/>
        <w:ind w:firstLine="718" w:firstLineChars="342"/>
        <w:rPr>
          <w:bCs/>
          <w:color w:val="000000"/>
        </w:rPr>
      </w:pPr>
      <w:r>
        <w:rPr>
          <w:bCs/>
          <w:color w:val="000000"/>
          <w:position w:val="-14"/>
        </w:rPr>
        <w:object>
          <v:shape id="_x0000_i1251" o:spt="75" type="#_x0000_t75" style="height:18pt;width:15.9pt;" o:ole="t" filled="f" o:preferrelative="t" stroked="f" coordsize="21600,21600">
            <v:path/>
            <v:fill on="f" focussize="0,0"/>
            <v:stroke on="f"/>
            <v:imagedata r:id="rId531" o:title=""/>
            <o:lock v:ext="edit" grouping="f" rotation="f" text="f" aspectratio="t"/>
            <w10:wrap type="none"/>
            <w10:anchorlock/>
          </v:shape>
          <o:OLEObject Type="Embed" ProgID="Equation.3" ShapeID="_x0000_i1251" DrawAspect="Content" ObjectID="_1468075941" r:id="rId530">
            <o:LockedField>false</o:LockedField>
          </o:OLEObject>
        </w:object>
      </w:r>
      <w:r>
        <w:rPr>
          <w:rFonts w:hint="eastAsia"/>
          <w:bCs/>
          <w:color w:val="000000"/>
        </w:rPr>
        <w:t>——</w:t>
      </w:r>
      <w:r>
        <w:rPr>
          <w:bCs/>
          <w:color w:val="000000"/>
        </w:rPr>
        <w:t>加腋区腹板的抗剪屈服强度；</w:t>
      </w:r>
    </w:p>
    <w:p>
      <w:pPr>
        <w:adjustRightInd w:val="0"/>
        <w:spacing w:line="380" w:lineRule="exact"/>
        <w:ind w:left="634" w:leftChars="302" w:hanging="838"/>
        <w:rPr>
          <w:bCs/>
          <w:color w:val="000000"/>
          <w:szCs w:val="21"/>
        </w:rPr>
      </w:pPr>
      <w:r>
        <w:rPr>
          <w:rFonts w:hint="eastAsia"/>
          <w:bCs/>
          <w:color w:val="000000"/>
        </w:rPr>
        <w:t xml:space="preserve"> </w:t>
      </w:r>
      <w:r>
        <w:rPr>
          <w:bCs/>
          <w:color w:val="000000"/>
          <w:position w:val="-10"/>
        </w:rPr>
        <w:object>
          <v:shape id="_x0000_i1252" o:spt="75" type="#_x0000_t75" style="height:16pt;width:17pt;" o:ole="t" filled="f" o:preferrelative="t" stroked="f" coordsize="21600,21600">
            <v:path/>
            <v:fill on="f" focussize="0,0"/>
            <v:stroke on="f"/>
            <v:imagedata r:id="rId533" o:title=""/>
            <o:lock v:ext="edit" grouping="f" rotation="f" text="f" aspectratio="t"/>
            <w10:wrap type="none"/>
            <w10:anchorlock/>
          </v:shape>
          <o:OLEObject Type="Embed" ProgID="Equation.3" ShapeID="_x0000_i1252" DrawAspect="Content" ObjectID="_1468075942" r:id="rId532">
            <o:LockedField>false</o:LockedField>
          </o:OLEObject>
        </w:object>
      </w:r>
      <w:r>
        <w:rPr>
          <w:rFonts w:hint="eastAsia"/>
          <w:bCs/>
          <w:color w:val="000000"/>
        </w:rPr>
        <w:t>——</w:t>
      </w:r>
      <w:r>
        <w:rPr>
          <w:bCs/>
          <w:color w:val="000000"/>
        </w:rPr>
        <w:t>加腋区B点处水平截面的计算高度，可取上、下（外、内）翼缘板中心线之间的水平距离。</w:t>
      </w:r>
    </w:p>
    <w:p>
      <w:pPr>
        <w:adjustRightInd w:val="0"/>
        <w:spacing w:line="380" w:lineRule="exact"/>
        <w:rPr>
          <w:bCs/>
          <w:color w:val="000000"/>
          <w:szCs w:val="24"/>
        </w:rPr>
      </w:pPr>
      <w:r>
        <w:rPr>
          <w:rFonts w:hint="eastAsia"/>
          <w:bCs/>
          <w:color w:val="000000"/>
          <w:kern w:val="0"/>
          <w:szCs w:val="21"/>
        </w:rPr>
        <w:t>9</w:t>
      </w:r>
      <w:r>
        <w:rPr>
          <w:bCs/>
          <w:color w:val="000000"/>
          <w:kern w:val="0"/>
          <w:szCs w:val="21"/>
        </w:rPr>
        <w:t>.</w:t>
      </w:r>
      <w:r>
        <w:rPr>
          <w:rFonts w:hint="eastAsia"/>
          <w:bCs/>
          <w:color w:val="000000"/>
          <w:kern w:val="0"/>
          <w:szCs w:val="21"/>
        </w:rPr>
        <w:t>2.10</w:t>
      </w:r>
      <w:r>
        <w:rPr>
          <w:bCs/>
          <w:color w:val="000000"/>
          <w:kern w:val="0"/>
          <w:szCs w:val="21"/>
          <w:lang w:eastAsia="ja-JP"/>
        </w:rPr>
        <w:t xml:space="preserve"> </w:t>
      </w:r>
      <w:r>
        <w:rPr>
          <w:rFonts w:hint="eastAsia"/>
          <w:bCs/>
          <w:color w:val="000000"/>
          <w:kern w:val="0"/>
          <w:szCs w:val="21"/>
        </w:rPr>
        <w:t>一般</w:t>
      </w:r>
      <w:r>
        <w:rPr>
          <w:bCs/>
          <w:color w:val="000000"/>
          <w:kern w:val="0"/>
          <w:szCs w:val="21"/>
        </w:rPr>
        <w:t>的中心支撑框架，</w:t>
      </w:r>
      <w:r>
        <w:rPr>
          <w:rFonts w:hint="eastAsia"/>
          <w:bCs/>
          <w:color w:val="000000"/>
          <w:kern w:val="0"/>
          <w:szCs w:val="21"/>
        </w:rPr>
        <w:t>欧洲EC8的要求是</w:t>
      </w:r>
      <w:r>
        <w:rPr>
          <w:bCs/>
          <w:color w:val="000000"/>
          <w:szCs w:val="24"/>
        </w:rPr>
        <w:t>以“框架梁柱屈曲或屈服、连接破裂之前，支撑斜杆受拉屈服”为原则进行抗震承载力设计</w:t>
      </w:r>
      <w:r>
        <w:rPr>
          <w:rFonts w:hint="eastAsia"/>
          <w:bCs/>
          <w:color w:val="000000"/>
          <w:szCs w:val="24"/>
        </w:rPr>
        <w:t>。</w:t>
      </w:r>
    </w:p>
    <w:p>
      <w:pPr>
        <w:adjustRightInd w:val="0"/>
        <w:spacing w:line="380" w:lineRule="exact"/>
        <w:ind w:firstLine="420"/>
        <w:rPr>
          <w:rFonts w:hint="eastAsia" w:hAnsi="宋体"/>
          <w:bCs/>
          <w:color w:val="000000"/>
        </w:rPr>
      </w:pPr>
      <w:r>
        <w:rPr>
          <w:rFonts w:hint="eastAsia"/>
          <w:bCs/>
          <w:color w:val="000000"/>
        </w:rPr>
        <w:t>1  1980年代从美国</w:t>
      </w:r>
      <w:r>
        <w:rPr>
          <w:rFonts w:hint="eastAsia"/>
          <w:bCs/>
          <w:color w:val="000000"/>
          <w:szCs w:val="21"/>
        </w:rPr>
        <w:t>SEAOC</w:t>
      </w:r>
      <w:r>
        <w:rPr>
          <w:rFonts w:hint="eastAsia"/>
          <w:bCs/>
          <w:color w:val="000000"/>
        </w:rPr>
        <w:t>和UBC规范舶来的中心支撑杆的受压承载力卸载公式：</w:t>
      </w:r>
    </w:p>
    <w:p>
      <w:pPr>
        <w:adjustRightInd w:val="0"/>
        <w:snapToGrid w:val="0"/>
        <w:spacing w:line="288" w:lineRule="auto"/>
        <w:ind w:firstLine="531" w:firstLineChars="253"/>
        <w:jc w:val="right"/>
        <w:rPr>
          <w:rFonts w:hint="eastAsia"/>
          <w:bCs/>
          <w:color w:val="000000"/>
        </w:rPr>
      </w:pPr>
      <w:r>
        <w:rPr>
          <w:bCs/>
          <w:color w:val="000000"/>
          <w:position w:val="-30"/>
        </w:rPr>
        <w:object>
          <v:shape id="_x0000_i1253" o:spt="75" type="#_x0000_t75" style="height:33.75pt;width:59.65pt;" o:ole="t" filled="f" o:preferrelative="t" stroked="f" coordsize="21600,21600">
            <v:path/>
            <v:fill on="f" focussize="0,0"/>
            <v:stroke on="f"/>
            <v:imagedata r:id="rId535" o:title=""/>
            <o:lock v:ext="edit" grouping="f" rotation="f" text="f" aspectratio="t"/>
            <w10:wrap type="none"/>
            <w10:anchorlock/>
          </v:shape>
          <o:OLEObject Type="Embed" ProgID="Equation.3" ShapeID="_x0000_i1253" DrawAspect="Content" ObjectID="_1468075943" r:id="rId534">
            <o:LockedField>false</o:LockedField>
          </o:OLEObject>
        </w:object>
      </w:r>
      <w:r>
        <w:rPr>
          <w:rFonts w:hint="eastAsia" w:eastAsia="MS Mincho"/>
          <w:bCs/>
          <w:color w:val="000000"/>
        </w:rPr>
        <w:t xml:space="preserve">    </w:t>
      </w:r>
      <w:r>
        <w:rPr>
          <w:rFonts w:hint="eastAsia"/>
          <w:bCs/>
          <w:color w:val="000000"/>
        </w:rPr>
        <w:t xml:space="preserve"> </w:t>
      </w:r>
      <w:r>
        <w:rPr>
          <w:rFonts w:hint="eastAsia" w:eastAsia="MS Mincho"/>
          <w:bCs/>
          <w:color w:val="000000"/>
        </w:rPr>
        <w:t xml:space="preserve">                      </w:t>
      </w:r>
      <w:r>
        <w:rPr>
          <w:rFonts w:hint="eastAsia"/>
          <w:bCs/>
          <w:color w:val="000000"/>
        </w:rPr>
        <w:t>（35）</w:t>
      </w:r>
    </w:p>
    <w:p>
      <w:pPr>
        <w:adjustRightInd w:val="0"/>
        <w:snapToGrid w:val="0"/>
        <w:spacing w:line="288" w:lineRule="auto"/>
        <w:ind w:firstLine="531" w:firstLineChars="253"/>
        <w:jc w:val="right"/>
        <w:rPr>
          <w:rFonts w:hint="eastAsia"/>
          <w:bCs/>
          <w:color w:val="000000"/>
        </w:rPr>
      </w:pPr>
      <w:r>
        <w:rPr>
          <w:bCs/>
          <w:color w:val="000000"/>
          <w:position w:val="-10"/>
        </w:rPr>
        <w:object>
          <v:shape id="_x0000_i1254" o:spt="75" type="#_x0000_t75" style="height:17.95pt;width:94.8pt;" o:ole="t" filled="f" o:preferrelative="t" stroked="f" coordsize="21600,21600">
            <v:path/>
            <v:fill on="f" focussize="0,0"/>
            <v:stroke on="f"/>
            <v:imagedata r:id="rId537" o:title=""/>
            <o:lock v:ext="edit" grouping="f" rotation="f" text="f" aspectratio="t"/>
            <w10:wrap type="none"/>
            <w10:anchorlock/>
          </v:shape>
          <o:OLEObject Type="Embed" ProgID="Equation.3" ShapeID="_x0000_i1254" DrawAspect="Content" ObjectID="_1468075944" r:id="rId536">
            <o:LockedField>false</o:LockedField>
          </o:OLEObject>
        </w:object>
      </w:r>
      <w:r>
        <w:rPr>
          <w:rFonts w:hint="eastAsia" w:eastAsia="MS Mincho"/>
          <w:bCs/>
          <w:color w:val="000000"/>
        </w:rPr>
        <w:t xml:space="preserve">         </w:t>
      </w:r>
      <w:r>
        <w:rPr>
          <w:rFonts w:hint="eastAsia"/>
          <w:bCs/>
          <w:color w:val="000000"/>
        </w:rPr>
        <w:t xml:space="preserve"> </w:t>
      </w:r>
      <w:r>
        <w:rPr>
          <w:rFonts w:hint="eastAsia" w:eastAsia="MS Mincho"/>
          <w:bCs/>
          <w:color w:val="000000"/>
        </w:rPr>
        <w:t xml:space="preserve">             </w:t>
      </w:r>
      <w:r>
        <w:rPr>
          <w:rFonts w:hint="eastAsia"/>
          <w:bCs/>
          <w:color w:val="000000"/>
        </w:rPr>
        <w:t>（36）</w:t>
      </w:r>
    </w:p>
    <w:p>
      <w:pPr>
        <w:adjustRightInd w:val="0"/>
        <w:spacing w:line="380" w:lineRule="exact"/>
        <w:ind w:firstLine="420"/>
        <w:rPr>
          <w:rFonts w:hint="eastAsia"/>
          <w:bCs/>
          <w:color w:val="000000"/>
        </w:rPr>
      </w:pPr>
      <w:r>
        <w:rPr>
          <w:rFonts w:hint="eastAsia"/>
          <w:bCs/>
          <w:color w:val="000000"/>
        </w:rPr>
        <w:t>但是，美国重新解读试验</w:t>
      </w:r>
      <w:r>
        <w:rPr>
          <w:rFonts w:hint="eastAsia" w:hAnsi="宋体"/>
          <w:bCs/>
          <w:color w:val="000000"/>
        </w:rPr>
        <w:t>数据时发现，此公式的支撑杆稳定承载力超过了其拉伸屈服承载力</w:t>
      </w:r>
      <w:r>
        <w:rPr>
          <w:rFonts w:hint="eastAsia"/>
          <w:bCs/>
          <w:color w:val="000000"/>
        </w:rPr>
        <w:t>，不符合钢结构原理，并且应用此公式使结构偏向不安全。</w:t>
      </w:r>
    </w:p>
    <w:p>
      <w:pPr>
        <w:spacing w:line="400" w:lineRule="exact"/>
        <w:ind w:firstLine="420" w:firstLineChars="200"/>
        <w:rPr>
          <w:rFonts w:hint="eastAsia"/>
          <w:bCs/>
          <w:color w:val="000000"/>
          <w:szCs w:val="21"/>
        </w:rPr>
      </w:pPr>
      <w:r>
        <w:rPr>
          <w:rFonts w:hint="eastAsia" w:hAnsi="宋体"/>
          <w:bCs/>
          <w:color w:val="000000"/>
        </w:rPr>
        <w:t>美国以往数十根支撑的</w:t>
      </w:r>
      <w:r>
        <w:rPr>
          <w:rFonts w:hint="eastAsia"/>
          <w:bCs/>
          <w:color w:val="000000"/>
        </w:rPr>
        <w:t>试验</w:t>
      </w:r>
      <w:r>
        <w:rPr>
          <w:rFonts w:hint="eastAsia" w:hAnsi="宋体"/>
          <w:bCs/>
          <w:color w:val="000000"/>
        </w:rPr>
        <w:t>结果重新解读后指出，中等长细比（试验采用的</w:t>
      </w:r>
      <w:r>
        <w:rPr>
          <w:rFonts w:hint="eastAsia" w:hAnsi="宋体"/>
          <w:bCs/>
          <w:i/>
          <w:color w:val="000000"/>
        </w:rPr>
        <w:t>kL</w:t>
      </w:r>
      <w:r>
        <w:rPr>
          <w:rFonts w:hint="eastAsia" w:hAnsi="宋体"/>
          <w:bCs/>
          <w:color w:val="000000"/>
        </w:rPr>
        <w:t>/</w:t>
      </w:r>
      <w:r>
        <w:rPr>
          <w:rFonts w:hint="eastAsia" w:hAnsi="宋体"/>
          <w:bCs/>
          <w:i/>
          <w:color w:val="000000"/>
        </w:rPr>
        <w:t>r</w:t>
      </w:r>
      <w:r>
        <w:rPr>
          <w:rFonts w:hint="eastAsia" w:hAnsi="宋体"/>
          <w:bCs/>
          <w:color w:val="000000"/>
        </w:rPr>
        <w:t>＝80～120）支撑与细柔长细比（</w:t>
      </w:r>
      <w:r>
        <w:rPr>
          <w:rFonts w:hint="eastAsia" w:hAnsi="宋体"/>
          <w:bCs/>
          <w:i/>
          <w:color w:val="000000"/>
        </w:rPr>
        <w:t>kL</w:t>
      </w:r>
      <w:r>
        <w:rPr>
          <w:rFonts w:hint="eastAsia" w:hAnsi="宋体"/>
          <w:bCs/>
          <w:color w:val="000000"/>
        </w:rPr>
        <w:t>/</w:t>
      </w:r>
      <w:r>
        <w:rPr>
          <w:rFonts w:hint="eastAsia" w:hAnsi="宋体"/>
          <w:bCs/>
          <w:i/>
          <w:color w:val="000000"/>
        </w:rPr>
        <w:t>r</w:t>
      </w:r>
      <w:r>
        <w:rPr>
          <w:rFonts w:hint="eastAsia" w:ascii="宋体" w:hAnsi="宋体"/>
          <w:bCs/>
          <w:color w:val="000000"/>
        </w:rPr>
        <w:t>＞</w:t>
      </w:r>
      <w:r>
        <w:rPr>
          <w:rFonts w:hint="eastAsia" w:hAnsi="宋体"/>
          <w:bCs/>
          <w:color w:val="000000"/>
        </w:rPr>
        <w:t>120）的相比，正则化能量耗散能力并不明显增大。长细比</w:t>
      </w:r>
      <w:r>
        <w:rPr>
          <w:rFonts w:hint="eastAsia" w:hAnsi="宋体"/>
          <w:bCs/>
          <w:i/>
          <w:color w:val="000000"/>
        </w:rPr>
        <w:t>kL</w:t>
      </w:r>
      <w:r>
        <w:rPr>
          <w:rFonts w:hint="eastAsia" w:hAnsi="宋体"/>
          <w:bCs/>
          <w:color w:val="000000"/>
        </w:rPr>
        <w:t>/</w:t>
      </w:r>
      <w:r>
        <w:rPr>
          <w:rFonts w:hint="eastAsia" w:hAnsi="宋体"/>
          <w:bCs/>
          <w:i/>
          <w:color w:val="000000"/>
        </w:rPr>
        <w:t>r</w:t>
      </w:r>
      <w:r>
        <w:rPr>
          <w:rFonts w:hint="eastAsia" w:hAnsi="宋体"/>
          <w:bCs/>
          <w:color w:val="000000"/>
        </w:rPr>
        <w:t>≥80的宽翼缘支撑的受压性能（最终承载力与初始承载力之比）劣化特别严厉，然而</w:t>
      </w:r>
      <w:r>
        <w:rPr>
          <w:rFonts w:hint="eastAsia" w:hAnsi="宋体"/>
          <w:bCs/>
          <w:i/>
          <w:color w:val="000000"/>
        </w:rPr>
        <w:t>kL</w:t>
      </w:r>
      <w:r>
        <w:rPr>
          <w:rFonts w:hint="eastAsia" w:hAnsi="宋体"/>
          <w:bCs/>
          <w:color w:val="000000"/>
        </w:rPr>
        <w:t>/</w:t>
      </w:r>
      <w:r>
        <w:rPr>
          <w:rFonts w:hint="eastAsia" w:hAnsi="宋体"/>
          <w:bCs/>
          <w:i/>
          <w:color w:val="000000"/>
        </w:rPr>
        <w:t>r</w:t>
      </w:r>
      <w:r>
        <w:rPr>
          <w:rFonts w:hint="eastAsia" w:hAnsi="宋体"/>
          <w:bCs/>
          <w:color w:val="000000"/>
        </w:rPr>
        <w:t>＝120～160范围的支撑，其受压性能并不比中等长细比的支撑明显恶化。</w:t>
      </w:r>
      <w:r>
        <w:rPr>
          <w:rFonts w:hint="eastAsia" w:hAnsi="宋体"/>
          <w:bCs/>
          <w:i/>
          <w:color w:val="000000"/>
        </w:rPr>
        <w:t>k</w:t>
      </w:r>
      <w:r>
        <w:rPr>
          <w:bCs/>
          <w:i/>
          <w:iCs/>
          <w:color w:val="000000"/>
          <w:szCs w:val="21"/>
        </w:rPr>
        <w:t>L</w:t>
      </w:r>
      <w:r>
        <w:rPr>
          <w:rFonts w:hint="eastAsia"/>
          <w:bCs/>
          <w:i/>
          <w:iCs/>
          <w:color w:val="000000"/>
          <w:szCs w:val="21"/>
        </w:rPr>
        <w:t>/</w:t>
      </w:r>
      <w:r>
        <w:rPr>
          <w:bCs/>
          <w:i/>
          <w:iCs/>
          <w:color w:val="000000"/>
          <w:szCs w:val="21"/>
        </w:rPr>
        <w:t>r</w:t>
      </w:r>
      <w:r>
        <w:rPr>
          <w:rFonts w:hint="eastAsia"/>
          <w:bCs/>
          <w:color w:val="000000"/>
          <w:szCs w:val="21"/>
        </w:rPr>
        <w:t>＝80的</w:t>
      </w:r>
      <w:r>
        <w:rPr>
          <w:rFonts w:hint="eastAsia"/>
          <w:bCs/>
          <w:color w:val="000000"/>
        </w:rPr>
        <w:t>支撑</w:t>
      </w:r>
      <w:r>
        <w:rPr>
          <w:rFonts w:hint="eastAsia"/>
          <w:bCs/>
          <w:color w:val="000000"/>
          <w:szCs w:val="21"/>
        </w:rPr>
        <w:t>杆约有0.6倍的受拉屈服承载力，当达到它期望的位移延性3～4时，其受压承载力已降低至约初始承载力的20％（钢管，40%）。但欧洲的试验发现，方钢管屈曲时角部裂缝很快扩展并破裂而失去承载力。</w:t>
      </w:r>
    </w:p>
    <w:p>
      <w:pPr>
        <w:spacing w:line="400" w:lineRule="exact"/>
        <w:ind w:firstLine="420" w:firstLineChars="200"/>
        <w:rPr>
          <w:rFonts w:hint="eastAsia"/>
          <w:bCs/>
          <w:color w:val="000000"/>
          <w:szCs w:val="21"/>
        </w:rPr>
      </w:pPr>
      <w:r>
        <w:rPr>
          <w:rFonts w:hint="eastAsia"/>
          <w:bCs/>
          <w:color w:val="000000"/>
        </w:rPr>
        <w:t>研究表明，此公式总体上低估了构件受循环荷载后的受压承载力降低，其后果是低估了支撑框架其它构件承受的最大地震作用。</w:t>
      </w:r>
    </w:p>
    <w:p>
      <w:pPr>
        <w:adjustRightInd w:val="0"/>
        <w:spacing w:line="380" w:lineRule="exact"/>
        <w:ind w:firstLine="420"/>
        <w:rPr>
          <w:rFonts w:hint="eastAsia"/>
          <w:bCs/>
          <w:color w:val="000000"/>
          <w:szCs w:val="21"/>
        </w:rPr>
      </w:pPr>
      <w:r>
        <w:rPr>
          <w:rFonts w:hint="eastAsia"/>
          <w:bCs/>
          <w:color w:val="000000"/>
          <w:szCs w:val="21"/>
        </w:rPr>
        <w:t xml:space="preserve">2 </w:t>
      </w:r>
      <w:r>
        <w:rPr>
          <w:bCs/>
          <w:color w:val="000000"/>
          <w:szCs w:val="21"/>
        </w:rPr>
        <w:t>反复荷载作用下，支撑</w:t>
      </w:r>
      <w:r>
        <w:rPr>
          <w:rFonts w:hint="eastAsia"/>
          <w:bCs/>
          <w:color w:val="000000"/>
          <w:szCs w:val="21"/>
        </w:rPr>
        <w:t>压</w:t>
      </w:r>
      <w:r>
        <w:rPr>
          <w:bCs/>
          <w:color w:val="000000"/>
          <w:szCs w:val="21"/>
        </w:rPr>
        <w:t>杆屈曲</w:t>
      </w:r>
      <w:r>
        <w:rPr>
          <w:rFonts w:hint="eastAsia"/>
          <w:bCs/>
          <w:color w:val="000000"/>
          <w:szCs w:val="21"/>
        </w:rPr>
        <w:t>引起</w:t>
      </w:r>
      <w:r>
        <w:rPr>
          <w:bCs/>
          <w:color w:val="000000"/>
          <w:szCs w:val="21"/>
        </w:rPr>
        <w:t>承载力退化。条文按支撑长细比大小给出了受压支撑剩余承载力系数。</w:t>
      </w:r>
      <w:r>
        <w:rPr>
          <w:rFonts w:hint="eastAsia"/>
          <w:bCs/>
          <w:color w:val="000000"/>
          <w:szCs w:val="21"/>
        </w:rPr>
        <w:t>条文给出的剩余承载力系数，与日本按试验得到的公式的计算结果十分接近。</w:t>
      </w:r>
    </w:p>
    <w:p>
      <w:pPr>
        <w:adjustRightInd w:val="0"/>
        <w:spacing w:line="380" w:lineRule="exact"/>
        <w:ind w:firstLine="420"/>
        <w:rPr>
          <w:bCs/>
          <w:color w:val="000000"/>
          <w:szCs w:val="21"/>
        </w:rPr>
      </w:pPr>
      <w:r>
        <w:rPr>
          <w:bCs/>
          <w:color w:val="000000"/>
          <w:szCs w:val="21"/>
        </w:rPr>
        <w:t>当支撑长细比</w:t>
      </w:r>
      <w:r>
        <w:rPr>
          <w:bCs/>
          <w:color w:val="000000"/>
          <w:position w:val="-10"/>
          <w:szCs w:val="21"/>
        </w:rPr>
        <w:object>
          <v:shape id="_x0000_i1255" o:spt="75" type="#_x0000_t75" style="height:15.95pt;width:15.95pt;" o:ole="t" filled="f" stroked="f" coordsize="21600,21600">
            <v:path/>
            <v:fill on="f" focussize="0,0"/>
            <v:stroke on="f"/>
            <v:imagedata r:id="rId539" o:title=""/>
            <o:lock v:ext="edit" grouping="f" rotation="f" text="f" aspectratio="t"/>
            <w10:wrap type="none"/>
            <w10:anchorlock/>
          </v:shape>
          <o:OLEObject Type="Embed" ProgID="Equation.KSEE3" ShapeID="_x0000_i1255" DrawAspect="Content" ObjectID="_1468075945" r:id="rId538">
            <o:LockedField>false</o:LockedField>
          </o:OLEObject>
        </w:object>
      </w:r>
      <w:r>
        <w:rPr>
          <w:bCs/>
          <w:color w:val="000000"/>
          <w:szCs w:val="21"/>
        </w:rPr>
        <w:t>不小于55时，剩余承载力系数</w:t>
      </w:r>
      <w:r>
        <w:rPr>
          <w:bCs/>
          <w:color w:val="000000"/>
          <w:position w:val="-10"/>
          <w:szCs w:val="21"/>
        </w:rPr>
        <w:object>
          <v:shape id="_x0000_i1256" o:spt="75" type="#_x0000_t75" style="height:15.95pt;width:15.95pt;" o:ole="t" filled="f" stroked="f" coordsize="21600,21600">
            <v:path/>
            <v:fill on="f" focussize="0,0"/>
            <v:stroke on="f"/>
            <v:imagedata r:id="rId541" o:title=""/>
            <o:lock v:ext="edit" grouping="f" rotation="f" text="f" aspectratio="t"/>
            <w10:wrap type="none"/>
            <w10:anchorlock/>
          </v:shape>
          <o:OLEObject Type="Embed" ProgID="Equation.KSEE3" ShapeID="_x0000_i1256" DrawAspect="Content" ObjectID="_1468075946" r:id="rId540">
            <o:LockedField>false</o:LockedField>
          </o:OLEObject>
        </w:object>
      </w:r>
      <w:r>
        <w:rPr>
          <w:bCs/>
          <w:color w:val="000000"/>
          <w:szCs w:val="21"/>
        </w:rPr>
        <w:t>=0.3，可以简化条文中的公式。</w:t>
      </w:r>
    </w:p>
    <w:p>
      <w:pPr>
        <w:adjustRightInd w:val="0"/>
        <w:spacing w:line="380" w:lineRule="exact"/>
        <w:ind w:firstLine="420"/>
        <w:rPr>
          <w:bCs/>
          <w:color w:val="000000"/>
          <w:szCs w:val="21"/>
        </w:rPr>
      </w:pPr>
      <w:r>
        <w:rPr>
          <w:bCs/>
          <w:color w:val="000000"/>
          <w:szCs w:val="21"/>
        </w:rPr>
        <w:t>X型支撑系统的受压支撑杆屈曲后，应按受拉支撑杆屈服、受压支撑杆屈曲的受力模型计算框架梁的轴力，并考虑压杆的剩余承载力系数。</w:t>
      </w:r>
    </w:p>
    <w:p>
      <w:pPr>
        <w:adjustRightInd w:val="0"/>
        <w:spacing w:line="380" w:lineRule="exact"/>
        <w:ind w:firstLine="420"/>
        <w:rPr>
          <w:bCs/>
          <w:snapToGrid w:val="0"/>
          <w:color w:val="000000"/>
          <w:kern w:val="0"/>
          <w:szCs w:val="21"/>
        </w:rPr>
      </w:pPr>
      <w:r>
        <w:rPr>
          <w:bCs/>
          <w:color w:val="000000"/>
          <w:szCs w:val="21"/>
        </w:rPr>
        <w:t>B2-2级支撑属于拉伸</w:t>
      </w:r>
      <w:r>
        <w:rPr>
          <w:rFonts w:hint="eastAsia"/>
          <w:bCs/>
          <w:color w:val="000000"/>
          <w:szCs w:val="21"/>
        </w:rPr>
        <w:t>强度</w:t>
      </w:r>
      <w:r>
        <w:rPr>
          <w:bCs/>
          <w:color w:val="000000"/>
          <w:szCs w:val="21"/>
        </w:rPr>
        <w:t>型支撑，</w:t>
      </w:r>
      <w:r>
        <w:rPr>
          <w:rFonts w:hint="eastAsia"/>
          <w:bCs/>
          <w:color w:val="000000"/>
          <w:szCs w:val="21"/>
        </w:rPr>
        <w:t>可</w:t>
      </w:r>
      <w:r>
        <w:rPr>
          <w:bCs/>
          <w:color w:val="000000"/>
          <w:szCs w:val="21"/>
        </w:rPr>
        <w:t>通过支撑杆受拉屈服耗散能量，X型布置的支撑系统，可以按单根斜杆受拉设计而不计入受压屈曲斜杆的剩余承载力。</w:t>
      </w:r>
    </w:p>
    <w:p>
      <w:pPr>
        <w:adjustRightInd w:val="0"/>
        <w:spacing w:line="380" w:lineRule="exact"/>
        <w:ind w:firstLine="420"/>
        <w:rPr>
          <w:bCs/>
          <w:color w:val="000000"/>
          <w:szCs w:val="24"/>
        </w:rPr>
      </w:pPr>
      <w:r>
        <w:rPr>
          <w:bCs/>
          <w:color w:val="000000"/>
          <w:szCs w:val="21"/>
        </w:rPr>
        <w:t>Λ形</w:t>
      </w:r>
      <w:r>
        <w:rPr>
          <w:bCs/>
          <w:color w:val="000000"/>
          <w:szCs w:val="24"/>
        </w:rPr>
        <w:t>、V形支撑随着结构侧移增大，压杆屈曲，承载力降低，而拉杆受力可持续增大至屈服。支撑系统中的框架梁应考虑</w:t>
      </w:r>
      <w:r>
        <w:rPr>
          <w:bCs/>
          <w:color w:val="000000"/>
          <w:szCs w:val="21"/>
        </w:rPr>
        <w:t>支撑杆件屈曲后压杆卸载情况的影响，</w:t>
      </w:r>
      <w:r>
        <w:rPr>
          <w:bCs/>
          <w:color w:val="000000"/>
          <w:szCs w:val="24"/>
        </w:rPr>
        <w:t>具有足够的承载力抵抗潜在的支撑屈曲后的荷载重分布。控制实腹横梁不屈服的条件，可假设其两端铰接导出。</w:t>
      </w:r>
    </w:p>
    <w:p>
      <w:pPr>
        <w:adjustRightInd w:val="0"/>
        <w:spacing w:line="380" w:lineRule="exact"/>
        <w:ind w:firstLine="420"/>
        <w:rPr>
          <w:bCs/>
          <w:color w:val="000000"/>
        </w:rPr>
      </w:pPr>
      <w:r>
        <w:rPr>
          <w:bCs/>
          <w:color w:val="000000"/>
        </w:rPr>
        <w:t>条文中支撑节点处需考虑的不平衡力，均为考虑支撑杆极限状态时拉杆屈服、压杆屈曲承载力降低后导出。</w:t>
      </w:r>
    </w:p>
    <w:p>
      <w:pPr>
        <w:pStyle w:val="68"/>
        <w:spacing w:line="360" w:lineRule="auto"/>
        <w:ind w:firstLine="0" w:firstLineChars="0"/>
        <w:jc w:val="center"/>
        <w:rPr>
          <w:bCs/>
          <w:color w:val="000000"/>
        </w:rPr>
      </w:pPr>
      <w:r>
        <w:rPr>
          <w:bCs/>
          <w:color w:val="000000"/>
        </w:rPr>
        <w:object>
          <v:shape id="_x0000_i1257" o:spt="75" type="#_x0000_t75" style="height:123.85pt;width:132.35pt;" o:ole="t" filled="f" o:preferrelative="t" stroked="f" coordsize="21600,21600">
            <v:path/>
            <v:fill on="f" focussize="0,0"/>
            <v:stroke on="f"/>
            <v:imagedata r:id="rId543" cropleft="17240f" croptop="5506f" cropright="15408f" cropbottom="10319f" o:title=""/>
            <o:lock v:ext="edit" grouping="f" rotation="f" text="f" aspectratio="t"/>
            <w10:wrap type="none"/>
            <w10:anchorlock/>
          </v:shape>
          <o:OLEObject Type="Embed" ProgID="AutoCAD.Drawing.16" ShapeID="_x0000_i1257" DrawAspect="Content" ObjectID="_1468075947" r:id="rId542">
            <o:LockedField>false</o:LockedField>
          </o:OLEObject>
        </w:object>
      </w:r>
      <w:r>
        <w:rPr>
          <w:bCs/>
          <w:color w:val="000000"/>
        </w:rPr>
        <w:t xml:space="preserve">   </w:t>
      </w:r>
      <w:r>
        <w:rPr>
          <w:bCs/>
          <w:color w:val="000000"/>
        </w:rPr>
        <w:object>
          <v:shape id="_x0000_i1258" o:spt="75" type="#_x0000_t75" style="height:126.05pt;width:219.25pt;" o:ole="t" filled="f" o:preferrelative="t" stroked="f" coordsize="21600,21600">
            <v:path/>
            <v:fill on="f" focussize="0,0"/>
            <v:stroke on="f"/>
            <v:imagedata r:id="rId545" cropleft="4824f" croptop="21294f" cropright="30853f" cropbottom="15798f" o:title=""/>
            <o:lock v:ext="edit" grouping="f" rotation="f" text="f" aspectratio="t"/>
            <w10:wrap type="none"/>
            <w10:anchorlock/>
          </v:shape>
          <o:OLEObject Type="Embed" ProgID="AutoCAD.Drawing.17" ShapeID="_x0000_i1258" DrawAspect="Content" ObjectID="_1468075948" r:id="rId544">
            <o:LockedField>false</o:LockedField>
          </o:OLEObject>
        </w:object>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w:t>
      </w:r>
      <w:r>
        <w:rPr>
          <w:rFonts w:hint="eastAsia"/>
          <w:bCs/>
          <w:snapToGrid w:val="0"/>
          <w:color w:val="000000"/>
          <w:kern w:val="0"/>
          <w:sz w:val="18"/>
          <w:szCs w:val="21"/>
        </w:rPr>
        <w:t xml:space="preserve"> 9</w:t>
      </w:r>
      <w:r>
        <w:rPr>
          <w:bCs/>
          <w:snapToGrid w:val="0"/>
          <w:color w:val="000000"/>
          <w:kern w:val="0"/>
          <w:sz w:val="18"/>
          <w:szCs w:val="21"/>
        </w:rPr>
        <w:t xml:space="preserve">  交叉支撑节点不平衡力示意</w:t>
      </w:r>
    </w:p>
    <w:p>
      <w:pPr>
        <w:adjustRightInd w:val="0"/>
        <w:spacing w:line="380" w:lineRule="exact"/>
        <w:ind w:firstLine="420"/>
        <w:rPr>
          <w:bCs/>
          <w:color w:val="000000"/>
          <w:szCs w:val="24"/>
        </w:rPr>
      </w:pPr>
      <w:r>
        <w:rPr>
          <w:bCs/>
          <w:color w:val="000000"/>
          <w:szCs w:val="24"/>
        </w:rPr>
        <w:t>一般的轻型围护钢结构厂房，如采用设防烈度的地震动参数计算分析，柱间支撑不进入屈曲状态工作，则可不进行支撑斜杆屈曲后的承载力验算，也可不考虑上述因支撑斜杆屈曲引起的不平衡力。</w:t>
      </w:r>
    </w:p>
    <w:p>
      <w:pPr>
        <w:adjustRightInd w:val="0"/>
        <w:spacing w:line="380" w:lineRule="exact"/>
        <w:ind w:firstLine="420"/>
        <w:rPr>
          <w:rFonts w:hint="eastAsia"/>
          <w:bCs/>
          <w:color w:val="000000"/>
          <w:szCs w:val="21"/>
        </w:rPr>
      </w:pPr>
      <w:r>
        <w:rPr>
          <w:rFonts w:hint="eastAsia"/>
          <w:bCs/>
          <w:color w:val="000000"/>
          <w:szCs w:val="24"/>
        </w:rPr>
        <w:t>3</w:t>
      </w:r>
      <w:r>
        <w:rPr>
          <w:bCs/>
          <w:color w:val="000000"/>
          <w:szCs w:val="24"/>
        </w:rPr>
        <w:t xml:space="preserve"> </w:t>
      </w:r>
      <w:r>
        <w:rPr>
          <w:rFonts w:hint="eastAsia"/>
          <w:bCs/>
          <w:color w:val="000000"/>
          <w:szCs w:val="24"/>
        </w:rPr>
        <w:t>塑性结构、</w:t>
      </w:r>
      <w:r>
        <w:rPr>
          <w:bCs/>
          <w:color w:val="000000"/>
          <w:szCs w:val="21"/>
        </w:rPr>
        <w:t>弹塑性结构、弹性结构ES1的支撑连接都须进行极限承载力验算。</w:t>
      </w:r>
      <w:r>
        <w:rPr>
          <w:rFonts w:hint="eastAsia"/>
          <w:bCs/>
          <w:color w:val="000000"/>
          <w:szCs w:val="21"/>
        </w:rPr>
        <w:t>支撑连接节点的极限承载力验算主要是防止以下方面的破坏：</w:t>
      </w:r>
    </w:p>
    <w:p>
      <w:pPr>
        <w:adjustRightInd w:val="0"/>
        <w:spacing w:line="380" w:lineRule="exact"/>
        <w:ind w:firstLine="420"/>
        <w:rPr>
          <w:rFonts w:hint="eastAsia"/>
          <w:bCs/>
          <w:color w:val="000000"/>
          <w:szCs w:val="21"/>
        </w:rPr>
      </w:pPr>
      <w:r>
        <w:rPr>
          <w:rFonts w:hint="eastAsia"/>
          <w:bCs/>
          <w:color w:val="000000"/>
          <w:szCs w:val="21"/>
        </w:rPr>
        <w:t>（1）支撑杆端（切断边距尺寸）破坏；</w:t>
      </w:r>
    </w:p>
    <w:p>
      <w:pPr>
        <w:adjustRightInd w:val="0"/>
        <w:spacing w:line="380" w:lineRule="exact"/>
        <w:ind w:firstLine="420"/>
        <w:rPr>
          <w:rFonts w:hint="eastAsia"/>
          <w:bCs/>
          <w:color w:val="000000"/>
          <w:szCs w:val="21"/>
        </w:rPr>
      </w:pPr>
      <w:r>
        <w:rPr>
          <w:rFonts w:hint="eastAsia"/>
          <w:bCs/>
          <w:color w:val="000000"/>
          <w:szCs w:val="21"/>
        </w:rPr>
        <w:t>（2）高强螺栓断裂；</w:t>
      </w:r>
    </w:p>
    <w:p>
      <w:pPr>
        <w:adjustRightInd w:val="0"/>
        <w:spacing w:line="380" w:lineRule="exact"/>
        <w:ind w:firstLine="420"/>
        <w:rPr>
          <w:rFonts w:hint="eastAsia"/>
          <w:bCs/>
          <w:color w:val="000000"/>
          <w:szCs w:val="21"/>
        </w:rPr>
      </w:pPr>
      <w:r>
        <w:rPr>
          <w:rFonts w:hint="eastAsia"/>
          <w:bCs/>
          <w:color w:val="000000"/>
          <w:szCs w:val="21"/>
        </w:rPr>
        <w:t>（3）节点板沿撑杆轴向方向端部（切断边距尺寸）剪切破坏；</w:t>
      </w:r>
    </w:p>
    <w:p>
      <w:pPr>
        <w:adjustRightInd w:val="0"/>
        <w:spacing w:line="380" w:lineRule="exact"/>
        <w:ind w:firstLine="420"/>
        <w:rPr>
          <w:rFonts w:hint="eastAsia"/>
          <w:bCs/>
          <w:color w:val="000000"/>
          <w:szCs w:val="21"/>
        </w:rPr>
      </w:pPr>
      <w:r>
        <w:rPr>
          <w:rFonts w:hint="eastAsia"/>
          <w:bCs/>
          <w:color w:val="000000"/>
          <w:szCs w:val="21"/>
        </w:rPr>
        <w:t>（4）节点板焊缝破坏；</w:t>
      </w:r>
    </w:p>
    <w:p>
      <w:pPr>
        <w:adjustRightInd w:val="0"/>
        <w:spacing w:line="380" w:lineRule="exact"/>
        <w:ind w:firstLine="420"/>
        <w:rPr>
          <w:bCs/>
          <w:color w:val="000000"/>
          <w:szCs w:val="21"/>
        </w:rPr>
      </w:pPr>
      <w:r>
        <w:rPr>
          <w:rFonts w:hint="eastAsia"/>
          <w:bCs/>
          <w:color w:val="000000"/>
          <w:szCs w:val="21"/>
        </w:rPr>
        <w:t>（5）节点板破坏。</w:t>
      </w:r>
    </w:p>
    <w:p>
      <w:pPr>
        <w:adjustRightInd w:val="0"/>
        <w:spacing w:line="380" w:lineRule="exact"/>
        <w:ind w:firstLine="420"/>
        <w:rPr>
          <w:bCs/>
          <w:color w:val="000000"/>
          <w:szCs w:val="21"/>
        </w:rPr>
      </w:pPr>
      <w:r>
        <w:rPr>
          <w:rFonts w:hint="eastAsia"/>
          <w:bCs/>
          <w:color w:val="000000"/>
        </w:rPr>
        <w:t>此外，</w:t>
      </w:r>
      <w:r>
        <w:rPr>
          <w:bCs/>
          <w:color w:val="000000"/>
        </w:rPr>
        <w:t>支撑采用高强</w:t>
      </w:r>
      <w:r>
        <w:rPr>
          <w:bCs/>
          <w:color w:val="000000"/>
          <w:kern w:val="0"/>
          <w:szCs w:val="21"/>
        </w:rPr>
        <w:t>度螺栓摩擦型连接时，为防止遭遇强烈地震时过早滑移，连接的弹性设计轴力不得小于</w:t>
      </w:r>
      <w:r>
        <w:rPr>
          <w:bCs/>
          <w:color w:val="000000"/>
          <w:szCs w:val="21"/>
        </w:rPr>
        <w:t>0.6</w:t>
      </w:r>
      <w:r>
        <w:rPr>
          <w:bCs/>
          <w:i/>
          <w:color w:val="000000"/>
          <w:szCs w:val="21"/>
        </w:rPr>
        <w:t>A</w:t>
      </w:r>
      <w:r>
        <w:rPr>
          <w:bCs/>
          <w:color w:val="000000"/>
          <w:szCs w:val="21"/>
          <w:vertAlign w:val="subscript"/>
        </w:rPr>
        <w:t>br</w:t>
      </w:r>
      <w:r>
        <w:rPr>
          <w:bCs/>
          <w:i/>
          <w:color w:val="000000"/>
          <w:szCs w:val="21"/>
        </w:rPr>
        <w:t>f</w:t>
      </w:r>
      <w:r>
        <w:rPr>
          <w:bCs/>
          <w:color w:val="000000"/>
          <w:szCs w:val="21"/>
          <w:vertAlign w:val="subscript"/>
        </w:rPr>
        <w:t>y</w:t>
      </w:r>
      <w:r>
        <w:rPr>
          <w:bCs/>
          <w:color w:val="000000"/>
          <w:szCs w:val="21"/>
        </w:rPr>
        <w:t>。</w:t>
      </w:r>
    </w:p>
    <w:p>
      <w:pPr>
        <w:adjustRightInd w:val="0"/>
        <w:spacing w:line="380" w:lineRule="exact"/>
        <w:ind w:firstLine="420"/>
        <w:rPr>
          <w:bCs/>
          <w:color w:val="000000"/>
          <w:szCs w:val="21"/>
        </w:rPr>
      </w:pPr>
      <w:r>
        <w:rPr>
          <w:bCs/>
          <w:color w:val="000000"/>
          <w:szCs w:val="21"/>
        </w:rPr>
        <w:t>弹性结构ES2采用地震组合验算支撑</w:t>
      </w:r>
      <w:r>
        <w:rPr>
          <w:rFonts w:hint="eastAsia"/>
          <w:bCs/>
          <w:color w:val="000000"/>
          <w:szCs w:val="21"/>
        </w:rPr>
        <w:t>连接</w:t>
      </w:r>
      <w:r>
        <w:rPr>
          <w:bCs/>
          <w:color w:val="000000"/>
          <w:szCs w:val="21"/>
        </w:rPr>
        <w:t>的承载力。</w:t>
      </w:r>
    </w:p>
    <w:p>
      <w:pPr>
        <w:adjustRightInd w:val="0"/>
        <w:spacing w:line="380" w:lineRule="exact"/>
        <w:ind w:firstLine="420"/>
        <w:rPr>
          <w:bCs/>
          <w:color w:val="000000"/>
        </w:rPr>
      </w:pPr>
      <w:r>
        <w:rPr>
          <w:rFonts w:hint="eastAsia"/>
          <w:bCs/>
          <w:color w:val="000000"/>
          <w:kern w:val="0"/>
          <w:szCs w:val="21"/>
        </w:rPr>
        <w:t>4</w:t>
      </w:r>
      <w:r>
        <w:rPr>
          <w:bCs/>
          <w:color w:val="000000"/>
          <w:kern w:val="0"/>
          <w:szCs w:val="21"/>
        </w:rPr>
        <w:t xml:space="preserve"> </w:t>
      </w:r>
      <w:r>
        <w:rPr>
          <w:bCs/>
          <w:color w:val="000000"/>
        </w:rPr>
        <w:t>支撑端部节点板的构造要求，参考</w:t>
      </w:r>
      <w:r>
        <w:rPr>
          <w:bCs/>
          <w:color w:val="000000"/>
          <w:szCs w:val="24"/>
        </w:rPr>
        <w:t>了</w:t>
      </w:r>
      <w:r>
        <w:rPr>
          <w:bCs/>
          <w:color w:val="000000"/>
        </w:rPr>
        <w:t>美国AISC规范特殊抗弯框架做法，通过节点板面外耗能，降低支撑杆件破坏，适用于拉压型支撑。</w:t>
      </w:r>
    </w:p>
    <w:p>
      <w:pPr>
        <w:pStyle w:val="129"/>
        <w:adjustRightInd w:val="0"/>
        <w:spacing w:line="380" w:lineRule="exact"/>
        <w:textAlignment w:val="center"/>
        <w:rPr>
          <w:bCs/>
          <w:color w:val="000000"/>
        </w:rPr>
      </w:pPr>
      <w:r>
        <w:rPr>
          <w:bCs/>
          <w:color w:val="000000"/>
        </w:rPr>
        <w:t>支撑端部折线形或圆弧形弯折构造在支撑受拉时翼缘转角处会形成对腹板的合力（局部的受力平衡条件见图</w:t>
      </w:r>
      <w:r>
        <w:rPr>
          <w:rFonts w:hint="eastAsia"/>
          <w:bCs/>
          <w:color w:val="000000"/>
        </w:rPr>
        <w:t>10</w:t>
      </w:r>
      <w:r>
        <w:rPr>
          <w:bCs/>
          <w:color w:val="000000"/>
        </w:rPr>
        <w:t>，造成局部应力集中，从而导致腹板与焊缝开裂。</w:t>
      </w:r>
    </w:p>
    <w:p>
      <w:pPr>
        <w:pStyle w:val="129"/>
        <w:adjustRightInd w:val="0"/>
        <w:spacing w:line="380" w:lineRule="exact"/>
        <w:textAlignment w:val="center"/>
        <w:rPr>
          <w:bCs/>
          <w:color w:val="000000"/>
        </w:rPr>
      </w:pPr>
      <w:r>
        <w:rPr>
          <w:rFonts w:hint="eastAsia"/>
          <w:bCs/>
          <w:color w:val="000000"/>
        </w:rPr>
        <w:t>采</w:t>
      </w:r>
      <w:r>
        <w:rPr>
          <w:bCs/>
          <w:color w:val="000000"/>
        </w:rPr>
        <w:t>用支撑翼缘弯折与梁柱翼缘直角相接的</w:t>
      </w:r>
      <w:r>
        <w:rPr>
          <w:bCs/>
          <w:color w:val="000000"/>
          <w:szCs w:val="18"/>
        </w:rPr>
        <w:t>折线形</w:t>
      </w:r>
      <w:r>
        <w:rPr>
          <w:bCs/>
          <w:color w:val="000000"/>
        </w:rPr>
        <w:t>支撑连接形式</w:t>
      </w:r>
      <w:r>
        <w:rPr>
          <w:rFonts w:hint="eastAsia"/>
          <w:bCs/>
          <w:color w:val="000000"/>
        </w:rPr>
        <w:t>（图10a）</w:t>
      </w:r>
      <w:r>
        <w:rPr>
          <w:bCs/>
          <w:color w:val="000000"/>
        </w:rPr>
        <w:t>，是为了考虑翼缘焊缝的施工方便。</w:t>
      </w:r>
      <w:r>
        <w:rPr>
          <w:bCs/>
          <w:color w:val="000000"/>
          <w:szCs w:val="18"/>
        </w:rPr>
        <w:t>折线形支撑</w:t>
      </w:r>
      <w:r>
        <w:rPr>
          <w:bCs/>
          <w:color w:val="000000"/>
        </w:rPr>
        <w:t>，随弯折部角度变化，翼缘和加劲肋应传递的力可按静力平衡条件求得。</w:t>
      </w:r>
    </w:p>
    <w:p>
      <w:pPr>
        <w:adjustRightInd w:val="0"/>
        <w:snapToGrid w:val="0"/>
        <w:spacing w:line="360" w:lineRule="exact"/>
        <w:ind w:firstLine="420"/>
        <w:rPr>
          <w:bCs/>
          <w:snapToGrid w:val="0"/>
          <w:color w:val="000000"/>
          <w:kern w:val="0"/>
          <w:sz w:val="24"/>
        </w:rPr>
      </w:pPr>
      <w:r>
        <w:rPr>
          <w:bCs/>
          <w:color w:val="000000"/>
        </w:rPr>
        <w:drawing>
          <wp:anchor distT="0" distB="0" distL="114300" distR="114300" simplePos="0" relativeHeight="251673600" behindDoc="0" locked="0" layoutInCell="1" allowOverlap="1">
            <wp:simplePos x="0" y="0"/>
            <wp:positionH relativeFrom="column">
              <wp:posOffset>913130</wp:posOffset>
            </wp:positionH>
            <wp:positionV relativeFrom="paragraph">
              <wp:posOffset>10160</wp:posOffset>
            </wp:positionV>
            <wp:extent cx="3143885" cy="1389380"/>
            <wp:effectExtent l="0" t="0" r="0" b="3175"/>
            <wp:wrapSquare wrapText="bothSides"/>
            <wp:docPr id="1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7"/>
                    <pic:cNvPicPr>
                      <a:picLocks noChangeAspect="1"/>
                    </pic:cNvPicPr>
                  </pic:nvPicPr>
                  <pic:blipFill>
                    <a:blip r:embed="rId546"/>
                    <a:stretch>
                      <a:fillRect/>
                    </a:stretch>
                  </pic:blipFill>
                  <pic:spPr>
                    <a:xfrm>
                      <a:off x="0" y="0"/>
                      <a:ext cx="3143885" cy="1389380"/>
                    </a:xfrm>
                    <a:prstGeom prst="rect">
                      <a:avLst/>
                    </a:prstGeom>
                    <a:noFill/>
                    <a:ln>
                      <a:noFill/>
                    </a:ln>
                  </pic:spPr>
                </pic:pic>
              </a:graphicData>
            </a:graphic>
          </wp:anchor>
        </w:drawing>
      </w:r>
    </w:p>
    <w:p>
      <w:pPr>
        <w:adjustRightInd w:val="0"/>
        <w:snapToGrid w:val="0"/>
        <w:spacing w:line="360" w:lineRule="exact"/>
        <w:ind w:firstLine="420"/>
        <w:rPr>
          <w:bCs/>
          <w:snapToGrid w:val="0"/>
          <w:color w:val="000000"/>
          <w:kern w:val="0"/>
          <w:sz w:val="24"/>
        </w:rPr>
      </w:pPr>
    </w:p>
    <w:p>
      <w:pPr>
        <w:adjustRightInd w:val="0"/>
        <w:snapToGrid w:val="0"/>
        <w:spacing w:line="360" w:lineRule="exact"/>
        <w:ind w:firstLine="420"/>
        <w:rPr>
          <w:bCs/>
          <w:snapToGrid w:val="0"/>
          <w:color w:val="000000"/>
          <w:kern w:val="0"/>
          <w:sz w:val="24"/>
        </w:rPr>
      </w:pPr>
    </w:p>
    <w:p>
      <w:pPr>
        <w:adjustRightInd w:val="0"/>
        <w:snapToGrid w:val="0"/>
        <w:spacing w:line="360" w:lineRule="exact"/>
        <w:ind w:firstLine="420"/>
        <w:rPr>
          <w:bCs/>
          <w:snapToGrid w:val="0"/>
          <w:color w:val="000000"/>
          <w:kern w:val="0"/>
          <w:sz w:val="24"/>
        </w:rPr>
      </w:pPr>
    </w:p>
    <w:p>
      <w:pPr>
        <w:adjustRightInd w:val="0"/>
        <w:snapToGrid w:val="0"/>
        <w:spacing w:line="360" w:lineRule="exact"/>
        <w:ind w:firstLine="420"/>
        <w:rPr>
          <w:bCs/>
          <w:snapToGrid w:val="0"/>
          <w:color w:val="000000"/>
          <w:kern w:val="0"/>
          <w:sz w:val="24"/>
        </w:rPr>
      </w:pPr>
    </w:p>
    <w:p>
      <w:pPr>
        <w:pStyle w:val="129"/>
        <w:adjustRightInd w:val="0"/>
        <w:spacing w:line="360" w:lineRule="auto"/>
        <w:ind w:firstLine="360"/>
        <w:textAlignment w:val="center"/>
        <w:rPr>
          <w:bCs/>
          <w:color w:val="000000"/>
          <w:sz w:val="18"/>
          <w:szCs w:val="18"/>
        </w:rPr>
      </w:pPr>
      <w:r>
        <w:rPr>
          <w:bCs/>
          <w:color w:val="000000"/>
          <w:sz w:val="18"/>
          <w:szCs w:val="18"/>
        </w:rPr>
        <w:t xml:space="preserve">                      </w:t>
      </w:r>
    </w:p>
    <w:p>
      <w:pPr>
        <w:pStyle w:val="129"/>
        <w:adjustRightInd w:val="0"/>
        <w:spacing w:line="360" w:lineRule="auto"/>
        <w:ind w:firstLine="0" w:firstLineChars="0"/>
        <w:jc w:val="center"/>
        <w:textAlignment w:val="center"/>
        <w:rPr>
          <w:bCs/>
          <w:color w:val="000000"/>
          <w:sz w:val="18"/>
          <w:szCs w:val="18"/>
        </w:rPr>
      </w:pPr>
      <w:r>
        <w:rPr>
          <w:bCs/>
          <w:color w:val="000000"/>
          <w:sz w:val="18"/>
          <w:szCs w:val="18"/>
        </w:rPr>
        <w:t>（a）折线形                     （b）圆弧形</w:t>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w:t>
      </w:r>
      <w:r>
        <w:rPr>
          <w:rFonts w:hint="eastAsia"/>
          <w:bCs/>
          <w:snapToGrid w:val="0"/>
          <w:color w:val="000000"/>
          <w:kern w:val="0"/>
          <w:sz w:val="18"/>
          <w:szCs w:val="21"/>
        </w:rPr>
        <w:t>10</w:t>
      </w:r>
      <w:r>
        <w:rPr>
          <w:bCs/>
          <w:snapToGrid w:val="0"/>
          <w:color w:val="000000"/>
          <w:kern w:val="0"/>
          <w:sz w:val="18"/>
          <w:szCs w:val="21"/>
        </w:rPr>
        <w:t xml:space="preserve">  支撑端部弯折构造的局部受力状态</w:t>
      </w:r>
    </w:p>
    <w:p>
      <w:pPr>
        <w:pStyle w:val="129"/>
        <w:spacing w:line="380" w:lineRule="exact"/>
        <w:textAlignment w:val="center"/>
        <w:rPr>
          <w:bCs/>
          <w:color w:val="000000"/>
        </w:rPr>
      </w:pPr>
      <w:r>
        <w:rPr>
          <w:bCs/>
          <w:color w:val="000000"/>
          <w:szCs w:val="18"/>
        </w:rPr>
        <w:t>圆弧形的</w:t>
      </w:r>
      <w:r>
        <w:rPr>
          <w:bCs/>
          <w:color w:val="000000"/>
        </w:rPr>
        <w:t>翼緣圓弧彎折處</w:t>
      </w:r>
      <w:r>
        <w:rPr>
          <w:rFonts w:hint="eastAsia"/>
          <w:bCs/>
          <w:color w:val="000000"/>
        </w:rPr>
        <w:t>（图10b）</w:t>
      </w:r>
      <w:r>
        <w:rPr>
          <w:bCs/>
          <w:color w:val="000000"/>
        </w:rPr>
        <w:t>，至少应沿</w:t>
      </w:r>
      <w:r>
        <w:rPr>
          <w:bCs/>
          <w:i/>
          <w:iCs/>
          <w:color w:val="000000"/>
        </w:rPr>
        <w:t>T</w:t>
      </w:r>
      <w:r>
        <w:rPr>
          <w:bCs/>
          <w:color w:val="000000"/>
          <w:vertAlign w:val="subscript"/>
        </w:rPr>
        <w:t>s</w:t>
      </w:r>
      <w:r>
        <w:rPr>
          <w:bCs/>
          <w:color w:val="000000"/>
        </w:rPr>
        <w:t>在腹板设置短肋。加短肋时，支撑翼缘轴力会经过腹板传递，考虑局部应力集中的可能性，应保证腹板厚度有足够的安全裕度。</w:t>
      </w:r>
    </w:p>
    <w:p>
      <w:pPr>
        <w:autoSpaceDE w:val="0"/>
        <w:autoSpaceDN w:val="0"/>
        <w:adjustRightInd w:val="0"/>
        <w:spacing w:line="360" w:lineRule="auto"/>
        <w:jc w:val="left"/>
        <w:rPr>
          <w:bCs/>
          <w:color w:val="000000"/>
          <w:kern w:val="0"/>
          <w:szCs w:val="21"/>
        </w:rPr>
      </w:pPr>
      <w:r>
        <w:rPr>
          <w:rFonts w:hint="eastAsia"/>
          <w:bCs/>
          <w:color w:val="000000"/>
          <w:kern w:val="0"/>
          <w:szCs w:val="21"/>
        </w:rPr>
        <w:t>9</w:t>
      </w:r>
      <w:r>
        <w:rPr>
          <w:bCs/>
          <w:color w:val="000000"/>
          <w:kern w:val="0"/>
          <w:szCs w:val="21"/>
        </w:rPr>
        <w:t>.</w:t>
      </w:r>
      <w:r>
        <w:rPr>
          <w:rFonts w:hint="eastAsia"/>
          <w:bCs/>
          <w:color w:val="000000"/>
          <w:kern w:val="0"/>
          <w:szCs w:val="21"/>
        </w:rPr>
        <w:t>2</w:t>
      </w:r>
      <w:r>
        <w:rPr>
          <w:bCs/>
          <w:color w:val="000000"/>
          <w:kern w:val="0"/>
          <w:szCs w:val="21"/>
        </w:rPr>
        <w:t>.</w:t>
      </w:r>
      <w:r>
        <w:rPr>
          <w:rFonts w:hint="eastAsia"/>
          <w:bCs/>
          <w:color w:val="000000"/>
          <w:kern w:val="0"/>
          <w:szCs w:val="21"/>
        </w:rPr>
        <w:t>11</w:t>
      </w:r>
      <w:r>
        <w:rPr>
          <w:bCs/>
          <w:color w:val="000000"/>
          <w:kern w:val="0"/>
          <w:szCs w:val="21"/>
        </w:rPr>
        <w:t xml:space="preserve"> 偏心支撑框架常用的形式如图1</w:t>
      </w:r>
      <w:r>
        <w:rPr>
          <w:rFonts w:hint="eastAsia"/>
          <w:bCs/>
          <w:color w:val="000000"/>
          <w:kern w:val="0"/>
          <w:szCs w:val="21"/>
        </w:rPr>
        <w:t>1</w:t>
      </w:r>
      <w:r>
        <w:rPr>
          <w:bCs/>
          <w:color w:val="000000"/>
          <w:kern w:val="0"/>
          <w:szCs w:val="21"/>
        </w:rPr>
        <w:t>所示。</w:t>
      </w:r>
    </w:p>
    <w:p>
      <w:pPr>
        <w:pStyle w:val="129"/>
        <w:adjustRightInd w:val="0"/>
        <w:spacing w:line="380" w:lineRule="exact"/>
        <w:textAlignment w:val="center"/>
        <w:rPr>
          <w:bCs/>
          <w:color w:val="000000"/>
          <w:kern w:val="0"/>
          <w:szCs w:val="21"/>
        </w:rPr>
      </w:pPr>
      <w:r>
        <w:rPr>
          <w:bCs/>
          <w:color w:val="000000"/>
          <w:kern w:val="0"/>
          <w:szCs w:val="21"/>
        </w:rPr>
        <w:t>参考美国AISC 341的</w:t>
      </w:r>
      <w:r>
        <w:rPr>
          <w:bCs/>
          <w:color w:val="000000"/>
          <w:szCs w:val="18"/>
        </w:rPr>
        <w:t>要求</w:t>
      </w:r>
      <w:r>
        <w:rPr>
          <w:bCs/>
          <w:color w:val="000000"/>
          <w:kern w:val="0"/>
          <w:szCs w:val="21"/>
        </w:rPr>
        <w:t>，耗能连梁以外的梁、柱和支撑斜杆应考虑耗能连梁充分屈服和应变强化所带来的最大内力。因此，耗能连梁的名义受剪承载力应考虑两个因素予以放大：考虑实际材料强度的超强因素（</w:t>
      </w:r>
      <w:r>
        <w:rPr>
          <w:bCs/>
          <w:i/>
          <w:iCs/>
          <w:color w:val="000000"/>
          <w:kern w:val="0"/>
          <w:szCs w:val="21"/>
        </w:rPr>
        <w:t>R</w:t>
      </w:r>
      <w:r>
        <w:rPr>
          <w:bCs/>
          <w:color w:val="000000"/>
          <w:kern w:val="0"/>
          <w:szCs w:val="21"/>
          <w:vertAlign w:val="subscript"/>
        </w:rPr>
        <w:t>y</w:t>
      </w:r>
      <w:r>
        <w:rPr>
          <w:bCs/>
          <w:color w:val="000000"/>
          <w:kern w:val="0"/>
          <w:szCs w:val="21"/>
        </w:rPr>
        <w:t>，对于GJ钢为1.35，碳素结构钢和低合金高强钢为1.5）和耗能连梁的应变强化因素（对H形截面耗能连梁，建议取1.25）。</w:t>
      </w:r>
    </w:p>
    <w:p>
      <w:pPr>
        <w:autoSpaceDE w:val="0"/>
        <w:autoSpaceDN w:val="0"/>
        <w:adjustRightInd w:val="0"/>
        <w:spacing w:line="360" w:lineRule="auto"/>
        <w:jc w:val="center"/>
        <w:rPr>
          <w:bCs/>
          <w:color w:val="000000"/>
          <w:kern w:val="0"/>
          <w:szCs w:val="21"/>
        </w:rPr>
      </w:pPr>
      <w:r>
        <w:rPr>
          <w:bCs/>
          <w:color w:val="000000"/>
        </w:rPr>
        <w:drawing>
          <wp:inline distT="0" distB="0" distL="114300" distR="114300">
            <wp:extent cx="5200015" cy="1551305"/>
            <wp:effectExtent l="0" t="0" r="0" b="0"/>
            <wp:docPr id="2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8"/>
                    <pic:cNvPicPr>
                      <a:picLocks noChangeAspect="1"/>
                    </pic:cNvPicPr>
                  </pic:nvPicPr>
                  <pic:blipFill>
                    <a:blip r:embed="rId547"/>
                    <a:stretch>
                      <a:fillRect/>
                    </a:stretch>
                  </pic:blipFill>
                  <pic:spPr>
                    <a:xfrm>
                      <a:off x="0" y="0"/>
                      <a:ext cx="5200015" cy="1551305"/>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图1</w:t>
      </w:r>
      <w:r>
        <w:rPr>
          <w:rFonts w:hint="eastAsia"/>
          <w:bCs/>
          <w:snapToGrid w:val="0"/>
          <w:color w:val="000000"/>
          <w:kern w:val="0"/>
          <w:sz w:val="18"/>
          <w:szCs w:val="21"/>
        </w:rPr>
        <w:t>1</w:t>
      </w:r>
      <w:r>
        <w:rPr>
          <w:bCs/>
          <w:snapToGrid w:val="0"/>
          <w:color w:val="000000"/>
          <w:kern w:val="0"/>
          <w:sz w:val="18"/>
          <w:szCs w:val="21"/>
        </w:rPr>
        <w:t xml:space="preserve">  偏心支撑的常用形式</w:t>
      </w:r>
    </w:p>
    <w:p>
      <w:pPr>
        <w:autoSpaceDE w:val="0"/>
        <w:autoSpaceDN w:val="0"/>
        <w:adjustRightInd w:val="0"/>
        <w:spacing w:line="380" w:lineRule="exact"/>
        <w:rPr>
          <w:bCs/>
          <w:color w:val="000000"/>
          <w:kern w:val="0"/>
          <w:szCs w:val="21"/>
        </w:rPr>
      </w:pPr>
      <w:r>
        <w:rPr>
          <w:rFonts w:hint="eastAsia"/>
          <w:bCs/>
          <w:color w:val="000000"/>
          <w:kern w:val="0"/>
          <w:szCs w:val="21"/>
        </w:rPr>
        <w:t>9</w:t>
      </w:r>
      <w:r>
        <w:rPr>
          <w:bCs/>
          <w:color w:val="000000"/>
          <w:kern w:val="0"/>
          <w:szCs w:val="21"/>
        </w:rPr>
        <w:t>.</w:t>
      </w:r>
      <w:r>
        <w:rPr>
          <w:rFonts w:hint="eastAsia"/>
          <w:bCs/>
          <w:color w:val="000000"/>
          <w:kern w:val="0"/>
          <w:szCs w:val="21"/>
        </w:rPr>
        <w:t>2</w:t>
      </w:r>
      <w:r>
        <w:rPr>
          <w:bCs/>
          <w:color w:val="000000"/>
          <w:kern w:val="0"/>
          <w:szCs w:val="21"/>
        </w:rPr>
        <w:t>.</w:t>
      </w:r>
      <w:r>
        <w:rPr>
          <w:rFonts w:hint="eastAsia"/>
          <w:bCs/>
          <w:color w:val="000000"/>
          <w:kern w:val="0"/>
          <w:szCs w:val="21"/>
        </w:rPr>
        <w:t>12</w:t>
      </w:r>
      <w:r>
        <w:rPr>
          <w:bCs/>
          <w:color w:val="000000"/>
          <w:kern w:val="0"/>
          <w:szCs w:val="21"/>
          <w:lang w:eastAsia="ja-JP"/>
        </w:rPr>
        <w:t xml:space="preserve"> </w:t>
      </w:r>
      <w:r>
        <w:rPr>
          <w:bCs/>
          <w:color w:val="000000"/>
          <w:kern w:val="0"/>
          <w:szCs w:val="21"/>
        </w:rPr>
        <w:t>钢结构柱脚一般包括埋入式、插入式、外包式和外露式四种形式，格构柱采用插入式和外露式柱脚居多。</w:t>
      </w:r>
    </w:p>
    <w:p>
      <w:pPr>
        <w:pStyle w:val="129"/>
        <w:adjustRightInd w:val="0"/>
        <w:spacing w:line="380" w:lineRule="exact"/>
        <w:textAlignment w:val="center"/>
        <w:rPr>
          <w:bCs/>
          <w:color w:val="000000"/>
          <w:kern w:val="0"/>
          <w:szCs w:val="21"/>
        </w:rPr>
      </w:pPr>
      <w:bookmarkStart w:id="274" w:name="OLE_LINK8"/>
      <w:r>
        <w:rPr>
          <w:bCs/>
          <w:color w:val="000000"/>
          <w:kern w:val="0"/>
          <w:szCs w:val="21"/>
        </w:rPr>
        <w:t>1 日本AIJ的几本设计指针都明确规定，柱脚连接系数应采用梁柱刚性连接的连接系数。本条文按AIJ设计指针的规定给出柱脚极限承载力验算时的连接系数。</w:t>
      </w:r>
    </w:p>
    <w:p>
      <w:pPr>
        <w:pStyle w:val="129"/>
        <w:adjustRightInd w:val="0"/>
        <w:spacing w:line="380" w:lineRule="exact"/>
        <w:textAlignment w:val="center"/>
        <w:rPr>
          <w:bCs/>
          <w:color w:val="000000"/>
          <w:kern w:val="0"/>
          <w:szCs w:val="21"/>
        </w:rPr>
      </w:pPr>
      <w:r>
        <w:rPr>
          <w:rFonts w:hint="eastAsia"/>
          <w:bCs/>
          <w:color w:val="000000"/>
          <w:kern w:val="0"/>
          <w:szCs w:val="21"/>
        </w:rPr>
        <w:t>实腹柱的埋入式、插入式柱脚保证极限承载力容易做到，所以为简化设计，对弹塑性结构、弹性结构的柱脚也采用验算极限承载力的方式处理，只是对塑性结构柱脚的连接系数予以降低（降低的倍数，大体是降低H形钢柱截面形状系数</w:t>
      </w:r>
      <w:r>
        <w:rPr>
          <w:rFonts w:hint="eastAsia"/>
          <w:bCs/>
          <w:i/>
          <w:iCs/>
          <w:color w:val="000000"/>
          <w:kern w:val="0"/>
          <w:szCs w:val="21"/>
        </w:rPr>
        <w:t>M</w:t>
      </w:r>
      <w:r>
        <w:rPr>
          <w:rFonts w:hint="eastAsia"/>
          <w:bCs/>
          <w:color w:val="000000"/>
          <w:kern w:val="0"/>
          <w:szCs w:val="21"/>
          <w:vertAlign w:val="subscript"/>
        </w:rPr>
        <w:t>p</w:t>
      </w:r>
      <w:r>
        <w:rPr>
          <w:rFonts w:hint="eastAsia"/>
          <w:bCs/>
          <w:i/>
          <w:iCs/>
          <w:color w:val="000000"/>
          <w:kern w:val="0"/>
          <w:szCs w:val="21"/>
        </w:rPr>
        <w:t>/M</w:t>
      </w:r>
      <w:r>
        <w:rPr>
          <w:rFonts w:hint="eastAsia"/>
          <w:bCs/>
          <w:color w:val="000000"/>
          <w:kern w:val="0"/>
          <w:szCs w:val="21"/>
          <w:vertAlign w:val="subscript"/>
        </w:rPr>
        <w:t>e</w:t>
      </w:r>
      <w:r>
        <w:rPr>
          <w:rFonts w:hint="eastAsia"/>
          <w:bCs/>
          <w:color w:val="000000"/>
          <w:kern w:val="0"/>
          <w:szCs w:val="21"/>
        </w:rPr>
        <w:t>值）。外露式柱脚也可采用内力设计法。</w:t>
      </w:r>
    </w:p>
    <w:p>
      <w:pPr>
        <w:pStyle w:val="129"/>
        <w:adjustRightInd w:val="0"/>
        <w:spacing w:line="380" w:lineRule="exact"/>
        <w:textAlignment w:val="center"/>
        <w:rPr>
          <w:bCs/>
          <w:color w:val="000000"/>
        </w:rPr>
      </w:pPr>
      <w:r>
        <w:rPr>
          <w:bCs/>
          <w:color w:val="000000"/>
          <w:kern w:val="0"/>
          <w:szCs w:val="21"/>
        </w:rPr>
        <w:t xml:space="preserve">2 </w:t>
      </w:r>
      <w:r>
        <w:rPr>
          <w:bCs/>
          <w:color w:val="000000"/>
        </w:rPr>
        <w:t>埋入式柱脚应保证埋入深度和周边混凝土厚度。埋入式柱脚中，作用于钢柱剪力，主要靠埋入部分混凝土和钢柱接触面之间的压力传递至基础。反力分布根据钢柱截面形状不同而异，方钢管中面外刚度较大的两侧腹板部分较大，强轴受弯的H形截面柱中则腹板对应的翼缘中部较大。代表性的破坏模式有：</w:t>
      </w:r>
    </w:p>
    <w:p>
      <w:pPr>
        <w:pStyle w:val="129"/>
        <w:adjustRightInd w:val="0"/>
        <w:spacing w:line="380" w:lineRule="exact"/>
        <w:textAlignment w:val="center"/>
        <w:rPr>
          <w:bCs/>
          <w:color w:val="000000"/>
        </w:rPr>
      </w:pPr>
      <w:r>
        <w:rPr>
          <w:bCs/>
          <w:color w:val="000000"/>
        </w:rPr>
        <w:t>（1）钢柱板件面外弯曲变形；</w:t>
      </w:r>
    </w:p>
    <w:p>
      <w:pPr>
        <w:pStyle w:val="129"/>
        <w:adjustRightInd w:val="0"/>
        <w:spacing w:line="380" w:lineRule="exact"/>
        <w:textAlignment w:val="center"/>
        <w:rPr>
          <w:bCs/>
          <w:color w:val="000000"/>
        </w:rPr>
      </w:pPr>
      <w:r>
        <w:rPr>
          <w:bCs/>
          <w:color w:val="000000"/>
        </w:rPr>
        <w:t>（2）埋入表面附近钢柱接触部分的混凝土压坏；</w:t>
      </w:r>
    </w:p>
    <w:p>
      <w:pPr>
        <w:pStyle w:val="129"/>
        <w:adjustRightInd w:val="0"/>
        <w:spacing w:line="380" w:lineRule="exact"/>
        <w:textAlignment w:val="center"/>
        <w:rPr>
          <w:bCs/>
          <w:color w:val="000000"/>
        </w:rPr>
      </w:pPr>
      <w:r>
        <w:rPr>
          <w:bCs/>
          <w:color w:val="000000"/>
        </w:rPr>
        <w:t>（3）混凝土保护层厚度较小时（边柱较易发生），钢柱前面的混凝土冲剪破坏；</w:t>
      </w:r>
    </w:p>
    <w:p>
      <w:pPr>
        <w:pStyle w:val="129"/>
        <w:adjustRightInd w:val="0"/>
        <w:spacing w:line="380" w:lineRule="exact"/>
        <w:textAlignment w:val="center"/>
        <w:rPr>
          <w:bCs/>
          <w:color w:val="000000"/>
        </w:rPr>
      </w:pPr>
      <w:r>
        <w:rPr>
          <w:bCs/>
          <w:color w:val="000000"/>
        </w:rPr>
        <w:t>（4）钢柱弯曲屈服。</w:t>
      </w:r>
    </w:p>
    <w:p>
      <w:pPr>
        <w:pStyle w:val="129"/>
        <w:adjustRightInd w:val="0"/>
        <w:spacing w:line="380" w:lineRule="exact"/>
        <w:textAlignment w:val="center"/>
        <w:rPr>
          <w:bCs/>
          <w:color w:val="000000"/>
        </w:rPr>
      </w:pPr>
      <w:r>
        <w:rPr>
          <w:bCs/>
          <w:color w:val="000000"/>
        </w:rPr>
        <w:t>其中，（1）～（3）的破坏使承载力急剧下降，塑性变形能力较差，设计应避免。</w:t>
      </w:r>
    </w:p>
    <w:p>
      <w:pPr>
        <w:pStyle w:val="129"/>
        <w:adjustRightInd w:val="0"/>
        <w:spacing w:line="380" w:lineRule="exact"/>
        <w:textAlignment w:val="center"/>
        <w:rPr>
          <w:bCs/>
          <w:color w:val="000000"/>
          <w:kern w:val="0"/>
          <w:szCs w:val="21"/>
        </w:rPr>
      </w:pPr>
      <w:r>
        <w:rPr>
          <w:bCs/>
          <w:color w:val="000000"/>
          <w:kern w:val="0"/>
          <w:szCs w:val="21"/>
        </w:rPr>
        <w:t>据日本的资料，</w:t>
      </w:r>
      <w:r>
        <w:rPr>
          <w:rFonts w:hint="eastAsia"/>
          <w:bCs/>
          <w:color w:val="000000"/>
          <w:kern w:val="0"/>
          <w:szCs w:val="21"/>
        </w:rPr>
        <w:t>H形</w:t>
      </w:r>
      <w:r>
        <w:rPr>
          <w:bCs/>
          <w:color w:val="000000"/>
          <w:kern w:val="0"/>
          <w:szCs w:val="21"/>
        </w:rPr>
        <w:t>实腹式埋入式柱脚的埋入深度不小于2倍钢柱截面高度时，柱脚部位的恢复力特性基本呈纺锤形，与埋入3倍截面高度的恢复力特性已基本相仿。</w:t>
      </w:r>
      <w:r>
        <w:rPr>
          <w:rFonts w:hint="eastAsia"/>
          <w:bCs/>
          <w:color w:val="000000"/>
          <w:kern w:val="0"/>
          <w:szCs w:val="21"/>
        </w:rPr>
        <w:t>钢管柱、钢管混凝土柱则须埋入2~3倍后恢复力特性才相当。</w:t>
      </w:r>
      <w:r>
        <w:rPr>
          <w:bCs/>
          <w:color w:val="000000"/>
          <w:kern w:val="0"/>
          <w:szCs w:val="21"/>
        </w:rPr>
        <w:t>因此，</w:t>
      </w:r>
      <w:r>
        <w:rPr>
          <w:rFonts w:hint="eastAsia"/>
          <w:bCs/>
          <w:color w:val="000000"/>
          <w:kern w:val="0"/>
          <w:szCs w:val="21"/>
        </w:rPr>
        <w:t>条文规定H形</w:t>
      </w:r>
      <w:r>
        <w:rPr>
          <w:bCs/>
          <w:color w:val="000000"/>
          <w:kern w:val="0"/>
          <w:szCs w:val="21"/>
        </w:rPr>
        <w:t>钢柱埋入2倍的柱截面高度</w:t>
      </w:r>
      <w:r>
        <w:rPr>
          <w:rFonts w:hint="eastAsia"/>
          <w:bCs/>
          <w:color w:val="000000"/>
          <w:kern w:val="0"/>
          <w:szCs w:val="21"/>
        </w:rPr>
        <w:t>，钢管柱、钢管混凝土柱为2.5倍外径（或截面高度）。此</w:t>
      </w:r>
      <w:r>
        <w:rPr>
          <w:bCs/>
          <w:color w:val="000000"/>
          <w:kern w:val="0"/>
          <w:szCs w:val="21"/>
        </w:rPr>
        <w:t>时，钢柱一般能在混凝土顶部形成塑性铰。</w:t>
      </w:r>
    </w:p>
    <w:p>
      <w:pPr>
        <w:pStyle w:val="129"/>
        <w:adjustRightInd w:val="0"/>
        <w:spacing w:line="380" w:lineRule="exact"/>
        <w:textAlignment w:val="center"/>
        <w:rPr>
          <w:bCs/>
          <w:color w:val="000000"/>
          <w:kern w:val="0"/>
          <w:szCs w:val="21"/>
        </w:rPr>
      </w:pPr>
      <w:r>
        <w:rPr>
          <w:bCs/>
          <w:color w:val="000000"/>
          <w:kern w:val="0"/>
          <w:szCs w:val="21"/>
        </w:rPr>
        <w:t>埋入深度可按弯矩和剪力作用下基础混凝土的侧向压力来计算。一般地，弹性设计时，钢柱和混凝土的压力可按线性分布考虑，破坏极限状态时可按矩形分布（图1</w:t>
      </w:r>
      <w:r>
        <w:rPr>
          <w:rFonts w:hint="eastAsia"/>
          <w:bCs/>
          <w:color w:val="000000"/>
          <w:kern w:val="0"/>
          <w:szCs w:val="21"/>
        </w:rPr>
        <w:t>2</w:t>
      </w:r>
      <w:r>
        <w:rPr>
          <w:bCs/>
          <w:color w:val="000000"/>
          <w:kern w:val="0"/>
          <w:szCs w:val="21"/>
        </w:rPr>
        <w:t>）。</w:t>
      </w:r>
    </w:p>
    <w:p>
      <w:pPr>
        <w:pStyle w:val="129"/>
        <w:adjustRightInd w:val="0"/>
        <w:spacing w:line="380" w:lineRule="exact"/>
        <w:textAlignment w:val="center"/>
        <w:rPr>
          <w:rFonts w:hint="eastAsia"/>
          <w:bCs/>
          <w:color w:val="000000"/>
          <w:kern w:val="0"/>
          <w:szCs w:val="21"/>
        </w:rPr>
      </w:pPr>
      <w:r>
        <w:rPr>
          <w:rFonts w:hint="eastAsia"/>
          <w:bCs/>
          <w:color w:val="000000"/>
          <w:kern w:val="0"/>
          <w:szCs w:val="21"/>
        </w:rPr>
        <w:t>极限受弯承载力：</w:t>
      </w:r>
    </w:p>
    <w:p>
      <w:pPr>
        <w:pStyle w:val="129"/>
        <w:adjustRightInd w:val="0"/>
        <w:spacing w:line="360" w:lineRule="auto"/>
        <w:jc w:val="right"/>
        <w:rPr>
          <w:rFonts w:hint="eastAsia"/>
          <w:bCs/>
          <w:color w:val="000000"/>
          <w:kern w:val="0"/>
          <w:szCs w:val="21"/>
        </w:rPr>
      </w:pPr>
      <w:r>
        <w:rPr>
          <w:bCs/>
          <w:color w:val="000000"/>
          <w:kern w:val="0"/>
          <w:position w:val="-14"/>
          <w:szCs w:val="21"/>
        </w:rPr>
        <w:object>
          <v:shape id="_x0000_i1259" o:spt="75" type="#_x0000_t75" style="height:22pt;width:202pt;" o:ole="t" filled="f" stroked="f" coordsize="21600,21600">
            <v:path/>
            <v:fill on="f" focussize="0,0"/>
            <v:stroke on="f"/>
            <v:imagedata r:id="rId549" o:title=""/>
            <o:lock v:ext="edit" grouping="f" rotation="f" text="f" aspectratio="t"/>
            <w10:wrap type="none"/>
            <w10:anchorlock/>
          </v:shape>
          <o:OLEObject Type="Embed" ProgID="Equation.KSEE3" ShapeID="_x0000_i1259" DrawAspect="Content" ObjectID="_1468075949" r:id="rId548">
            <o:LockedField>false</o:LockedField>
          </o:OLEObject>
        </w:object>
      </w:r>
      <w:r>
        <w:rPr>
          <w:rFonts w:hint="eastAsia"/>
          <w:bCs/>
          <w:color w:val="000000"/>
          <w:kern w:val="0"/>
          <w:szCs w:val="21"/>
        </w:rPr>
        <w:t xml:space="preserve">                    （37）</w:t>
      </w:r>
    </w:p>
    <w:p>
      <w:pPr>
        <w:pStyle w:val="129"/>
        <w:adjustRightInd w:val="0"/>
        <w:spacing w:line="380" w:lineRule="exact"/>
        <w:ind w:left="1260" w:leftChars="200" w:hanging="840" w:hangingChars="400"/>
        <w:textAlignment w:val="center"/>
        <w:rPr>
          <w:rFonts w:hint="eastAsia"/>
          <w:bCs/>
          <w:color w:val="000000"/>
          <w:kern w:val="0"/>
          <w:szCs w:val="21"/>
        </w:rPr>
      </w:pPr>
      <w:r>
        <w:rPr>
          <w:rFonts w:hint="eastAsia"/>
          <w:bCs/>
          <w:color w:val="000000"/>
          <w:kern w:val="0"/>
          <w:szCs w:val="21"/>
        </w:rPr>
        <w:t>极限受剪承载力：</w:t>
      </w:r>
    </w:p>
    <w:p>
      <w:pPr>
        <w:pStyle w:val="129"/>
        <w:adjustRightInd w:val="0"/>
        <w:spacing w:line="360" w:lineRule="auto"/>
        <w:jc w:val="right"/>
        <w:rPr>
          <w:rFonts w:hint="eastAsia"/>
          <w:bCs/>
          <w:color w:val="000000"/>
          <w:kern w:val="0"/>
          <w:szCs w:val="21"/>
        </w:rPr>
      </w:pPr>
      <w:r>
        <w:rPr>
          <w:bCs/>
          <w:color w:val="000000"/>
          <w:kern w:val="0"/>
          <w:position w:val="-14"/>
          <w:szCs w:val="21"/>
        </w:rPr>
        <w:object>
          <v:shape id="_x0000_i1260" o:spt="75" type="#_x0000_t75" style="height:18pt;width:76pt;" o:ole="t" filled="f" stroked="f" coordsize="21600,21600">
            <v:path/>
            <v:fill on="f" focussize="0,0"/>
            <v:stroke on="f"/>
            <v:imagedata r:id="rId551" o:title=""/>
            <o:lock v:ext="edit" grouping="f" rotation="f" text="f" aspectratio="t"/>
            <w10:wrap type="none"/>
            <w10:anchorlock/>
          </v:shape>
          <o:OLEObject Type="Embed" ProgID="Equation.KSEE3" ShapeID="_x0000_i1260" DrawAspect="Content" ObjectID="_1468075950" r:id="rId550">
            <o:LockedField>false</o:LockedField>
          </o:OLEObject>
        </w:object>
      </w:r>
      <w:r>
        <w:rPr>
          <w:rFonts w:hint="eastAsia"/>
          <w:bCs/>
          <w:color w:val="000000"/>
          <w:kern w:val="0"/>
          <w:szCs w:val="21"/>
        </w:rPr>
        <w:t xml:space="preserve">                                    （38）</w:t>
      </w:r>
    </w:p>
    <w:p>
      <w:pPr>
        <w:pStyle w:val="129"/>
        <w:adjustRightInd w:val="0"/>
        <w:spacing w:line="380" w:lineRule="exact"/>
        <w:ind w:left="1260" w:hanging="1260" w:hangingChars="600"/>
        <w:textAlignment w:val="center"/>
        <w:rPr>
          <w:rFonts w:hint="eastAsia"/>
          <w:bCs/>
          <w:color w:val="000000"/>
          <w:kern w:val="0"/>
          <w:szCs w:val="21"/>
        </w:rPr>
      </w:pPr>
      <w:r>
        <w:rPr>
          <w:rFonts w:hint="eastAsia"/>
          <w:bCs/>
          <w:color w:val="000000"/>
          <w:kern w:val="0"/>
          <w:szCs w:val="21"/>
        </w:rPr>
        <w:t>式中：</w:t>
      </w:r>
      <w:r>
        <w:rPr>
          <w:rFonts w:hint="eastAsia"/>
          <w:bCs/>
          <w:i/>
          <w:iCs/>
          <w:color w:val="000000"/>
          <w:kern w:val="0"/>
          <w:szCs w:val="21"/>
        </w:rPr>
        <w:t>M</w:t>
      </w:r>
      <w:r>
        <w:rPr>
          <w:rFonts w:hint="eastAsia"/>
          <w:bCs/>
          <w:color w:val="000000"/>
          <w:kern w:val="0"/>
          <w:szCs w:val="21"/>
          <w:vertAlign w:val="subscript"/>
        </w:rPr>
        <w:t>juba</w:t>
      </w:r>
      <w:r>
        <w:rPr>
          <w:rFonts w:hint="eastAsia"/>
          <w:bCs/>
          <w:color w:val="000000"/>
          <w:kern w:val="0"/>
          <w:szCs w:val="21"/>
        </w:rPr>
        <w:t>、</w:t>
      </w:r>
      <w:r>
        <w:rPr>
          <w:rFonts w:hint="eastAsia"/>
          <w:bCs/>
          <w:i/>
          <w:iCs/>
          <w:color w:val="000000"/>
          <w:kern w:val="0"/>
          <w:szCs w:val="21"/>
        </w:rPr>
        <w:t>V</w:t>
      </w:r>
      <w:r>
        <w:rPr>
          <w:rFonts w:hint="eastAsia"/>
          <w:bCs/>
          <w:color w:val="000000"/>
          <w:kern w:val="0"/>
          <w:szCs w:val="21"/>
          <w:vertAlign w:val="subscript"/>
        </w:rPr>
        <w:t>juba</w:t>
      </w:r>
      <w:r>
        <w:rPr>
          <w:rFonts w:hint="eastAsia"/>
          <w:bCs/>
          <w:color w:val="000000"/>
          <w:kern w:val="0"/>
          <w:szCs w:val="21"/>
        </w:rPr>
        <w:t>——埋入式（插入式）柱脚的极限受弯承载力、极限受剪承载力；</w:t>
      </w:r>
    </w:p>
    <w:p>
      <w:pPr>
        <w:pStyle w:val="129"/>
        <w:adjustRightInd w:val="0"/>
        <w:spacing w:line="380" w:lineRule="exact"/>
        <w:ind w:left="1257" w:leftChars="304" w:hanging="619" w:hangingChars="295"/>
        <w:textAlignment w:val="center"/>
        <w:rPr>
          <w:rFonts w:hint="eastAsia"/>
          <w:bCs/>
          <w:color w:val="000000"/>
          <w:kern w:val="0"/>
          <w:szCs w:val="21"/>
        </w:rPr>
      </w:pPr>
      <w:r>
        <w:rPr>
          <w:rFonts w:hint="eastAsia"/>
          <w:bCs/>
          <w:i/>
          <w:iCs/>
          <w:color w:val="000000"/>
          <w:kern w:val="0"/>
          <w:szCs w:val="21"/>
        </w:rPr>
        <w:t>f</w:t>
      </w:r>
      <w:r>
        <w:rPr>
          <w:rFonts w:hint="eastAsia"/>
          <w:bCs/>
          <w:color w:val="000000"/>
          <w:kern w:val="0"/>
          <w:szCs w:val="21"/>
          <w:vertAlign w:val="subscript"/>
        </w:rPr>
        <w:t>ck</w:t>
      </w:r>
      <w:r>
        <w:rPr>
          <w:rFonts w:hint="eastAsia"/>
          <w:bCs/>
          <w:color w:val="000000"/>
          <w:kern w:val="0"/>
          <w:szCs w:val="21"/>
        </w:rPr>
        <w:t>——混凝土轴心抗压强度标准值，但不设置内部加劲肋的空心钢管柱取轴心抗压强度设计值</w:t>
      </w:r>
      <w:r>
        <w:rPr>
          <w:rFonts w:hint="eastAsia"/>
          <w:bCs/>
          <w:i/>
          <w:iCs/>
          <w:color w:val="000000"/>
          <w:kern w:val="0"/>
          <w:szCs w:val="21"/>
        </w:rPr>
        <w:t>f</w:t>
      </w:r>
      <w:r>
        <w:rPr>
          <w:rFonts w:hint="eastAsia"/>
          <w:bCs/>
          <w:color w:val="000000"/>
          <w:kern w:val="0"/>
          <w:szCs w:val="21"/>
          <w:vertAlign w:val="subscript"/>
        </w:rPr>
        <w:t>c</w:t>
      </w:r>
      <w:r>
        <w:rPr>
          <w:rFonts w:hint="eastAsia"/>
          <w:bCs/>
          <w:color w:val="000000"/>
          <w:kern w:val="0"/>
          <w:szCs w:val="21"/>
        </w:rPr>
        <w:t>；</w:t>
      </w:r>
    </w:p>
    <w:p>
      <w:pPr>
        <w:pStyle w:val="129"/>
        <w:adjustRightInd w:val="0"/>
        <w:spacing w:line="380" w:lineRule="exact"/>
        <w:ind w:firstLine="638" w:firstLineChars="304"/>
        <w:textAlignment w:val="center"/>
        <w:rPr>
          <w:rFonts w:hint="eastAsia"/>
          <w:bCs/>
          <w:color w:val="000000"/>
          <w:kern w:val="0"/>
          <w:szCs w:val="21"/>
        </w:rPr>
      </w:pPr>
      <w:r>
        <w:rPr>
          <w:rFonts w:hint="eastAsia"/>
          <w:bCs/>
          <w:i/>
          <w:iCs/>
          <w:color w:val="000000"/>
          <w:kern w:val="0"/>
          <w:szCs w:val="21"/>
        </w:rPr>
        <w:t>B</w:t>
      </w:r>
      <w:r>
        <w:rPr>
          <w:rFonts w:hint="eastAsia"/>
          <w:bCs/>
          <w:color w:val="000000"/>
          <w:kern w:val="0"/>
          <w:szCs w:val="21"/>
          <w:vertAlign w:val="subscript"/>
        </w:rPr>
        <w:t>c</w:t>
      </w:r>
      <w:r>
        <w:rPr>
          <w:rFonts w:hint="eastAsia"/>
          <w:bCs/>
          <w:color w:val="000000"/>
          <w:kern w:val="0"/>
          <w:szCs w:val="21"/>
        </w:rPr>
        <w:t>——柱宽；</w:t>
      </w:r>
    </w:p>
    <w:p>
      <w:pPr>
        <w:pStyle w:val="129"/>
        <w:adjustRightInd w:val="0"/>
        <w:spacing w:line="380" w:lineRule="exact"/>
        <w:ind w:firstLine="638" w:firstLineChars="304"/>
        <w:textAlignment w:val="center"/>
        <w:rPr>
          <w:rFonts w:hint="eastAsia"/>
          <w:bCs/>
          <w:color w:val="000000"/>
          <w:kern w:val="0"/>
          <w:szCs w:val="21"/>
        </w:rPr>
      </w:pPr>
      <w:r>
        <w:rPr>
          <w:rFonts w:hint="eastAsia"/>
          <w:bCs/>
          <w:i/>
          <w:iCs/>
          <w:color w:val="000000"/>
          <w:kern w:val="0"/>
          <w:szCs w:val="21"/>
        </w:rPr>
        <w:t xml:space="preserve">d </w:t>
      </w:r>
      <w:r>
        <w:rPr>
          <w:rFonts w:hint="eastAsia"/>
          <w:bCs/>
          <w:color w:val="000000"/>
          <w:kern w:val="0"/>
          <w:szCs w:val="21"/>
        </w:rPr>
        <w:t>——柱的埋入深度；</w:t>
      </w:r>
    </w:p>
    <w:p>
      <w:pPr>
        <w:pStyle w:val="129"/>
        <w:adjustRightInd w:val="0"/>
        <w:spacing w:line="380" w:lineRule="exact"/>
        <w:ind w:firstLine="638" w:firstLineChars="304"/>
        <w:textAlignment w:val="center"/>
        <w:rPr>
          <w:rFonts w:hint="eastAsia"/>
          <w:bCs/>
          <w:color w:val="000000"/>
          <w:kern w:val="0"/>
          <w:szCs w:val="21"/>
        </w:rPr>
      </w:pPr>
      <w:r>
        <w:rPr>
          <w:rFonts w:hint="eastAsia"/>
          <w:bCs/>
          <w:i/>
          <w:iCs/>
          <w:color w:val="000000"/>
          <w:kern w:val="0"/>
          <w:szCs w:val="21"/>
        </w:rPr>
        <w:t>L</w:t>
      </w:r>
      <w:r>
        <w:rPr>
          <w:rFonts w:hint="eastAsia"/>
          <w:bCs/>
          <w:color w:val="000000"/>
          <w:kern w:val="0"/>
          <w:szCs w:val="21"/>
          <w:vertAlign w:val="subscript"/>
        </w:rPr>
        <w:t>0</w:t>
      </w:r>
      <w:r>
        <w:rPr>
          <w:rFonts w:hint="eastAsia"/>
          <w:bCs/>
          <w:color w:val="000000"/>
          <w:kern w:val="0"/>
          <w:szCs w:val="21"/>
        </w:rPr>
        <w:t>——基础顶面到反弯点的距离。</w:t>
      </w:r>
    </w:p>
    <w:p>
      <w:pPr>
        <w:pStyle w:val="129"/>
        <w:adjustRightInd w:val="0"/>
        <w:spacing w:line="360" w:lineRule="auto"/>
        <w:jc w:val="center"/>
        <w:textAlignment w:val="center"/>
        <w:rPr>
          <w:bCs/>
          <w:color w:val="000000"/>
          <w:kern w:val="0"/>
          <w:szCs w:val="21"/>
        </w:rPr>
      </w:pPr>
      <w:r>
        <w:rPr>
          <w:bCs/>
          <w:color w:val="000000"/>
        </w:rPr>
        <w:drawing>
          <wp:inline distT="0" distB="0" distL="114300" distR="114300">
            <wp:extent cx="2575560" cy="1540510"/>
            <wp:effectExtent l="0" t="0" r="4445" b="3175"/>
            <wp:docPr id="10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51"/>
                    <pic:cNvPicPr>
                      <a:picLocks noChangeAspect="1"/>
                    </pic:cNvPicPr>
                  </pic:nvPicPr>
                  <pic:blipFill>
                    <a:blip r:embed="rId552"/>
                    <a:stretch>
                      <a:fillRect/>
                    </a:stretch>
                  </pic:blipFill>
                  <pic:spPr>
                    <a:xfrm>
                      <a:off x="0" y="0"/>
                      <a:ext cx="2575560" cy="1540510"/>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图1</w:t>
      </w:r>
      <w:r>
        <w:rPr>
          <w:rFonts w:hint="eastAsia"/>
          <w:bCs/>
          <w:snapToGrid w:val="0"/>
          <w:color w:val="000000"/>
          <w:kern w:val="0"/>
          <w:sz w:val="18"/>
          <w:szCs w:val="21"/>
        </w:rPr>
        <w:t>2</w:t>
      </w:r>
      <w:r>
        <w:rPr>
          <w:bCs/>
          <w:snapToGrid w:val="0"/>
          <w:color w:val="000000"/>
          <w:kern w:val="0"/>
          <w:sz w:val="18"/>
          <w:szCs w:val="21"/>
        </w:rPr>
        <w:t xml:space="preserve">  埋入式柱脚的受力模式</w:t>
      </w:r>
    </w:p>
    <w:p>
      <w:pPr>
        <w:pStyle w:val="129"/>
        <w:adjustRightInd w:val="0"/>
        <w:spacing w:line="380" w:lineRule="exact"/>
        <w:textAlignment w:val="center"/>
        <w:rPr>
          <w:bCs/>
          <w:color w:val="000000"/>
          <w:kern w:val="0"/>
          <w:szCs w:val="21"/>
        </w:rPr>
      </w:pPr>
      <w:r>
        <w:rPr>
          <w:bCs/>
          <w:color w:val="000000"/>
          <w:kern w:val="0"/>
          <w:szCs w:val="21"/>
        </w:rPr>
        <w:t>埋入式柱脚采用钢管柱和箱形柱等中空截面时，易发生压曲，可采用图1</w:t>
      </w:r>
      <w:r>
        <w:rPr>
          <w:rFonts w:hint="eastAsia"/>
          <w:bCs/>
          <w:color w:val="000000"/>
          <w:kern w:val="0"/>
          <w:szCs w:val="21"/>
        </w:rPr>
        <w:t>3</w:t>
      </w:r>
      <w:r>
        <w:rPr>
          <w:bCs/>
          <w:color w:val="000000"/>
          <w:kern w:val="0"/>
          <w:szCs w:val="21"/>
        </w:rPr>
        <w:t>的方式加强。采用外环板时，其外伸宽度不应小于柱边长（或管径）的1/10。</w:t>
      </w:r>
    </w:p>
    <w:p>
      <w:pPr>
        <w:pStyle w:val="129"/>
        <w:adjustRightInd w:val="0"/>
        <w:spacing w:line="360" w:lineRule="auto"/>
        <w:ind w:firstLine="0" w:firstLineChars="0"/>
        <w:textAlignment w:val="center"/>
        <w:rPr>
          <w:bCs/>
          <w:color w:val="000000"/>
          <w:kern w:val="0"/>
          <w:szCs w:val="21"/>
        </w:rPr>
      </w:pPr>
      <w:r>
        <w:rPr>
          <w:bCs/>
          <w:color w:val="000000"/>
        </w:rPr>
        <w:drawing>
          <wp:inline distT="0" distB="0" distL="114300" distR="114300">
            <wp:extent cx="5536565" cy="1619250"/>
            <wp:effectExtent l="0" t="0" r="1270" b="0"/>
            <wp:docPr id="133"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52"/>
                    <pic:cNvPicPr>
                      <a:picLocks noChangeAspect="1"/>
                    </pic:cNvPicPr>
                  </pic:nvPicPr>
                  <pic:blipFill>
                    <a:blip r:embed="rId553"/>
                    <a:stretch>
                      <a:fillRect/>
                    </a:stretch>
                  </pic:blipFill>
                  <pic:spPr>
                    <a:xfrm>
                      <a:off x="0" y="0"/>
                      <a:ext cx="5536565" cy="1619250"/>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图1</w:t>
      </w:r>
      <w:r>
        <w:rPr>
          <w:rFonts w:hint="eastAsia"/>
          <w:bCs/>
          <w:snapToGrid w:val="0"/>
          <w:color w:val="000000"/>
          <w:kern w:val="0"/>
          <w:sz w:val="18"/>
          <w:szCs w:val="21"/>
        </w:rPr>
        <w:t>3</w:t>
      </w:r>
      <w:r>
        <w:rPr>
          <w:bCs/>
          <w:snapToGrid w:val="0"/>
          <w:color w:val="000000"/>
          <w:kern w:val="0"/>
          <w:sz w:val="18"/>
          <w:szCs w:val="21"/>
        </w:rPr>
        <w:t xml:space="preserve">  圆管和箱型截面埋入式柱脚的加强措施</w:t>
      </w:r>
    </w:p>
    <w:p>
      <w:pPr>
        <w:pStyle w:val="129"/>
        <w:adjustRightInd w:val="0"/>
        <w:spacing w:line="380" w:lineRule="exact"/>
        <w:textAlignment w:val="center"/>
        <w:rPr>
          <w:bCs/>
          <w:color w:val="000000"/>
          <w:kern w:val="0"/>
          <w:szCs w:val="21"/>
        </w:rPr>
      </w:pPr>
      <w:r>
        <w:rPr>
          <w:bCs/>
          <w:color w:val="000000"/>
          <w:kern w:val="0"/>
          <w:szCs w:val="21"/>
        </w:rPr>
        <w:t>埋入式柱脚为边柱或角柱时，由于侧面混凝土厚度不足，易发生劈裂破坏。故而，应在埋入部分的顶部和底部设置U形钢筋进行加强，并按图1</w:t>
      </w:r>
      <w:r>
        <w:rPr>
          <w:rFonts w:hint="eastAsia"/>
          <w:bCs/>
          <w:color w:val="000000"/>
          <w:kern w:val="0"/>
          <w:szCs w:val="21"/>
        </w:rPr>
        <w:t>4</w:t>
      </w:r>
      <w:r>
        <w:rPr>
          <w:bCs/>
          <w:color w:val="000000"/>
          <w:kern w:val="0"/>
          <w:szCs w:val="21"/>
        </w:rPr>
        <w:t>的受力模式进行计算。U形钢筋的锚固长度应从钢柱内侧算起，锚固长度应符合相关规范的要求。</w:t>
      </w:r>
    </w:p>
    <w:p>
      <w:pPr>
        <w:pStyle w:val="129"/>
        <w:adjustRightInd w:val="0"/>
        <w:spacing w:line="360" w:lineRule="auto"/>
        <w:ind w:firstLine="0" w:firstLineChars="0"/>
        <w:jc w:val="center"/>
        <w:textAlignment w:val="center"/>
        <w:rPr>
          <w:bCs/>
          <w:color w:val="000000"/>
        </w:rPr>
      </w:pPr>
      <w:r>
        <w:rPr>
          <w:bCs/>
          <w:color w:val="000000"/>
        </w:rPr>
        <w:drawing>
          <wp:inline distT="0" distB="0" distL="114300" distR="114300">
            <wp:extent cx="5268595" cy="1428115"/>
            <wp:effectExtent l="0" t="0" r="0" b="0"/>
            <wp:docPr id="99"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53"/>
                    <pic:cNvPicPr>
                      <a:picLocks noChangeAspect="1"/>
                    </pic:cNvPicPr>
                  </pic:nvPicPr>
                  <pic:blipFill>
                    <a:blip r:embed="rId554"/>
                    <a:stretch>
                      <a:fillRect/>
                    </a:stretch>
                  </pic:blipFill>
                  <pic:spPr>
                    <a:xfrm>
                      <a:off x="0" y="0"/>
                      <a:ext cx="5268595" cy="1428115"/>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图1</w:t>
      </w:r>
      <w:r>
        <w:rPr>
          <w:rFonts w:hint="eastAsia"/>
          <w:bCs/>
          <w:snapToGrid w:val="0"/>
          <w:color w:val="000000"/>
          <w:kern w:val="0"/>
          <w:sz w:val="18"/>
          <w:szCs w:val="21"/>
        </w:rPr>
        <w:t>4</w:t>
      </w:r>
      <w:r>
        <w:rPr>
          <w:bCs/>
          <w:snapToGrid w:val="0"/>
          <w:color w:val="000000"/>
          <w:kern w:val="0"/>
          <w:sz w:val="18"/>
          <w:szCs w:val="21"/>
        </w:rPr>
        <w:t xml:space="preserve">  边柱和角柱采用U形钢筋加强时的受力模式</w:t>
      </w:r>
    </w:p>
    <w:p>
      <w:pPr>
        <w:pStyle w:val="129"/>
        <w:adjustRightInd w:val="0"/>
        <w:spacing w:line="380" w:lineRule="exact"/>
        <w:textAlignment w:val="center"/>
        <w:rPr>
          <w:bCs/>
          <w:color w:val="000000"/>
          <w:kern w:val="0"/>
          <w:szCs w:val="21"/>
        </w:rPr>
      </w:pPr>
      <w:r>
        <w:rPr>
          <w:bCs/>
          <w:color w:val="000000"/>
          <w:kern w:val="0"/>
          <w:szCs w:val="21"/>
        </w:rPr>
        <w:t>3 实腹柱插入式柱脚的插入深度并未见有试验验证的资料。对于实腹柱，包裹插入式柱脚与埋入式柱脚的基础混凝土的受力状态和抵抗钢柱弯曲的能力基本相当，故插入式柱脚的插入深度可参照埋入式柱脚的。</w:t>
      </w:r>
    </w:p>
    <w:p>
      <w:pPr>
        <w:pStyle w:val="129"/>
        <w:adjustRightInd w:val="0"/>
        <w:spacing w:line="380" w:lineRule="exact"/>
        <w:textAlignment w:val="center"/>
        <w:rPr>
          <w:bCs/>
          <w:color w:val="000000"/>
          <w:kern w:val="0"/>
          <w:szCs w:val="21"/>
        </w:rPr>
      </w:pPr>
      <w:r>
        <w:rPr>
          <w:bCs/>
          <w:color w:val="000000"/>
          <w:kern w:val="0"/>
          <w:szCs w:val="21"/>
        </w:rPr>
        <w:t>4 外包式柱脚属于钢和混凝土组合结构，内力传递复杂，影响因素多，目前还存在一些未充分明晰的内容，因此，诸如各部分的形状、尺寸以及补强方法等构造要求较多。</w:t>
      </w:r>
    </w:p>
    <w:p>
      <w:pPr>
        <w:pStyle w:val="129"/>
        <w:adjustRightInd w:val="0"/>
        <w:spacing w:line="380" w:lineRule="exact"/>
        <w:textAlignment w:val="center"/>
        <w:rPr>
          <w:bCs/>
          <w:color w:val="000000"/>
          <w:kern w:val="0"/>
          <w:szCs w:val="21"/>
        </w:rPr>
      </w:pPr>
      <w:r>
        <w:rPr>
          <w:bCs/>
          <w:color w:val="000000"/>
          <w:kern w:val="0"/>
          <w:szCs w:val="21"/>
        </w:rPr>
        <w:t>外包式柱脚的钢柱弯矩，大致上外包柱脚顶部钢筋位置处最大，底板处约为零。即，在外包混凝土刚度较大，且充分配置顶部钢筋的条件下，主要假定外包柱脚顶部开始从钢柱向混凝土传递内力。</w:t>
      </w:r>
    </w:p>
    <w:p>
      <w:pPr>
        <w:pStyle w:val="129"/>
        <w:adjustRightInd w:val="0"/>
        <w:spacing w:line="380" w:lineRule="exact"/>
        <w:textAlignment w:val="center"/>
        <w:rPr>
          <w:bCs/>
          <w:color w:val="000000"/>
          <w:kern w:val="0"/>
          <w:szCs w:val="21"/>
        </w:rPr>
      </w:pPr>
      <w:r>
        <w:rPr>
          <w:bCs/>
          <w:color w:val="000000"/>
          <w:kern w:val="0"/>
          <w:szCs w:val="21"/>
        </w:rPr>
        <w:t>外包式柱脚典型的破坏模式（图1</w:t>
      </w:r>
      <w:r>
        <w:rPr>
          <w:rFonts w:hint="eastAsia"/>
          <w:bCs/>
          <w:color w:val="000000"/>
          <w:kern w:val="0"/>
          <w:szCs w:val="21"/>
        </w:rPr>
        <w:t>5</w:t>
      </w:r>
      <w:r>
        <w:rPr>
          <w:bCs/>
          <w:color w:val="000000"/>
          <w:kern w:val="0"/>
          <w:szCs w:val="21"/>
        </w:rPr>
        <w:t>）：</w:t>
      </w:r>
    </w:p>
    <w:p>
      <w:pPr>
        <w:pStyle w:val="129"/>
        <w:adjustRightInd w:val="0"/>
        <w:spacing w:line="380" w:lineRule="exact"/>
        <w:textAlignment w:val="center"/>
        <w:rPr>
          <w:bCs/>
          <w:color w:val="000000"/>
          <w:kern w:val="0"/>
          <w:szCs w:val="21"/>
        </w:rPr>
      </w:pPr>
      <w:r>
        <w:rPr>
          <w:rFonts w:hint="eastAsia"/>
          <w:bCs/>
          <w:color w:val="000000"/>
          <w:kern w:val="0"/>
          <w:szCs w:val="21"/>
        </w:rPr>
        <w:t>（1）</w:t>
      </w:r>
      <w:r>
        <w:rPr>
          <w:bCs/>
          <w:color w:val="000000"/>
          <w:kern w:val="0"/>
          <w:szCs w:val="21"/>
        </w:rPr>
        <w:t>钢柱的压力导致顶部混凝土压坏；</w:t>
      </w:r>
    </w:p>
    <w:p>
      <w:pPr>
        <w:pStyle w:val="129"/>
        <w:adjustRightInd w:val="0"/>
        <w:spacing w:line="380" w:lineRule="exact"/>
        <w:textAlignment w:val="center"/>
        <w:rPr>
          <w:bCs/>
          <w:color w:val="000000"/>
          <w:kern w:val="0"/>
          <w:szCs w:val="21"/>
        </w:rPr>
      </w:pPr>
      <w:r>
        <w:rPr>
          <w:rFonts w:hint="eastAsia"/>
          <w:bCs/>
          <w:color w:val="000000"/>
          <w:kern w:val="0"/>
          <w:szCs w:val="21"/>
        </w:rPr>
        <w:t>（2）</w:t>
      </w:r>
      <w:r>
        <w:rPr>
          <w:bCs/>
          <w:color w:val="000000"/>
          <w:kern w:val="0"/>
          <w:szCs w:val="21"/>
        </w:rPr>
        <w:t>外包混凝土剪力引起的斜裂缝；</w:t>
      </w:r>
    </w:p>
    <w:p>
      <w:pPr>
        <w:pStyle w:val="129"/>
        <w:adjustRightInd w:val="0"/>
        <w:spacing w:line="380" w:lineRule="exact"/>
        <w:textAlignment w:val="center"/>
        <w:rPr>
          <w:bCs/>
          <w:color w:val="000000"/>
          <w:kern w:val="0"/>
          <w:szCs w:val="21"/>
        </w:rPr>
      </w:pPr>
      <w:r>
        <w:rPr>
          <w:rFonts w:hint="eastAsia"/>
          <w:bCs/>
          <w:color w:val="000000"/>
          <w:kern w:val="0"/>
          <w:szCs w:val="21"/>
        </w:rPr>
        <w:t>（3）</w:t>
      </w:r>
      <w:r>
        <w:rPr>
          <w:bCs/>
          <w:color w:val="000000"/>
          <w:kern w:val="0"/>
          <w:szCs w:val="21"/>
        </w:rPr>
        <w:t>主筋锚固处破坏；</w:t>
      </w:r>
    </w:p>
    <w:p>
      <w:pPr>
        <w:pStyle w:val="129"/>
        <w:adjustRightInd w:val="0"/>
        <w:spacing w:line="380" w:lineRule="exact"/>
        <w:textAlignment w:val="center"/>
        <w:rPr>
          <w:bCs/>
          <w:color w:val="000000"/>
          <w:kern w:val="0"/>
          <w:szCs w:val="21"/>
        </w:rPr>
      </w:pPr>
      <w:r>
        <w:rPr>
          <w:rFonts w:hint="eastAsia"/>
          <w:bCs/>
          <w:color w:val="000000"/>
          <w:kern w:val="0"/>
          <w:szCs w:val="21"/>
        </w:rPr>
        <w:t>（4）</w:t>
      </w:r>
      <w:r>
        <w:rPr>
          <w:bCs/>
          <w:color w:val="000000"/>
          <w:kern w:val="0"/>
          <w:szCs w:val="21"/>
        </w:rPr>
        <w:t>主筋弯曲屈服。</w:t>
      </w:r>
    </w:p>
    <w:p>
      <w:pPr>
        <w:pStyle w:val="129"/>
        <w:adjustRightInd w:val="0"/>
        <w:spacing w:line="380" w:lineRule="exact"/>
        <w:textAlignment w:val="center"/>
        <w:rPr>
          <w:bCs/>
          <w:color w:val="000000"/>
          <w:kern w:val="0"/>
          <w:szCs w:val="21"/>
        </w:rPr>
      </w:pPr>
      <w:r>
        <w:rPr>
          <w:bCs/>
          <w:color w:val="000000"/>
          <w:kern w:val="0"/>
          <w:szCs w:val="21"/>
        </w:rPr>
        <w:t>其中，前三种破坏模式会导致承载力急剧下降，变形能力较差。因此，外包混凝土顶部应配置足够的抗剪补强钢筋，通常集中配置3道构造箍筋，以防止顶部混凝土被压碎和保证水平剪力传递。外包式柱脚箍筋一般按100mm的间距配置，以避免出现受剪斜裂缝，并应保证钢筋的锚固长度和混凝土的外包厚度。</w:t>
      </w:r>
    </w:p>
    <w:p>
      <w:pPr>
        <w:pStyle w:val="129"/>
        <w:adjustRightInd w:val="0"/>
        <w:spacing w:line="380" w:lineRule="exact"/>
        <w:textAlignment w:val="center"/>
        <w:rPr>
          <w:bCs/>
          <w:color w:val="000000"/>
          <w:kern w:val="0"/>
          <w:szCs w:val="21"/>
        </w:rPr>
      </w:pPr>
    </w:p>
    <w:p>
      <w:pPr>
        <w:adjustRightInd w:val="0"/>
        <w:spacing w:line="360" w:lineRule="auto"/>
        <w:ind w:firstLine="420"/>
        <w:jc w:val="center"/>
        <w:rPr>
          <w:bCs/>
          <w:color w:val="000000"/>
          <w:kern w:val="0"/>
          <w:szCs w:val="21"/>
        </w:rPr>
      </w:pPr>
      <w:r>
        <w:rPr>
          <w:bCs/>
          <w:color w:val="000000"/>
          <w:kern w:val="0"/>
          <w:szCs w:val="21"/>
        </w:rPr>
        <w:drawing>
          <wp:inline distT="0" distB="0" distL="114300" distR="114300">
            <wp:extent cx="4332605" cy="1537970"/>
            <wp:effectExtent l="0" t="0" r="6985" b="5715"/>
            <wp:docPr id="13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54"/>
                    <pic:cNvPicPr>
                      <a:picLocks noChangeAspect="1"/>
                    </pic:cNvPicPr>
                  </pic:nvPicPr>
                  <pic:blipFill>
                    <a:blip r:embed="rId555"/>
                    <a:stretch>
                      <a:fillRect/>
                    </a:stretch>
                  </pic:blipFill>
                  <pic:spPr>
                    <a:xfrm>
                      <a:off x="0" y="0"/>
                      <a:ext cx="4332605" cy="1537970"/>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图1</w:t>
      </w:r>
      <w:r>
        <w:rPr>
          <w:rFonts w:hint="eastAsia"/>
          <w:bCs/>
          <w:snapToGrid w:val="0"/>
          <w:color w:val="000000"/>
          <w:kern w:val="0"/>
          <w:sz w:val="18"/>
          <w:szCs w:val="21"/>
        </w:rPr>
        <w:t>5</w:t>
      </w:r>
      <w:r>
        <w:rPr>
          <w:bCs/>
          <w:snapToGrid w:val="0"/>
          <w:color w:val="000000"/>
          <w:kern w:val="0"/>
          <w:sz w:val="18"/>
          <w:szCs w:val="21"/>
        </w:rPr>
        <w:t xml:space="preserve">  外包式柱脚的主要破坏模式</w:t>
      </w:r>
    </w:p>
    <w:p>
      <w:pPr>
        <w:pStyle w:val="129"/>
        <w:adjustRightInd w:val="0"/>
        <w:spacing w:line="380" w:lineRule="exact"/>
        <w:textAlignment w:val="center"/>
        <w:rPr>
          <w:bCs/>
          <w:color w:val="000000"/>
          <w:kern w:val="0"/>
          <w:szCs w:val="21"/>
        </w:rPr>
      </w:pPr>
      <w:r>
        <w:rPr>
          <w:bCs/>
          <w:color w:val="000000"/>
          <w:kern w:val="0"/>
          <w:szCs w:val="21"/>
        </w:rPr>
        <w:t>随外包柱脚加高，外包混凝土上作用的剪力相应变小，但主筋锚固力变大，可有效提高破坏承载力。外包混凝土高度，通常取柱宽的2.5倍及以上。</w:t>
      </w:r>
    </w:p>
    <w:p>
      <w:pPr>
        <w:pStyle w:val="129"/>
        <w:adjustRightInd w:val="0"/>
        <w:spacing w:line="380" w:lineRule="exact"/>
        <w:textAlignment w:val="center"/>
        <w:rPr>
          <w:bCs/>
          <w:color w:val="000000"/>
          <w:kern w:val="0"/>
          <w:szCs w:val="21"/>
        </w:rPr>
      </w:pPr>
      <w:r>
        <w:rPr>
          <w:bCs/>
          <w:color w:val="000000"/>
          <w:kern w:val="0"/>
          <w:szCs w:val="21"/>
        </w:rPr>
        <w:t>钢柱向外包混凝土传递内力在外包混凝土顶部钢筋处实现，因此外包混凝土部分可按钢筋混凝土悬臂梁设计。钢柱底板螺栓连接的弯矩在弹性设计时一般忽略不计。</w:t>
      </w:r>
    </w:p>
    <w:p>
      <w:pPr>
        <w:pStyle w:val="129"/>
        <w:adjustRightInd w:val="0"/>
        <w:spacing w:line="380" w:lineRule="exact"/>
        <w:textAlignment w:val="center"/>
        <w:rPr>
          <w:bCs/>
          <w:color w:val="000000"/>
          <w:kern w:val="0"/>
          <w:szCs w:val="21"/>
        </w:rPr>
      </w:pPr>
      <w:r>
        <w:rPr>
          <w:bCs/>
          <w:color w:val="000000"/>
          <w:kern w:val="0"/>
          <w:szCs w:val="21"/>
        </w:rPr>
        <w:t>外包式实腹柱柱脚在塑性结构中，应确保满足极限受弯承载力和受剪承载力的要求。弹性和弹塑性结构的外包式柱脚，应按地震组合内力进行外包式柱脚的设计。</w:t>
      </w:r>
    </w:p>
    <w:p>
      <w:pPr>
        <w:pStyle w:val="129"/>
        <w:adjustRightInd w:val="0"/>
        <w:spacing w:line="380" w:lineRule="exact"/>
        <w:textAlignment w:val="center"/>
        <w:rPr>
          <w:bCs/>
          <w:color w:val="000000"/>
          <w:kern w:val="0"/>
          <w:szCs w:val="21"/>
        </w:rPr>
      </w:pPr>
      <w:r>
        <w:rPr>
          <w:bCs/>
          <w:color w:val="000000"/>
          <w:kern w:val="0"/>
          <w:szCs w:val="21"/>
        </w:rPr>
        <w:t>外包式柱脚的计算简图如图1</w:t>
      </w:r>
      <w:r>
        <w:rPr>
          <w:rFonts w:hint="eastAsia"/>
          <w:bCs/>
          <w:color w:val="000000"/>
          <w:kern w:val="0"/>
          <w:szCs w:val="21"/>
        </w:rPr>
        <w:t>6</w:t>
      </w:r>
      <w:r>
        <w:rPr>
          <w:bCs/>
          <w:color w:val="000000"/>
          <w:kern w:val="0"/>
          <w:szCs w:val="21"/>
        </w:rPr>
        <w:t>，其极限承载力可按下列公式计算：</w:t>
      </w:r>
    </w:p>
    <w:p>
      <w:pPr>
        <w:autoSpaceDE w:val="0"/>
        <w:autoSpaceDN w:val="0"/>
        <w:adjustRightInd w:val="0"/>
        <w:spacing w:line="360" w:lineRule="auto"/>
        <w:jc w:val="center"/>
        <w:rPr>
          <w:bCs/>
          <w:color w:val="000000"/>
        </w:rPr>
      </w:pPr>
      <w:r>
        <w:rPr>
          <w:bCs/>
          <w:color w:val="000000"/>
        </w:rPr>
        <w:drawing>
          <wp:inline distT="0" distB="0" distL="114300" distR="114300">
            <wp:extent cx="5325110" cy="1645920"/>
            <wp:effectExtent l="0" t="0" r="0" b="5715"/>
            <wp:docPr id="98"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55"/>
                    <pic:cNvPicPr>
                      <a:picLocks noChangeAspect="1"/>
                    </pic:cNvPicPr>
                  </pic:nvPicPr>
                  <pic:blipFill>
                    <a:blip r:embed="rId556"/>
                    <a:stretch>
                      <a:fillRect/>
                    </a:stretch>
                  </pic:blipFill>
                  <pic:spPr>
                    <a:xfrm>
                      <a:off x="0" y="0"/>
                      <a:ext cx="5325110" cy="1645920"/>
                    </a:xfrm>
                    <a:prstGeom prst="rect">
                      <a:avLst/>
                    </a:prstGeom>
                    <a:noFill/>
                    <a:ln>
                      <a:noFill/>
                    </a:ln>
                  </pic:spPr>
                </pic:pic>
              </a:graphicData>
            </a:graphic>
          </wp:inline>
        </w:drawing>
      </w:r>
    </w:p>
    <w:p>
      <w:pPr>
        <w:autoSpaceDE w:val="0"/>
        <w:autoSpaceDN w:val="0"/>
        <w:adjustRightInd w:val="0"/>
        <w:spacing w:line="360" w:lineRule="auto"/>
        <w:jc w:val="center"/>
        <w:rPr>
          <w:bCs/>
          <w:snapToGrid w:val="0"/>
          <w:color w:val="000000"/>
          <w:kern w:val="0"/>
          <w:sz w:val="18"/>
          <w:szCs w:val="21"/>
        </w:rPr>
      </w:pPr>
      <w:r>
        <w:rPr>
          <w:bCs/>
          <w:snapToGrid w:val="0"/>
          <w:color w:val="000000"/>
          <w:kern w:val="0"/>
          <w:sz w:val="18"/>
          <w:szCs w:val="21"/>
        </w:rPr>
        <w:t>图1</w:t>
      </w:r>
      <w:r>
        <w:rPr>
          <w:rFonts w:hint="eastAsia"/>
          <w:bCs/>
          <w:snapToGrid w:val="0"/>
          <w:color w:val="000000"/>
          <w:kern w:val="0"/>
          <w:sz w:val="18"/>
          <w:szCs w:val="21"/>
        </w:rPr>
        <w:t>6</w:t>
      </w:r>
      <w:r>
        <w:rPr>
          <w:bCs/>
          <w:snapToGrid w:val="0"/>
          <w:color w:val="000000"/>
          <w:kern w:val="0"/>
          <w:sz w:val="18"/>
          <w:szCs w:val="21"/>
        </w:rPr>
        <w:t xml:space="preserve">  外包式柱脚的计算简图</w:t>
      </w:r>
    </w:p>
    <w:p>
      <w:pPr>
        <w:pStyle w:val="129"/>
        <w:adjustRightInd w:val="0"/>
        <w:spacing w:line="380" w:lineRule="exact"/>
        <w:textAlignment w:val="center"/>
        <w:rPr>
          <w:bCs/>
          <w:color w:val="000000"/>
          <w:kern w:val="0"/>
          <w:szCs w:val="21"/>
        </w:rPr>
      </w:pPr>
      <w:r>
        <w:rPr>
          <w:bCs/>
          <w:color w:val="000000"/>
          <w:kern w:val="0"/>
          <w:szCs w:val="21"/>
        </w:rPr>
        <w:t>1）极限受弯承载力：</w:t>
      </w:r>
    </w:p>
    <w:p>
      <w:pPr>
        <w:autoSpaceDE w:val="0"/>
        <w:autoSpaceDN w:val="0"/>
        <w:adjustRightInd w:val="0"/>
        <w:spacing w:line="360" w:lineRule="auto"/>
        <w:ind w:firstLine="420" w:firstLineChars="200"/>
        <w:jc w:val="right"/>
        <w:rPr>
          <w:bCs/>
          <w:color w:val="000000"/>
          <w:kern w:val="0"/>
          <w:szCs w:val="21"/>
        </w:rPr>
      </w:pPr>
      <w:r>
        <w:rPr>
          <w:bCs/>
          <w:color w:val="000000"/>
          <w:kern w:val="0"/>
          <w:position w:val="-14"/>
          <w:szCs w:val="21"/>
        </w:rPr>
        <w:object>
          <v:shape id="_x0000_i1261" o:spt="75" type="#_x0000_t75" style="height:18pt;width:104.75pt;" o:ole="t" filled="f" stroked="f" coordsize="21600,21600">
            <v:path/>
            <v:fill on="f" focussize="0,0"/>
            <v:stroke on="f"/>
            <v:imagedata r:id="rId558" o:title=""/>
            <o:lock v:ext="edit" grouping="f" rotation="f" text="f" aspectratio="t"/>
            <w10:wrap type="none"/>
            <w10:anchorlock/>
          </v:shape>
          <o:OLEObject Type="Embed" ProgID="Equation.KSEE3" ShapeID="_x0000_i1261" DrawAspect="Content" ObjectID="_1468075951" r:id="rId557">
            <o:LockedField>false</o:LockedField>
          </o:OLEObject>
        </w:object>
      </w:r>
      <w:r>
        <w:rPr>
          <w:bCs/>
          <w:color w:val="000000"/>
          <w:kern w:val="0"/>
          <w:szCs w:val="21"/>
        </w:rPr>
        <w:t xml:space="preserve">                        （</w:t>
      </w:r>
      <w:r>
        <w:rPr>
          <w:rFonts w:hint="eastAsia"/>
          <w:bCs/>
          <w:color w:val="000000"/>
          <w:kern w:val="0"/>
          <w:szCs w:val="21"/>
        </w:rPr>
        <w:t>39</w:t>
      </w:r>
      <w:r>
        <w:rPr>
          <w:bCs/>
          <w:color w:val="000000"/>
          <w:kern w:val="0"/>
          <w:szCs w:val="21"/>
        </w:rPr>
        <w:t>）</w:t>
      </w:r>
    </w:p>
    <w:p>
      <w:pPr>
        <w:autoSpaceDE w:val="0"/>
        <w:autoSpaceDN w:val="0"/>
        <w:adjustRightInd w:val="0"/>
        <w:spacing w:line="360" w:lineRule="auto"/>
        <w:ind w:firstLine="420" w:firstLineChars="200"/>
        <w:jc w:val="right"/>
        <w:rPr>
          <w:bCs/>
          <w:color w:val="000000"/>
          <w:kern w:val="0"/>
          <w:szCs w:val="21"/>
        </w:rPr>
      </w:pPr>
      <w:r>
        <w:rPr>
          <w:bCs/>
          <w:color w:val="000000"/>
          <w:kern w:val="0"/>
          <w:position w:val="-14"/>
          <w:szCs w:val="21"/>
        </w:rPr>
        <w:object>
          <v:shape id="_x0000_i1262" o:spt="75" type="#_x0000_t75" style="height:18pt;width:112.55pt;" o:ole="t" filled="f" stroked="f" coordsize="21600,21600">
            <v:path/>
            <v:fill on="f" focussize="0,0"/>
            <v:stroke on="f"/>
            <v:imagedata r:id="rId560" o:title=""/>
            <o:lock v:ext="edit" grouping="f" rotation="f" text="f" aspectratio="t"/>
            <w10:wrap type="none"/>
            <w10:anchorlock/>
          </v:shape>
          <o:OLEObject Type="Embed" ProgID="Equation.KSEE3" ShapeID="_x0000_i1262" DrawAspect="Content" ObjectID="_1468075952" r:id="rId559">
            <o:LockedField>false</o:LockedField>
          </o:OLEObject>
        </w:object>
      </w:r>
      <w:r>
        <w:rPr>
          <w:bCs/>
          <w:color w:val="000000"/>
          <w:kern w:val="0"/>
          <w:szCs w:val="21"/>
        </w:rPr>
        <w:t xml:space="preserve">                       （</w:t>
      </w:r>
      <w:r>
        <w:rPr>
          <w:rFonts w:hint="eastAsia"/>
          <w:bCs/>
          <w:color w:val="000000"/>
          <w:kern w:val="0"/>
          <w:szCs w:val="21"/>
        </w:rPr>
        <w:t>40</w:t>
      </w:r>
      <w:r>
        <w:rPr>
          <w:bCs/>
          <w:color w:val="000000"/>
          <w:kern w:val="0"/>
          <w:szCs w:val="21"/>
        </w:rPr>
        <w:t>）</w:t>
      </w:r>
    </w:p>
    <w:p>
      <w:pPr>
        <w:autoSpaceDE w:val="0"/>
        <w:autoSpaceDN w:val="0"/>
        <w:adjustRightInd w:val="0"/>
        <w:spacing w:line="360" w:lineRule="auto"/>
        <w:ind w:firstLine="420" w:firstLineChars="200"/>
        <w:jc w:val="right"/>
        <w:rPr>
          <w:bCs/>
          <w:color w:val="000000"/>
          <w:kern w:val="0"/>
          <w:szCs w:val="21"/>
        </w:rPr>
      </w:pPr>
      <w:r>
        <w:rPr>
          <w:bCs/>
          <w:color w:val="000000"/>
          <w:kern w:val="0"/>
          <w:position w:val="-14"/>
          <w:szCs w:val="21"/>
        </w:rPr>
        <w:object>
          <v:shape id="_x0000_i1263" o:spt="75" type="#_x0000_t75" style="height:18pt;width:108.85pt;" o:ole="t" filled="f" stroked="f" coordsize="21600,21600">
            <v:path/>
            <v:fill on="f" focussize="0,0"/>
            <v:stroke on="f"/>
            <v:imagedata r:id="rId562" o:title=""/>
            <o:lock v:ext="edit" grouping="f" rotation="f" text="f" aspectratio="t"/>
            <w10:wrap type="none"/>
            <w10:anchorlock/>
          </v:shape>
          <o:OLEObject Type="Embed" ProgID="Equation.KSEE3" ShapeID="_x0000_i1263" DrawAspect="Content" ObjectID="_1468075953" r:id="rId561">
            <o:LockedField>false</o:LockedField>
          </o:OLEObject>
        </w:object>
      </w:r>
      <w:r>
        <w:rPr>
          <w:bCs/>
          <w:color w:val="000000"/>
          <w:kern w:val="0"/>
          <w:szCs w:val="21"/>
        </w:rPr>
        <w:t xml:space="preserve">                      （</w:t>
      </w:r>
      <w:r>
        <w:rPr>
          <w:rFonts w:hint="eastAsia"/>
          <w:bCs/>
          <w:color w:val="000000"/>
          <w:kern w:val="0"/>
          <w:szCs w:val="21"/>
        </w:rPr>
        <w:t>41</w:t>
      </w:r>
      <w:r>
        <w:rPr>
          <w:bCs/>
          <w:color w:val="000000"/>
          <w:kern w:val="0"/>
          <w:szCs w:val="21"/>
        </w:rPr>
        <w:t>）</w:t>
      </w:r>
    </w:p>
    <w:p>
      <w:pPr>
        <w:widowControl/>
        <w:autoSpaceDE w:val="0"/>
        <w:autoSpaceDN w:val="0"/>
        <w:adjustRightInd w:val="0"/>
        <w:spacing w:line="380" w:lineRule="exact"/>
        <w:rPr>
          <w:bCs/>
          <w:color w:val="000000"/>
          <w:kern w:val="0"/>
          <w:szCs w:val="21"/>
        </w:rPr>
      </w:pPr>
      <w:r>
        <w:rPr>
          <w:bCs/>
          <w:color w:val="000000"/>
          <w:kern w:val="0"/>
          <w:szCs w:val="21"/>
        </w:rPr>
        <w:t>式中</w:t>
      </w:r>
      <w:r>
        <w:rPr>
          <w:rFonts w:hint="eastAsia"/>
          <w:bCs/>
          <w:color w:val="000000"/>
          <w:kern w:val="0"/>
          <w:szCs w:val="21"/>
        </w:rPr>
        <w:t>：</w:t>
      </w:r>
      <w:r>
        <w:rPr>
          <w:bCs/>
          <w:i/>
          <w:iCs/>
          <w:color w:val="000000"/>
          <w:szCs w:val="21"/>
        </w:rPr>
        <w:t>A</w:t>
      </w:r>
      <w:r>
        <w:rPr>
          <w:bCs/>
          <w:color w:val="000000"/>
          <w:szCs w:val="21"/>
          <w:vertAlign w:val="subscript"/>
        </w:rPr>
        <w:t>s</w:t>
      </w:r>
      <w:r>
        <w:rPr>
          <w:bCs/>
          <w:color w:val="000000"/>
          <w:szCs w:val="21"/>
        </w:rPr>
        <w:t>——外包层混凝土中受拉侧的钢筋截面面积；</w:t>
      </w:r>
    </w:p>
    <w:p>
      <w:pPr>
        <w:widowControl/>
        <w:autoSpaceDE w:val="0"/>
        <w:autoSpaceDN w:val="0"/>
        <w:adjustRightInd w:val="0"/>
        <w:spacing w:line="380" w:lineRule="exact"/>
        <w:ind w:firstLine="638" w:firstLineChars="304"/>
        <w:rPr>
          <w:bCs/>
          <w:color w:val="000000"/>
          <w:szCs w:val="21"/>
        </w:rPr>
      </w:pPr>
      <w:r>
        <w:rPr>
          <w:bCs/>
          <w:i/>
          <w:iCs/>
          <w:color w:val="000000"/>
          <w:szCs w:val="21"/>
        </w:rPr>
        <w:t>f</w:t>
      </w:r>
      <w:r>
        <w:rPr>
          <w:bCs/>
          <w:color w:val="000000"/>
          <w:szCs w:val="21"/>
          <w:vertAlign w:val="subscript"/>
        </w:rPr>
        <w:t>yk</w:t>
      </w:r>
      <w:r>
        <w:rPr>
          <w:bCs/>
          <w:color w:val="000000"/>
          <w:szCs w:val="21"/>
        </w:rPr>
        <w:t>——受拉钢筋抗拉强度标准值；</w:t>
      </w:r>
    </w:p>
    <w:p>
      <w:pPr>
        <w:widowControl/>
        <w:autoSpaceDE w:val="0"/>
        <w:autoSpaceDN w:val="0"/>
        <w:adjustRightInd w:val="0"/>
        <w:spacing w:line="380" w:lineRule="exact"/>
        <w:ind w:firstLine="638" w:firstLineChars="304"/>
        <w:rPr>
          <w:bCs/>
          <w:color w:val="000000"/>
          <w:szCs w:val="21"/>
          <w:vertAlign w:val="subscript"/>
        </w:rPr>
      </w:pPr>
      <w:r>
        <w:rPr>
          <w:bCs/>
          <w:i/>
          <w:iCs/>
          <w:color w:val="000000"/>
          <w:szCs w:val="21"/>
        </w:rPr>
        <w:t>h</w:t>
      </w:r>
      <w:r>
        <w:rPr>
          <w:bCs/>
          <w:i/>
          <w:iCs/>
          <w:color w:val="000000"/>
          <w:szCs w:val="21"/>
          <w:vertAlign w:val="subscript"/>
        </w:rPr>
        <w:t>r</w:t>
      </w:r>
      <w:r>
        <w:rPr>
          <w:bCs/>
          <w:color w:val="000000"/>
          <w:szCs w:val="21"/>
          <w:vertAlign w:val="subscript"/>
        </w:rPr>
        <w:t>0</w:t>
      </w:r>
      <w:r>
        <w:rPr>
          <w:bCs/>
          <w:color w:val="000000"/>
          <w:szCs w:val="21"/>
        </w:rPr>
        <w:t>——</w:t>
      </w:r>
      <w:r>
        <w:rPr>
          <w:rFonts w:hint="eastAsia"/>
          <w:bCs/>
          <w:color w:val="000000"/>
          <w:szCs w:val="21"/>
        </w:rPr>
        <w:t>外包</w:t>
      </w:r>
      <w:r>
        <w:rPr>
          <w:bCs/>
          <w:color w:val="000000"/>
          <w:szCs w:val="21"/>
        </w:rPr>
        <w:t>混凝土</w:t>
      </w:r>
      <w:r>
        <w:rPr>
          <w:rFonts w:hint="eastAsia"/>
          <w:bCs/>
          <w:color w:val="000000"/>
          <w:szCs w:val="21"/>
        </w:rPr>
        <w:t>截面有效高度</w:t>
      </w:r>
      <w:r>
        <w:rPr>
          <w:bCs/>
          <w:color w:val="000000"/>
          <w:szCs w:val="21"/>
        </w:rPr>
        <w:t>；</w:t>
      </w:r>
    </w:p>
    <w:p>
      <w:pPr>
        <w:widowControl/>
        <w:autoSpaceDE w:val="0"/>
        <w:autoSpaceDN w:val="0"/>
        <w:adjustRightInd w:val="0"/>
        <w:spacing w:line="380" w:lineRule="exact"/>
        <w:ind w:left="1228" w:leftChars="285" w:hanging="630" w:hangingChars="300"/>
        <w:rPr>
          <w:bCs/>
          <w:color w:val="000000"/>
          <w:szCs w:val="21"/>
          <w:vertAlign w:val="subscript"/>
        </w:rPr>
      </w:pPr>
      <w:r>
        <w:rPr>
          <w:bCs/>
          <w:i/>
          <w:iCs/>
          <w:color w:val="000000"/>
          <w:szCs w:val="21"/>
        </w:rPr>
        <w:t>M</w:t>
      </w:r>
      <w:r>
        <w:rPr>
          <w:bCs/>
          <w:color w:val="000000"/>
          <w:szCs w:val="21"/>
          <w:vertAlign w:val="subscript"/>
        </w:rPr>
        <w:t>u1</w:t>
      </w:r>
      <w:r>
        <w:rPr>
          <w:bCs/>
          <w:color w:val="000000"/>
          <w:szCs w:val="21"/>
        </w:rPr>
        <w:t>——考虑轴力影响，外包混凝土顶部箍筋处钢柱弯矩达到全塑性受弯承载力</w:t>
      </w:r>
      <w:r>
        <w:rPr>
          <w:bCs/>
          <w:i/>
          <w:iCs/>
          <w:color w:val="000000"/>
          <w:szCs w:val="21"/>
        </w:rPr>
        <w:t>M</w:t>
      </w:r>
      <w:r>
        <w:rPr>
          <w:bCs/>
          <w:color w:val="000000"/>
          <w:szCs w:val="21"/>
          <w:vertAlign w:val="subscript"/>
        </w:rPr>
        <w:t>pc</w:t>
      </w:r>
      <w:r>
        <w:rPr>
          <w:bCs/>
          <w:i/>
          <w:iCs/>
          <w:color w:val="000000"/>
          <w:szCs w:val="21"/>
          <w:vertAlign w:val="subscript"/>
        </w:rPr>
        <w:t>,N</w:t>
      </w:r>
      <w:r>
        <w:rPr>
          <w:rFonts w:hint="eastAsia"/>
          <w:bCs/>
          <w:i/>
          <w:iCs/>
          <w:color w:val="000000"/>
          <w:szCs w:val="21"/>
          <w:vertAlign w:val="subscript"/>
        </w:rPr>
        <w:t xml:space="preserve"> </w:t>
      </w:r>
      <w:r>
        <w:rPr>
          <w:bCs/>
          <w:color w:val="000000"/>
          <w:szCs w:val="21"/>
        </w:rPr>
        <w:t>时，按比例放大的外包混凝土底部弯矩；</w:t>
      </w:r>
    </w:p>
    <w:p>
      <w:pPr>
        <w:widowControl/>
        <w:autoSpaceDE w:val="0"/>
        <w:autoSpaceDN w:val="0"/>
        <w:adjustRightInd w:val="0"/>
        <w:spacing w:line="380" w:lineRule="exact"/>
        <w:ind w:firstLine="638" w:firstLineChars="304"/>
        <w:rPr>
          <w:bCs/>
          <w:color w:val="000000"/>
          <w:szCs w:val="21"/>
          <w:vertAlign w:val="subscript"/>
        </w:rPr>
      </w:pPr>
      <w:r>
        <w:rPr>
          <w:bCs/>
          <w:i/>
          <w:iCs/>
          <w:color w:val="000000"/>
          <w:szCs w:val="21"/>
        </w:rPr>
        <w:t>L</w:t>
      </w:r>
      <w:r>
        <w:rPr>
          <w:rFonts w:hint="eastAsia"/>
          <w:bCs/>
          <w:color w:val="000000"/>
          <w:szCs w:val="21"/>
          <w:vertAlign w:val="subscript"/>
        </w:rPr>
        <w:t>0</w:t>
      </w:r>
      <w:r>
        <w:rPr>
          <w:bCs/>
          <w:color w:val="000000"/>
          <w:szCs w:val="21"/>
        </w:rPr>
        <w:t>——钢柱底板到柱反弯点的距离，可取柱脚所在层层高的2/3；</w:t>
      </w:r>
    </w:p>
    <w:p>
      <w:pPr>
        <w:widowControl/>
        <w:autoSpaceDE w:val="0"/>
        <w:autoSpaceDN w:val="0"/>
        <w:adjustRightInd w:val="0"/>
        <w:spacing w:line="380" w:lineRule="exact"/>
        <w:ind w:firstLine="638" w:firstLineChars="304"/>
        <w:rPr>
          <w:bCs/>
          <w:color w:val="000000"/>
          <w:szCs w:val="21"/>
          <w:vertAlign w:val="subscript"/>
        </w:rPr>
      </w:pPr>
      <w:r>
        <w:rPr>
          <w:bCs/>
          <w:i/>
          <w:iCs/>
          <w:color w:val="000000"/>
          <w:szCs w:val="21"/>
        </w:rPr>
        <w:t>L</w:t>
      </w:r>
      <w:r>
        <w:rPr>
          <w:bCs/>
          <w:color w:val="000000"/>
          <w:szCs w:val="21"/>
          <w:vertAlign w:val="subscript"/>
        </w:rPr>
        <w:t>r</w:t>
      </w:r>
      <w:r>
        <w:rPr>
          <w:bCs/>
          <w:color w:val="000000"/>
          <w:szCs w:val="21"/>
        </w:rPr>
        <w:t>——外包混凝土顶部箍筋到柱底板的距离；</w:t>
      </w:r>
    </w:p>
    <w:p>
      <w:pPr>
        <w:widowControl/>
        <w:autoSpaceDE w:val="0"/>
        <w:autoSpaceDN w:val="0"/>
        <w:adjustRightInd w:val="0"/>
        <w:spacing w:line="380" w:lineRule="exact"/>
        <w:ind w:firstLine="638" w:firstLineChars="304"/>
        <w:rPr>
          <w:bCs/>
          <w:color w:val="000000"/>
          <w:szCs w:val="21"/>
          <w:vertAlign w:val="subscript"/>
        </w:rPr>
      </w:pPr>
      <w:r>
        <w:rPr>
          <w:bCs/>
          <w:i/>
          <w:iCs/>
          <w:color w:val="000000"/>
          <w:szCs w:val="21"/>
        </w:rPr>
        <w:t>M</w:t>
      </w:r>
      <w:r>
        <w:rPr>
          <w:bCs/>
          <w:color w:val="000000"/>
          <w:szCs w:val="21"/>
          <w:vertAlign w:val="subscript"/>
        </w:rPr>
        <w:t>u2</w:t>
      </w:r>
      <w:r>
        <w:rPr>
          <w:bCs/>
          <w:color w:val="000000"/>
          <w:szCs w:val="21"/>
        </w:rPr>
        <w:t>——外包钢筋混凝土的抗弯承载力与</w:t>
      </w:r>
      <w:r>
        <w:rPr>
          <w:bCs/>
          <w:i/>
          <w:iCs/>
          <w:color w:val="000000"/>
          <w:szCs w:val="21"/>
        </w:rPr>
        <w:t>M</w:t>
      </w:r>
      <w:r>
        <w:rPr>
          <w:bCs/>
          <w:color w:val="000000"/>
          <w:szCs w:val="21"/>
          <w:vertAlign w:val="subscript"/>
        </w:rPr>
        <w:t>u3</w:t>
      </w:r>
      <w:r>
        <w:rPr>
          <w:bCs/>
          <w:color w:val="000000"/>
          <w:szCs w:val="21"/>
        </w:rPr>
        <w:t>之和；</w:t>
      </w:r>
    </w:p>
    <w:p>
      <w:pPr>
        <w:widowControl/>
        <w:autoSpaceDE w:val="0"/>
        <w:autoSpaceDN w:val="0"/>
        <w:adjustRightInd w:val="0"/>
        <w:spacing w:line="380" w:lineRule="exact"/>
        <w:ind w:firstLine="638" w:firstLineChars="304"/>
        <w:rPr>
          <w:bCs/>
          <w:color w:val="000000"/>
          <w:szCs w:val="21"/>
          <w:vertAlign w:val="subscript"/>
        </w:rPr>
      </w:pPr>
      <w:r>
        <w:rPr>
          <w:bCs/>
          <w:i/>
          <w:iCs/>
          <w:color w:val="000000"/>
          <w:szCs w:val="21"/>
        </w:rPr>
        <w:t>M</w:t>
      </w:r>
      <w:r>
        <w:rPr>
          <w:bCs/>
          <w:color w:val="000000"/>
          <w:szCs w:val="21"/>
          <w:vertAlign w:val="subscript"/>
        </w:rPr>
        <w:t>u3</w:t>
      </w:r>
      <w:r>
        <w:rPr>
          <w:bCs/>
          <w:color w:val="000000"/>
          <w:szCs w:val="21"/>
        </w:rPr>
        <w:t>——钢柱脚的极限受弯承载力。</w:t>
      </w:r>
    </w:p>
    <w:p>
      <w:pPr>
        <w:pStyle w:val="129"/>
        <w:widowControl/>
        <w:adjustRightInd w:val="0"/>
        <w:spacing w:line="380" w:lineRule="exact"/>
        <w:textAlignment w:val="center"/>
        <w:rPr>
          <w:bCs/>
          <w:color w:val="000000"/>
          <w:kern w:val="0"/>
          <w:szCs w:val="21"/>
        </w:rPr>
      </w:pPr>
      <w:r>
        <w:rPr>
          <w:bCs/>
          <w:color w:val="000000"/>
          <w:kern w:val="0"/>
          <w:szCs w:val="21"/>
        </w:rPr>
        <w:t>2）极限受剪承载力：</w:t>
      </w:r>
    </w:p>
    <w:p>
      <w:pPr>
        <w:autoSpaceDE w:val="0"/>
        <w:autoSpaceDN w:val="0"/>
        <w:adjustRightInd w:val="0"/>
        <w:spacing w:line="360" w:lineRule="auto"/>
        <w:ind w:firstLine="420" w:firstLineChars="200"/>
        <w:jc w:val="right"/>
        <w:rPr>
          <w:bCs/>
          <w:color w:val="000000"/>
          <w:kern w:val="0"/>
          <w:szCs w:val="21"/>
        </w:rPr>
      </w:pPr>
      <w:r>
        <w:rPr>
          <w:bCs/>
          <w:color w:val="000000"/>
          <w:kern w:val="0"/>
          <w:position w:val="-14"/>
          <w:szCs w:val="21"/>
        </w:rPr>
        <w:object>
          <v:shape id="_x0000_i1264" o:spt="75" type="#_x0000_t75" style="height:18pt;width:73.8pt;" o:ole="t" filled="f" stroked="f" coordsize="21600,21600">
            <v:path/>
            <v:fill on="f" focussize="0,0"/>
            <v:stroke on="f"/>
            <v:imagedata r:id="rId564" o:title=""/>
            <o:lock v:ext="edit" grouping="f" rotation="f" text="f" aspectratio="t"/>
            <w10:wrap type="none"/>
            <w10:anchorlock/>
          </v:shape>
          <o:OLEObject Type="Embed" ProgID="Equation.KSEE3" ShapeID="_x0000_i1264" DrawAspect="Content" ObjectID="_1468075954" r:id="rId563">
            <o:LockedField>false</o:LockedField>
          </o:OLEObject>
        </w:object>
      </w:r>
      <w:r>
        <w:rPr>
          <w:bCs/>
          <w:color w:val="000000"/>
          <w:kern w:val="0"/>
          <w:szCs w:val="21"/>
        </w:rPr>
        <w:t xml:space="preserve">                           （</w:t>
      </w:r>
      <w:r>
        <w:rPr>
          <w:rFonts w:hint="eastAsia"/>
          <w:bCs/>
          <w:color w:val="000000"/>
          <w:kern w:val="0"/>
          <w:szCs w:val="21"/>
        </w:rPr>
        <w:t>42</w:t>
      </w:r>
      <w:r>
        <w:rPr>
          <w:bCs/>
          <w:color w:val="000000"/>
          <w:kern w:val="0"/>
          <w:szCs w:val="21"/>
        </w:rPr>
        <w:t>）</w:t>
      </w:r>
    </w:p>
    <w:p>
      <w:pPr>
        <w:autoSpaceDE w:val="0"/>
        <w:autoSpaceDN w:val="0"/>
        <w:adjustRightInd w:val="0"/>
        <w:spacing w:line="360" w:lineRule="auto"/>
        <w:ind w:firstLine="420" w:firstLineChars="200"/>
        <w:jc w:val="right"/>
        <w:rPr>
          <w:bCs/>
          <w:color w:val="000000"/>
          <w:kern w:val="0"/>
          <w:szCs w:val="21"/>
        </w:rPr>
      </w:pPr>
      <w:r>
        <w:rPr>
          <w:bCs/>
          <w:color w:val="000000"/>
          <w:kern w:val="0"/>
          <w:position w:val="-14"/>
          <w:szCs w:val="21"/>
        </w:rPr>
        <w:object>
          <v:shape id="_x0000_i1265" o:spt="75" type="#_x0000_t75" style="height:18pt;width:185.75pt;" o:ole="t" filled="f" stroked="f" coordsize="21600,21600">
            <v:path/>
            <v:fill on="f" focussize="0,0"/>
            <v:stroke on="f"/>
            <v:imagedata r:id="rId566" o:title=""/>
            <o:lock v:ext="edit" grouping="f" rotation="f" text="f" aspectratio="t"/>
            <w10:wrap type="none"/>
            <w10:anchorlock/>
          </v:shape>
          <o:OLEObject Type="Embed" ProgID="Equation.KSEE3" ShapeID="_x0000_i1265" DrawAspect="Content" ObjectID="_1468075955" r:id="rId565">
            <o:LockedField>false</o:LockedField>
          </o:OLEObject>
        </w:object>
      </w:r>
      <w:r>
        <w:rPr>
          <w:bCs/>
          <w:color w:val="000000"/>
          <w:kern w:val="0"/>
          <w:szCs w:val="21"/>
        </w:rPr>
        <w:t xml:space="preserve">             （</w:t>
      </w:r>
      <w:r>
        <w:rPr>
          <w:rFonts w:hint="eastAsia"/>
          <w:bCs/>
          <w:color w:val="000000"/>
          <w:kern w:val="0"/>
          <w:szCs w:val="21"/>
        </w:rPr>
        <w:t>43</w:t>
      </w:r>
      <w:r>
        <w:rPr>
          <w:bCs/>
          <w:color w:val="000000"/>
          <w:kern w:val="0"/>
          <w:szCs w:val="21"/>
        </w:rPr>
        <w:t>）</w:t>
      </w:r>
    </w:p>
    <w:p>
      <w:pPr>
        <w:autoSpaceDE w:val="0"/>
        <w:autoSpaceDN w:val="0"/>
        <w:adjustRightInd w:val="0"/>
        <w:spacing w:line="360" w:lineRule="auto"/>
        <w:rPr>
          <w:bCs/>
          <w:color w:val="000000"/>
          <w:szCs w:val="21"/>
        </w:rPr>
      </w:pPr>
      <w:r>
        <w:rPr>
          <w:bCs/>
          <w:color w:val="000000"/>
          <w:kern w:val="0"/>
          <w:szCs w:val="21"/>
        </w:rPr>
        <w:t>式中</w:t>
      </w:r>
      <w:r>
        <w:rPr>
          <w:rFonts w:hint="eastAsia"/>
          <w:bCs/>
          <w:color w:val="000000"/>
          <w:kern w:val="0"/>
          <w:szCs w:val="21"/>
        </w:rPr>
        <w:t>：</w:t>
      </w:r>
      <w:r>
        <w:rPr>
          <w:bCs/>
          <w:i/>
          <w:iCs/>
          <w:color w:val="000000"/>
          <w:szCs w:val="21"/>
        </w:rPr>
        <w:t>V</w:t>
      </w:r>
      <w:r>
        <w:rPr>
          <w:bCs/>
          <w:color w:val="000000"/>
          <w:szCs w:val="21"/>
          <w:vertAlign w:val="subscript"/>
        </w:rPr>
        <w:t>juba</w:t>
      </w:r>
      <w:r>
        <w:rPr>
          <w:bCs/>
          <w:color w:val="000000"/>
          <w:szCs w:val="21"/>
        </w:rPr>
        <w:t>——外包式柱脚的极限受剪承载力；</w:t>
      </w:r>
    </w:p>
    <w:p>
      <w:pPr>
        <w:autoSpaceDE w:val="0"/>
        <w:autoSpaceDN w:val="0"/>
        <w:adjustRightInd w:val="0"/>
        <w:spacing w:line="360" w:lineRule="auto"/>
        <w:ind w:firstLine="638" w:firstLineChars="304"/>
        <w:rPr>
          <w:bCs/>
          <w:color w:val="000000"/>
          <w:szCs w:val="21"/>
        </w:rPr>
      </w:pPr>
      <w:r>
        <w:rPr>
          <w:bCs/>
          <w:i/>
          <w:iCs/>
          <w:color w:val="000000"/>
          <w:szCs w:val="21"/>
        </w:rPr>
        <w:t>b</w:t>
      </w:r>
      <w:r>
        <w:rPr>
          <w:bCs/>
          <w:color w:val="000000"/>
          <w:szCs w:val="21"/>
          <w:vertAlign w:val="subscript"/>
        </w:rPr>
        <w:t>e</w:t>
      </w:r>
      <w:r>
        <w:rPr>
          <w:bCs/>
          <w:color w:val="000000"/>
          <w:szCs w:val="21"/>
        </w:rPr>
        <w:t>——外包层混凝土的截面有效宽度（钢柱至外包混凝土边的距离）；</w:t>
      </w:r>
    </w:p>
    <w:p>
      <w:pPr>
        <w:autoSpaceDE w:val="0"/>
        <w:autoSpaceDN w:val="0"/>
        <w:adjustRightInd w:val="0"/>
        <w:spacing w:line="360" w:lineRule="auto"/>
        <w:ind w:firstLine="638" w:firstLineChars="304"/>
        <w:rPr>
          <w:bCs/>
          <w:color w:val="000000"/>
          <w:szCs w:val="21"/>
        </w:rPr>
      </w:pPr>
      <w:r>
        <w:rPr>
          <w:bCs/>
          <w:i/>
          <w:iCs/>
          <w:color w:val="000000"/>
          <w:szCs w:val="21"/>
        </w:rPr>
        <w:t>f</w:t>
      </w:r>
      <w:r>
        <w:rPr>
          <w:bCs/>
          <w:color w:val="000000"/>
          <w:szCs w:val="21"/>
          <w:vertAlign w:val="subscript"/>
        </w:rPr>
        <w:t>tk</w:t>
      </w:r>
      <w:r>
        <w:rPr>
          <w:bCs/>
          <w:color w:val="000000"/>
          <w:szCs w:val="21"/>
        </w:rPr>
        <w:t>——混凝土轴心抗拉强度标准值；</w:t>
      </w:r>
    </w:p>
    <w:p>
      <w:pPr>
        <w:autoSpaceDE w:val="0"/>
        <w:autoSpaceDN w:val="0"/>
        <w:adjustRightInd w:val="0"/>
        <w:spacing w:line="360" w:lineRule="auto"/>
        <w:ind w:firstLine="638" w:firstLineChars="304"/>
        <w:rPr>
          <w:bCs/>
          <w:color w:val="000000"/>
          <w:szCs w:val="21"/>
        </w:rPr>
      </w:pPr>
      <w:r>
        <w:rPr>
          <w:bCs/>
          <w:i/>
          <w:iCs/>
          <w:color w:val="000000"/>
          <w:szCs w:val="21"/>
        </w:rPr>
        <w:t>f</w:t>
      </w:r>
      <w:r>
        <w:rPr>
          <w:bCs/>
          <w:color w:val="000000"/>
          <w:szCs w:val="21"/>
          <w:vertAlign w:val="subscript"/>
        </w:rPr>
        <w:t>yvk</w:t>
      </w:r>
      <w:r>
        <w:rPr>
          <w:bCs/>
          <w:color w:val="000000"/>
          <w:szCs w:val="21"/>
        </w:rPr>
        <w:t>——箍筋的抗拉强度标准值；</w:t>
      </w:r>
    </w:p>
    <w:p>
      <w:pPr>
        <w:autoSpaceDE w:val="0"/>
        <w:autoSpaceDN w:val="0"/>
        <w:adjustRightInd w:val="0"/>
        <w:spacing w:line="360" w:lineRule="auto"/>
        <w:ind w:firstLine="638" w:firstLineChars="304"/>
        <w:rPr>
          <w:bCs/>
          <w:color w:val="000000"/>
          <w:szCs w:val="21"/>
        </w:rPr>
      </w:pPr>
      <w:r>
        <w:rPr>
          <w:bCs/>
          <w:i/>
          <w:iCs/>
          <w:color w:val="000000"/>
          <w:szCs w:val="21"/>
        </w:rPr>
        <w:t>ρ</w:t>
      </w:r>
      <w:r>
        <w:rPr>
          <w:bCs/>
          <w:color w:val="000000"/>
          <w:szCs w:val="21"/>
          <w:vertAlign w:val="subscript"/>
        </w:rPr>
        <w:t>sh</w:t>
      </w:r>
      <w:r>
        <w:rPr>
          <w:bCs/>
          <w:color w:val="000000"/>
          <w:szCs w:val="21"/>
        </w:rPr>
        <w:t>——水平箍筋的配箍率；</w:t>
      </w:r>
      <w:r>
        <w:rPr>
          <w:bCs/>
          <w:i/>
          <w:iCs/>
          <w:color w:val="000000"/>
          <w:szCs w:val="21"/>
        </w:rPr>
        <w:t>ρ</w:t>
      </w:r>
      <w:r>
        <w:rPr>
          <w:bCs/>
          <w:color w:val="000000"/>
          <w:szCs w:val="21"/>
          <w:vertAlign w:val="subscript"/>
        </w:rPr>
        <w:t>sh</w:t>
      </w:r>
      <w:r>
        <w:rPr>
          <w:bCs/>
          <w:color w:val="000000"/>
          <w:szCs w:val="21"/>
        </w:rPr>
        <w:t>=</w:t>
      </w:r>
      <w:r>
        <w:rPr>
          <w:bCs/>
          <w:i/>
          <w:iCs/>
          <w:color w:val="000000"/>
          <w:szCs w:val="21"/>
        </w:rPr>
        <w:t>A</w:t>
      </w:r>
      <w:r>
        <w:rPr>
          <w:bCs/>
          <w:color w:val="000000"/>
          <w:szCs w:val="21"/>
          <w:vertAlign w:val="subscript"/>
        </w:rPr>
        <w:t>sh</w:t>
      </w:r>
      <w:r>
        <w:rPr>
          <w:bCs/>
          <w:color w:val="000000"/>
          <w:szCs w:val="21"/>
        </w:rPr>
        <w:t>/</w:t>
      </w:r>
      <w:r>
        <w:rPr>
          <w:bCs/>
          <w:i/>
          <w:iCs/>
          <w:color w:val="000000"/>
          <w:szCs w:val="21"/>
        </w:rPr>
        <w:t>b</w:t>
      </w:r>
      <w:r>
        <w:rPr>
          <w:bCs/>
          <w:color w:val="000000"/>
          <w:szCs w:val="21"/>
          <w:vertAlign w:val="subscript"/>
        </w:rPr>
        <w:t>e</w:t>
      </w:r>
      <w:r>
        <w:rPr>
          <w:bCs/>
          <w:i/>
          <w:iCs/>
          <w:color w:val="000000"/>
          <w:szCs w:val="21"/>
        </w:rPr>
        <w:t>s</w:t>
      </w:r>
      <w:r>
        <w:rPr>
          <w:bCs/>
          <w:color w:val="000000"/>
          <w:szCs w:val="21"/>
        </w:rPr>
        <w:t>，当</w:t>
      </w:r>
      <w:r>
        <w:rPr>
          <w:bCs/>
          <w:i/>
          <w:iCs/>
          <w:color w:val="000000"/>
          <w:szCs w:val="21"/>
        </w:rPr>
        <w:t>ρ</w:t>
      </w:r>
      <w:r>
        <w:rPr>
          <w:bCs/>
          <w:color w:val="000000"/>
          <w:szCs w:val="21"/>
          <w:vertAlign w:val="subscript"/>
        </w:rPr>
        <w:t>sh</w:t>
      </w:r>
      <w:r>
        <w:rPr>
          <w:bCs/>
          <w:color w:val="000000"/>
          <w:szCs w:val="21"/>
        </w:rPr>
        <w:t>＞1.2%时，取1.2%；</w:t>
      </w:r>
      <w:r>
        <w:rPr>
          <w:bCs/>
          <w:i/>
          <w:iCs/>
          <w:color w:val="000000"/>
          <w:szCs w:val="21"/>
        </w:rPr>
        <w:t>A</w:t>
      </w:r>
      <w:r>
        <w:rPr>
          <w:bCs/>
          <w:color w:val="000000"/>
          <w:szCs w:val="21"/>
          <w:vertAlign w:val="subscript"/>
        </w:rPr>
        <w:t>sh</w:t>
      </w:r>
      <w:r>
        <w:rPr>
          <w:bCs/>
          <w:color w:val="000000"/>
          <w:szCs w:val="21"/>
        </w:rPr>
        <w:t>为配置在同一截面内箍筋的截面面积；</w:t>
      </w:r>
      <w:r>
        <w:rPr>
          <w:bCs/>
          <w:i/>
          <w:iCs/>
          <w:color w:val="000000"/>
          <w:szCs w:val="21"/>
        </w:rPr>
        <w:t>s</w:t>
      </w:r>
      <w:r>
        <w:rPr>
          <w:bCs/>
          <w:color w:val="000000"/>
          <w:szCs w:val="21"/>
        </w:rPr>
        <w:t>为箍筋的间距。</w:t>
      </w:r>
    </w:p>
    <w:p>
      <w:pPr>
        <w:pStyle w:val="129"/>
        <w:adjustRightInd w:val="0"/>
        <w:spacing w:line="380" w:lineRule="exact"/>
        <w:textAlignment w:val="center"/>
        <w:rPr>
          <w:bCs/>
          <w:color w:val="000000"/>
          <w:kern w:val="0"/>
          <w:szCs w:val="21"/>
        </w:rPr>
      </w:pPr>
      <w:r>
        <w:rPr>
          <w:bCs/>
          <w:color w:val="000000"/>
          <w:kern w:val="0"/>
          <w:szCs w:val="21"/>
        </w:rPr>
        <w:t xml:space="preserve">5 </w:t>
      </w:r>
      <w:r>
        <w:rPr>
          <w:rFonts w:hint="eastAsia"/>
          <w:bCs/>
          <w:color w:val="000000"/>
          <w:kern w:val="0"/>
          <w:szCs w:val="21"/>
        </w:rPr>
        <w:t>埋入式、外包式柱脚的栓钉，从试验结果分析，对受弯、受剪极限承载力的影响很小。故此，条文仅对有抗拔要求的钢柱明确要求设置栓钉。</w:t>
      </w:r>
    </w:p>
    <w:p>
      <w:pPr>
        <w:pStyle w:val="129"/>
        <w:adjustRightInd w:val="0"/>
        <w:spacing w:line="380" w:lineRule="exact"/>
        <w:textAlignment w:val="center"/>
        <w:rPr>
          <w:rFonts w:hint="eastAsia"/>
          <w:bCs/>
          <w:color w:val="000000"/>
          <w:kern w:val="0"/>
          <w:szCs w:val="21"/>
        </w:rPr>
      </w:pPr>
      <w:r>
        <w:rPr>
          <w:rFonts w:hint="eastAsia"/>
          <w:bCs/>
          <w:color w:val="000000"/>
          <w:kern w:val="0"/>
          <w:szCs w:val="21"/>
        </w:rPr>
        <w:t xml:space="preserve">6 </w:t>
      </w:r>
      <w:r>
        <w:rPr>
          <w:bCs/>
          <w:color w:val="000000"/>
          <w:kern w:val="0"/>
          <w:szCs w:val="21"/>
        </w:rPr>
        <w:t>柱脚是其抗震设计的关键环节。外露式柱脚是震害多发部位，其表现形式是锚栓剪断、拉断，或拔出，原因就是锚栓的承载力不足。</w:t>
      </w:r>
    </w:p>
    <w:p>
      <w:pPr>
        <w:pStyle w:val="129"/>
        <w:adjustRightInd w:val="0"/>
        <w:spacing w:line="380" w:lineRule="exact"/>
        <w:textAlignment w:val="center"/>
        <w:rPr>
          <w:bCs/>
          <w:color w:val="000000"/>
          <w:kern w:val="0"/>
          <w:szCs w:val="21"/>
        </w:rPr>
      </w:pPr>
      <w:r>
        <w:rPr>
          <w:rFonts w:hint="eastAsia"/>
          <w:bCs/>
          <w:color w:val="000000"/>
          <w:kern w:val="0"/>
          <w:szCs w:val="21"/>
        </w:rPr>
        <w:t>（1）</w:t>
      </w:r>
      <w:r>
        <w:rPr>
          <w:bCs/>
          <w:color w:val="000000"/>
          <w:kern w:val="0"/>
          <w:szCs w:val="21"/>
        </w:rPr>
        <w:t>塑性结构的实腹柱外露式柱脚，应满足极限受弯承载力的要求。</w:t>
      </w:r>
    </w:p>
    <w:p>
      <w:pPr>
        <w:pStyle w:val="129"/>
        <w:adjustRightInd w:val="0"/>
        <w:spacing w:line="380" w:lineRule="exact"/>
        <w:textAlignment w:val="center"/>
        <w:rPr>
          <w:bCs/>
          <w:color w:val="000000"/>
        </w:rPr>
      </w:pPr>
      <w:r>
        <w:rPr>
          <w:rFonts w:hint="eastAsia"/>
          <w:bCs/>
          <w:color w:val="000000"/>
        </w:rPr>
        <w:t>以</w:t>
      </w:r>
      <w:r>
        <w:rPr>
          <w:bCs/>
          <w:color w:val="000000"/>
        </w:rPr>
        <w:t>力学的角度</w:t>
      </w:r>
      <w:r>
        <w:rPr>
          <w:rFonts w:hint="eastAsia"/>
          <w:bCs/>
          <w:color w:val="000000"/>
        </w:rPr>
        <w:t>分析</w:t>
      </w:r>
      <w:r>
        <w:rPr>
          <w:bCs/>
          <w:color w:val="000000"/>
        </w:rPr>
        <w:t>，实腹柱的外露式柱脚作为半刚性</w:t>
      </w:r>
      <w:r>
        <w:rPr>
          <w:rFonts w:hint="eastAsia"/>
          <w:bCs/>
          <w:color w:val="000000"/>
        </w:rPr>
        <w:t>连接</w:t>
      </w:r>
      <w:r>
        <w:rPr>
          <w:bCs/>
          <w:color w:val="000000"/>
        </w:rPr>
        <w:t>考虑更加合适。与钢柱的全截面屈服承载力相比，多数情况下柱脚由锚栓屈服所决定的塑性弯矩较小。外露式柱脚受弯时的力学性能主要取决于锚栓。如锚栓受拉屈服后能充分发展塑性，则承受反复荷载作用时，外露式柱脚的恢复力特性呈典型的滑移型滞回特性。但实际的柱脚，往往在锚栓螺杆屈服前，螺纹处就发生断裂，难有充分的塑性发展。并且，当柱截面大到一定程度时，设计大于其极限抗弯承载力的外露式柱脚往往十分困难。因此，当柱脚承受的地震作用大时，采用外露式既不经济，也不合适。</w:t>
      </w:r>
    </w:p>
    <w:p>
      <w:pPr>
        <w:pStyle w:val="129"/>
        <w:adjustRightInd w:val="0"/>
        <w:spacing w:line="380" w:lineRule="exact"/>
        <w:textAlignment w:val="center"/>
        <w:rPr>
          <w:bCs/>
          <w:color w:val="000000"/>
          <w:kern w:val="0"/>
          <w:szCs w:val="21"/>
        </w:rPr>
      </w:pPr>
      <w:r>
        <w:rPr>
          <w:rFonts w:hint="eastAsia"/>
          <w:bCs/>
          <w:color w:val="000000"/>
          <w:kern w:val="0"/>
          <w:szCs w:val="21"/>
        </w:rPr>
        <w:t>（2）</w:t>
      </w:r>
      <w:r>
        <w:rPr>
          <w:bCs/>
          <w:color w:val="000000"/>
          <w:kern w:val="0"/>
          <w:szCs w:val="21"/>
        </w:rPr>
        <w:t>对于弹性结构和弹塑性结构，条文参考日本规范，给出了外露式柱脚按内力设计的方法。</w:t>
      </w:r>
    </w:p>
    <w:p>
      <w:pPr>
        <w:pStyle w:val="129"/>
        <w:adjustRightInd w:val="0"/>
        <w:spacing w:line="380" w:lineRule="exact"/>
        <w:textAlignment w:val="center"/>
        <w:rPr>
          <w:bCs/>
          <w:color w:val="000000"/>
          <w:kern w:val="0"/>
          <w:szCs w:val="21"/>
        </w:rPr>
      </w:pPr>
      <w:r>
        <w:rPr>
          <w:bCs/>
          <w:color w:val="000000"/>
          <w:kern w:val="0"/>
          <w:szCs w:val="21"/>
        </w:rPr>
        <w:t>日本把锚栓分为有延伸能力和无延伸能力两种。有延伸能力锚栓</w:t>
      </w:r>
      <w:r>
        <w:rPr>
          <w:rFonts w:hint="eastAsia"/>
          <w:bCs/>
          <w:color w:val="000000"/>
          <w:kern w:val="0"/>
          <w:szCs w:val="21"/>
        </w:rPr>
        <w:t>（《建筑结构用锻造成型螺纹锚栓》JSS II 13、《建筑结构用切削成型螺纹锚栓》JSS II 14）</w:t>
      </w:r>
      <w:r>
        <w:rPr>
          <w:bCs/>
          <w:color w:val="000000"/>
          <w:kern w:val="0"/>
          <w:szCs w:val="21"/>
        </w:rPr>
        <w:t>，是指在锚栓杆全</w:t>
      </w:r>
      <w:r>
        <w:rPr>
          <w:rFonts w:hint="eastAsia"/>
          <w:bCs/>
          <w:color w:val="000000"/>
          <w:kern w:val="0"/>
          <w:szCs w:val="21"/>
        </w:rPr>
        <w:t>截面</w:t>
      </w:r>
      <w:r>
        <w:rPr>
          <w:bCs/>
          <w:color w:val="000000"/>
          <w:kern w:val="0"/>
          <w:szCs w:val="21"/>
        </w:rPr>
        <w:t>屈服前，螺纹部分不被拉断</w:t>
      </w:r>
      <w:r>
        <w:rPr>
          <w:rFonts w:hint="eastAsia"/>
          <w:bCs/>
          <w:color w:val="000000"/>
          <w:kern w:val="0"/>
          <w:szCs w:val="21"/>
        </w:rPr>
        <w:t>的螺栓</w:t>
      </w:r>
      <w:r>
        <w:rPr>
          <w:bCs/>
          <w:color w:val="000000"/>
          <w:kern w:val="0"/>
          <w:szCs w:val="21"/>
        </w:rPr>
        <w:t>，要求锚栓材料的屈强比不超过锚栓螺纹处有效截面积与螺杆截面积的比值。</w:t>
      </w:r>
      <w:r>
        <w:rPr>
          <w:rFonts w:hint="eastAsia"/>
          <w:bCs/>
          <w:color w:val="000000"/>
        </w:rPr>
        <w:t>选用有延伸能力的锚栓时，锚栓屈服后柱脚可以发挥充分的塑性变形能力，柱底塑性耗能区在柱脚锚栓群处，柱脚连接也无需满足极限承载力的要求而采用外力设计法。对于无延伸能力的锚栓，柱脚极限承载力状态时应按锚栓不屈服进行设计。</w:t>
      </w:r>
    </w:p>
    <w:p>
      <w:pPr>
        <w:pStyle w:val="129"/>
        <w:adjustRightInd w:val="0"/>
        <w:spacing w:line="380" w:lineRule="exact"/>
        <w:textAlignment w:val="center"/>
        <w:rPr>
          <w:bCs/>
          <w:color w:val="000000"/>
          <w:kern w:val="0"/>
          <w:szCs w:val="21"/>
        </w:rPr>
      </w:pPr>
      <w:r>
        <w:rPr>
          <w:bCs/>
          <w:color w:val="000000"/>
          <w:kern w:val="0"/>
          <w:szCs w:val="21"/>
        </w:rPr>
        <w:t>对于采用无延伸能力锚栓和不满足能力设计要求的柱脚，</w:t>
      </w:r>
      <w:r>
        <w:rPr>
          <w:rFonts w:hint="eastAsia"/>
          <w:bCs/>
          <w:color w:val="000000"/>
          <w:kern w:val="0"/>
          <w:szCs w:val="21"/>
        </w:rPr>
        <w:t>日本</w:t>
      </w:r>
      <w:r>
        <w:rPr>
          <w:bCs/>
          <w:color w:val="000000"/>
          <w:kern w:val="0"/>
          <w:szCs w:val="21"/>
        </w:rPr>
        <w:t>采用一次设计的计算内力，并将其水平地震作用乘以2～2.5倍（框架为2，与支撑相连的框架柱最大2.5），进行锚栓的承载力设计。对于无延伸能力的锚栓，锚栓承载力按锚栓屈服强度乘以锚栓螺纹处有效截面积；</w:t>
      </w:r>
      <w:r>
        <w:rPr>
          <w:rFonts w:hint="eastAsia"/>
          <w:bCs/>
          <w:color w:val="000000"/>
          <w:kern w:val="0"/>
          <w:szCs w:val="21"/>
        </w:rPr>
        <w:t>而对于</w:t>
      </w:r>
      <w:r>
        <w:rPr>
          <w:bCs/>
          <w:color w:val="000000"/>
          <w:kern w:val="0"/>
          <w:szCs w:val="21"/>
        </w:rPr>
        <w:t>有延伸能力的锚栓，则按锚栓的螺杆截面积。</w:t>
      </w:r>
    </w:p>
    <w:p>
      <w:pPr>
        <w:pStyle w:val="129"/>
        <w:adjustRightInd w:val="0"/>
        <w:spacing w:line="380" w:lineRule="exact"/>
        <w:textAlignment w:val="center"/>
        <w:rPr>
          <w:rFonts w:hint="eastAsia"/>
          <w:bCs/>
          <w:color w:val="000000"/>
          <w:kern w:val="0"/>
          <w:szCs w:val="21"/>
        </w:rPr>
      </w:pPr>
      <w:r>
        <w:rPr>
          <w:bCs/>
          <w:color w:val="000000"/>
          <w:kern w:val="0"/>
          <w:szCs w:val="21"/>
        </w:rPr>
        <w:t>我国规范</w:t>
      </w:r>
      <w:r>
        <w:rPr>
          <w:rFonts w:hint="eastAsia"/>
          <w:bCs/>
          <w:color w:val="000000"/>
          <w:kern w:val="0"/>
          <w:szCs w:val="21"/>
        </w:rPr>
        <w:t>对锚栓的要求与日本的无延伸能力锚栓相当，</w:t>
      </w:r>
      <w:r>
        <w:rPr>
          <w:bCs/>
          <w:color w:val="000000"/>
          <w:kern w:val="0"/>
          <w:szCs w:val="21"/>
        </w:rPr>
        <w:t>对锚栓的弹性设计取的强度设计值约为其屈服强度的0.6倍，设计时一般按锚栓螺纹处有效截面积计算。经对比分析，采用</w:t>
      </w:r>
      <w:r>
        <w:rPr>
          <w:rFonts w:hint="eastAsia"/>
          <w:bCs/>
          <w:i/>
          <w:iCs/>
          <w:color w:val="000000"/>
          <w:kern w:val="0"/>
          <w:szCs w:val="21"/>
        </w:rPr>
        <w:t>q</w:t>
      </w:r>
      <w:r>
        <w:rPr>
          <w:rFonts w:hint="eastAsia"/>
          <w:bCs/>
          <w:color w:val="000000"/>
          <w:kern w:val="0"/>
          <w:szCs w:val="21"/>
        </w:rPr>
        <w:t>=1的地震作用基本组合内力，乘以</w:t>
      </w:r>
      <w:r>
        <w:rPr>
          <w:bCs/>
          <w:color w:val="000000"/>
          <w:kern w:val="0"/>
          <w:szCs w:val="21"/>
        </w:rPr>
        <w:t>1.2（框架柱脚）或1.5（与柱间支撑相连的框架柱脚</w:t>
      </w:r>
      <w:r>
        <w:rPr>
          <w:rFonts w:hint="eastAsia"/>
          <w:bCs/>
          <w:color w:val="000000"/>
          <w:kern w:val="0"/>
          <w:szCs w:val="21"/>
        </w:rPr>
        <w:t>）的</w:t>
      </w:r>
      <w:r>
        <w:rPr>
          <w:bCs/>
          <w:color w:val="000000"/>
          <w:kern w:val="0"/>
          <w:szCs w:val="21"/>
        </w:rPr>
        <w:t>调整</w:t>
      </w:r>
      <w:r>
        <w:rPr>
          <w:rFonts w:hint="eastAsia"/>
          <w:bCs/>
          <w:color w:val="000000"/>
          <w:kern w:val="0"/>
          <w:szCs w:val="21"/>
        </w:rPr>
        <w:t>系数</w:t>
      </w:r>
      <w:r>
        <w:rPr>
          <w:bCs/>
          <w:color w:val="000000"/>
          <w:kern w:val="0"/>
          <w:szCs w:val="21"/>
        </w:rPr>
        <w:t>，与日本的要求大体相当。</w:t>
      </w:r>
      <w:r>
        <w:rPr>
          <w:rFonts w:hint="eastAsia"/>
          <w:bCs/>
          <w:color w:val="000000"/>
          <w:kern w:val="0"/>
          <w:szCs w:val="21"/>
        </w:rPr>
        <w:t>条文中，</w:t>
      </w:r>
      <w:r>
        <w:rPr>
          <w:bCs/>
          <w:color w:val="000000"/>
          <w:kern w:val="0"/>
          <w:szCs w:val="21"/>
        </w:rPr>
        <w:t>与柱间支撑相连的框架柱脚</w:t>
      </w:r>
      <w:r>
        <w:rPr>
          <w:rFonts w:hint="eastAsia"/>
          <w:bCs/>
          <w:color w:val="000000"/>
          <w:kern w:val="0"/>
          <w:szCs w:val="21"/>
        </w:rPr>
        <w:t>的调整系数大，是考虑到支撑在地震作用下受力变化大，并非计算可以完全囊括。</w:t>
      </w:r>
    </w:p>
    <w:p>
      <w:pPr>
        <w:pStyle w:val="129"/>
        <w:adjustRightInd w:val="0"/>
        <w:spacing w:line="380" w:lineRule="exact"/>
        <w:textAlignment w:val="center"/>
        <w:rPr>
          <w:bCs/>
          <w:color w:val="000000"/>
          <w:kern w:val="0"/>
          <w:szCs w:val="21"/>
        </w:rPr>
      </w:pPr>
      <w:r>
        <w:rPr>
          <w:bCs/>
          <w:color w:val="000000"/>
          <w:kern w:val="0"/>
          <w:szCs w:val="21"/>
        </w:rPr>
        <w:t>考虑</w:t>
      </w:r>
      <w:r>
        <w:rPr>
          <w:rFonts w:hint="eastAsia"/>
          <w:bCs/>
          <w:color w:val="000000"/>
          <w:kern w:val="0"/>
          <w:szCs w:val="21"/>
        </w:rPr>
        <w:t>到弹塑性结构</w:t>
      </w:r>
      <w:r>
        <w:rPr>
          <w:bCs/>
          <w:color w:val="000000"/>
          <w:kern w:val="0"/>
          <w:szCs w:val="21"/>
        </w:rPr>
        <w:t>和弹性结构在抗震验算时</w:t>
      </w:r>
      <w:r>
        <w:rPr>
          <w:rFonts w:hint="eastAsia"/>
          <w:bCs/>
          <w:color w:val="000000"/>
          <w:kern w:val="0"/>
          <w:szCs w:val="21"/>
        </w:rPr>
        <w:t>取性能系数</w:t>
      </w:r>
      <w:r>
        <w:rPr>
          <w:rFonts w:hint="eastAsia"/>
          <w:bCs/>
          <w:i/>
          <w:iCs/>
          <w:color w:val="000000"/>
          <w:kern w:val="0"/>
          <w:szCs w:val="21"/>
        </w:rPr>
        <w:t>q</w:t>
      </w:r>
      <w:r>
        <w:rPr>
          <w:rFonts w:hint="eastAsia"/>
          <w:bCs/>
          <w:color w:val="000000"/>
          <w:kern w:val="0"/>
          <w:szCs w:val="21"/>
        </w:rPr>
        <w:t>=</w:t>
      </w:r>
      <w:r>
        <w:rPr>
          <w:bCs/>
          <w:color w:val="000000"/>
          <w:kern w:val="0"/>
          <w:szCs w:val="21"/>
        </w:rPr>
        <w:t>1.5和</w:t>
      </w:r>
      <w:r>
        <w:rPr>
          <w:rFonts w:hint="eastAsia"/>
          <w:bCs/>
          <w:i/>
          <w:iCs/>
          <w:color w:val="000000"/>
          <w:kern w:val="0"/>
          <w:szCs w:val="21"/>
        </w:rPr>
        <w:t>q</w:t>
      </w:r>
      <w:r>
        <w:rPr>
          <w:rFonts w:hint="eastAsia"/>
          <w:bCs/>
          <w:color w:val="000000"/>
          <w:kern w:val="0"/>
          <w:szCs w:val="21"/>
        </w:rPr>
        <w:t>=</w:t>
      </w:r>
      <w:r>
        <w:rPr>
          <w:bCs/>
          <w:color w:val="000000"/>
          <w:kern w:val="0"/>
          <w:szCs w:val="21"/>
        </w:rPr>
        <w:t>2，</w:t>
      </w:r>
      <w:r>
        <w:rPr>
          <w:rFonts w:hint="eastAsia"/>
          <w:bCs/>
          <w:color w:val="000000"/>
          <w:kern w:val="0"/>
          <w:szCs w:val="21"/>
        </w:rPr>
        <w:t>为了减少重复计算，</w:t>
      </w:r>
      <w:r>
        <w:rPr>
          <w:bCs/>
          <w:color w:val="000000"/>
          <w:kern w:val="0"/>
          <w:szCs w:val="21"/>
        </w:rPr>
        <w:t>弹塑性结构</w:t>
      </w:r>
      <w:r>
        <w:rPr>
          <w:rFonts w:hint="eastAsia"/>
          <w:bCs/>
          <w:color w:val="000000"/>
          <w:kern w:val="0"/>
          <w:szCs w:val="21"/>
        </w:rPr>
        <w:t>（</w:t>
      </w:r>
      <w:r>
        <w:rPr>
          <w:rFonts w:hint="eastAsia"/>
          <w:bCs/>
          <w:i/>
          <w:iCs/>
          <w:color w:val="000000"/>
          <w:kern w:val="0"/>
          <w:szCs w:val="21"/>
        </w:rPr>
        <w:t>q</w:t>
      </w:r>
      <w:r>
        <w:rPr>
          <w:rFonts w:hint="eastAsia"/>
          <w:bCs/>
          <w:color w:val="000000"/>
          <w:kern w:val="0"/>
          <w:szCs w:val="21"/>
        </w:rPr>
        <w:t>=1.5）</w:t>
      </w:r>
      <w:r>
        <w:rPr>
          <w:bCs/>
          <w:color w:val="000000"/>
          <w:kern w:val="0"/>
          <w:szCs w:val="21"/>
        </w:rPr>
        <w:t>的调整系数</w:t>
      </w:r>
      <w:r>
        <w:rPr>
          <w:rFonts w:hint="eastAsia"/>
          <w:bCs/>
          <w:color w:val="000000"/>
          <w:kern w:val="0"/>
          <w:szCs w:val="21"/>
        </w:rPr>
        <w:t>——</w:t>
      </w:r>
      <w:r>
        <w:rPr>
          <w:bCs/>
          <w:color w:val="000000"/>
          <w:kern w:val="0"/>
          <w:szCs w:val="21"/>
        </w:rPr>
        <w:t>框架取0.8，框架支撑结构取1.0；弹性结构</w:t>
      </w:r>
      <w:r>
        <w:rPr>
          <w:rFonts w:hint="eastAsia"/>
          <w:bCs/>
          <w:color w:val="000000"/>
          <w:kern w:val="0"/>
          <w:szCs w:val="21"/>
        </w:rPr>
        <w:t>（</w:t>
      </w:r>
      <w:r>
        <w:rPr>
          <w:rFonts w:hint="eastAsia"/>
          <w:bCs/>
          <w:i/>
          <w:iCs/>
          <w:color w:val="000000"/>
          <w:kern w:val="0"/>
          <w:szCs w:val="21"/>
        </w:rPr>
        <w:t>q</w:t>
      </w:r>
      <w:r>
        <w:rPr>
          <w:rFonts w:hint="eastAsia"/>
          <w:bCs/>
          <w:color w:val="000000"/>
          <w:kern w:val="0"/>
          <w:szCs w:val="21"/>
        </w:rPr>
        <w:t>=2）</w:t>
      </w:r>
      <w:r>
        <w:rPr>
          <w:bCs/>
          <w:color w:val="000000"/>
          <w:kern w:val="0"/>
          <w:szCs w:val="21"/>
        </w:rPr>
        <w:t>调整系数</w:t>
      </w:r>
      <w:r>
        <w:rPr>
          <w:rFonts w:hint="eastAsia"/>
          <w:bCs/>
          <w:color w:val="000000"/>
          <w:kern w:val="0"/>
          <w:szCs w:val="21"/>
        </w:rPr>
        <w:t>——</w:t>
      </w:r>
      <w:r>
        <w:rPr>
          <w:bCs/>
          <w:color w:val="000000"/>
          <w:kern w:val="0"/>
          <w:szCs w:val="21"/>
        </w:rPr>
        <w:t>框架取0.6，框架支撑结构取0.75。</w:t>
      </w:r>
    </w:p>
    <w:p>
      <w:pPr>
        <w:pStyle w:val="129"/>
        <w:adjustRightInd w:val="0"/>
        <w:spacing w:line="380" w:lineRule="exact"/>
        <w:textAlignment w:val="center"/>
        <w:rPr>
          <w:bCs/>
          <w:color w:val="000000"/>
          <w:kern w:val="0"/>
          <w:szCs w:val="21"/>
        </w:rPr>
      </w:pPr>
      <w:r>
        <w:rPr>
          <w:rFonts w:hint="eastAsia"/>
          <w:bCs/>
          <w:color w:val="000000"/>
          <w:kern w:val="0"/>
          <w:szCs w:val="21"/>
        </w:rPr>
        <w:t>（3）</w:t>
      </w:r>
      <w:r>
        <w:rPr>
          <w:bCs/>
          <w:color w:val="000000"/>
          <w:kern w:val="0"/>
          <w:szCs w:val="21"/>
        </w:rPr>
        <w:t>锚栓耗钢量占厂房钢结构耗钢量的份额很小，但对提高厂房框架抗震性能，防止坍塌的作用大。</w:t>
      </w:r>
      <w:r>
        <w:rPr>
          <w:rFonts w:hint="eastAsia"/>
          <w:bCs/>
          <w:color w:val="000000"/>
          <w:szCs w:val="21"/>
        </w:rPr>
        <w:t>众所周知，考虑结构延性采用降低了的地震作用分析得到的结构内力，与遭遇强烈地震时的结构内力会有很大差异。这种差异不只是内力的大小变化，而且可导致不利内力的组合发生变化。如一些框架柱的受力，当采用降低了的地震组合分析时，呈受压弯状态，或者拉力很小；而如采用中震、或2/3大震的地震动参数分析，框架柱可呈受拉弯状态，甚至拉力较大。对于柱脚锚栓的拉力更是如此，小震分析和强烈地震分析得到的锚栓拉力差距有时很大。</w:t>
      </w:r>
      <w:r>
        <w:rPr>
          <w:bCs/>
          <w:color w:val="000000"/>
          <w:kern w:val="0"/>
          <w:szCs w:val="21"/>
        </w:rPr>
        <w:t>因此，为了防止遭遇强烈地震时由于锚栓承载力过小而引起结构坍塌，需对采用计算内力设计的柱脚锚栓面积设置门槛值，即对锚栓抗拉承载力设置下限值，以防止不期而遇的强烈地震下柱脚锚栓断裂。另一方面，柱脚与钢结构框架</w:t>
      </w:r>
      <w:r>
        <w:rPr>
          <w:rFonts w:hint="eastAsia"/>
          <w:bCs/>
          <w:color w:val="000000"/>
          <w:kern w:val="0"/>
          <w:szCs w:val="21"/>
        </w:rPr>
        <w:t>的拼接</w:t>
      </w:r>
      <w:r>
        <w:rPr>
          <w:bCs/>
          <w:color w:val="000000"/>
          <w:kern w:val="0"/>
          <w:szCs w:val="21"/>
        </w:rPr>
        <w:t>一样，也应考虑其连续性要求。</w:t>
      </w:r>
    </w:p>
    <w:p>
      <w:pPr>
        <w:pStyle w:val="129"/>
        <w:adjustRightInd w:val="0"/>
        <w:spacing w:line="380" w:lineRule="exact"/>
        <w:textAlignment w:val="center"/>
        <w:rPr>
          <w:bCs/>
          <w:color w:val="000000"/>
          <w:kern w:val="0"/>
          <w:szCs w:val="21"/>
        </w:rPr>
      </w:pPr>
      <w:r>
        <w:rPr>
          <w:rFonts w:hint="eastAsia"/>
          <w:bCs/>
          <w:color w:val="000000"/>
          <w:kern w:val="0"/>
          <w:szCs w:val="21"/>
        </w:rPr>
        <w:t>（4）</w:t>
      </w:r>
      <w:r>
        <w:rPr>
          <w:bCs/>
          <w:color w:val="000000"/>
          <w:kern w:val="0"/>
          <w:szCs w:val="21"/>
        </w:rPr>
        <w:t>一般情况下，要求锚栓不得承受柱底剪力。外露式柱脚应按规定设置剪力键，以可靠传递水平地震作用。</w:t>
      </w:r>
    </w:p>
    <w:p>
      <w:pPr>
        <w:pStyle w:val="129"/>
        <w:adjustRightInd w:val="0"/>
        <w:spacing w:line="380" w:lineRule="exact"/>
        <w:textAlignment w:val="center"/>
        <w:rPr>
          <w:rFonts w:hint="eastAsia"/>
          <w:bCs/>
          <w:color w:val="000000"/>
          <w:kern w:val="0"/>
          <w:szCs w:val="21"/>
        </w:rPr>
      </w:pPr>
      <w:r>
        <w:rPr>
          <w:rFonts w:hint="eastAsia"/>
          <w:bCs/>
          <w:color w:val="000000"/>
          <w:kern w:val="0"/>
          <w:szCs w:val="21"/>
        </w:rPr>
        <w:t>（5）锚栓的锚固深度是指埋在混凝土中的锚栓直线段的长度。锚栓的锚固深度与锚栓钢材的强度和基础混凝土的强度紧密相关。锚栓末端有弯钩和机械锚固形式的埋置深度，可按下式计算：</w:t>
      </w:r>
    </w:p>
    <w:p>
      <w:pPr>
        <w:adjustRightInd w:val="0"/>
        <w:ind w:firstLine="640"/>
        <w:jc w:val="right"/>
        <w:rPr>
          <w:bCs/>
          <w:color w:val="000000"/>
          <w:szCs w:val="21"/>
        </w:rPr>
      </w:pPr>
      <w:r>
        <w:rPr>
          <w:rFonts w:hint="eastAsia"/>
          <w:bCs/>
          <w:color w:val="000000"/>
          <w:kern w:val="0"/>
          <w:position w:val="-14"/>
          <w:szCs w:val="21"/>
        </w:rPr>
        <w:object>
          <v:shape id="_x0000_i1266" o:spt="75" type="#_x0000_t75" style="height:18pt;width:138.95pt;" o:ole="t" filled="f" stroked="f" coordsize="21600,21600">
            <v:path/>
            <v:fill on="f" focussize="0,0"/>
            <v:stroke on="f"/>
            <v:imagedata r:id="rId568" o:title=""/>
            <o:lock v:ext="edit" grouping="f" rotation="f" text="f" aspectratio="t"/>
            <w10:wrap type="none"/>
            <w10:anchorlock/>
          </v:shape>
          <o:OLEObject Type="Embed" ProgID="Equation.KSEE3" ShapeID="_x0000_i1266" DrawAspect="Content" ObjectID="_1468075956" r:id="rId567">
            <o:LockedField>false</o:LockedField>
          </o:OLEObject>
        </w:object>
      </w:r>
      <w:r>
        <w:rPr>
          <w:bCs/>
          <w:color w:val="000000"/>
          <w:szCs w:val="21"/>
        </w:rPr>
        <w:t xml:space="preserve">    </w:t>
      </w:r>
      <w:r>
        <w:rPr>
          <w:rFonts w:hint="eastAsia"/>
          <w:bCs/>
          <w:color w:val="000000"/>
          <w:szCs w:val="21"/>
        </w:rPr>
        <w:t xml:space="preserve">   </w:t>
      </w:r>
      <w:r>
        <w:rPr>
          <w:bCs/>
          <w:color w:val="000000"/>
          <w:szCs w:val="21"/>
        </w:rPr>
        <w:t xml:space="preserve">               （</w:t>
      </w:r>
      <w:r>
        <w:rPr>
          <w:rFonts w:hint="eastAsia"/>
          <w:bCs/>
          <w:color w:val="000000"/>
          <w:szCs w:val="21"/>
        </w:rPr>
        <w:t>9</w:t>
      </w:r>
      <w:r>
        <w:rPr>
          <w:bCs/>
          <w:color w:val="000000"/>
          <w:szCs w:val="21"/>
        </w:rPr>
        <w:t>.</w:t>
      </w:r>
      <w:r>
        <w:rPr>
          <w:rFonts w:hint="eastAsia"/>
          <w:bCs/>
          <w:color w:val="000000"/>
          <w:szCs w:val="21"/>
        </w:rPr>
        <w:t>2.11</w:t>
      </w:r>
      <w:r>
        <w:rPr>
          <w:bCs/>
          <w:color w:val="000000"/>
          <w:szCs w:val="21"/>
        </w:rPr>
        <w:t>-</w:t>
      </w:r>
      <w:r>
        <w:rPr>
          <w:rFonts w:hint="eastAsia"/>
          <w:bCs/>
          <w:color w:val="000000"/>
          <w:szCs w:val="21"/>
        </w:rPr>
        <w:t>7</w:t>
      </w:r>
      <w:r>
        <w:rPr>
          <w:bCs/>
          <w:color w:val="000000"/>
          <w:szCs w:val="21"/>
        </w:rPr>
        <w:t>）</w:t>
      </w:r>
    </w:p>
    <w:p>
      <w:pPr>
        <w:adjustRightInd w:val="0"/>
        <w:spacing w:line="400" w:lineRule="exact"/>
        <w:rPr>
          <w:rFonts w:hint="eastAsia"/>
          <w:bCs/>
          <w:color w:val="000000"/>
          <w:kern w:val="0"/>
          <w:szCs w:val="21"/>
        </w:rPr>
      </w:pPr>
      <w:r>
        <w:rPr>
          <w:rFonts w:hint="eastAsia"/>
          <w:bCs/>
          <w:color w:val="000000"/>
          <w:kern w:val="0"/>
          <w:szCs w:val="21"/>
        </w:rPr>
        <w:t>式中：</w:t>
      </w:r>
      <w:r>
        <w:rPr>
          <w:rFonts w:hint="eastAsia"/>
          <w:bCs/>
          <w:color w:val="000000"/>
          <w:kern w:val="0"/>
          <w:position w:val="-10"/>
          <w:szCs w:val="21"/>
        </w:rPr>
        <w:object>
          <v:shape id="_x0000_i1267" o:spt="75" type="#_x0000_t75" style="height:15.95pt;width:13.95pt;" o:ole="t" filled="f" stroked="f" coordsize="21600,21600">
            <v:path/>
            <v:fill on="f" focussize="0,0"/>
            <v:stroke on="f"/>
            <v:imagedata r:id="rId570" o:title=""/>
            <o:lock v:ext="edit" grouping="f" rotation="f" text="f" aspectratio="t"/>
            <w10:wrap type="none"/>
            <w10:anchorlock/>
          </v:shape>
          <o:OLEObject Type="Embed" ProgID="Equation.KSEE3" ShapeID="_x0000_i1267" DrawAspect="Content" ObjectID="_1468075957" r:id="rId569">
            <o:LockedField>false</o:LockedField>
          </o:OLEObject>
        </w:object>
      </w:r>
      <w:r>
        <w:rPr>
          <w:rFonts w:hint="eastAsia"/>
          <w:bCs/>
          <w:color w:val="000000"/>
          <w:kern w:val="0"/>
          <w:szCs w:val="21"/>
        </w:rPr>
        <w:t>——锚栓的锚固深度；</w:t>
      </w:r>
    </w:p>
    <w:p>
      <w:pPr>
        <w:adjustRightInd w:val="0"/>
        <w:spacing w:line="400" w:lineRule="exact"/>
        <w:ind w:firstLine="638" w:firstLineChars="304"/>
        <w:rPr>
          <w:rFonts w:hint="eastAsia"/>
          <w:bCs/>
          <w:color w:val="000000"/>
          <w:kern w:val="0"/>
          <w:szCs w:val="21"/>
        </w:rPr>
      </w:pPr>
      <w:r>
        <w:rPr>
          <w:rFonts w:hint="eastAsia"/>
          <w:bCs/>
          <w:i/>
          <w:iCs/>
          <w:color w:val="000000"/>
          <w:kern w:val="0"/>
          <w:szCs w:val="21"/>
        </w:rPr>
        <w:t>d——</w:t>
      </w:r>
      <w:r>
        <w:rPr>
          <w:rFonts w:hint="eastAsia"/>
          <w:bCs/>
          <w:color w:val="000000"/>
          <w:kern w:val="0"/>
          <w:szCs w:val="21"/>
        </w:rPr>
        <w:t>锚栓直径；</w:t>
      </w:r>
    </w:p>
    <w:p>
      <w:pPr>
        <w:adjustRightInd w:val="0"/>
        <w:spacing w:line="400" w:lineRule="exact"/>
        <w:ind w:left="1228" w:leftChars="285" w:hanging="630" w:hangingChars="300"/>
        <w:rPr>
          <w:bCs/>
          <w:color w:val="000000"/>
        </w:rPr>
      </w:pPr>
      <w:r>
        <w:rPr>
          <w:bCs/>
          <w:i/>
          <w:iCs/>
          <w:color w:val="000000"/>
          <w:position w:val="-10"/>
        </w:rPr>
        <w:object>
          <v:shape id="_x0000_i1268" o:spt="75" type="#_x0000_t75" style="height:14.95pt;width:10.95pt;" o:ole="t" filled="f" stroked="f" coordsize="21600,21600">
            <v:path/>
            <v:fill on="f" focussize="0,0"/>
            <v:stroke on="f"/>
            <v:imagedata r:id="rId572" o:title=""/>
            <o:lock v:ext="edit" grouping="f" rotation="f" text="f" aspectratio="t"/>
            <w10:wrap type="none"/>
            <w10:anchorlock/>
          </v:shape>
          <o:OLEObject Type="Embed" ProgID="Equation.KSEE3" ShapeID="_x0000_i1268" DrawAspect="Content" ObjectID="_1468075958" r:id="rId571">
            <o:LockedField>false</o:LockedField>
          </o:OLEObject>
        </w:object>
      </w:r>
      <w:r>
        <w:rPr>
          <w:bCs/>
          <w:i/>
          <w:iCs/>
          <w:color w:val="000000"/>
        </w:rPr>
        <w:t>——</w:t>
      </w:r>
      <w:r>
        <w:rPr>
          <w:bCs/>
          <w:color w:val="000000"/>
        </w:rPr>
        <w:t>与</w:t>
      </w:r>
      <w:r>
        <w:rPr>
          <w:rFonts w:hint="eastAsia"/>
          <w:bCs/>
          <w:color w:val="000000"/>
        </w:rPr>
        <w:t>锚栓直径</w:t>
      </w:r>
      <w:r>
        <w:rPr>
          <w:bCs/>
          <w:color w:val="000000"/>
        </w:rPr>
        <w:t>相关的参数，</w:t>
      </w:r>
      <w:r>
        <w:rPr>
          <w:rFonts w:hint="eastAsia"/>
          <w:bCs/>
          <w:color w:val="000000"/>
        </w:rPr>
        <w:t>当锚栓直径</w:t>
      </w:r>
      <w:r>
        <w:rPr>
          <w:bCs/>
          <w:color w:val="000000"/>
        </w:rPr>
        <w:t>小于等于</w:t>
      </w:r>
      <w:r>
        <w:rPr>
          <w:bCs/>
          <w:color w:val="000000"/>
          <w:kern w:val="0"/>
          <w:szCs w:val="21"/>
        </w:rPr>
        <w:t>32mm</w:t>
      </w:r>
      <w:r>
        <w:rPr>
          <w:bCs/>
          <w:color w:val="000000"/>
        </w:rPr>
        <w:t>时</w:t>
      </w:r>
      <w:r>
        <w:rPr>
          <w:rFonts w:hint="eastAsia"/>
          <w:bCs/>
          <w:color w:val="000000"/>
        </w:rPr>
        <w:t>取</w:t>
      </w:r>
      <w:r>
        <w:rPr>
          <w:bCs/>
          <w:color w:val="000000"/>
        </w:rPr>
        <w:t>1.0，大于32mm时</w:t>
      </w:r>
      <w:r>
        <w:rPr>
          <w:rFonts w:hint="eastAsia"/>
          <w:bCs/>
          <w:color w:val="000000"/>
        </w:rPr>
        <w:t xml:space="preserve">  取</w:t>
      </w:r>
      <w:r>
        <w:rPr>
          <w:bCs/>
          <w:color w:val="000000"/>
        </w:rPr>
        <w:t>（132-</w:t>
      </w:r>
      <w:r>
        <w:rPr>
          <w:bCs/>
          <w:i/>
          <w:iCs/>
          <w:color w:val="000000"/>
        </w:rPr>
        <w:t>d</w:t>
      </w:r>
      <w:r>
        <w:rPr>
          <w:bCs/>
          <w:color w:val="000000"/>
        </w:rPr>
        <w:t>）/100</w:t>
      </w:r>
      <w:r>
        <w:rPr>
          <w:rFonts w:hint="eastAsia"/>
          <w:bCs/>
          <w:color w:val="000000"/>
        </w:rPr>
        <w:t>。</w:t>
      </w:r>
    </w:p>
    <w:p>
      <w:pPr>
        <w:adjustRightInd w:val="0"/>
        <w:spacing w:line="400" w:lineRule="exact"/>
        <w:ind w:firstLine="640"/>
        <w:rPr>
          <w:rFonts w:hint="eastAsia"/>
          <w:bCs/>
          <w:color w:val="000000"/>
          <w:kern w:val="0"/>
          <w:szCs w:val="21"/>
        </w:rPr>
      </w:pPr>
      <w:r>
        <w:rPr>
          <w:rFonts w:hint="eastAsia"/>
          <w:bCs/>
          <w:i/>
          <w:iCs/>
          <w:color w:val="000000"/>
          <w:kern w:val="0"/>
          <w:szCs w:val="21"/>
        </w:rPr>
        <w:t>f</w:t>
      </w:r>
      <w:r>
        <w:rPr>
          <w:rFonts w:hint="eastAsia"/>
          <w:bCs/>
          <w:color w:val="000000"/>
          <w:kern w:val="0"/>
          <w:szCs w:val="21"/>
          <w:vertAlign w:val="subscript"/>
        </w:rPr>
        <w:t>y</w:t>
      </w:r>
      <w:r>
        <w:rPr>
          <w:rFonts w:hint="eastAsia"/>
          <w:bCs/>
          <w:color w:val="000000"/>
          <w:kern w:val="0"/>
          <w:szCs w:val="21"/>
        </w:rPr>
        <w:t>——锚栓钢材的屈服强度；</w:t>
      </w:r>
    </w:p>
    <w:p>
      <w:pPr>
        <w:adjustRightInd w:val="0"/>
        <w:spacing w:line="400" w:lineRule="exact"/>
        <w:ind w:firstLine="640"/>
        <w:rPr>
          <w:rFonts w:hint="eastAsia"/>
          <w:bCs/>
          <w:color w:val="000000"/>
          <w:kern w:val="0"/>
          <w:szCs w:val="21"/>
        </w:rPr>
      </w:pPr>
      <w:r>
        <w:rPr>
          <w:rFonts w:hint="eastAsia"/>
          <w:bCs/>
          <w:i/>
          <w:iCs/>
          <w:color w:val="000000"/>
          <w:kern w:val="0"/>
          <w:szCs w:val="21"/>
        </w:rPr>
        <w:t>f</w:t>
      </w:r>
      <w:r>
        <w:rPr>
          <w:rFonts w:hint="eastAsia"/>
          <w:bCs/>
          <w:color w:val="000000"/>
          <w:kern w:val="0"/>
          <w:szCs w:val="21"/>
          <w:vertAlign w:val="subscript"/>
        </w:rPr>
        <w:t>t</w:t>
      </w:r>
      <w:r>
        <w:rPr>
          <w:rFonts w:hint="eastAsia"/>
          <w:bCs/>
          <w:color w:val="000000"/>
          <w:kern w:val="0"/>
          <w:szCs w:val="21"/>
        </w:rPr>
        <w:t>——基础混凝土抗拉强度设计值）。</w:t>
      </w:r>
    </w:p>
    <w:p>
      <w:pPr>
        <w:pStyle w:val="129"/>
        <w:adjustRightInd w:val="0"/>
        <w:spacing w:line="380" w:lineRule="exact"/>
        <w:textAlignment w:val="center"/>
        <w:rPr>
          <w:rFonts w:hint="eastAsia"/>
          <w:bCs/>
          <w:color w:val="000000"/>
          <w:kern w:val="0"/>
          <w:szCs w:val="21"/>
        </w:rPr>
      </w:pPr>
      <w:r>
        <w:rPr>
          <w:rFonts w:hint="eastAsia"/>
          <w:bCs/>
          <w:color w:val="000000"/>
          <w:kern w:val="0"/>
          <w:szCs w:val="21"/>
        </w:rPr>
        <w:t>一般情况下，锚栓直径小于32mm时，锚栓末端的弯钩和机械锚固形式以及技术要求可执行现行国家标准《混凝土结构设计规范》GB50010-2010第8.3节的规定；锚栓直径大于32mm时，容易导致锚栓埋置深度过大而增大基础的混凝土方量，可采用埋置深度不小于20d并锚栓末端采用加强型锚板比，按倒锥体进行基础混凝土抗冲切验算；大直径锚栓末端通常采用型钢锚固。</w:t>
      </w:r>
    </w:p>
    <w:p>
      <w:pPr>
        <w:pStyle w:val="129"/>
        <w:adjustRightInd w:val="0"/>
        <w:spacing w:line="380" w:lineRule="exact"/>
        <w:textAlignment w:val="center"/>
        <w:rPr>
          <w:bCs/>
          <w:color w:val="000000"/>
          <w:kern w:val="0"/>
          <w:szCs w:val="21"/>
        </w:rPr>
      </w:pPr>
      <w:r>
        <w:rPr>
          <w:bCs/>
          <w:color w:val="000000"/>
          <w:kern w:val="0"/>
          <w:szCs w:val="21"/>
        </w:rPr>
        <w:t xml:space="preserve">7 </w:t>
      </w:r>
      <w:bookmarkEnd w:id="274"/>
      <w:r>
        <w:rPr>
          <w:bCs/>
          <w:color w:val="000000"/>
          <w:kern w:val="0"/>
          <w:szCs w:val="21"/>
        </w:rPr>
        <w:t>由于起重机荷载的移动属性，格构柱在正常使用状态和地震作用状态的荷载差异较大，框架的格构下柱不仅具有较大的抗震能力储备，而且具有比H截面上柱大得多的刚度。计算分析表明，格构柱单层厂房框架的塑性铰位置往往在上柱柱底，而不在柱脚。格构柱的受力特征是分肢受拉、压，与实腹柱</w:t>
      </w:r>
      <w:r>
        <w:rPr>
          <w:rFonts w:hint="eastAsia"/>
          <w:bCs/>
          <w:color w:val="000000"/>
          <w:kern w:val="0"/>
          <w:szCs w:val="21"/>
        </w:rPr>
        <w:t>受弯压的特征</w:t>
      </w:r>
      <w:r>
        <w:rPr>
          <w:bCs/>
          <w:color w:val="000000"/>
          <w:kern w:val="0"/>
          <w:szCs w:val="21"/>
        </w:rPr>
        <w:t>不同，所以，一般情况下，其柱脚可</w:t>
      </w:r>
      <w:r>
        <w:rPr>
          <w:rFonts w:hint="eastAsia"/>
          <w:bCs/>
          <w:color w:val="000000"/>
          <w:kern w:val="0"/>
          <w:szCs w:val="21"/>
        </w:rPr>
        <w:t>按</w:t>
      </w:r>
      <w:r>
        <w:rPr>
          <w:bCs/>
          <w:color w:val="000000"/>
          <w:kern w:val="0"/>
          <w:szCs w:val="21"/>
        </w:rPr>
        <w:t>调整地震作用组合的内力进行抗震设计。</w:t>
      </w:r>
    </w:p>
    <w:p>
      <w:pPr>
        <w:pStyle w:val="129"/>
        <w:adjustRightInd w:val="0"/>
        <w:spacing w:line="380" w:lineRule="exact"/>
        <w:textAlignment w:val="center"/>
        <w:rPr>
          <w:bCs/>
          <w:color w:val="000000"/>
          <w:kern w:val="0"/>
          <w:szCs w:val="21"/>
        </w:rPr>
      </w:pPr>
      <w:r>
        <w:rPr>
          <w:bCs/>
          <w:color w:val="000000"/>
          <w:kern w:val="0"/>
          <w:szCs w:val="21"/>
        </w:rPr>
        <w:t>格构柱插入式柱脚采用内力的方式进行抗震验算，习惯上不考虑</w:t>
      </w:r>
      <w:r>
        <w:rPr>
          <w:bCs/>
          <w:i/>
          <w:iCs/>
          <w:color w:val="000000"/>
          <w:kern w:val="0"/>
          <w:szCs w:val="21"/>
        </w:rPr>
        <w:sym w:font="Symbol" w:char="0067"/>
      </w:r>
      <w:r>
        <w:rPr>
          <w:bCs/>
          <w:color w:val="000000"/>
          <w:kern w:val="0"/>
          <w:szCs w:val="21"/>
          <w:vertAlign w:val="subscript"/>
        </w:rPr>
        <w:t>RE</w:t>
      </w:r>
      <w:r>
        <w:rPr>
          <w:bCs/>
          <w:color w:val="000000"/>
          <w:kern w:val="0"/>
          <w:szCs w:val="21"/>
        </w:rPr>
        <w:t>调整，这是偏向安全一方的。</w:t>
      </w:r>
    </w:p>
    <w:p>
      <w:pPr>
        <w:pStyle w:val="2"/>
        <w:numPr>
          <w:ilvl w:val="0"/>
          <w:numId w:val="11"/>
        </w:numPr>
        <w:rPr>
          <w:rFonts w:ascii="微软雅黑" w:hAnsi="微软雅黑" w:eastAsia="微软雅黑"/>
          <w:bCs/>
          <w:color w:val="000000"/>
        </w:rPr>
      </w:pPr>
      <w:r>
        <w:rPr>
          <w:bCs/>
          <w:color w:val="000000"/>
        </w:rPr>
        <w:br w:type="page"/>
      </w:r>
      <w:bookmarkStart w:id="275" w:name="_Toc48049986"/>
      <w:r>
        <w:rPr>
          <w:rFonts w:hint="eastAsia"/>
          <w:color w:val="000000"/>
        </w:rPr>
        <w:t>单层钢结构</w:t>
      </w:r>
      <w:bookmarkEnd w:id="275"/>
    </w:p>
    <w:p>
      <w:pPr>
        <w:autoSpaceDE w:val="0"/>
        <w:autoSpaceDN w:val="0"/>
        <w:spacing w:line="360" w:lineRule="auto"/>
        <w:jc w:val="center"/>
        <w:rPr>
          <w:bCs/>
          <w:color w:val="000000"/>
          <w:kern w:val="0"/>
          <w:szCs w:val="21"/>
        </w:rPr>
      </w:pPr>
      <w:r>
        <w:rPr>
          <w:rFonts w:hint="eastAsia"/>
          <w:bCs/>
          <w:color w:val="000000"/>
          <w:kern w:val="0"/>
          <w:szCs w:val="21"/>
        </w:rPr>
        <w:t>10</w:t>
      </w:r>
      <w:r>
        <w:rPr>
          <w:bCs/>
          <w:color w:val="000000"/>
          <w:kern w:val="0"/>
          <w:szCs w:val="21"/>
        </w:rPr>
        <w:t xml:space="preserve">.1 </w:t>
      </w:r>
      <w:r>
        <w:rPr>
          <w:rFonts w:hint="eastAsia"/>
          <w:bCs/>
          <w:color w:val="000000"/>
          <w:kern w:val="0"/>
          <w:szCs w:val="21"/>
        </w:rPr>
        <w:t>一般规定</w:t>
      </w:r>
    </w:p>
    <w:p>
      <w:pPr>
        <w:autoSpaceDE w:val="0"/>
        <w:autoSpaceDN w:val="0"/>
        <w:spacing w:line="360" w:lineRule="auto"/>
        <w:jc w:val="center"/>
        <w:rPr>
          <w:rFonts w:hint="eastAsia"/>
          <w:bCs/>
          <w:color w:val="000000"/>
        </w:rPr>
      </w:pPr>
    </w:p>
    <w:p>
      <w:pPr>
        <w:spacing w:line="300" w:lineRule="auto"/>
        <w:rPr>
          <w:rFonts w:hint="eastAsia"/>
          <w:bCs/>
          <w:color w:val="000000"/>
        </w:rPr>
      </w:pPr>
      <w:r>
        <w:rPr>
          <w:rFonts w:hint="eastAsia"/>
          <w:bCs/>
          <w:color w:val="000000"/>
        </w:rPr>
        <w:t xml:space="preserve">    围护材料轻型化，压型钢板墙屋面已十分普及，混凝土大型屋面板和大型墙板围护的厂房已罕见。因此，本标准仅对采用轻屋盖、轻型围护墙和尚需继续采用的砌体墙围护的单层钢结构厂房作出规定。</w:t>
      </w:r>
    </w:p>
    <w:p>
      <w:pPr>
        <w:spacing w:line="300" w:lineRule="auto"/>
        <w:ind w:firstLine="420" w:firstLineChars="200"/>
        <w:rPr>
          <w:rFonts w:hint="eastAsia"/>
          <w:bCs/>
          <w:color w:val="000000"/>
        </w:rPr>
      </w:pPr>
      <w:r>
        <w:rPr>
          <w:rFonts w:hint="eastAsia"/>
          <w:bCs/>
          <w:color w:val="000000"/>
        </w:rPr>
        <w:t xml:space="preserve">1 </w:t>
      </w:r>
      <w:r>
        <w:rPr>
          <w:bCs/>
          <w:color w:val="000000"/>
        </w:rPr>
        <w:t>厂房</w:t>
      </w:r>
      <w:r>
        <w:rPr>
          <w:rFonts w:hint="eastAsia"/>
          <w:bCs/>
          <w:color w:val="000000"/>
        </w:rPr>
        <w:t>平面</w:t>
      </w:r>
      <w:r>
        <w:rPr>
          <w:bCs/>
          <w:color w:val="000000"/>
        </w:rPr>
        <w:t>和竖向布置的总原则，是</w:t>
      </w:r>
      <w:r>
        <w:rPr>
          <w:rFonts w:hint="eastAsia"/>
          <w:bCs/>
          <w:color w:val="000000"/>
        </w:rPr>
        <w:t>尽量</w:t>
      </w:r>
      <w:r>
        <w:rPr>
          <w:bCs/>
          <w:color w:val="000000"/>
        </w:rPr>
        <w:t>使结构的质量</w:t>
      </w:r>
      <w:r>
        <w:rPr>
          <w:rFonts w:hint="eastAsia"/>
          <w:bCs/>
          <w:color w:val="000000"/>
        </w:rPr>
        <w:t>分布</w:t>
      </w:r>
      <w:r>
        <w:rPr>
          <w:bCs/>
          <w:color w:val="000000"/>
        </w:rPr>
        <w:t>和刚度分布均匀，受力合理、变形协调。</w:t>
      </w:r>
    </w:p>
    <w:p>
      <w:pPr>
        <w:spacing w:line="300" w:lineRule="auto"/>
        <w:ind w:firstLine="420" w:firstLineChars="200"/>
        <w:rPr>
          <w:rFonts w:hint="eastAsia"/>
          <w:bCs/>
          <w:color w:val="000000"/>
        </w:rPr>
      </w:pPr>
      <w:r>
        <w:rPr>
          <w:rFonts w:hint="eastAsia"/>
          <w:bCs/>
          <w:color w:val="000000"/>
        </w:rPr>
        <w:t>2 钢结构厂房的刚度，一般较混凝土柱厂房要小，地震时容易发生碰撞。条文要求按计算确定防震缝的宽度，其值相当于要求遭遇罕遇地震作用时厂房基本不碰撞。防震缝宽度，是两侧厂房碰撞点高度的计算水平位移值之和，采用</w:t>
      </w:r>
      <w:r>
        <w:rPr>
          <w:rFonts w:hint="eastAsia"/>
          <w:bCs/>
          <w:i/>
          <w:iCs/>
          <w:color w:val="000000"/>
        </w:rPr>
        <w:t>q</w:t>
      </w:r>
      <w:r>
        <w:rPr>
          <w:rFonts w:hint="eastAsia"/>
          <w:bCs/>
          <w:color w:val="000000"/>
        </w:rPr>
        <w:t>=1计算时可取不小于两侧厂房碰撞点高度的水平位移计算值之和的6倍；采用</w:t>
      </w:r>
      <w:r>
        <w:rPr>
          <w:rFonts w:hint="eastAsia"/>
          <w:bCs/>
          <w:i/>
          <w:iCs/>
          <w:color w:val="000000"/>
        </w:rPr>
        <w:t>q</w:t>
      </w:r>
      <w:r>
        <w:rPr>
          <w:rFonts w:hint="eastAsia"/>
          <w:bCs/>
          <w:color w:val="000000"/>
        </w:rPr>
        <w:t>=1.5计算时，4倍；采用</w:t>
      </w:r>
      <w:r>
        <w:rPr>
          <w:rFonts w:hint="eastAsia"/>
          <w:bCs/>
          <w:i/>
          <w:iCs/>
          <w:color w:val="000000"/>
        </w:rPr>
        <w:t>q</w:t>
      </w:r>
      <w:r>
        <w:rPr>
          <w:rFonts w:hint="eastAsia"/>
          <w:bCs/>
          <w:color w:val="000000"/>
        </w:rPr>
        <w:t>=2计算时，3倍。一般情况下，确定防震缝宽度时，无需采用设防烈度地震进行重复计算，按上述简化方法估计即可。</w:t>
      </w:r>
    </w:p>
    <w:p>
      <w:pPr>
        <w:spacing w:line="300" w:lineRule="auto"/>
        <w:ind w:firstLine="420" w:firstLineChars="200"/>
        <w:rPr>
          <w:rFonts w:hint="eastAsia"/>
          <w:bCs/>
          <w:color w:val="000000"/>
        </w:rPr>
      </w:pPr>
      <w:r>
        <w:rPr>
          <w:bCs/>
          <w:color w:val="000000"/>
        </w:rPr>
        <w:t>单层钢结构厂房防震缝</w:t>
      </w:r>
      <w:r>
        <w:rPr>
          <w:rFonts w:hint="eastAsia"/>
          <w:bCs/>
          <w:color w:val="000000"/>
        </w:rPr>
        <w:t>与</w:t>
      </w:r>
      <w:r>
        <w:rPr>
          <w:bCs/>
          <w:color w:val="000000"/>
        </w:rPr>
        <w:t>温度伸缩缝</w:t>
      </w:r>
      <w:r>
        <w:rPr>
          <w:rFonts w:hint="eastAsia"/>
          <w:bCs/>
          <w:color w:val="000000"/>
        </w:rPr>
        <w:t>合一设计</w:t>
      </w:r>
      <w:r>
        <w:rPr>
          <w:bCs/>
          <w:color w:val="000000"/>
        </w:rPr>
        <w:t>。</w:t>
      </w:r>
      <w:r>
        <w:rPr>
          <w:rFonts w:hint="eastAsia"/>
          <w:bCs/>
          <w:color w:val="000000"/>
        </w:rPr>
        <w:t>轻型</w:t>
      </w:r>
      <w:r>
        <w:rPr>
          <w:bCs/>
          <w:color w:val="000000"/>
        </w:rPr>
        <w:t>围护单层厂房往往多跨连绵，横向整体宽度很大，但一般</w:t>
      </w:r>
      <w:r>
        <w:rPr>
          <w:rFonts w:hint="eastAsia"/>
          <w:bCs/>
          <w:color w:val="000000"/>
        </w:rPr>
        <w:t>可</w:t>
      </w:r>
      <w:r>
        <w:rPr>
          <w:bCs/>
          <w:color w:val="000000"/>
        </w:rPr>
        <w:t>不设置沿柱全高的双柱纵向伸缩缝，</w:t>
      </w:r>
      <w:r>
        <w:rPr>
          <w:rFonts w:hint="eastAsia"/>
          <w:bCs/>
          <w:color w:val="000000"/>
        </w:rPr>
        <w:t>而通过合理的构造形成防震缝（伸缩缝）。</w:t>
      </w:r>
    </w:p>
    <w:p>
      <w:pPr>
        <w:spacing w:line="300" w:lineRule="auto"/>
        <w:ind w:firstLine="420" w:firstLineChars="200"/>
        <w:rPr>
          <w:bCs/>
          <w:color w:val="000000"/>
        </w:rPr>
      </w:pPr>
      <w:r>
        <w:rPr>
          <w:rFonts w:hint="eastAsia"/>
          <w:bCs/>
          <w:color w:val="000000"/>
        </w:rPr>
        <w:t>3 单层厂房静力设计的侧移限值，由生产工艺要求、桥式起重机使用要求决定。计算分析表明，采用轻型墙屋面的厂房，抗震设计不必限制侧移，亦无需考虑二阶效应的影响。条文对采用砌体围护墙的厂房要求限制柱顶位移，是为了防止贴砌的砌体围护墙由于厂房结构位移过大而坍塌。</w:t>
      </w:r>
    </w:p>
    <w:p>
      <w:pPr>
        <w:spacing w:line="300" w:lineRule="auto"/>
        <w:ind w:firstLine="420" w:firstLineChars="200"/>
        <w:rPr>
          <w:rFonts w:hint="eastAsia"/>
          <w:bCs/>
          <w:color w:val="000000"/>
        </w:rPr>
      </w:pPr>
    </w:p>
    <w:p>
      <w:pPr>
        <w:autoSpaceDE w:val="0"/>
        <w:autoSpaceDN w:val="0"/>
        <w:spacing w:line="360" w:lineRule="auto"/>
        <w:jc w:val="center"/>
        <w:rPr>
          <w:bCs/>
          <w:color w:val="000000"/>
          <w:kern w:val="0"/>
          <w:szCs w:val="21"/>
        </w:rPr>
      </w:pPr>
      <w:r>
        <w:rPr>
          <w:rFonts w:hint="eastAsia"/>
          <w:bCs/>
          <w:color w:val="000000"/>
          <w:kern w:val="0"/>
          <w:szCs w:val="21"/>
        </w:rPr>
        <w:t>10</w:t>
      </w:r>
      <w:r>
        <w:rPr>
          <w:bCs/>
          <w:color w:val="000000"/>
          <w:kern w:val="0"/>
          <w:szCs w:val="21"/>
        </w:rPr>
        <w:t xml:space="preserve">.2 </w:t>
      </w:r>
      <w:r>
        <w:rPr>
          <w:rFonts w:hint="eastAsia"/>
          <w:bCs/>
          <w:color w:val="000000"/>
          <w:kern w:val="0"/>
          <w:szCs w:val="21"/>
        </w:rPr>
        <w:t>抗震验算（</w:t>
      </w:r>
      <w:r>
        <w:rPr>
          <w:bCs/>
          <w:color w:val="000000"/>
          <w:kern w:val="0"/>
          <w:szCs w:val="21"/>
        </w:rPr>
        <w:t>1</w:t>
      </w:r>
      <w:r>
        <w:rPr>
          <w:rFonts w:hint="eastAsia"/>
          <w:bCs/>
          <w:color w:val="000000"/>
          <w:kern w:val="0"/>
          <w:szCs w:val="21"/>
        </w:rPr>
        <w:t>）</w:t>
      </w:r>
      <w:r>
        <w:rPr>
          <w:bCs/>
          <w:color w:val="000000"/>
          <w:kern w:val="0"/>
          <w:szCs w:val="21"/>
        </w:rPr>
        <w:t>——</w:t>
      </w:r>
      <w:r>
        <w:rPr>
          <w:rFonts w:hint="eastAsia"/>
          <w:bCs/>
          <w:color w:val="000000"/>
          <w:kern w:val="0"/>
          <w:szCs w:val="21"/>
        </w:rPr>
        <w:t>结构地震作用计算</w:t>
      </w:r>
    </w:p>
    <w:p>
      <w:pPr>
        <w:autoSpaceDE w:val="0"/>
        <w:autoSpaceDN w:val="0"/>
        <w:spacing w:line="360" w:lineRule="auto"/>
        <w:jc w:val="center"/>
        <w:rPr>
          <w:rFonts w:hint="eastAsia"/>
          <w:bCs/>
          <w:color w:val="000000"/>
        </w:rPr>
      </w:pPr>
    </w:p>
    <w:p>
      <w:pPr>
        <w:spacing w:line="300" w:lineRule="auto"/>
        <w:ind w:firstLine="420" w:firstLineChars="200"/>
        <w:rPr>
          <w:rFonts w:hint="eastAsia"/>
          <w:bCs/>
          <w:color w:val="000000"/>
        </w:rPr>
      </w:pPr>
      <w:r>
        <w:rPr>
          <w:rFonts w:hint="eastAsia"/>
          <w:bCs/>
          <w:color w:val="000000"/>
        </w:rPr>
        <w:t>本节对单层钢结构厂房的抗震计算方法、计算模型、参数取值作出明确规定，并据其受力特征，补充条文9.2.2的性能系数取用规定。</w:t>
      </w:r>
    </w:p>
    <w:p>
      <w:pPr>
        <w:spacing w:line="300" w:lineRule="auto"/>
        <w:ind w:firstLine="420" w:firstLineChars="200"/>
        <w:rPr>
          <w:rFonts w:hint="eastAsia"/>
          <w:bCs/>
          <w:color w:val="000000"/>
        </w:rPr>
      </w:pPr>
      <w:r>
        <w:rPr>
          <w:rFonts w:hint="eastAsia"/>
          <w:bCs/>
          <w:color w:val="000000"/>
        </w:rPr>
        <w:t>1 结构受力和安全性是由风荷载作用控制而非地震作用控制的厂房，条文明确可以按非抗震钢结构进行设计。</w:t>
      </w:r>
    </w:p>
    <w:p>
      <w:pPr>
        <w:spacing w:line="300" w:lineRule="auto"/>
        <w:ind w:firstLine="420" w:firstLineChars="200"/>
        <w:rPr>
          <w:rFonts w:hint="eastAsia"/>
          <w:bCs/>
          <w:color w:val="000000"/>
        </w:rPr>
      </w:pPr>
      <w:r>
        <w:rPr>
          <w:rFonts w:hint="eastAsia"/>
          <w:bCs/>
          <w:color w:val="000000"/>
        </w:rPr>
        <w:t>2 H形截面的截面等级，主要描述绕强轴弯曲的性能。一般的单层厂房，纵向框架柱与梁（或杆件）铰接，不形成耗能机构，故其抗震性能取决于柱间支撑的性能，其结构类别通常可划归为弹性结构ES1，一般可采用</w:t>
      </w:r>
      <w:r>
        <w:rPr>
          <w:rFonts w:hint="eastAsia"/>
          <w:bCs/>
          <w:i/>
          <w:iCs/>
          <w:color w:val="000000"/>
        </w:rPr>
        <w:t>q</w:t>
      </w:r>
      <w:r>
        <w:rPr>
          <w:rFonts w:hint="eastAsia"/>
          <w:bCs/>
          <w:color w:val="000000"/>
        </w:rPr>
        <w:t>=2进行抗震分析。</w:t>
      </w:r>
    </w:p>
    <w:p>
      <w:pPr>
        <w:spacing w:line="300" w:lineRule="auto"/>
        <w:ind w:firstLine="420" w:firstLineChars="200"/>
        <w:rPr>
          <w:bCs/>
          <w:color w:val="000000"/>
        </w:rPr>
      </w:pPr>
      <w:r>
        <w:rPr>
          <w:rFonts w:hint="eastAsia"/>
          <w:bCs/>
          <w:color w:val="000000"/>
        </w:rPr>
        <w:t xml:space="preserve">3 </w:t>
      </w:r>
      <w:r>
        <w:rPr>
          <w:bCs/>
          <w:color w:val="000000"/>
        </w:rPr>
        <w:t>厂房正常使用状态和地震作用状态的荷载差异较大</w:t>
      </w:r>
      <w:r>
        <w:rPr>
          <w:rFonts w:hint="eastAsia"/>
          <w:bCs/>
          <w:color w:val="000000"/>
        </w:rPr>
        <w:t>，并</w:t>
      </w:r>
      <w:r>
        <w:rPr>
          <w:bCs/>
          <w:color w:val="000000"/>
        </w:rPr>
        <w:t>起重机荷载的移动</w:t>
      </w:r>
      <w:r>
        <w:rPr>
          <w:rFonts w:hint="eastAsia"/>
          <w:bCs/>
          <w:color w:val="000000"/>
        </w:rPr>
        <w:t>属性，皆</w:t>
      </w:r>
      <w:r>
        <w:rPr>
          <w:bCs/>
          <w:color w:val="000000"/>
        </w:rPr>
        <w:t>赋予</w:t>
      </w:r>
      <w:r>
        <w:rPr>
          <w:rFonts w:hint="eastAsia"/>
          <w:bCs/>
          <w:color w:val="000000"/>
        </w:rPr>
        <w:t>支承桥式起重机的格构</w:t>
      </w:r>
      <w:r>
        <w:rPr>
          <w:bCs/>
          <w:color w:val="000000"/>
        </w:rPr>
        <w:t>下</w:t>
      </w:r>
      <w:r>
        <w:rPr>
          <w:rFonts w:hint="eastAsia"/>
          <w:bCs/>
          <w:color w:val="000000"/>
        </w:rPr>
        <w:t>柱的</w:t>
      </w:r>
      <w:r>
        <w:rPr>
          <w:bCs/>
          <w:color w:val="000000"/>
        </w:rPr>
        <w:t>抗震能力储备较大</w:t>
      </w:r>
      <w:r>
        <w:rPr>
          <w:rFonts w:hint="eastAsia"/>
          <w:bCs/>
          <w:color w:val="000000"/>
        </w:rPr>
        <w:t>，</w:t>
      </w:r>
      <w:r>
        <w:rPr>
          <w:bCs/>
          <w:color w:val="000000"/>
        </w:rPr>
        <w:t>起重机的吨位越大格构下柱的</w:t>
      </w:r>
      <w:r>
        <w:rPr>
          <w:rFonts w:hint="eastAsia"/>
          <w:bCs/>
          <w:color w:val="000000"/>
        </w:rPr>
        <w:t>能力储备</w:t>
      </w:r>
      <w:r>
        <w:rPr>
          <w:bCs/>
          <w:color w:val="000000"/>
        </w:rPr>
        <w:t>就越大</w:t>
      </w:r>
      <w:r>
        <w:rPr>
          <w:rFonts w:hint="eastAsia"/>
          <w:bCs/>
          <w:color w:val="000000"/>
        </w:rPr>
        <w:t>。</w:t>
      </w:r>
      <w:r>
        <w:rPr>
          <w:bCs/>
          <w:color w:val="000000"/>
        </w:rPr>
        <w:t>唐山地震</w:t>
      </w:r>
      <w:r>
        <w:rPr>
          <w:rFonts w:hint="eastAsia"/>
          <w:bCs/>
          <w:color w:val="000000"/>
        </w:rPr>
        <w:t>、阪神地震</w:t>
      </w:r>
      <w:r>
        <w:rPr>
          <w:bCs/>
          <w:color w:val="000000"/>
        </w:rPr>
        <w:t>的震害调查资料表明，未见有单层钢结构厂房格构柱的震害发生。</w:t>
      </w:r>
    </w:p>
    <w:p>
      <w:pPr>
        <w:spacing w:line="300" w:lineRule="auto"/>
        <w:ind w:firstLine="420" w:firstLineChars="200"/>
        <w:rPr>
          <w:bCs/>
          <w:color w:val="000000"/>
        </w:rPr>
      </w:pPr>
      <w:r>
        <w:rPr>
          <w:bCs/>
          <w:color w:val="000000"/>
        </w:rPr>
        <w:t>格构式截面几乎</w:t>
      </w:r>
      <w:r>
        <w:rPr>
          <w:rFonts w:hint="eastAsia"/>
          <w:bCs/>
          <w:color w:val="000000"/>
        </w:rPr>
        <w:t>无</w:t>
      </w:r>
      <w:r>
        <w:rPr>
          <w:bCs/>
          <w:color w:val="000000"/>
        </w:rPr>
        <w:t>塑性展开的能力，格构杆件处于拉压</w:t>
      </w:r>
      <w:r>
        <w:rPr>
          <w:rFonts w:hint="eastAsia"/>
          <w:bCs/>
          <w:color w:val="000000"/>
        </w:rPr>
        <w:t>工作</w:t>
      </w:r>
      <w:r>
        <w:rPr>
          <w:bCs/>
          <w:color w:val="000000"/>
        </w:rPr>
        <w:t>状态，</w:t>
      </w:r>
      <w:r>
        <w:rPr>
          <w:rFonts w:hint="eastAsia"/>
          <w:bCs/>
          <w:color w:val="000000"/>
        </w:rPr>
        <w:t>不会</w:t>
      </w:r>
      <w:r>
        <w:rPr>
          <w:bCs/>
          <w:color w:val="000000"/>
        </w:rPr>
        <w:t>形成耗能机构。</w:t>
      </w:r>
      <w:r>
        <w:rPr>
          <w:rFonts w:hint="eastAsia"/>
          <w:bCs/>
          <w:color w:val="000000"/>
        </w:rPr>
        <w:t>日本</w:t>
      </w:r>
      <w:r>
        <w:rPr>
          <w:bCs/>
          <w:color w:val="000000"/>
        </w:rPr>
        <w:t>格构</w:t>
      </w:r>
      <w:r>
        <w:rPr>
          <w:rFonts w:hint="eastAsia"/>
          <w:bCs/>
          <w:color w:val="000000"/>
        </w:rPr>
        <w:t>构件的试验表明，格构构件</w:t>
      </w:r>
      <w:r>
        <w:rPr>
          <w:bCs/>
          <w:color w:val="000000"/>
        </w:rPr>
        <w:t>的塑性仅仅产生在构件端部。虽然端部的杆件本身具有较大的变形能力，但在整体变形中所占的比例一般都较小</w:t>
      </w:r>
      <w:r>
        <w:rPr>
          <w:rFonts w:hint="eastAsia"/>
          <w:bCs/>
          <w:color w:val="000000"/>
        </w:rPr>
        <w:t>。</w:t>
      </w:r>
    </w:p>
    <w:p>
      <w:pPr>
        <w:spacing w:line="300" w:lineRule="auto"/>
        <w:ind w:firstLine="420" w:firstLineChars="200"/>
        <w:rPr>
          <w:rFonts w:hint="eastAsia"/>
          <w:bCs/>
          <w:color w:val="000000"/>
        </w:rPr>
      </w:pPr>
      <w:r>
        <w:rPr>
          <w:rFonts w:hint="eastAsia"/>
          <w:bCs/>
          <w:color w:val="000000"/>
        </w:rPr>
        <w:t>一般情况下，格构下柱的刚度比上柱要大得多。计算分析表明，强烈地震作用下，轻屋盖单层厂房横向框架的塑性铰（最大应力区）位置在上柱底部，不在格构下柱。换言之，设置桥式起重机的单层厂房横向框架的结构类别，一般可认为是由其上柱与屋盖横梁构成的框架所决定。当格构下柱与生产操作平台或其他构筑物连接成整体时，可改变其受力特征，则需据具体情况分析决定。</w:t>
      </w:r>
    </w:p>
    <w:p>
      <w:pPr>
        <w:spacing w:line="300" w:lineRule="auto"/>
        <w:ind w:firstLine="420" w:firstLineChars="200"/>
        <w:rPr>
          <w:rFonts w:hint="eastAsia"/>
          <w:bCs/>
          <w:color w:val="000000"/>
        </w:rPr>
      </w:pPr>
      <w:r>
        <w:rPr>
          <w:rFonts w:hint="eastAsia"/>
          <w:bCs/>
          <w:color w:val="000000"/>
        </w:rPr>
        <w:t>综上所述，支承桥式起重机的格构下柱既无需耗能，也不能耗能，并且一般都有较大的抗震承载力储备，故通常可按弹性结构ES1的要求进行抗震设计。</w:t>
      </w:r>
    </w:p>
    <w:p>
      <w:pPr>
        <w:spacing w:line="300" w:lineRule="auto"/>
        <w:ind w:firstLine="420" w:firstLineChars="200"/>
        <w:rPr>
          <w:rFonts w:hint="eastAsia"/>
          <w:bCs/>
          <w:color w:val="000000"/>
        </w:rPr>
      </w:pPr>
      <w:r>
        <w:rPr>
          <w:rFonts w:hint="eastAsia"/>
          <w:bCs/>
          <w:color w:val="000000"/>
        </w:rPr>
        <w:t>4 厂房横向地震作用计算，应采用能反映厂房横向框架地震反应特点的单质点、两质点和多质点计算模型。</w:t>
      </w:r>
    </w:p>
    <w:p>
      <w:pPr>
        <w:spacing w:line="300" w:lineRule="auto"/>
        <w:ind w:firstLine="420" w:firstLineChars="200"/>
        <w:rPr>
          <w:rFonts w:hint="eastAsia"/>
          <w:bCs/>
          <w:color w:val="000000"/>
        </w:rPr>
      </w:pPr>
      <w:r>
        <w:rPr>
          <w:rFonts w:hint="eastAsia"/>
          <w:bCs/>
          <w:color w:val="000000"/>
        </w:rPr>
        <w:t>乘以增大系数以考虑高振型影响的经验简化方法，仅适用于钢筋混凝土柱厂房。横向或纵向不等高的厂房，不能采用底部剪力法计算，更不可采用乘以增大系数的方法来考虑高振型的影响，而应采用多质点模型振型分解反应谱法等方法计算分析。</w:t>
      </w:r>
    </w:p>
    <w:p>
      <w:pPr>
        <w:spacing w:line="300" w:lineRule="auto"/>
        <w:ind w:firstLine="420" w:firstLineChars="200"/>
        <w:rPr>
          <w:rFonts w:hint="eastAsia"/>
          <w:bCs/>
          <w:color w:val="000000"/>
        </w:rPr>
      </w:pPr>
      <w:r>
        <w:rPr>
          <w:rFonts w:hint="eastAsia"/>
          <w:bCs/>
          <w:color w:val="000000"/>
        </w:rPr>
        <w:t>5 厂房的纵向地震作用计算，可采用底部剪力法。鉴于反应谱曲线下降段的地震作用影响系数变化梯度大，结构的自振周期对地震作用的取值很敏感。考虑到围护墙对边柱列的刚度贡献很难准确预计，计算纵向柱列框架的地震作用时，可能会使所得的纵向中间柱列框架的基本周期相对偏长，因此厂房纵向中间柱列框架的计算周期宜采用折减系数予以修正。</w:t>
      </w:r>
    </w:p>
    <w:p>
      <w:pPr>
        <w:spacing w:line="300" w:lineRule="auto"/>
        <w:ind w:firstLine="420" w:firstLineChars="200"/>
        <w:rPr>
          <w:bCs/>
          <w:color w:val="000000"/>
        </w:rPr>
      </w:pPr>
      <w:r>
        <w:rPr>
          <w:rFonts w:hint="eastAsia"/>
          <w:bCs/>
          <w:color w:val="000000"/>
        </w:rPr>
        <w:t>6 纵向框架，H形截面弱轴受弯布置时，柱间支撑约承担85%以上水平地震作用，钢柱承担的很小。外露式柱脚属于半刚性连接，纵向柱列的锚栓间距小。采用这些传统构造做法的厂房纵向柱列框架，从其力学特征和为了简化计算考虑，基本都按柱脚铰接计算。然而，目前厂房广泛采用插入式柱脚，而钢管混凝土、钢管格构下柱和强轴受弯H截面双肢格构下柱采用插入式柱脚，可以承担较大的水平地震作用，已不宜采用柱脚铰接计算。</w:t>
      </w:r>
    </w:p>
    <w:p>
      <w:pPr>
        <w:spacing w:line="300" w:lineRule="auto"/>
        <w:ind w:firstLine="420" w:firstLineChars="200"/>
        <w:rPr>
          <w:rFonts w:hint="eastAsia"/>
          <w:bCs/>
          <w:color w:val="000000"/>
        </w:rPr>
      </w:pPr>
    </w:p>
    <w:p>
      <w:pPr>
        <w:spacing w:line="300" w:lineRule="auto"/>
        <w:jc w:val="center"/>
        <w:rPr>
          <w:bCs/>
          <w:color w:val="000000"/>
          <w:kern w:val="0"/>
          <w:szCs w:val="21"/>
        </w:rPr>
      </w:pPr>
      <w:r>
        <w:rPr>
          <w:rFonts w:hint="eastAsia"/>
          <w:bCs/>
          <w:color w:val="000000"/>
          <w:kern w:val="0"/>
          <w:szCs w:val="21"/>
        </w:rPr>
        <w:t>10</w:t>
      </w:r>
      <w:r>
        <w:rPr>
          <w:bCs/>
          <w:color w:val="000000"/>
          <w:kern w:val="0"/>
          <w:szCs w:val="21"/>
        </w:rPr>
        <w:t xml:space="preserve">.3 </w:t>
      </w:r>
      <w:r>
        <w:rPr>
          <w:rFonts w:hint="eastAsia"/>
          <w:bCs/>
          <w:color w:val="000000"/>
          <w:kern w:val="0"/>
          <w:szCs w:val="21"/>
        </w:rPr>
        <w:t>抗震验算（</w:t>
      </w:r>
      <w:r>
        <w:rPr>
          <w:bCs/>
          <w:color w:val="000000"/>
          <w:kern w:val="0"/>
          <w:szCs w:val="21"/>
        </w:rPr>
        <w:t>2</w:t>
      </w:r>
      <w:r>
        <w:rPr>
          <w:rFonts w:hint="eastAsia"/>
          <w:bCs/>
          <w:color w:val="000000"/>
          <w:kern w:val="0"/>
          <w:szCs w:val="21"/>
        </w:rPr>
        <w:t>）</w:t>
      </w:r>
      <w:r>
        <w:rPr>
          <w:bCs/>
          <w:color w:val="000000"/>
          <w:kern w:val="0"/>
          <w:szCs w:val="21"/>
        </w:rPr>
        <w:t>——</w:t>
      </w:r>
      <w:r>
        <w:rPr>
          <w:rFonts w:hint="eastAsia"/>
          <w:bCs/>
          <w:color w:val="000000"/>
          <w:kern w:val="0"/>
          <w:szCs w:val="21"/>
        </w:rPr>
        <w:t>结构构件地震作用及效应的调整</w:t>
      </w:r>
    </w:p>
    <w:p>
      <w:pPr>
        <w:spacing w:line="300" w:lineRule="auto"/>
        <w:jc w:val="center"/>
        <w:rPr>
          <w:rFonts w:hint="eastAsia"/>
          <w:bCs/>
          <w:color w:val="000000"/>
        </w:rPr>
      </w:pPr>
    </w:p>
    <w:p>
      <w:pPr>
        <w:spacing w:line="300" w:lineRule="auto"/>
        <w:ind w:firstLine="420" w:firstLineChars="200"/>
        <w:rPr>
          <w:rFonts w:hint="eastAsia"/>
          <w:bCs/>
          <w:color w:val="000000"/>
        </w:rPr>
      </w:pPr>
      <w:r>
        <w:rPr>
          <w:rFonts w:hint="eastAsia"/>
          <w:bCs/>
          <w:color w:val="000000"/>
        </w:rPr>
        <w:t>据单层厂房框架的受力特征，对需要</w:t>
      </w:r>
      <w:r>
        <w:rPr>
          <w:bCs/>
          <w:color w:val="000000"/>
          <w:kern w:val="0"/>
          <w:szCs w:val="21"/>
        </w:rPr>
        <w:t>调整地震作用</w:t>
      </w:r>
      <w:r>
        <w:rPr>
          <w:rFonts w:hint="eastAsia"/>
          <w:bCs/>
          <w:color w:val="000000"/>
          <w:kern w:val="0"/>
          <w:szCs w:val="21"/>
        </w:rPr>
        <w:t>和</w:t>
      </w:r>
      <w:r>
        <w:rPr>
          <w:bCs/>
          <w:color w:val="000000"/>
          <w:kern w:val="0"/>
          <w:szCs w:val="21"/>
        </w:rPr>
        <w:t>效应的</w:t>
      </w:r>
      <w:r>
        <w:rPr>
          <w:rFonts w:hint="eastAsia"/>
          <w:bCs/>
          <w:color w:val="000000"/>
          <w:kern w:val="0"/>
          <w:szCs w:val="21"/>
        </w:rPr>
        <w:t>构件，以及调整方法作出规定。</w:t>
      </w:r>
    </w:p>
    <w:p>
      <w:pPr>
        <w:spacing w:line="300" w:lineRule="auto"/>
        <w:ind w:firstLine="420" w:firstLineChars="200"/>
        <w:rPr>
          <w:bCs/>
          <w:color w:val="000000"/>
        </w:rPr>
      </w:pPr>
      <w:r>
        <w:rPr>
          <w:rFonts w:hint="eastAsia"/>
          <w:bCs/>
          <w:color w:val="000000"/>
        </w:rPr>
        <w:t xml:space="preserve">1. </w:t>
      </w:r>
      <w:r>
        <w:rPr>
          <w:rFonts w:ascii="宋体" w:hAnsi="宋体"/>
          <w:bCs/>
          <w:color w:val="000000"/>
        </w:rPr>
        <w:t>柱间支撑</w:t>
      </w:r>
      <w:r>
        <w:rPr>
          <w:rFonts w:hint="eastAsia" w:ascii="宋体" w:hAnsi="宋体"/>
          <w:bCs/>
          <w:color w:val="000000"/>
        </w:rPr>
        <w:t>框架的设计，</w:t>
      </w:r>
      <w:r>
        <w:rPr>
          <w:bCs/>
          <w:color w:val="000000"/>
        </w:rPr>
        <w:t>不只是支撑斜杆及其连接，而应该把与其连接的柱、梁</w:t>
      </w:r>
      <w:r>
        <w:rPr>
          <w:rFonts w:hint="eastAsia"/>
          <w:bCs/>
          <w:color w:val="000000"/>
        </w:rPr>
        <w:t>和基础、柱脚</w:t>
      </w:r>
      <w:r>
        <w:rPr>
          <w:bCs/>
          <w:color w:val="000000"/>
        </w:rPr>
        <w:t>作为</w:t>
      </w:r>
      <w:r>
        <w:rPr>
          <w:rFonts w:hint="eastAsia"/>
          <w:bCs/>
          <w:color w:val="000000"/>
        </w:rPr>
        <w:t>柱间</w:t>
      </w:r>
      <w:r>
        <w:rPr>
          <w:bCs/>
          <w:color w:val="000000"/>
        </w:rPr>
        <w:t>支撑框架系统整体加以考虑。</w:t>
      </w:r>
    </w:p>
    <w:p>
      <w:pPr>
        <w:spacing w:line="300" w:lineRule="auto"/>
        <w:ind w:firstLine="420" w:firstLineChars="200"/>
        <w:rPr>
          <w:rFonts w:hint="eastAsia"/>
          <w:bCs/>
          <w:color w:val="000000"/>
        </w:rPr>
      </w:pPr>
      <w:r>
        <w:rPr>
          <w:rFonts w:hint="eastAsia" w:ascii="宋体" w:hAnsi="宋体"/>
          <w:bCs/>
          <w:color w:val="000000"/>
        </w:rPr>
        <w:t>（1）采用受拉强度型</w:t>
      </w:r>
      <w:r>
        <w:rPr>
          <w:rFonts w:hint="eastAsia"/>
          <w:bCs/>
          <w:color w:val="000000"/>
        </w:rPr>
        <w:t>柱间支撑框架系统的抗震设计原则是“</w:t>
      </w:r>
      <w:r>
        <w:rPr>
          <w:rFonts w:hint="eastAsia"/>
          <w:bCs/>
          <w:color w:val="000000"/>
          <w:szCs w:val="21"/>
        </w:rPr>
        <w:t>支撑斜杆必须先于相连梁柱屈曲和连接破裂之前受拉屈服”。单层厂房</w:t>
      </w:r>
      <w:r>
        <w:rPr>
          <w:rFonts w:hint="eastAsia"/>
          <w:bCs/>
          <w:color w:val="000000"/>
        </w:rPr>
        <w:t>可采用“设防烈度作用下钢柱不</w:t>
      </w:r>
      <w:r>
        <w:rPr>
          <w:rFonts w:hint="eastAsia" w:ascii="宋体" w:hAnsi="宋体"/>
          <w:bCs/>
          <w:color w:val="000000"/>
        </w:rPr>
        <w:t>屈曲，</w:t>
      </w:r>
      <w:r>
        <w:rPr>
          <w:rFonts w:hint="eastAsia"/>
          <w:bCs/>
          <w:color w:val="000000"/>
        </w:rPr>
        <w:t>或支撑屈服时钢柱不屈曲”作为抗震设计控制准则。换言之，采用设防烈度的地震动参数计算，X形支撑的拉力作用下上柱不屈曲，就满足了抗震要求。</w:t>
      </w:r>
    </w:p>
    <w:p>
      <w:pPr>
        <w:spacing w:line="300" w:lineRule="auto"/>
        <w:ind w:firstLine="420" w:firstLineChars="200"/>
        <w:rPr>
          <w:rFonts w:hint="eastAsia"/>
          <w:bCs/>
          <w:color w:val="000000"/>
        </w:rPr>
      </w:pPr>
      <w:r>
        <w:rPr>
          <w:rFonts w:hint="eastAsia"/>
          <w:bCs/>
          <w:color w:val="000000"/>
        </w:rPr>
        <w:t>柱间支撑不宜过小，也不宜过大。轻屋盖单层厂房的X形布置支撑，适宜于采用拉伸强度型支撑（B2-2级，B3级长细比大于130时）。震害调查表明，拉伸强度型支撑易使H形截面上柱绕弱轴整体失稳。条文要求X形支撑受拉杆的应力比，大体上是使支撑杆遭遇设防烈度地震时基本能达到屈服状态。同时，要求对上柱验算支撑屈服条件下的稳定性和柱间支撑开间柱顶系杆的稳定性。斜杆与柱顶连接、尖顶与吊车梁系统连接的V形上柱支撑，与X形支撑同等要求。</w:t>
      </w:r>
    </w:p>
    <w:p>
      <w:pPr>
        <w:spacing w:line="300" w:lineRule="auto"/>
        <w:ind w:firstLine="420" w:firstLineChars="200"/>
        <w:rPr>
          <w:rFonts w:hint="eastAsia"/>
          <w:bCs/>
          <w:color w:val="000000"/>
        </w:rPr>
      </w:pPr>
      <w:r>
        <w:rPr>
          <w:rFonts w:hint="eastAsia"/>
          <w:bCs/>
          <w:color w:val="000000"/>
        </w:rPr>
        <w:t>支撑过大或过强，可能导致钢柱整体屈曲。因此，支撑杆宜采用GJ钢。施工现场支撑杆采用高强钢替代低碳钢应由计算确定。</w:t>
      </w:r>
    </w:p>
    <w:p>
      <w:pPr>
        <w:spacing w:line="400" w:lineRule="atLeast"/>
        <w:ind w:firstLine="420" w:firstLineChars="200"/>
        <w:rPr>
          <w:bCs/>
          <w:color w:val="000000"/>
        </w:rPr>
      </w:pPr>
      <w:r>
        <w:rPr>
          <w:bCs/>
          <w:color w:val="000000"/>
        </w:rPr>
        <w:t>（2）</w:t>
      </w:r>
      <w:r>
        <w:rPr>
          <w:rFonts w:hint="eastAsia"/>
          <w:bCs/>
          <w:color w:val="000000"/>
        </w:rPr>
        <w:t>长细比大于130的支撑，可按单根支撑受拉计算，也可按拉压共同作用计算。长细比大于55时，考虑拉压杆共同作用可</w:t>
      </w:r>
      <w:r>
        <w:rPr>
          <w:bCs/>
          <w:color w:val="000000"/>
        </w:rPr>
        <w:t>采用下式进行验算：</w:t>
      </w:r>
    </w:p>
    <w:p>
      <w:pPr>
        <w:snapToGrid w:val="0"/>
        <w:ind w:firstLine="411" w:firstLineChars="196"/>
        <w:jc w:val="right"/>
        <w:rPr>
          <w:bCs/>
          <w:color w:val="000000"/>
        </w:rPr>
      </w:pPr>
      <w:r>
        <w:rPr>
          <w:bCs/>
          <w:color w:val="000000"/>
          <w:position w:val="-28"/>
        </w:rPr>
        <w:object>
          <v:shape id="_x0000_i1269" o:spt="75" type="#_x0000_t75" style="height:31.95pt;width:180pt;" o:ole="t" filled="f" stroked="f" coordsize="21600,21600">
            <v:path/>
            <v:fill on="f" focussize="0,0"/>
            <v:stroke on="f"/>
            <v:imagedata r:id="rId574" o:title=""/>
            <o:lock v:ext="edit" grouping="f" rotation="f" text="f" aspectratio="t"/>
            <w10:wrap type="none"/>
            <w10:anchorlock/>
          </v:shape>
          <o:OLEObject Type="Embed" ProgID="Equation.KSEE3" ShapeID="_x0000_i1269" DrawAspect="Content" ObjectID="_1468075959" r:id="rId573">
            <o:LockedField>false</o:LockedField>
          </o:OLEObject>
        </w:object>
      </w:r>
      <w:r>
        <w:rPr>
          <w:rFonts w:hint="eastAsia"/>
          <w:bCs/>
          <w:color w:val="000000"/>
        </w:rPr>
        <w:t xml:space="preserve">       </w:t>
      </w:r>
      <w:r>
        <w:rPr>
          <w:bCs/>
          <w:color w:val="000000"/>
        </w:rPr>
        <w:t xml:space="preserve">     </w:t>
      </w:r>
      <w:r>
        <w:rPr>
          <w:bCs/>
          <w:color w:val="000000"/>
        </w:rPr>
        <w:tab/>
      </w:r>
      <w:r>
        <w:rPr>
          <w:bCs/>
          <w:color w:val="000000"/>
        </w:rPr>
        <w:tab/>
      </w:r>
      <w:r>
        <w:rPr>
          <w:bCs/>
          <w:color w:val="000000"/>
        </w:rPr>
        <w:t>（</w:t>
      </w:r>
      <w:r>
        <w:rPr>
          <w:rFonts w:hint="eastAsia"/>
          <w:bCs/>
          <w:color w:val="000000"/>
        </w:rPr>
        <w:t>1</w:t>
      </w:r>
      <w:r>
        <w:rPr>
          <w:bCs/>
          <w:color w:val="000000"/>
        </w:rPr>
        <w:t>）</w:t>
      </w:r>
    </w:p>
    <w:p>
      <w:pPr>
        <w:pStyle w:val="20"/>
        <w:spacing w:line="400" w:lineRule="atLeast"/>
        <w:ind w:left="0" w:leftChars="0" w:firstLine="0" w:firstLineChars="0"/>
        <w:rPr>
          <w:bCs/>
          <w:color w:val="000000"/>
          <w:sz w:val="21"/>
        </w:rPr>
      </w:pPr>
      <w:r>
        <w:rPr>
          <w:bCs/>
          <w:color w:val="000000"/>
          <w:sz w:val="21"/>
        </w:rPr>
        <w:t>式中</w:t>
      </w:r>
      <w:r>
        <w:rPr>
          <w:rFonts w:hint="eastAsia"/>
          <w:bCs/>
          <w:color w:val="000000"/>
          <w:sz w:val="21"/>
        </w:rPr>
        <w:t>：</w:t>
      </w:r>
      <w:r>
        <w:rPr>
          <w:bCs/>
          <w:i/>
          <w:color w:val="000000"/>
          <w:sz w:val="21"/>
        </w:rPr>
        <w:t>N</w:t>
      </w:r>
      <w:r>
        <w:rPr>
          <w:bCs/>
          <w:color w:val="000000"/>
          <w:sz w:val="21"/>
          <w:vertAlign w:val="subscript"/>
        </w:rPr>
        <w:t>t</w:t>
      </w:r>
      <w:r>
        <w:rPr>
          <w:rFonts w:hint="eastAsia"/>
          <w:bCs/>
          <w:color w:val="000000"/>
          <w:sz w:val="21"/>
        </w:rPr>
        <w:t>——</w:t>
      </w:r>
      <w:r>
        <w:rPr>
          <w:bCs/>
          <w:color w:val="000000"/>
          <w:sz w:val="21"/>
        </w:rPr>
        <w:t>第</w:t>
      </w:r>
      <w:r>
        <w:rPr>
          <w:bCs/>
          <w:i/>
          <w:color w:val="000000"/>
          <w:sz w:val="21"/>
        </w:rPr>
        <w:t>i</w:t>
      </w:r>
      <w:r>
        <w:rPr>
          <w:bCs/>
          <w:color w:val="000000"/>
          <w:sz w:val="21"/>
        </w:rPr>
        <w:t>节间支撑斜杆抗拉验算时的轴向拉力设计值；</w:t>
      </w:r>
    </w:p>
    <w:p>
      <w:pPr>
        <w:pStyle w:val="20"/>
        <w:spacing w:line="400" w:lineRule="atLeast"/>
        <w:ind w:firstLine="218" w:firstLineChars="104"/>
        <w:rPr>
          <w:bCs/>
          <w:color w:val="000000"/>
          <w:sz w:val="21"/>
        </w:rPr>
      </w:pPr>
      <w:r>
        <w:rPr>
          <w:bCs/>
          <w:i/>
          <w:color w:val="000000"/>
          <w:sz w:val="21"/>
        </w:rPr>
        <w:t>V</w:t>
      </w:r>
      <w:r>
        <w:rPr>
          <w:bCs/>
          <w:i/>
          <w:color w:val="000000"/>
          <w:sz w:val="21"/>
          <w:vertAlign w:val="subscript"/>
        </w:rPr>
        <w:t>bi</w:t>
      </w:r>
      <w:r>
        <w:rPr>
          <w:rFonts w:hint="eastAsia"/>
          <w:bCs/>
          <w:color w:val="000000"/>
          <w:sz w:val="21"/>
        </w:rPr>
        <w:t>——</w:t>
      </w:r>
      <w:r>
        <w:rPr>
          <w:bCs/>
          <w:color w:val="000000"/>
          <w:sz w:val="21"/>
        </w:rPr>
        <w:t>第</w:t>
      </w:r>
      <w:r>
        <w:rPr>
          <w:bCs/>
          <w:i/>
          <w:color w:val="000000"/>
          <w:sz w:val="21"/>
        </w:rPr>
        <w:t>i</w:t>
      </w:r>
      <w:r>
        <w:rPr>
          <w:bCs/>
          <w:color w:val="000000"/>
          <w:sz w:val="21"/>
        </w:rPr>
        <w:t>节间支撑承受的地震剪力设计值；</w:t>
      </w:r>
    </w:p>
    <w:p>
      <w:pPr>
        <w:pStyle w:val="20"/>
        <w:spacing w:line="400" w:lineRule="atLeast"/>
        <w:ind w:firstLine="218" w:firstLineChars="104"/>
        <w:rPr>
          <w:bCs/>
          <w:color w:val="000000"/>
          <w:sz w:val="21"/>
        </w:rPr>
      </w:pPr>
      <w:r>
        <w:rPr>
          <w:bCs/>
          <w:i/>
          <w:color w:val="000000"/>
          <w:position w:val="-10"/>
          <w:sz w:val="21"/>
        </w:rPr>
        <w:object>
          <v:shape id="_x0000_i1270" o:spt="75" type="#_x0000_t75" style="height:16pt;width:12pt;" o:ole="t" filled="f" o:preferrelative="t" stroked="f" coordsize="21600,21600">
            <v:path/>
            <v:fill on="f" focussize="0,0"/>
            <v:stroke on="f"/>
            <v:imagedata r:id="rId576" o:title=""/>
            <o:lock v:ext="edit" grouping="f" rotation="f" text="f" aspectratio="t"/>
            <w10:wrap type="none"/>
            <w10:anchorlock/>
          </v:shape>
          <o:OLEObject Type="Embed" ProgID="Equation.3" ShapeID="_x0000_i1270" DrawAspect="Content" ObjectID="_1468075960" r:id="rId575">
            <o:LockedField>false</o:LockedField>
          </o:OLEObject>
        </w:object>
      </w:r>
      <w:r>
        <w:rPr>
          <w:rFonts w:hint="eastAsia"/>
          <w:bCs/>
          <w:color w:val="000000"/>
          <w:sz w:val="21"/>
        </w:rPr>
        <w:t>——</w:t>
      </w:r>
      <w:r>
        <w:rPr>
          <w:bCs/>
          <w:color w:val="000000"/>
          <w:sz w:val="21"/>
        </w:rPr>
        <w:t>第</w:t>
      </w:r>
      <w:r>
        <w:rPr>
          <w:bCs/>
          <w:i/>
          <w:color w:val="000000"/>
          <w:sz w:val="21"/>
        </w:rPr>
        <w:t>i</w:t>
      </w:r>
      <w:r>
        <w:rPr>
          <w:bCs/>
          <w:color w:val="000000"/>
          <w:sz w:val="21"/>
        </w:rPr>
        <w:t>节间支撑斜杆的轴心受压稳定系数；</w:t>
      </w:r>
    </w:p>
    <w:p>
      <w:pPr>
        <w:pStyle w:val="20"/>
        <w:spacing w:line="400" w:lineRule="atLeast"/>
        <w:ind w:firstLine="218" w:firstLineChars="104"/>
        <w:rPr>
          <w:bCs/>
          <w:color w:val="000000"/>
          <w:sz w:val="21"/>
        </w:rPr>
      </w:pPr>
      <w:r>
        <w:rPr>
          <w:bCs/>
          <w:i/>
          <w:color w:val="000000"/>
          <w:position w:val="-6"/>
          <w:sz w:val="21"/>
        </w:rPr>
        <w:object>
          <v:shape id="_x0000_i1271" o:spt="75" type="#_x0000_t75" style="height:13pt;width:10pt;" o:ole="t" filled="f" o:preferrelative="t" stroked="f" coordsize="21600,21600">
            <v:path/>
            <v:fill on="f" focussize="0,0"/>
            <v:stroke on="f"/>
            <v:imagedata r:id="rId578" o:title=""/>
            <o:lock v:ext="edit" grouping="f" rotation="f" text="f" aspectratio="t"/>
            <w10:wrap type="none"/>
            <w10:anchorlock/>
          </v:shape>
          <o:OLEObject Type="Embed" ProgID="Equation.3" ShapeID="_x0000_i1271" DrawAspect="Content" ObjectID="_1468075961" r:id="rId577">
            <o:LockedField>false</o:LockedField>
          </o:OLEObject>
        </w:object>
      </w:r>
      <w:r>
        <w:rPr>
          <w:rFonts w:hint="eastAsia"/>
          <w:bCs/>
          <w:color w:val="000000"/>
          <w:sz w:val="21"/>
        </w:rPr>
        <w:t>——</w:t>
      </w:r>
      <w:r>
        <w:rPr>
          <w:bCs/>
          <w:color w:val="000000"/>
          <w:sz w:val="21"/>
        </w:rPr>
        <w:t>支撑斜杆与水平面的夹角。</w:t>
      </w:r>
    </w:p>
    <w:p>
      <w:pPr>
        <w:spacing w:line="300" w:lineRule="auto"/>
        <w:ind w:firstLine="420" w:firstLineChars="200"/>
        <w:rPr>
          <w:rFonts w:hint="eastAsia"/>
          <w:bCs/>
          <w:color w:val="000000"/>
        </w:rPr>
      </w:pPr>
      <w:r>
        <w:rPr>
          <w:rFonts w:hint="eastAsia"/>
          <w:bCs/>
          <w:color w:val="000000"/>
        </w:rPr>
        <w:t>（3）采用</w:t>
      </w:r>
      <w:r>
        <w:rPr>
          <w:bCs/>
          <w:color w:val="000000"/>
          <w:szCs w:val="21"/>
        </w:rPr>
        <w:t>Λ</w:t>
      </w:r>
      <w:r>
        <w:rPr>
          <w:rFonts w:hint="eastAsia"/>
          <w:bCs/>
          <w:color w:val="000000"/>
        </w:rPr>
        <w:t>形斜杆加横杆的柱间支撑框架系统，单层厂房可采用“设防烈度作用下，</w:t>
      </w:r>
      <w:r>
        <w:rPr>
          <w:bCs/>
          <w:color w:val="000000"/>
          <w:szCs w:val="21"/>
        </w:rPr>
        <w:t>Λ</w:t>
      </w:r>
      <w:r>
        <w:rPr>
          <w:rFonts w:hint="eastAsia"/>
          <w:bCs/>
          <w:color w:val="000000"/>
        </w:rPr>
        <w:t>形支撑斜杆及其尖顶横梁皆不屈曲”作为抗震设计控制准则。</w:t>
      </w:r>
    </w:p>
    <w:p>
      <w:pPr>
        <w:spacing w:line="300" w:lineRule="auto"/>
        <w:ind w:firstLine="420" w:firstLineChars="200"/>
        <w:rPr>
          <w:rFonts w:hint="eastAsia"/>
          <w:bCs/>
          <w:color w:val="000000"/>
        </w:rPr>
      </w:pPr>
      <w:r>
        <w:rPr>
          <w:bCs/>
          <w:color w:val="000000"/>
          <w:szCs w:val="21"/>
        </w:rPr>
        <w:t>Λ</w:t>
      </w:r>
      <w:r>
        <w:rPr>
          <w:rFonts w:hint="eastAsia"/>
          <w:bCs/>
          <w:color w:val="000000"/>
        </w:rPr>
        <w:t>形</w:t>
      </w:r>
      <w:r>
        <w:rPr>
          <w:rFonts w:hint="eastAsia" w:ascii="宋体" w:hAnsi="宋体"/>
          <w:bCs/>
          <w:color w:val="000000"/>
        </w:rPr>
        <w:t>斜</w:t>
      </w:r>
      <w:r>
        <w:rPr>
          <w:rFonts w:hint="eastAsia"/>
          <w:bCs/>
          <w:color w:val="000000"/>
        </w:rPr>
        <w:t>杆加横杆的柱间支撑，需按压杆进行设计，即视作桁架（横杆与斜杆的汇交点为铰）进行设计。但横杆的长细比选择时，不得把横杆与</w:t>
      </w:r>
      <w:r>
        <w:rPr>
          <w:bCs/>
          <w:color w:val="000000"/>
          <w:szCs w:val="21"/>
        </w:rPr>
        <w:t>Λ</w:t>
      </w:r>
      <w:r>
        <w:rPr>
          <w:rFonts w:hint="eastAsia"/>
          <w:bCs/>
          <w:color w:val="000000"/>
        </w:rPr>
        <w:t>形斜杆的汇交点作为支点。</w:t>
      </w:r>
    </w:p>
    <w:p>
      <w:pPr>
        <w:snapToGrid w:val="0"/>
        <w:spacing w:line="400" w:lineRule="atLeast"/>
        <w:ind w:firstLine="420" w:firstLineChars="200"/>
        <w:rPr>
          <w:bCs/>
          <w:color w:val="000000"/>
        </w:rPr>
      </w:pPr>
      <w:r>
        <w:rPr>
          <w:rFonts w:hint="eastAsia"/>
          <w:bCs/>
          <w:color w:val="000000"/>
        </w:rPr>
        <w:t xml:space="preserve">2 </w:t>
      </w:r>
      <w:r>
        <w:rPr>
          <w:bCs/>
          <w:color w:val="000000"/>
        </w:rPr>
        <w:t>厂房的竖向地震作用具有局部性，不需从整体结构的角度考虑，而只需考虑构件本身及其支承构件。例如，在某一跨的竖向地震作用，不需考虑传递到另一跨。一般情况下，厂房屋盖的一些简支构件，竖向地震作用由规定的构件自身及其连接承受，不需考虑传递给其它构件。</w:t>
      </w:r>
      <w:r>
        <w:rPr>
          <w:rFonts w:hint="eastAsia"/>
          <w:bCs/>
          <w:color w:val="000000"/>
        </w:rPr>
        <w:t>但</w:t>
      </w:r>
      <w:r>
        <w:rPr>
          <w:bCs/>
          <w:color w:val="000000"/>
        </w:rPr>
        <w:t>直接传递竖向地震作用的构件，需计入屋盖横梁传至的竖向地震作用。典型构件如跨度小于24m的托架，虽其本身不需考虑竖向地震作用，但当其支承跨度大于24m的屋盖横梁时，托架及其与钢柱的连接应考虑承受屋盖横梁传来的竖向地震作用。</w:t>
      </w:r>
    </w:p>
    <w:p>
      <w:pPr>
        <w:snapToGrid w:val="0"/>
        <w:spacing w:line="400" w:lineRule="atLeast"/>
        <w:ind w:firstLine="420" w:firstLineChars="200"/>
        <w:rPr>
          <w:bCs/>
          <w:color w:val="000000"/>
        </w:rPr>
      </w:pPr>
      <w:r>
        <w:rPr>
          <w:bCs/>
          <w:color w:val="000000"/>
        </w:rPr>
        <w:t>对于屋盖横梁、支承桁架上设置较重设备的情况，由于轻屋盖厂房的框架构件往往较轻柔，因此，不论其跨度大小都应计算竖向地震作用。</w:t>
      </w:r>
    </w:p>
    <w:p>
      <w:pPr>
        <w:snapToGrid w:val="0"/>
        <w:spacing w:line="400" w:lineRule="atLeast"/>
        <w:ind w:firstLine="420" w:firstLineChars="200"/>
        <w:rPr>
          <w:rFonts w:hint="eastAsia"/>
          <w:bCs/>
          <w:color w:val="000000"/>
        </w:rPr>
      </w:pPr>
    </w:p>
    <w:p>
      <w:pPr>
        <w:autoSpaceDE w:val="0"/>
        <w:autoSpaceDN w:val="0"/>
        <w:spacing w:line="380" w:lineRule="exact"/>
        <w:jc w:val="center"/>
        <w:rPr>
          <w:bCs/>
          <w:color w:val="000000"/>
          <w:kern w:val="0"/>
          <w:szCs w:val="21"/>
        </w:rPr>
      </w:pPr>
      <w:r>
        <w:rPr>
          <w:rFonts w:hint="eastAsia"/>
          <w:bCs/>
          <w:color w:val="000000"/>
          <w:kern w:val="0"/>
          <w:szCs w:val="21"/>
        </w:rPr>
        <w:t>10</w:t>
      </w:r>
      <w:r>
        <w:rPr>
          <w:bCs/>
          <w:color w:val="000000"/>
          <w:kern w:val="0"/>
          <w:szCs w:val="21"/>
        </w:rPr>
        <w:t xml:space="preserve">.5 </w:t>
      </w:r>
      <w:r>
        <w:rPr>
          <w:rFonts w:hint="eastAsia"/>
          <w:bCs/>
          <w:color w:val="000000"/>
          <w:kern w:val="0"/>
          <w:szCs w:val="21"/>
        </w:rPr>
        <w:t>抗震验算（</w:t>
      </w:r>
      <w:r>
        <w:rPr>
          <w:bCs/>
          <w:color w:val="000000"/>
          <w:kern w:val="0"/>
          <w:szCs w:val="21"/>
        </w:rPr>
        <w:t>4</w:t>
      </w:r>
      <w:r>
        <w:rPr>
          <w:rFonts w:hint="eastAsia"/>
          <w:bCs/>
          <w:color w:val="000000"/>
          <w:kern w:val="0"/>
          <w:szCs w:val="21"/>
        </w:rPr>
        <w:t>）</w:t>
      </w:r>
      <w:r>
        <w:rPr>
          <w:bCs/>
          <w:color w:val="000000"/>
          <w:kern w:val="0"/>
          <w:szCs w:val="21"/>
        </w:rPr>
        <w:t>——</w:t>
      </w:r>
      <w:r>
        <w:rPr>
          <w:rFonts w:hint="eastAsia"/>
          <w:bCs/>
          <w:color w:val="000000"/>
          <w:kern w:val="0"/>
          <w:szCs w:val="21"/>
        </w:rPr>
        <w:t>柱间支撑的抗震设计</w:t>
      </w:r>
    </w:p>
    <w:p>
      <w:pPr>
        <w:autoSpaceDE w:val="0"/>
        <w:autoSpaceDN w:val="0"/>
        <w:spacing w:line="380" w:lineRule="exact"/>
        <w:jc w:val="center"/>
        <w:rPr>
          <w:rFonts w:hint="eastAsia"/>
          <w:bCs/>
          <w:color w:val="000000"/>
        </w:rPr>
      </w:pPr>
    </w:p>
    <w:p>
      <w:pPr>
        <w:pStyle w:val="20"/>
        <w:spacing w:line="400" w:lineRule="atLeast"/>
        <w:ind w:left="0" w:leftChars="0" w:firstLine="0" w:firstLineChars="0"/>
        <w:rPr>
          <w:rFonts w:hint="eastAsia"/>
          <w:bCs/>
          <w:color w:val="000000"/>
          <w:sz w:val="21"/>
        </w:rPr>
      </w:pPr>
      <w:r>
        <w:rPr>
          <w:rFonts w:hint="eastAsia"/>
          <w:bCs/>
          <w:color w:val="000000"/>
          <w:sz w:val="21"/>
        </w:rPr>
        <w:t xml:space="preserve">    柱间支撑是单层钢结构厂房抗震的关键环节，但对耗钢量的影响却较小。厂房纵向柱列往往只有柱间支撑一道防线，却是震害多发部位。因此，应深刻认识柱间支撑框架系统（柱间支撑及与其相连的周边钢柱所形成框架，还包括基础拉梁以及柱脚锚栓）对抵御地震作用的重要性。条文对柱间支撑的布置以及构造措施作出具体规定。</w:t>
      </w:r>
    </w:p>
    <w:p>
      <w:pPr>
        <w:pStyle w:val="65"/>
        <w:spacing w:line="400" w:lineRule="atLeast"/>
        <w:ind w:firstLine="470" w:firstLineChars="224"/>
        <w:jc w:val="both"/>
        <w:rPr>
          <w:rFonts w:hint="default"/>
          <w:bCs/>
          <w:sz w:val="21"/>
        </w:rPr>
      </w:pPr>
      <w:r>
        <w:rPr>
          <w:bCs/>
          <w:sz w:val="21"/>
        </w:rPr>
        <w:t>当</w:t>
      </w:r>
      <w:r>
        <w:rPr>
          <w:rFonts w:hint="default"/>
          <w:bCs/>
          <w:sz w:val="21"/>
        </w:rPr>
        <w:t>纵向柱列柱间支撑</w:t>
      </w:r>
      <w:r>
        <w:rPr>
          <w:bCs/>
          <w:sz w:val="21"/>
        </w:rPr>
        <w:t>开间设置连接</w:t>
      </w:r>
      <w:r>
        <w:rPr>
          <w:rFonts w:hint="default"/>
          <w:bCs/>
          <w:sz w:val="21"/>
        </w:rPr>
        <w:t>基础</w:t>
      </w:r>
      <w:r>
        <w:rPr>
          <w:bCs/>
          <w:sz w:val="21"/>
        </w:rPr>
        <w:t>的</w:t>
      </w:r>
      <w:r>
        <w:rPr>
          <w:rFonts w:hint="default"/>
          <w:bCs/>
          <w:sz w:val="21"/>
        </w:rPr>
        <w:t>基础梁</w:t>
      </w:r>
      <w:r>
        <w:rPr>
          <w:bCs/>
          <w:sz w:val="21"/>
        </w:rPr>
        <w:t>时</w:t>
      </w:r>
      <w:r>
        <w:rPr>
          <w:rFonts w:hint="default"/>
          <w:bCs/>
          <w:sz w:val="21"/>
        </w:rPr>
        <w:t>，下柱柱间支撑可采用对称布置的单斜杆。单斜杆底</w:t>
      </w:r>
      <w:r>
        <w:rPr>
          <w:rFonts w:hint="default" w:ascii="Times New Roman" w:hAnsi="Times New Roman"/>
          <w:bCs/>
          <w:sz w:val="21"/>
        </w:rPr>
        <w:t>端</w:t>
      </w:r>
      <w:r>
        <w:rPr>
          <w:rFonts w:hint="default"/>
          <w:bCs/>
          <w:sz w:val="21"/>
        </w:rPr>
        <w:t>与基础梁连接，顶端与框架柱连接。</w:t>
      </w:r>
    </w:p>
    <w:p>
      <w:pPr>
        <w:pStyle w:val="65"/>
        <w:spacing w:line="400" w:lineRule="atLeast"/>
        <w:ind w:firstLine="470" w:firstLineChars="224"/>
        <w:jc w:val="both"/>
        <w:rPr>
          <w:rFonts w:hint="default"/>
          <w:bCs/>
          <w:sz w:val="21"/>
        </w:rPr>
      </w:pPr>
      <w:r>
        <w:rPr>
          <w:bCs/>
          <w:sz w:val="21"/>
        </w:rPr>
        <w:t>有条件时，支撑斜</w:t>
      </w:r>
      <w:r>
        <w:rPr>
          <w:rFonts w:ascii="Times New Roman" w:hAnsi="Times New Roman"/>
          <w:bCs/>
          <w:sz w:val="21"/>
        </w:rPr>
        <w:t>杆</w:t>
      </w:r>
      <w:r>
        <w:rPr>
          <w:bCs/>
          <w:sz w:val="21"/>
        </w:rPr>
        <w:t>下端宜与基础通过预埋件连接，使支撑力直接传递给基础。</w:t>
      </w:r>
    </w:p>
    <w:p>
      <w:pPr>
        <w:pStyle w:val="65"/>
        <w:spacing w:line="400" w:lineRule="atLeast"/>
        <w:ind w:firstLine="470" w:firstLineChars="224"/>
        <w:jc w:val="both"/>
        <w:rPr>
          <w:bCs/>
          <w:sz w:val="21"/>
        </w:rPr>
      </w:pPr>
    </w:p>
    <w:p>
      <w:pPr>
        <w:spacing w:line="360" w:lineRule="auto"/>
        <w:jc w:val="center"/>
        <w:rPr>
          <w:bCs/>
          <w:color w:val="000000"/>
          <w:kern w:val="0"/>
          <w:szCs w:val="21"/>
        </w:rPr>
      </w:pPr>
      <w:r>
        <w:rPr>
          <w:rFonts w:hint="eastAsia"/>
          <w:bCs/>
          <w:color w:val="000000"/>
          <w:kern w:val="0"/>
          <w:szCs w:val="21"/>
        </w:rPr>
        <w:t>10</w:t>
      </w:r>
      <w:r>
        <w:rPr>
          <w:bCs/>
          <w:color w:val="000000"/>
          <w:kern w:val="0"/>
          <w:szCs w:val="21"/>
        </w:rPr>
        <w:t xml:space="preserve">.6 </w:t>
      </w:r>
      <w:r>
        <w:rPr>
          <w:rFonts w:hint="eastAsia"/>
          <w:bCs/>
          <w:color w:val="000000"/>
          <w:kern w:val="0"/>
          <w:szCs w:val="21"/>
        </w:rPr>
        <w:t>抗震验算（</w:t>
      </w:r>
      <w:r>
        <w:rPr>
          <w:bCs/>
          <w:color w:val="000000"/>
          <w:kern w:val="0"/>
          <w:szCs w:val="21"/>
        </w:rPr>
        <w:t>5</w:t>
      </w:r>
      <w:r>
        <w:rPr>
          <w:rFonts w:hint="eastAsia"/>
          <w:bCs/>
          <w:color w:val="000000"/>
          <w:kern w:val="0"/>
          <w:szCs w:val="21"/>
        </w:rPr>
        <w:t>）</w:t>
      </w:r>
      <w:r>
        <w:rPr>
          <w:bCs/>
          <w:color w:val="000000"/>
          <w:kern w:val="0"/>
          <w:szCs w:val="21"/>
        </w:rPr>
        <w:t>——</w:t>
      </w:r>
      <w:r>
        <w:rPr>
          <w:rFonts w:hint="eastAsia"/>
          <w:bCs/>
          <w:color w:val="000000"/>
          <w:kern w:val="0"/>
          <w:szCs w:val="21"/>
        </w:rPr>
        <w:t>屋盖支撑抗震设计</w:t>
      </w:r>
    </w:p>
    <w:p>
      <w:pPr>
        <w:spacing w:line="360" w:lineRule="auto"/>
        <w:jc w:val="center"/>
        <w:rPr>
          <w:rFonts w:hint="eastAsia"/>
          <w:bCs/>
          <w:color w:val="000000"/>
        </w:rPr>
      </w:pPr>
    </w:p>
    <w:p>
      <w:pPr>
        <w:pStyle w:val="20"/>
        <w:spacing w:line="400" w:lineRule="atLeast"/>
        <w:ind w:left="0" w:leftChars="0" w:firstLine="420"/>
        <w:rPr>
          <w:rFonts w:hint="eastAsia"/>
          <w:bCs/>
          <w:color w:val="000000"/>
          <w:sz w:val="21"/>
        </w:rPr>
      </w:pPr>
      <w:r>
        <w:rPr>
          <w:bCs/>
          <w:color w:val="000000"/>
          <w:sz w:val="21"/>
        </w:rPr>
        <w:t>屋盖水平支撑的布置原则，是期望屋盖水平荷载能有效传递并均匀分布于结构整体。屋盖支撑系统（包括系杆）的布置和构造需要满足的主要功能是：保证屋盖的整体性（主要指屋盖各构件之间不错位）、屋盖横梁平面外的稳定性，保证屋盖和山墙水平地震作用传递路线的合理、简捷，且不中断。</w:t>
      </w:r>
    </w:p>
    <w:p>
      <w:pPr>
        <w:pStyle w:val="65"/>
        <w:spacing w:line="400" w:lineRule="atLeast"/>
        <w:ind w:firstLine="470" w:firstLineChars="224"/>
        <w:jc w:val="both"/>
        <w:rPr>
          <w:rFonts w:hint="default" w:ascii="Times New Roman" w:hAnsi="Times New Roman"/>
          <w:bCs/>
          <w:sz w:val="21"/>
        </w:rPr>
      </w:pPr>
      <w:r>
        <w:rPr>
          <w:rFonts w:ascii="Times New Roman" w:hAnsi="Times New Roman"/>
          <w:bCs/>
          <w:sz w:val="21"/>
        </w:rPr>
        <w:t xml:space="preserve">1 </w:t>
      </w:r>
      <w:r>
        <w:rPr>
          <w:rFonts w:hint="default" w:ascii="Times New Roman" w:hAnsi="Times New Roman"/>
          <w:bCs/>
          <w:sz w:val="21"/>
        </w:rPr>
        <w:t>屋面檩条不仅承受和传递竖向荷载，而且往往兼作屋盖横梁上弦（上翼缘）的通长水平系杆，也往往兼作屋盖横向水平支撑的直压杆。因此，屋面檩条是屋盖支撑的一部分，应优先选用刚度大且受力可靠的结构形式。</w:t>
      </w:r>
    </w:p>
    <w:p>
      <w:pPr>
        <w:pStyle w:val="65"/>
        <w:spacing w:line="400" w:lineRule="atLeast"/>
        <w:ind w:firstLine="470" w:firstLineChars="224"/>
        <w:jc w:val="both"/>
        <w:rPr>
          <w:bCs/>
          <w:sz w:val="21"/>
        </w:rPr>
      </w:pPr>
      <w:r>
        <w:rPr>
          <w:rFonts w:ascii="Times New Roman" w:hAnsi="Times New Roman"/>
          <w:bCs/>
          <w:sz w:val="21"/>
        </w:rPr>
        <w:t>设置50t以上桥式起重机的</w:t>
      </w:r>
      <w:r>
        <w:rPr>
          <w:rFonts w:hint="default" w:ascii="Times New Roman" w:hAnsi="Times New Roman"/>
          <w:bCs/>
          <w:sz w:val="21"/>
        </w:rPr>
        <w:t>单层钢</w:t>
      </w:r>
      <w:r>
        <w:rPr>
          <w:rFonts w:hint="default" w:ascii="Times New Roman" w:hAnsi="Times New Roman"/>
          <w:bCs/>
          <w:sz w:val="21"/>
          <w:szCs w:val="21"/>
        </w:rPr>
        <w:t>结构</w:t>
      </w:r>
      <w:r>
        <w:rPr>
          <w:rFonts w:hint="default" w:ascii="Times New Roman" w:hAnsi="Times New Roman"/>
          <w:bCs/>
          <w:sz w:val="21"/>
        </w:rPr>
        <w:t>厂房的经济柱距</w:t>
      </w:r>
      <w:r>
        <w:rPr>
          <w:rFonts w:ascii="Times New Roman" w:hAnsi="Times New Roman"/>
          <w:bCs/>
          <w:sz w:val="21"/>
        </w:rPr>
        <w:t>，</w:t>
      </w:r>
      <w:r>
        <w:rPr>
          <w:rFonts w:hint="default" w:ascii="Times New Roman" w:hAnsi="Times New Roman"/>
          <w:bCs/>
          <w:sz w:val="21"/>
        </w:rPr>
        <w:t>大体为12m～18m，冷弯薄壁型钢一般不能直接用作为檩条，通常采用高频焊接薄壁H型钢檩条，间或也采用简支轻型桁架檩条。</w:t>
      </w:r>
      <w:r>
        <w:rPr>
          <w:bCs/>
          <w:sz w:val="21"/>
        </w:rPr>
        <w:t>柱距小的厂房以及轻型门式刚架厂房则通常采用冷弯薄壁型钢。</w:t>
      </w:r>
    </w:p>
    <w:p>
      <w:pPr>
        <w:pStyle w:val="65"/>
        <w:spacing w:line="400" w:lineRule="atLeast"/>
        <w:ind w:firstLine="470" w:firstLineChars="224"/>
        <w:jc w:val="both"/>
        <w:rPr>
          <w:rFonts w:hint="default" w:ascii="Times New Roman" w:hAnsi="Times New Roman"/>
          <w:bCs/>
          <w:sz w:val="21"/>
        </w:rPr>
      </w:pPr>
      <w:r>
        <w:rPr>
          <w:rFonts w:ascii="Times New Roman" w:hAnsi="Times New Roman"/>
          <w:bCs/>
          <w:sz w:val="21"/>
        </w:rPr>
        <w:t xml:space="preserve">2 </w:t>
      </w:r>
      <w:r>
        <w:rPr>
          <w:rFonts w:hint="default" w:ascii="Times New Roman" w:hAnsi="Times New Roman"/>
          <w:bCs/>
          <w:sz w:val="21"/>
        </w:rPr>
        <w:t>厂房屋盖支撑的布置与起重机吨位及其工作制有关。静力设计许可时，宜将主要横向支撑设置在屋架上弦</w:t>
      </w:r>
      <w:r>
        <w:rPr>
          <w:rFonts w:ascii="Times New Roman" w:hAnsi="Times New Roman"/>
          <w:bCs/>
          <w:sz w:val="21"/>
        </w:rPr>
        <w:t>（上翼缘）</w:t>
      </w:r>
      <w:r>
        <w:rPr>
          <w:rFonts w:hint="default" w:ascii="Times New Roman" w:hAnsi="Times New Roman"/>
          <w:bCs/>
          <w:sz w:val="21"/>
        </w:rPr>
        <w:t>平面，水平地震作用通过上弦</w:t>
      </w:r>
      <w:r>
        <w:rPr>
          <w:rFonts w:ascii="Times New Roman" w:hAnsi="Times New Roman"/>
          <w:bCs/>
          <w:sz w:val="21"/>
        </w:rPr>
        <w:t>（上翼缘）</w:t>
      </w:r>
      <w:r>
        <w:rPr>
          <w:rFonts w:hint="default" w:ascii="Times New Roman" w:hAnsi="Times New Roman"/>
          <w:bCs/>
          <w:sz w:val="21"/>
        </w:rPr>
        <w:t>平面传递。相应地，屋架亦应采用端斜杆上承式。端斜杆上承式屋架支座处传力较好，安装时的稳定性也好，并且，一般可不考虑屋架受力后的弹性伸长影响（上弦的压缩变形弥补了屋架受荷下挠伸直时的支座向外推移）。</w:t>
      </w:r>
    </w:p>
    <w:p>
      <w:pPr>
        <w:pStyle w:val="65"/>
        <w:spacing w:line="400" w:lineRule="atLeast"/>
        <w:ind w:firstLine="470" w:firstLineChars="224"/>
        <w:jc w:val="both"/>
        <w:rPr>
          <w:rFonts w:hint="default" w:ascii="Times New Roman" w:hAnsi="Times New Roman"/>
          <w:bCs/>
          <w:sz w:val="21"/>
        </w:rPr>
      </w:pPr>
      <w:r>
        <w:rPr>
          <w:rFonts w:hint="default" w:ascii="Times New Roman" w:hAnsi="Times New Roman"/>
          <w:bCs/>
          <w:sz w:val="21"/>
        </w:rPr>
        <w:t>一般情况下，屋盖横向支撑宜对应于上柱柱间支撑布置，故其间距通常取决于柱间支撑间距。</w:t>
      </w:r>
    </w:p>
    <w:p>
      <w:pPr>
        <w:pStyle w:val="65"/>
        <w:spacing w:line="400" w:lineRule="atLeast"/>
        <w:ind w:firstLine="470" w:firstLineChars="224"/>
        <w:jc w:val="both"/>
        <w:rPr>
          <w:rFonts w:hint="default" w:ascii="Times New Roman" w:hAnsi="Times New Roman"/>
          <w:bCs/>
          <w:sz w:val="21"/>
        </w:rPr>
      </w:pPr>
      <w:r>
        <w:rPr>
          <w:rFonts w:hint="default" w:ascii="Times New Roman" w:hAnsi="Times New Roman"/>
          <w:bCs/>
          <w:sz w:val="21"/>
        </w:rPr>
        <w:t>设置横向支撑开间的柱顶刚性系杆或竖向支撑、屋面檩条应加强，使屋盖横向支撑能通过屋面檩条、柱顶刚性系杆或竖向支撑等构件可靠地传递水平地震作用。但当采用下沉式横向天窗时，应在屋架下弦平面设置封闭的屋盖水平支撑系统。</w:t>
      </w:r>
    </w:p>
    <w:p>
      <w:pPr>
        <w:pStyle w:val="65"/>
        <w:spacing w:line="400" w:lineRule="atLeast"/>
        <w:ind w:firstLine="470" w:firstLineChars="224"/>
        <w:jc w:val="both"/>
        <w:rPr>
          <w:rFonts w:hint="default" w:ascii="Times New Roman" w:hAnsi="Times New Roman"/>
          <w:bCs/>
          <w:sz w:val="21"/>
        </w:rPr>
      </w:pPr>
      <w:r>
        <w:rPr>
          <w:rFonts w:hint="default" w:ascii="Times New Roman" w:hAnsi="Times New Roman"/>
          <w:bCs/>
          <w:sz w:val="21"/>
        </w:rPr>
        <w:t>屋盖纵向水平支撑的布置</w:t>
      </w:r>
      <w:r>
        <w:rPr>
          <w:rFonts w:hint="default"/>
          <w:bCs/>
          <w:sz w:val="21"/>
        </w:rPr>
        <w:t>比较</w:t>
      </w:r>
      <w:r>
        <w:rPr>
          <w:rFonts w:hint="default" w:ascii="Times New Roman" w:hAnsi="Times New Roman"/>
          <w:bCs/>
          <w:sz w:val="21"/>
        </w:rPr>
        <w:t>灵活。除了需</w:t>
      </w:r>
      <w:r>
        <w:rPr>
          <w:rFonts w:hint="default"/>
          <w:bCs/>
          <w:sz w:val="21"/>
        </w:rPr>
        <w:t>满足</w:t>
      </w:r>
      <w:r>
        <w:rPr>
          <w:rFonts w:hint="default" w:ascii="Times New Roman" w:hAnsi="Times New Roman"/>
          <w:bCs/>
          <w:sz w:val="21"/>
        </w:rPr>
        <w:t>静力设计时的要求外，抗震设计应据具体情况综合分析，以达到合理布置纵向水平支撑的目的。</w:t>
      </w:r>
    </w:p>
    <w:p>
      <w:pPr>
        <w:pStyle w:val="65"/>
        <w:spacing w:line="400" w:lineRule="atLeast"/>
        <w:ind w:firstLine="470" w:firstLineChars="224"/>
        <w:jc w:val="both"/>
        <w:rPr>
          <w:bCs/>
          <w:sz w:val="21"/>
        </w:rPr>
      </w:pPr>
      <w:r>
        <w:rPr>
          <w:rFonts w:ascii="Times New Roman" w:hAnsi="Times New Roman"/>
          <w:bCs/>
          <w:sz w:val="21"/>
        </w:rPr>
        <w:t>轻屋盖的天窗逐步由玻璃纤维增强聚酯采光板代替，但传统矩形天窗尚在少量应用，产品化的轻型圆弧形气楼开始流行。条文据屋面围护轻型化的进展，简化传统矩形天窗的布置，补充轻型圆弧形气楼的布置要求。</w:t>
      </w:r>
    </w:p>
    <w:p>
      <w:pPr>
        <w:pStyle w:val="2"/>
        <w:numPr>
          <w:ilvl w:val="0"/>
          <w:numId w:val="11"/>
        </w:numPr>
        <w:rPr>
          <w:color w:val="000000"/>
        </w:rPr>
      </w:pPr>
      <w:r>
        <w:rPr>
          <w:color w:val="000000"/>
        </w:rPr>
        <w:br w:type="page"/>
      </w:r>
      <w:bookmarkStart w:id="276" w:name="_Toc48049987"/>
      <w:r>
        <w:rPr>
          <w:rFonts w:hint="eastAsia"/>
          <w:color w:val="000000"/>
        </w:rPr>
        <w:t>多层钢结构</w:t>
      </w:r>
      <w:bookmarkEnd w:id="276"/>
    </w:p>
    <w:p>
      <w:pPr>
        <w:autoSpaceDE w:val="0"/>
        <w:autoSpaceDN w:val="0"/>
        <w:adjustRightInd w:val="0"/>
        <w:spacing w:line="360" w:lineRule="auto"/>
        <w:rPr>
          <w:color w:val="000000"/>
        </w:rPr>
      </w:pPr>
      <w:r>
        <w:rPr>
          <w:color w:val="000000"/>
        </w:rPr>
        <w:t xml:space="preserve">11.1.2 </w:t>
      </w:r>
      <w:r>
        <w:rPr>
          <w:rFonts w:hint="eastAsia"/>
          <w:color w:val="000000"/>
        </w:rPr>
        <w:t>工业建筑多层钢结构应考虑以下特点。</w:t>
      </w:r>
      <w:r>
        <w:rPr>
          <w:color w:val="000000"/>
        </w:rPr>
        <w:t xml:space="preserve"> </w:t>
      </w:r>
    </w:p>
    <w:p>
      <w:pPr>
        <w:autoSpaceDE w:val="0"/>
        <w:autoSpaceDN w:val="0"/>
        <w:adjustRightInd w:val="0"/>
        <w:spacing w:line="360" w:lineRule="auto"/>
        <w:ind w:firstLine="420" w:firstLineChars="200"/>
        <w:rPr>
          <w:rFonts w:hint="eastAsia"/>
          <w:color w:val="000000"/>
        </w:rPr>
      </w:pPr>
      <w:r>
        <w:rPr>
          <w:rFonts w:hint="eastAsia"/>
          <w:color w:val="000000"/>
        </w:rPr>
        <w:t>1</w:t>
      </w:r>
      <w:r>
        <w:rPr>
          <w:color w:val="000000"/>
        </w:rPr>
        <w:t xml:space="preserve"> </w:t>
      </w:r>
      <w:r>
        <w:rPr>
          <w:rFonts w:hint="eastAsia"/>
          <w:color w:val="000000"/>
        </w:rPr>
        <w:t>工业建筑中，当</w:t>
      </w:r>
      <w:r>
        <w:rPr>
          <w:rFonts w:hint="eastAsia"/>
          <w:bCs/>
          <w:color w:val="000000"/>
        </w:rPr>
        <w:t>用花纹钢板、钢格板或无楼板的钢结构时，不符合刚性楼面假定的要求，故可不进行平面扭转的规则性判别；</w:t>
      </w:r>
    </w:p>
    <w:p>
      <w:pPr>
        <w:autoSpaceDE w:val="0"/>
        <w:autoSpaceDN w:val="0"/>
        <w:adjustRightInd w:val="0"/>
        <w:spacing w:line="360" w:lineRule="auto"/>
        <w:jc w:val="left"/>
        <w:rPr>
          <w:color w:val="000000"/>
        </w:rPr>
      </w:pPr>
      <w:r>
        <w:rPr>
          <w:rFonts w:ascii="等线" w:hAnsi="等线" w:cs="MS Mincho"/>
          <w:bCs/>
          <w:color w:val="000000"/>
          <w:kern w:val="0"/>
          <w:szCs w:val="21"/>
        </w:rPr>
        <w:t xml:space="preserve">    2</w:t>
      </w:r>
      <w:r>
        <w:rPr>
          <w:rFonts w:hint="eastAsia" w:ascii="等线" w:hAnsi="等线" w:cs="MS Mincho"/>
          <w:bCs/>
          <w:color w:val="000000"/>
          <w:kern w:val="0"/>
          <w:szCs w:val="21"/>
        </w:rPr>
        <w:t xml:space="preserve"> 工业建筑中，当</w:t>
      </w:r>
      <w:r>
        <w:rPr>
          <w:rFonts w:hint="eastAsia" w:ascii="宋体" w:hAnsi="宋体"/>
          <w:bCs/>
          <w:color w:val="000000"/>
          <w:szCs w:val="21"/>
        </w:rPr>
        <w:t>设备或设备支撑结构局部振型的质量参与比较大时，水平支撑及设备层平台梁不建入到结构模型中，会对局部振型产生很大影响，造成地震作用计算不安全。</w:t>
      </w:r>
      <w:r>
        <w:rPr>
          <w:color w:val="000000"/>
        </w:rPr>
        <w:t xml:space="preserve"> </w:t>
      </w:r>
    </w:p>
    <w:p>
      <w:pPr>
        <w:autoSpaceDE w:val="0"/>
        <w:autoSpaceDN w:val="0"/>
        <w:adjustRightInd w:val="0"/>
        <w:spacing w:line="360" w:lineRule="auto"/>
        <w:jc w:val="left"/>
        <w:rPr>
          <w:rFonts w:ascii="等线" w:hAnsi="等线" w:cs="MS Mincho"/>
          <w:bCs/>
          <w:color w:val="000000"/>
          <w:kern w:val="0"/>
          <w:szCs w:val="21"/>
        </w:rPr>
      </w:pPr>
      <w:r>
        <w:rPr>
          <w:color w:val="000000"/>
        </w:rPr>
        <w:t xml:space="preserve">11.1.3 </w:t>
      </w:r>
      <w:r>
        <w:rPr>
          <w:rFonts w:hint="eastAsia" w:ascii="等线" w:hAnsi="等线" w:cs="MS Mincho"/>
          <w:bCs/>
          <w:color w:val="000000"/>
          <w:kern w:val="0"/>
          <w:szCs w:val="21"/>
        </w:rPr>
        <w:t>对外露式柱脚的限制，是由于其延性较差，在大震时不能很好的形成塑性铰进行耗能。</w:t>
      </w:r>
      <w:r>
        <w:rPr>
          <w:rFonts w:hint="eastAsia"/>
          <w:bCs/>
          <w:color w:val="000000"/>
          <w:szCs w:val="21"/>
        </w:rPr>
        <w:t xml:space="preserve">当采用塑性结构进行设计时，靴梁式外露式柱脚通过长螺杆屈服后变形有一定耗能能力。 </w:t>
      </w:r>
    </w:p>
    <w:p>
      <w:pPr>
        <w:autoSpaceDE w:val="0"/>
        <w:autoSpaceDN w:val="0"/>
        <w:adjustRightInd w:val="0"/>
        <w:snapToGrid w:val="0"/>
        <w:spacing w:line="360" w:lineRule="auto"/>
        <w:rPr>
          <w:bCs/>
          <w:snapToGrid w:val="0"/>
          <w:color w:val="000000"/>
          <w:kern w:val="0"/>
          <w:sz w:val="24"/>
          <w:szCs w:val="21"/>
        </w:rPr>
      </w:pPr>
    </w:p>
    <w:p>
      <w:pPr>
        <w:autoSpaceDE w:val="0"/>
        <w:autoSpaceDN w:val="0"/>
        <w:adjustRightInd w:val="0"/>
        <w:snapToGrid w:val="0"/>
        <w:spacing w:line="360" w:lineRule="auto"/>
        <w:rPr>
          <w:bCs/>
          <w:snapToGrid w:val="0"/>
          <w:color w:val="000000"/>
          <w:kern w:val="0"/>
          <w:sz w:val="24"/>
          <w:szCs w:val="21"/>
        </w:rPr>
      </w:pPr>
    </w:p>
    <w:p>
      <w:pPr>
        <w:autoSpaceDE w:val="0"/>
        <w:autoSpaceDN w:val="0"/>
        <w:adjustRightInd w:val="0"/>
        <w:snapToGrid w:val="0"/>
        <w:spacing w:line="360" w:lineRule="auto"/>
        <w:rPr>
          <w:bCs/>
          <w:snapToGrid w:val="0"/>
          <w:color w:val="000000"/>
          <w:kern w:val="0"/>
          <w:sz w:val="24"/>
          <w:szCs w:val="21"/>
        </w:rPr>
      </w:pPr>
    </w:p>
    <w:p>
      <w:pPr>
        <w:autoSpaceDE w:val="0"/>
        <w:autoSpaceDN w:val="0"/>
        <w:adjustRightInd w:val="0"/>
        <w:snapToGrid w:val="0"/>
        <w:spacing w:line="360" w:lineRule="auto"/>
        <w:rPr>
          <w:bCs/>
          <w:snapToGrid w:val="0"/>
          <w:color w:val="000000"/>
          <w:kern w:val="0"/>
          <w:sz w:val="24"/>
          <w:szCs w:val="21"/>
        </w:rPr>
      </w:pPr>
    </w:p>
    <w:p>
      <w:pPr>
        <w:autoSpaceDE w:val="0"/>
        <w:autoSpaceDN w:val="0"/>
        <w:adjustRightInd w:val="0"/>
        <w:snapToGrid w:val="0"/>
        <w:spacing w:line="360" w:lineRule="auto"/>
        <w:rPr>
          <w:bCs/>
          <w:snapToGrid w:val="0"/>
          <w:color w:val="000000"/>
          <w:kern w:val="0"/>
          <w:sz w:val="24"/>
          <w:szCs w:val="21"/>
        </w:rPr>
      </w:pPr>
    </w:p>
    <w:p>
      <w:pPr>
        <w:autoSpaceDE w:val="0"/>
        <w:autoSpaceDN w:val="0"/>
        <w:adjustRightInd w:val="0"/>
        <w:snapToGrid w:val="0"/>
        <w:spacing w:line="360" w:lineRule="auto"/>
        <w:rPr>
          <w:bCs/>
          <w:snapToGrid w:val="0"/>
          <w:color w:val="000000"/>
          <w:kern w:val="0"/>
          <w:sz w:val="24"/>
          <w:szCs w:val="21"/>
        </w:rPr>
      </w:pPr>
    </w:p>
    <w:p>
      <w:pPr>
        <w:autoSpaceDE w:val="0"/>
        <w:autoSpaceDN w:val="0"/>
        <w:adjustRightInd w:val="0"/>
        <w:snapToGrid w:val="0"/>
        <w:spacing w:line="360" w:lineRule="auto"/>
        <w:rPr>
          <w:bCs/>
          <w:snapToGrid w:val="0"/>
          <w:color w:val="000000"/>
          <w:kern w:val="0"/>
          <w:sz w:val="24"/>
          <w:szCs w:val="21"/>
        </w:rPr>
      </w:pPr>
    </w:p>
    <w:p>
      <w:pPr>
        <w:autoSpaceDE w:val="0"/>
        <w:autoSpaceDN w:val="0"/>
        <w:adjustRightInd w:val="0"/>
        <w:snapToGrid w:val="0"/>
        <w:spacing w:line="360" w:lineRule="auto"/>
        <w:rPr>
          <w:bCs/>
          <w:snapToGrid w:val="0"/>
          <w:color w:val="000000"/>
          <w:kern w:val="0"/>
          <w:sz w:val="24"/>
          <w:szCs w:val="21"/>
        </w:rPr>
      </w:pPr>
    </w:p>
    <w:p>
      <w:pPr>
        <w:autoSpaceDE w:val="0"/>
        <w:autoSpaceDN w:val="0"/>
        <w:adjustRightInd w:val="0"/>
        <w:snapToGrid w:val="0"/>
        <w:spacing w:line="360" w:lineRule="auto"/>
        <w:rPr>
          <w:bCs/>
          <w:snapToGrid w:val="0"/>
          <w:color w:val="000000"/>
          <w:kern w:val="0"/>
          <w:sz w:val="24"/>
          <w:szCs w:val="21"/>
        </w:rPr>
      </w:pPr>
    </w:p>
    <w:p>
      <w:pPr>
        <w:pStyle w:val="134"/>
        <w:spacing w:before="312" w:after="312"/>
      </w:pPr>
      <w:r>
        <w:br w:type="page"/>
      </w:r>
      <w:bookmarkStart w:id="277" w:name="_Toc48049988"/>
      <w:r>
        <w:rPr>
          <w:rFonts w:hint="eastAsia"/>
        </w:rPr>
        <w:t>附录A</w:t>
      </w:r>
      <w:r>
        <w:t xml:space="preserve"> </w:t>
      </w:r>
      <w:r>
        <w:rPr>
          <w:rFonts w:hint="eastAsia"/>
        </w:rPr>
        <w:t>大跨度料场封闭结构</w:t>
      </w:r>
      <w:bookmarkEnd w:id="277"/>
    </w:p>
    <w:p>
      <w:pPr>
        <w:adjustRightInd w:val="0"/>
        <w:snapToGrid w:val="0"/>
        <w:spacing w:line="360" w:lineRule="auto"/>
        <w:jc w:val="center"/>
        <w:rPr>
          <w:rFonts w:hint="eastAsia" w:ascii="等线" w:hAnsi="等线" w:cs="HiddenHorzOCR"/>
          <w:color w:val="000000"/>
          <w:kern w:val="0"/>
          <w:szCs w:val="21"/>
        </w:rPr>
      </w:pPr>
    </w:p>
    <w:p>
      <w:pPr>
        <w:adjustRightInd w:val="0"/>
        <w:snapToGrid w:val="0"/>
        <w:spacing w:before="156" w:beforeLines="50" w:after="156" w:afterLines="50"/>
        <w:jc w:val="center"/>
        <w:rPr>
          <w:rFonts w:ascii="Times New Roman" w:hAnsi="Times New Roman"/>
          <w:color w:val="000000"/>
          <w:szCs w:val="21"/>
        </w:rPr>
      </w:pPr>
      <w:r>
        <w:rPr>
          <w:rFonts w:hint="eastAsia" w:ascii="宋体" w:hAnsi="宋体"/>
          <w:color w:val="000000"/>
          <w:szCs w:val="21"/>
        </w:rPr>
        <w:t>A.1 一般规定</w:t>
      </w:r>
    </w:p>
    <w:p>
      <w:pPr>
        <w:adjustRightInd w:val="0"/>
        <w:snapToGrid w:val="0"/>
        <w:spacing w:line="360" w:lineRule="auto"/>
        <w:jc w:val="center"/>
        <w:rPr>
          <w:rFonts w:hint="eastAsia" w:ascii="等线" w:hAnsi="等线" w:cs="HiddenHorzOCR"/>
          <w:bCs/>
          <w:color w:val="000000"/>
          <w:kern w:val="0"/>
          <w:szCs w:val="21"/>
        </w:rPr>
      </w:pPr>
    </w:p>
    <w:p>
      <w:pPr>
        <w:spacing w:line="360" w:lineRule="auto"/>
        <w:rPr>
          <w:rFonts w:hint="eastAsia" w:cs="Calibri"/>
          <w:color w:val="000000"/>
          <w:szCs w:val="21"/>
        </w:rPr>
      </w:pPr>
      <w:r>
        <w:rPr>
          <w:rFonts w:hint="eastAsia" w:cs="Calibri"/>
          <w:color w:val="000000"/>
          <w:szCs w:val="21"/>
        </w:rPr>
        <w:t>A.1.1：大跨度料场封闭结构（图1）主要解决露天料场扬尘带来的环境问题，该类建筑主要功能是对露天料场进行覆盖，起围护作用，使用期间人员较少。该类结构抗震设计如采用与民用建筑相同的标准，将增加工程建设费用。因此有必要根据建筑功能和使用要求编制抗震设计标准，明确不同跨度料场封闭结构抗震分析和设计的方法。</w:t>
      </w:r>
    </w:p>
    <w:p>
      <w:pPr>
        <w:spacing w:line="360" w:lineRule="auto"/>
        <w:rPr>
          <w:rFonts w:hint="eastAsia" w:cs="Calibri"/>
          <w:color w:val="000000"/>
          <w:szCs w:val="21"/>
        </w:rPr>
      </w:pPr>
    </w:p>
    <w:p>
      <w:pPr>
        <w:spacing w:line="360" w:lineRule="auto"/>
        <w:rPr>
          <w:rFonts w:hint="eastAsia" w:cs="Calibri"/>
          <w:color w:val="000000"/>
          <w:szCs w:val="21"/>
        </w:rPr>
      </w:pPr>
      <w:r>
        <w:rPr>
          <w:rFonts w:hint="eastAsia" w:cs="Calibri"/>
          <w:color w:val="000000"/>
          <w:szCs w:val="21"/>
        </w:rPr>
        <w:drawing>
          <wp:inline distT="0" distB="0" distL="114300" distR="114300">
            <wp:extent cx="2606675" cy="1259840"/>
            <wp:effectExtent l="0" t="0" r="5715" b="3175"/>
            <wp:docPr id="129"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67"/>
                    <pic:cNvPicPr>
                      <a:picLocks noChangeAspect="1"/>
                    </pic:cNvPicPr>
                  </pic:nvPicPr>
                  <pic:blipFill>
                    <a:blip r:embed="rId579"/>
                    <a:stretch>
                      <a:fillRect/>
                    </a:stretch>
                  </pic:blipFill>
                  <pic:spPr>
                    <a:xfrm>
                      <a:off x="0" y="0"/>
                      <a:ext cx="2606675" cy="1259840"/>
                    </a:xfrm>
                    <a:prstGeom prst="rect">
                      <a:avLst/>
                    </a:prstGeom>
                    <a:noFill/>
                    <a:ln>
                      <a:noFill/>
                    </a:ln>
                  </pic:spPr>
                </pic:pic>
              </a:graphicData>
            </a:graphic>
          </wp:inline>
        </w:drawing>
      </w:r>
      <w:r>
        <w:rPr>
          <w:rFonts w:hint="eastAsia" w:cs="Calibri"/>
          <w:color w:val="000000"/>
          <w:szCs w:val="21"/>
        </w:rPr>
        <w:drawing>
          <wp:inline distT="0" distB="0" distL="114300" distR="114300">
            <wp:extent cx="2457450" cy="1546225"/>
            <wp:effectExtent l="0" t="0" r="3810" b="8255"/>
            <wp:docPr id="132"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68"/>
                    <pic:cNvPicPr>
                      <a:picLocks noChangeAspect="1"/>
                    </pic:cNvPicPr>
                  </pic:nvPicPr>
                  <pic:blipFill>
                    <a:blip r:embed="rId580"/>
                    <a:stretch>
                      <a:fillRect/>
                    </a:stretch>
                  </pic:blipFill>
                  <pic:spPr>
                    <a:xfrm>
                      <a:off x="0" y="0"/>
                      <a:ext cx="2457450" cy="1546225"/>
                    </a:xfrm>
                    <a:prstGeom prst="rect">
                      <a:avLst/>
                    </a:prstGeom>
                    <a:noFill/>
                    <a:ln>
                      <a:noFill/>
                    </a:ln>
                  </pic:spPr>
                </pic:pic>
              </a:graphicData>
            </a:graphic>
          </wp:inline>
        </w:drawing>
      </w:r>
    </w:p>
    <w:p>
      <w:pPr>
        <w:spacing w:line="360" w:lineRule="auto"/>
        <w:jc w:val="center"/>
        <w:rPr>
          <w:rFonts w:cs="Calibri"/>
          <w:color w:val="000000"/>
          <w:szCs w:val="21"/>
        </w:rPr>
      </w:pPr>
      <w:r>
        <w:rPr>
          <w:rFonts w:hint="eastAsia" w:cs="Calibri"/>
          <w:color w:val="000000"/>
          <w:szCs w:val="21"/>
        </w:rPr>
        <w:t>图1 料场封闭结构示意图</w:t>
      </w:r>
    </w:p>
    <w:p>
      <w:pPr>
        <w:spacing w:line="360" w:lineRule="auto"/>
        <w:jc w:val="left"/>
        <w:rPr>
          <w:rFonts w:hint="eastAsia" w:cs="Calibri"/>
          <w:color w:val="000000"/>
          <w:szCs w:val="21"/>
        </w:rPr>
      </w:pPr>
    </w:p>
    <w:p>
      <w:pPr>
        <w:adjustRightInd w:val="0"/>
        <w:snapToGrid w:val="0"/>
        <w:spacing w:before="156" w:beforeLines="50" w:after="156" w:afterLines="50"/>
        <w:jc w:val="center"/>
        <w:rPr>
          <w:rFonts w:ascii="Times New Roman" w:hAnsi="Times New Roman"/>
          <w:color w:val="000000"/>
          <w:szCs w:val="21"/>
        </w:rPr>
      </w:pPr>
      <w:r>
        <w:rPr>
          <w:rFonts w:hint="eastAsia" w:ascii="宋体" w:hAnsi="宋体"/>
          <w:color w:val="000000"/>
          <w:szCs w:val="21"/>
        </w:rPr>
        <w:t>A.2 抗震计算原则</w:t>
      </w:r>
    </w:p>
    <w:p>
      <w:pPr>
        <w:spacing w:line="360" w:lineRule="auto"/>
        <w:jc w:val="left"/>
        <w:rPr>
          <w:rFonts w:cs="Calibri"/>
          <w:color w:val="000000"/>
          <w:szCs w:val="21"/>
        </w:rPr>
      </w:pPr>
    </w:p>
    <w:p>
      <w:pPr>
        <w:spacing w:line="360" w:lineRule="auto"/>
        <w:jc w:val="left"/>
        <w:rPr>
          <w:rFonts w:cs="Calibri"/>
          <w:color w:val="000000"/>
          <w:szCs w:val="21"/>
        </w:rPr>
      </w:pPr>
      <w:r>
        <w:rPr>
          <w:rFonts w:hint="eastAsia" w:cs="Calibri"/>
          <w:color w:val="000000"/>
          <w:szCs w:val="21"/>
        </w:rPr>
        <w:t>A.2.1：大跨度封闭料场结构通常自重轻，地震力小，因此地震组合工况往往不是设计控制工况。这时采用高强度-低延性的抗震设计方法，可以简化钢结构的构造措施，节省钢材用量。此时性能系数可取q=2.0。</w:t>
      </w:r>
    </w:p>
    <w:p>
      <w:pPr>
        <w:spacing w:line="360" w:lineRule="auto"/>
        <w:rPr>
          <w:rFonts w:hint="eastAsia" w:cs="Calibri"/>
          <w:color w:val="000000"/>
          <w:szCs w:val="21"/>
        </w:rPr>
      </w:pPr>
      <w:r>
        <w:rPr>
          <w:rFonts w:hint="eastAsia" w:cs="Calibri"/>
          <w:color w:val="000000"/>
          <w:szCs w:val="21"/>
        </w:rPr>
        <w:t>A.2.3：本条的第2款主要针对屋盖钢结构与下部混凝土支承结构协同分析时的阻尼比取值。工程设计中一般按0.025-0.035之间取值，具体数值与屋盖钢结构和下部混凝土支承结构的组成比例有关。当下部支承为混凝土短柱或短墙时，考虑到此时下部支承刚度比较大，对阻尼的贡献比较小，其协同工作的阻尼比可取小值。若从基础顶面计算的短柱或短墙的高度小于或等于1.5m，其协同工作的阻尼比可按0.025取值。</w:t>
      </w:r>
    </w:p>
    <w:p>
      <w:pPr>
        <w:spacing w:line="360" w:lineRule="auto"/>
        <w:rPr>
          <w:rFonts w:hint="eastAsia" w:cs="Calibri"/>
          <w:color w:val="000000"/>
          <w:szCs w:val="21"/>
        </w:rPr>
      </w:pPr>
      <w:r>
        <w:rPr>
          <w:rFonts w:hint="eastAsia" w:cs="Calibri"/>
          <w:color w:val="000000"/>
          <w:szCs w:val="21"/>
        </w:rPr>
        <w:t>A.2.5：对于大跨度料场封闭结构，结构的振型一般比较密集，只考虑前几阶振型的贡献是不够的，应考虑多振型的影响。按照《空间网格结构技术规程》（JGJ7-2010）第4.4.8条的规定，对于网架结构宜至少取前10~15个阵型，对于网壳结构宜至少取前25~30个阵型，对于体型复杂或重要的大跨度空间网格结构需要取更多振型进行效应组合。考虑到大跨度料场封闭结构有多种形式，很难用一个具体数目规定应参与组合的振型数，所以此处按照振型参与质量达到总质量90%所需的振型数来控制。</w:t>
      </w:r>
    </w:p>
    <w:p>
      <w:pPr>
        <w:spacing w:line="360" w:lineRule="auto"/>
        <w:rPr>
          <w:rFonts w:cs="Calibri"/>
          <w:color w:val="000000"/>
          <w:szCs w:val="21"/>
        </w:rPr>
      </w:pPr>
      <w:r>
        <w:rPr>
          <w:rFonts w:hint="eastAsia" w:cs="Calibri"/>
          <w:color w:val="000000"/>
          <w:szCs w:val="21"/>
        </w:rPr>
        <w:t>A.2.7：对于料场封闭结构，考虑到使用功能和震害后果，其变形要求可适当放宽，此处比一般公共大跨度建筑放宽20%。</w:t>
      </w:r>
    </w:p>
    <w:p>
      <w:pPr>
        <w:spacing w:line="360" w:lineRule="auto"/>
        <w:rPr>
          <w:rFonts w:cs="Calibri"/>
          <w:color w:val="000000"/>
          <w:szCs w:val="21"/>
        </w:rPr>
      </w:pPr>
    </w:p>
    <w:p>
      <w:pPr>
        <w:adjustRightInd w:val="0"/>
        <w:snapToGrid w:val="0"/>
        <w:spacing w:before="156" w:beforeLines="50" w:after="156" w:afterLines="50"/>
        <w:jc w:val="center"/>
        <w:rPr>
          <w:rFonts w:hint="eastAsia" w:ascii="宋体" w:hAnsi="宋体"/>
          <w:color w:val="000000"/>
          <w:szCs w:val="21"/>
        </w:rPr>
      </w:pPr>
      <w:r>
        <w:rPr>
          <w:rFonts w:hint="eastAsia" w:ascii="宋体" w:hAnsi="宋体"/>
          <w:color w:val="000000"/>
          <w:szCs w:val="21"/>
        </w:rPr>
        <w:t>A.4 基础设计</w:t>
      </w:r>
    </w:p>
    <w:p>
      <w:pPr>
        <w:spacing w:line="360" w:lineRule="auto"/>
        <w:rPr>
          <w:rFonts w:hint="eastAsia" w:cs="Calibri"/>
          <w:color w:val="000000"/>
          <w:szCs w:val="21"/>
        </w:rPr>
      </w:pPr>
    </w:p>
    <w:p>
      <w:pPr>
        <w:spacing w:line="360" w:lineRule="auto"/>
        <w:rPr>
          <w:rFonts w:hint="eastAsia" w:ascii="宋体" w:hAnsi="宋体" w:cs="Calibri"/>
          <w:color w:val="000000"/>
          <w:szCs w:val="21"/>
        </w:rPr>
      </w:pPr>
      <w:r>
        <w:rPr>
          <w:rFonts w:hint="eastAsia" w:cs="Calibri"/>
          <w:color w:val="000000"/>
          <w:szCs w:val="21"/>
        </w:rPr>
        <w:t>A.4.1：</w:t>
      </w:r>
      <w:r>
        <w:rPr>
          <w:rFonts w:hint="eastAsia" w:ascii="宋体" w:hAnsi="宋体" w:cs="Calibri"/>
          <w:color w:val="000000"/>
          <w:szCs w:val="21"/>
        </w:rPr>
        <w:t>在大跨度料场封闭结构的基础设计中，水平荷载往往起控制作用，包括水平力（风、地震）传给基础的荷载和堆载对基础的水平荷载，因此基础或桩基的抗水平力计算是基础设计的要点。特别是对于桩基，合理利于基础侧面土的被动土压力可以大大降低桩的使用数量。这就要对基础侧面土的回填有明确的要求以确保被动土压力的实现，并应提出防止在料场使用期间基础侧面土发生人为损坏的可能性。</w:t>
      </w: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hint="eastAsia" w:ascii="宋体" w:hAnsi="宋体" w:cs="Calibri"/>
          <w:color w:val="000000"/>
          <w:szCs w:val="21"/>
        </w:rPr>
      </w:pPr>
    </w:p>
    <w:p>
      <w:pPr>
        <w:pStyle w:val="134"/>
        <w:spacing w:before="312" w:after="312"/>
      </w:pPr>
      <w:r>
        <w:br w:type="page"/>
      </w:r>
      <w:bookmarkStart w:id="278" w:name="_Toc48049989"/>
      <w:r>
        <w:rPr>
          <w:rFonts w:hint="eastAsia"/>
        </w:rPr>
        <w:t>附录</w:t>
      </w:r>
      <w:r>
        <w:t xml:space="preserve">D </w:t>
      </w:r>
      <w:r>
        <w:rPr>
          <w:rFonts w:hint="eastAsia"/>
        </w:rPr>
        <w:t>不锈钢结构</w:t>
      </w:r>
      <w:bookmarkEnd w:id="278"/>
      <w:r>
        <w:t xml:space="preserve"> </w:t>
      </w:r>
    </w:p>
    <w:p>
      <w:pPr>
        <w:adjustRightInd w:val="0"/>
        <w:snapToGrid w:val="0"/>
        <w:spacing w:line="360" w:lineRule="auto"/>
        <w:jc w:val="center"/>
        <w:rPr>
          <w:rFonts w:hAnsi="宋体" w:cs="Calibri"/>
          <w:bCs/>
          <w:color w:val="000000"/>
          <w:kern w:val="0"/>
          <w:szCs w:val="21"/>
        </w:rPr>
      </w:pPr>
      <w:r>
        <w:rPr>
          <w:rFonts w:hAnsi="宋体" w:cs="Calibri"/>
          <w:bCs/>
          <w:color w:val="000000"/>
          <w:kern w:val="0"/>
          <w:szCs w:val="21"/>
        </w:rPr>
        <w:t xml:space="preserve"> </w:t>
      </w:r>
    </w:p>
    <w:p>
      <w:pPr>
        <w:adjustRightInd w:val="0"/>
        <w:snapToGrid w:val="0"/>
        <w:spacing w:line="360" w:lineRule="auto"/>
        <w:rPr>
          <w:rFonts w:hAnsi="宋体" w:cs="Calibri"/>
          <w:bCs/>
          <w:color w:val="000000"/>
          <w:kern w:val="0"/>
          <w:szCs w:val="21"/>
        </w:rPr>
      </w:pPr>
      <w:r>
        <w:rPr>
          <w:rFonts w:ascii="Times New Roman" w:hAnsi="宋体"/>
          <w:bCs/>
          <w:color w:val="000000"/>
          <w:kern w:val="0"/>
          <w:szCs w:val="21"/>
          <w:lang w:bidi="ar"/>
        </w:rPr>
        <w:t xml:space="preserve">D.0.1 </w:t>
      </w:r>
      <w:r>
        <w:rPr>
          <w:rFonts w:hint="eastAsia" w:ascii="Times New Roman" w:hAnsi="宋体" w:cs="宋体"/>
          <w:bCs/>
          <w:color w:val="000000"/>
          <w:kern w:val="0"/>
          <w:szCs w:val="21"/>
          <w:lang w:bidi="ar"/>
        </w:rPr>
        <w:t>根据目前我国不锈钢结构发展情况，目前只针对这三类建筑。</w:t>
      </w:r>
    </w:p>
    <w:p>
      <w:pPr>
        <w:adjustRightInd w:val="0"/>
        <w:snapToGrid w:val="0"/>
        <w:spacing w:line="360" w:lineRule="auto"/>
        <w:rPr>
          <w:rFonts w:cs="Calibri"/>
          <w:bCs/>
          <w:color w:val="000000"/>
          <w:kern w:val="0"/>
          <w:szCs w:val="21"/>
        </w:rPr>
      </w:pPr>
      <w:r>
        <w:rPr>
          <w:rFonts w:ascii="Times New Roman" w:hAnsi="宋体"/>
          <w:bCs/>
          <w:color w:val="000000"/>
          <w:kern w:val="0"/>
          <w:szCs w:val="21"/>
          <w:lang w:bidi="ar"/>
        </w:rPr>
        <w:t xml:space="preserve">D.0.6 </w:t>
      </w:r>
      <w:bookmarkStart w:id="279" w:name="_Hlk45774543"/>
      <w:r>
        <w:rPr>
          <w:rFonts w:hint="eastAsia" w:ascii="Times New Roman" w:hAnsi="宋体" w:cs="宋体"/>
          <w:bCs/>
          <w:color w:val="000000"/>
          <w:kern w:val="0"/>
          <w:szCs w:val="21"/>
          <w:lang w:bidi="ar"/>
        </w:rPr>
        <w:t>不锈钢的拉伸应力应变曲线无明显的屈服平台，更适用于应用高强度-低延性的弹性结构理念进行抗震设计。</w:t>
      </w:r>
    </w:p>
    <w:bookmarkEnd w:id="279"/>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ascii="宋体" w:hAnsi="宋体" w:cs="Calibri"/>
          <w:color w:val="000000"/>
          <w:szCs w:val="21"/>
        </w:rPr>
      </w:pPr>
    </w:p>
    <w:p>
      <w:pPr>
        <w:spacing w:line="360" w:lineRule="auto"/>
        <w:rPr>
          <w:rFonts w:hint="eastAsia" w:ascii="宋体" w:hAnsi="宋体" w:cs="Calibri"/>
          <w:color w:val="000000"/>
          <w:szCs w:val="21"/>
        </w:rPr>
      </w:pPr>
    </w:p>
    <w:p>
      <w:pPr>
        <w:pStyle w:val="134"/>
        <w:spacing w:before="312" w:after="312"/>
      </w:pPr>
      <w:r>
        <w:br w:type="page"/>
      </w:r>
      <w:bookmarkStart w:id="280" w:name="_Toc48049990"/>
      <w:r>
        <w:rPr>
          <w:rFonts w:hint="eastAsia"/>
        </w:rPr>
        <w:t>附录</w:t>
      </w:r>
      <w:r>
        <w:t xml:space="preserve">E </w:t>
      </w:r>
      <w:r>
        <w:rPr>
          <w:rFonts w:hint="eastAsia"/>
        </w:rPr>
        <w:t>铝合金结构</w:t>
      </w:r>
      <w:bookmarkEnd w:id="280"/>
      <w:r>
        <w:t xml:space="preserve"> </w:t>
      </w:r>
    </w:p>
    <w:p>
      <w:pPr>
        <w:adjustRightInd w:val="0"/>
        <w:snapToGrid w:val="0"/>
        <w:spacing w:line="360" w:lineRule="auto"/>
        <w:ind w:firstLine="420" w:firstLineChars="200"/>
        <w:rPr>
          <w:rFonts w:hAnsi="宋体" w:cs="Calibri"/>
          <w:bCs/>
          <w:color w:val="000000"/>
          <w:kern w:val="0"/>
          <w:szCs w:val="21"/>
        </w:rPr>
      </w:pPr>
    </w:p>
    <w:p>
      <w:pPr>
        <w:adjustRightInd w:val="0"/>
        <w:snapToGrid w:val="0"/>
        <w:spacing w:line="360" w:lineRule="auto"/>
        <w:jc w:val="center"/>
        <w:rPr>
          <w:rFonts w:ascii="Times New Roman" w:hAnsi="宋体" w:cs="宋体"/>
          <w:bCs/>
          <w:color w:val="000000"/>
          <w:kern w:val="0"/>
          <w:szCs w:val="21"/>
          <w:lang w:bidi="ar"/>
        </w:rPr>
      </w:pPr>
      <w:r>
        <w:rPr>
          <w:rFonts w:ascii="Times New Roman" w:hAnsi="宋体"/>
          <w:bCs/>
          <w:color w:val="000000"/>
          <w:kern w:val="0"/>
          <w:szCs w:val="21"/>
          <w:lang w:bidi="ar"/>
        </w:rPr>
        <w:t xml:space="preserve">E.1 </w:t>
      </w:r>
      <w:r>
        <w:rPr>
          <w:rFonts w:hint="eastAsia" w:ascii="Times New Roman" w:hAnsi="宋体" w:cs="宋体"/>
          <w:bCs/>
          <w:color w:val="000000"/>
          <w:kern w:val="0"/>
          <w:szCs w:val="21"/>
          <w:lang w:bidi="ar"/>
        </w:rPr>
        <w:t>一般规定</w:t>
      </w:r>
    </w:p>
    <w:p>
      <w:pPr>
        <w:adjustRightInd w:val="0"/>
        <w:snapToGrid w:val="0"/>
        <w:spacing w:line="360" w:lineRule="auto"/>
        <w:jc w:val="center"/>
        <w:rPr>
          <w:rFonts w:hint="eastAsia" w:hAnsi="宋体" w:cs="Calibri"/>
          <w:bCs/>
          <w:color w:val="000000"/>
          <w:kern w:val="0"/>
          <w:szCs w:val="21"/>
        </w:rPr>
      </w:pPr>
    </w:p>
    <w:p>
      <w:pPr>
        <w:adjustRightInd w:val="0"/>
        <w:snapToGrid w:val="0"/>
        <w:spacing w:line="360" w:lineRule="auto"/>
        <w:rPr>
          <w:rFonts w:hAnsi="宋体" w:cs="Calibri"/>
          <w:bCs/>
          <w:color w:val="000000"/>
          <w:kern w:val="0"/>
          <w:szCs w:val="21"/>
        </w:rPr>
      </w:pPr>
      <w:r>
        <w:rPr>
          <w:rFonts w:ascii="Times New Roman" w:hAnsi="宋体"/>
          <w:bCs/>
          <w:color w:val="000000"/>
          <w:kern w:val="0"/>
          <w:szCs w:val="21"/>
          <w:lang w:bidi="ar"/>
        </w:rPr>
        <w:t xml:space="preserve">E.1.1 </w:t>
      </w:r>
      <w:r>
        <w:rPr>
          <w:rFonts w:hint="eastAsia" w:ascii="Times New Roman" w:hAnsi="宋体" w:cs="宋体"/>
          <w:bCs/>
          <w:color w:val="000000"/>
          <w:kern w:val="0"/>
          <w:szCs w:val="21"/>
          <w:lang w:bidi="ar"/>
        </w:rPr>
        <w:t>根据目前我国铝合金结构使用情况，目前只针对这三类建筑。</w:t>
      </w:r>
    </w:p>
    <w:p>
      <w:pPr>
        <w:adjustRightInd w:val="0"/>
        <w:snapToGrid w:val="0"/>
        <w:spacing w:line="360" w:lineRule="auto"/>
        <w:rPr>
          <w:rFonts w:cs="Calibri"/>
          <w:bCs/>
          <w:color w:val="000000"/>
          <w:kern w:val="0"/>
          <w:szCs w:val="21"/>
        </w:rPr>
      </w:pPr>
      <w:r>
        <w:rPr>
          <w:rFonts w:ascii="Times New Roman" w:hAnsi="宋体"/>
          <w:bCs/>
          <w:color w:val="000000"/>
          <w:kern w:val="0"/>
          <w:szCs w:val="21"/>
          <w:lang w:bidi="ar"/>
        </w:rPr>
        <w:t xml:space="preserve">E.1.3 </w:t>
      </w:r>
      <w:r>
        <w:rPr>
          <w:rFonts w:hint="eastAsia" w:ascii="Times New Roman" w:hAnsi="宋体" w:cs="宋体"/>
          <w:bCs/>
          <w:color w:val="000000"/>
          <w:kern w:val="0"/>
          <w:szCs w:val="21"/>
          <w:lang w:bidi="ar"/>
        </w:rPr>
        <w:t>不锈钢与铝合金构件间无电化学腐蚀作用且采用不锈钢构件可以提高节点域刚度。</w:t>
      </w:r>
    </w:p>
    <w:p>
      <w:pPr>
        <w:adjustRightInd w:val="0"/>
        <w:snapToGrid w:val="0"/>
        <w:spacing w:line="360" w:lineRule="auto"/>
        <w:rPr>
          <w:rFonts w:cs="Calibri"/>
          <w:bCs/>
          <w:color w:val="000000"/>
          <w:kern w:val="0"/>
          <w:szCs w:val="21"/>
        </w:rPr>
      </w:pPr>
      <w:r>
        <w:rPr>
          <w:rFonts w:ascii="Times New Roman" w:hAnsi="Times New Roman"/>
          <w:color w:val="000000"/>
          <w:szCs w:val="21"/>
          <w:lang w:bidi="ar"/>
        </w:rPr>
        <w:t xml:space="preserve">E.2.2 </w:t>
      </w:r>
      <w:r>
        <w:rPr>
          <w:rFonts w:hint="eastAsia" w:ascii="Times New Roman" w:hAnsi="宋体" w:cs="宋体"/>
          <w:bCs/>
          <w:color w:val="000000"/>
          <w:kern w:val="0"/>
          <w:szCs w:val="21"/>
          <w:lang w:bidi="ar"/>
        </w:rPr>
        <w:t>铝合金的拉伸应力应变曲线无明显的屈服平台，更适用于应用高强度-低延性的弹性结构理念进行抗震设计。</w:t>
      </w:r>
    </w:p>
    <w:p>
      <w:pPr>
        <w:adjustRightInd w:val="0"/>
        <w:snapToGrid w:val="0"/>
        <w:spacing w:line="360" w:lineRule="auto"/>
        <w:rPr>
          <w:color w:val="000000"/>
          <w:szCs w:val="21"/>
        </w:rPr>
      </w:pPr>
    </w:p>
    <w:p>
      <w:pPr>
        <w:adjustRightInd w:val="0"/>
        <w:snapToGrid w:val="0"/>
        <w:ind w:firstLine="422" w:firstLineChars="200"/>
        <w:rPr>
          <w:b/>
          <w:color w:val="000000"/>
          <w:szCs w:val="21"/>
        </w:rPr>
      </w:pPr>
    </w:p>
    <w:p>
      <w:pPr>
        <w:adjustRightInd w:val="0"/>
        <w:snapToGrid w:val="0"/>
        <w:rPr>
          <w:b/>
          <w:color w:val="000000"/>
          <w:szCs w:val="21"/>
        </w:rPr>
      </w:pPr>
    </w:p>
    <w:p>
      <w:pPr>
        <w:spacing w:line="360" w:lineRule="auto"/>
        <w:rPr>
          <w:rFonts w:ascii="宋体" w:hAnsi="宋体" w:cs="Calibri"/>
          <w:color w:val="000000"/>
          <w:szCs w:val="21"/>
        </w:rPr>
      </w:pPr>
    </w:p>
    <w:p>
      <w:pPr>
        <w:spacing w:line="360" w:lineRule="auto"/>
        <w:rPr>
          <w:rFonts w:cs="Calibri"/>
          <w:color w:val="000000"/>
          <w:szCs w:val="21"/>
        </w:rPr>
      </w:pPr>
    </w:p>
    <w:p>
      <w:pPr>
        <w:spacing w:line="360" w:lineRule="auto"/>
        <w:jc w:val="left"/>
        <w:rPr>
          <w:rFonts w:hint="eastAsia" w:cs="Calibri"/>
          <w:color w:val="000000"/>
          <w:szCs w:val="21"/>
        </w:rPr>
      </w:pPr>
    </w:p>
    <w:p>
      <w:pPr>
        <w:autoSpaceDE w:val="0"/>
        <w:autoSpaceDN w:val="0"/>
        <w:adjustRightInd w:val="0"/>
        <w:spacing w:line="360" w:lineRule="auto"/>
        <w:rPr>
          <w:rFonts w:hint="eastAsia"/>
          <w:color w:val="000000"/>
          <w:szCs w:val="21"/>
        </w:rPr>
      </w:pPr>
    </w:p>
    <w:p>
      <w:pPr>
        <w:pStyle w:val="134"/>
        <w:spacing w:before="312" w:after="312"/>
      </w:pPr>
      <w:r>
        <w:br w:type="page"/>
      </w:r>
      <w:bookmarkStart w:id="281" w:name="_Toc48049991"/>
      <w:r>
        <w:rPr>
          <w:rFonts w:hint="eastAsia"/>
        </w:rPr>
        <w:t>附录</w:t>
      </w:r>
      <w:r>
        <w:t>F</w:t>
      </w:r>
      <w:r>
        <w:rPr>
          <w:rFonts w:hint="eastAsia"/>
        </w:rPr>
        <w:t xml:space="preserve"> 部分填充钢-混凝土组合构件</w:t>
      </w:r>
      <w:bookmarkEnd w:id="281"/>
    </w:p>
    <w:p>
      <w:pPr>
        <w:rPr>
          <w:rFonts w:cs="Calibri"/>
          <w:bCs/>
          <w:color w:val="000000"/>
          <w:kern w:val="0"/>
          <w:szCs w:val="21"/>
        </w:rPr>
      </w:pPr>
    </w:p>
    <w:p>
      <w:pPr>
        <w:spacing w:line="360" w:lineRule="auto"/>
        <w:rPr>
          <w:rFonts w:cs="Calibri"/>
          <w:color w:val="000000"/>
        </w:rPr>
      </w:pPr>
      <w:r>
        <w:rPr>
          <w:rFonts w:eastAsia="楷体" w:cs="Calibri"/>
          <w:color w:val="000000"/>
          <w:szCs w:val="21"/>
        </w:rPr>
        <w:t>F.0.1</w:t>
      </w:r>
      <w:r>
        <w:rPr>
          <w:rFonts w:hint="eastAsia" w:eastAsia="楷体" w:cs="Calibri"/>
          <w:color w:val="000000"/>
          <w:szCs w:val="21"/>
        </w:rPr>
        <w:t>：</w:t>
      </w:r>
      <w:r>
        <w:rPr>
          <w:rFonts w:hint="eastAsia" w:ascii="等线" w:hAnsi="等线" w:cs="等线"/>
          <w:bCs/>
          <w:color w:val="000000"/>
          <w:szCs w:val="21"/>
        </w:rPr>
        <w:t>部分包覆钢-混凝土组合构件（The member of partially encased composite structures of steel and concrete, 简称PEC构件）主要由H钢等开口截面主钢件和混凝土组成。从1980年代起，</w:t>
      </w:r>
      <w:r>
        <w:rPr>
          <w:rFonts w:hint="eastAsia" w:cs="Calibri"/>
          <w:color w:val="000000"/>
        </w:rPr>
        <w:t>欧洲工程界着手研究这类构件的力学性能并已广泛用于多层以及高层建筑结构，其设计与构造要求已纳入欧洲组合结构规范（EC4），常用的构件一般由H形截面的型钢或焊接钢、混凝土、箍筋、纵筋与栓钉组成，箍筋分布在腹板两侧，栓钉连接在腹板上；有的截面构造则不设置栓钉，而使用穿过腹板的箍筋。1990年代后期，加拿大Canam公司研发推广了较大翼缘宽厚比的薄柔截面焊接钢，在翼缘之间设置拉杆（Link）来提高其局部稳定性。</w:t>
      </w:r>
    </w:p>
    <w:p>
      <w:pPr>
        <w:spacing w:line="360" w:lineRule="auto"/>
        <w:rPr>
          <w:rFonts w:hint="eastAsia" w:cs="Calibri"/>
          <w:color w:val="000000"/>
        </w:rPr>
      </w:pPr>
      <w:r>
        <w:rPr>
          <w:rFonts w:hint="eastAsia" w:cs="Calibri"/>
          <w:color w:val="000000"/>
        </w:rPr>
        <w:t>PEC构件与型钢混凝土构件的截面构成类似，承载机理相近，因此欧洲组合结构规范（EC4）对两者的极限承载力采取了相同的计算假定与方法。 但其与型钢混凝土构件截面形式的最大区别在于部分钢骨位于截面外周，对构件的弯曲刚度和受弯承载力的贡献远远高于型钢混凝土中的钢骨，另一方面，纵筋布置在主钢件的内侧，离中和轴距离较近，对构件弯曲刚度和受剪承载力的贡献较小。这一材料布置形成了不同于型钢混凝土的受力特点，例如外周钢板件的局部稳定性不同于型钢混凝土构件，纵筋的作用减少。自1990年代以来欧美研究者进行的相关试验，已充分支持了欧洲规范的合理性和适用性；2000年以来我国研究者也进行了许多试验，为本标准的编制提供了依据。研究表明，与钢骨存在于内核的型钢混凝土构件相比，在截面外包尺寸和含钢率相同的条件下，PEC构件的抗弯刚度与承载力都高于型钢混凝土构件。研究还表明，不设置栓钉或其他抗剪连接件的试件，其钢-混凝土也能共同受力，达到并超过塑性极限状态对应的理论承载力。实际工程应用这些构件时，在层高和柱跨之间构件的长度有限、且两端都有实际存在的限制混凝土纵向变形的约束，加上其他构造措施，都能使钢-混凝土共同变形和受力。</w:t>
      </w:r>
    </w:p>
    <w:p>
      <w:pPr>
        <w:spacing w:line="360" w:lineRule="auto"/>
        <w:rPr>
          <w:rFonts w:hint="eastAsia" w:cs="Calibri"/>
          <w:color w:val="000000"/>
        </w:rPr>
      </w:pPr>
      <w:r>
        <w:rPr>
          <w:rFonts w:hint="eastAsia" w:cs="Calibri"/>
          <w:color w:val="000000"/>
        </w:rPr>
        <w:t>PEC构件中的主钢件可以为单H形截面，也可以为两个或多个H形截面焊接组合。本标准规定了主钢件为单H形截面的构件计算方法与构造要求。采用其他主钢件形式时，其计算规定还需进一步研制。</w:t>
      </w:r>
    </w:p>
    <w:p>
      <w:pPr>
        <w:spacing w:line="360" w:lineRule="auto"/>
        <w:rPr>
          <w:rFonts w:hint="eastAsia" w:cs="Calibri"/>
          <w:color w:val="000000"/>
        </w:rPr>
      </w:pPr>
      <w:r>
        <w:rPr>
          <w:rFonts w:hint="eastAsia" w:cs="Calibri"/>
          <w:color w:val="000000"/>
        </w:rPr>
        <w:t>主钢件可以采用型钢，也可以采用焊接截面。焊接截面可以采用宽厚比较大的板件，起到节省钢材的作用；但采用型钢有利于标准化、模数化的设计，也能获得较高综合效益。</w:t>
      </w:r>
    </w:p>
    <w:p>
      <w:pPr>
        <w:spacing w:line="360" w:lineRule="auto"/>
        <w:jc w:val="left"/>
        <w:rPr>
          <w:rFonts w:hint="eastAsia" w:eastAsia="楷体" w:cs="Calibri"/>
          <w:color w:val="000000"/>
          <w:szCs w:val="21"/>
        </w:rPr>
      </w:pPr>
      <w:r>
        <w:rPr>
          <w:rFonts w:hint="eastAsia" w:ascii="等线" w:hAnsi="等线" w:cs="等线"/>
          <w:bCs/>
          <w:color w:val="000000"/>
          <w:szCs w:val="21"/>
        </w:rPr>
        <w:t>当构件采用较大截面尺寸时，可以在混凝土中设置纵筋、箍筋和栓钉等钢配件，当构件采用较小截面尺寸或设计荷载较小时（例如低多层建筑框架柱、楼面梁等），可以设置纵筋、连杆等钢配件，连杆主要用于提高H钢翼缘的板件稳定性。</w:t>
      </w:r>
    </w:p>
    <w:p>
      <w:pPr>
        <w:tabs>
          <w:tab w:val="left" w:pos="567"/>
        </w:tabs>
        <w:spacing w:line="360" w:lineRule="auto"/>
        <w:rPr>
          <w:rFonts w:eastAsia="等线" w:cs="Calibri"/>
          <w:color w:val="000000"/>
          <w:szCs w:val="21"/>
        </w:rPr>
      </w:pPr>
      <w:r>
        <w:rPr>
          <w:rFonts w:cs="Calibri"/>
          <w:color w:val="000000"/>
          <w:szCs w:val="21"/>
        </w:rPr>
        <w:t xml:space="preserve">F.0.2 </w:t>
      </w:r>
      <w:r>
        <w:rPr>
          <w:rFonts w:hint="eastAsia" w:cs="Calibri"/>
          <w:color w:val="000000"/>
          <w:szCs w:val="21"/>
        </w:rPr>
        <w:t>在欧美国家的工程实践和我国的试点工程中，已将</w:t>
      </w:r>
      <w:r>
        <w:rPr>
          <w:rFonts w:cs="Calibri"/>
          <w:color w:val="000000"/>
          <w:szCs w:val="21"/>
        </w:rPr>
        <w:t>PEC</w:t>
      </w:r>
      <w:r>
        <w:rPr>
          <w:rFonts w:hint="eastAsia" w:cs="Calibri"/>
          <w:color w:val="000000"/>
          <w:szCs w:val="21"/>
        </w:rPr>
        <w:t>构件用于多层及高层建筑的框架柱与梁。</w:t>
      </w:r>
      <w:r>
        <w:rPr>
          <w:rFonts w:cs="Calibri"/>
          <w:color w:val="000000"/>
          <w:szCs w:val="21"/>
        </w:rPr>
        <w:t>PEC</w:t>
      </w:r>
      <w:r>
        <w:rPr>
          <w:rFonts w:hint="eastAsia" w:cs="Calibri"/>
          <w:color w:val="000000"/>
          <w:szCs w:val="21"/>
        </w:rPr>
        <w:t>构件受轴压时，刚度、截面承载力及构件整体稳定性都显著高于纯钢构件，因此，适用于两端铰接的轴心受压柱，也可应用于以受压为主的支撑构件。后者可能存在于承受竖向重载但不遭受高周疲劳荷载的工业建筑结构中，但这类结构遭遇地震作用时可能使支撑受到较大拉力，此种情况下，应考虑混凝土退出工作的设计条件。</w:t>
      </w:r>
    </w:p>
    <w:p>
      <w:pPr>
        <w:spacing w:line="360" w:lineRule="auto"/>
        <w:rPr>
          <w:rFonts w:ascii="等线" w:hAnsi="等线" w:cs="等线"/>
          <w:color w:val="000000"/>
          <w:szCs w:val="21"/>
        </w:rPr>
      </w:pPr>
      <w:r>
        <w:rPr>
          <w:rFonts w:hint="eastAsia" w:cs="Calibri"/>
          <w:color w:val="000000"/>
          <w:szCs w:val="21"/>
        </w:rPr>
        <w:t>本条第</w:t>
      </w:r>
      <w:r>
        <w:rPr>
          <w:rFonts w:cs="Calibri"/>
          <w:color w:val="000000"/>
          <w:szCs w:val="21"/>
        </w:rPr>
        <w:t>2</w:t>
      </w:r>
      <w:r>
        <w:rPr>
          <w:rFonts w:hint="eastAsia" w:cs="Calibri"/>
          <w:color w:val="000000"/>
          <w:szCs w:val="21"/>
        </w:rPr>
        <w:t>款针对</w:t>
      </w:r>
      <w:r>
        <w:rPr>
          <w:rFonts w:hint="eastAsia" w:ascii="等线" w:hAnsi="等线" w:cs="等线"/>
          <w:color w:val="000000"/>
          <w:szCs w:val="21"/>
        </w:rPr>
        <w:t>既有钢结构改变用途、加层、改扩建、灾后修复加固或延长使用年限等情况下将结构改为部分包覆钢-混凝土组合构件的需要。</w:t>
      </w:r>
    </w:p>
    <w:p>
      <w:pPr>
        <w:spacing w:line="360" w:lineRule="auto"/>
        <w:rPr>
          <w:rFonts w:hint="eastAsia" w:ascii="等线" w:hAnsi="等线" w:cs="等线"/>
          <w:color w:val="000000"/>
          <w:szCs w:val="21"/>
        </w:rPr>
      </w:pPr>
      <w:r>
        <w:rPr>
          <w:rFonts w:hint="eastAsia" w:ascii="等线" w:hAnsi="等线" w:cs="等线"/>
          <w:color w:val="000000"/>
          <w:szCs w:val="21"/>
        </w:rPr>
        <w:t>本条第3款根据PEC构件的变形能力，规定其能够适用的框架结构容许变形，适用于抗震设计以及结构在静力荷载组合条件下的设计。大量构件试验对其变形能力提供了充分的支持。需要说明的是，对于柱脚铰接、柱头刚接的排架柱，采用本款规定的层间弹性相对位移作为变形限值是过于严苛的，宜根据所设计工程的实际情况予以放宽。</w:t>
      </w:r>
    </w:p>
    <w:p>
      <w:pPr>
        <w:spacing w:line="360" w:lineRule="auto"/>
        <w:jc w:val="left"/>
        <w:rPr>
          <w:rFonts w:hint="eastAsia" w:ascii="宋体" w:hAnsi="宋体" w:cs="Calibri"/>
          <w:color w:val="000000"/>
          <w:szCs w:val="21"/>
        </w:rPr>
      </w:pPr>
      <w:r>
        <w:rPr>
          <w:rFonts w:hint="eastAsia" w:ascii="宋体" w:hAnsi="宋体" w:cs="Calibri"/>
          <w:color w:val="000000"/>
          <w:szCs w:val="21"/>
        </w:rPr>
        <w:t>一般而言，PEC构件在使用中，混凝土上因温度涨缩和应力作用出现微小裂纹，以及钢-混凝土截面上的局部分离等不可避免，但其对构件整体刚度、承载力及变形能力的影响都非常有限。但在弯矩、剪力等高周反复作用时，由于损伤累积和不可逆的扩展，将降低构件的刚度和耐久性。目前对此的研究尚不充分，故本条第4款规定其不宜应用于吊车梁等构件。</w:t>
      </w:r>
    </w:p>
    <w:p>
      <w:pPr>
        <w:tabs>
          <w:tab w:val="left" w:pos="567"/>
        </w:tabs>
        <w:spacing w:line="360" w:lineRule="auto"/>
        <w:rPr>
          <w:rFonts w:hint="eastAsia" w:eastAsia="等线" w:cs="Calibri"/>
          <w:color w:val="000000"/>
          <w:szCs w:val="21"/>
        </w:rPr>
      </w:pPr>
      <w:r>
        <w:rPr>
          <w:rFonts w:cs="Calibri"/>
          <w:color w:val="000000"/>
          <w:szCs w:val="21"/>
        </w:rPr>
        <w:t>F.0.3 PEC</w:t>
      </w:r>
      <w:r>
        <w:rPr>
          <w:rFonts w:hint="eastAsia" w:cs="Calibri"/>
          <w:color w:val="000000"/>
          <w:szCs w:val="21"/>
        </w:rPr>
        <w:t>构件中主钢件受压翼缘的局部稳定临界应力高于纯钢构件受压翼缘的局部稳定临界应力。基于能量方法所做的理论分析表明，板件失稳临界应力与屈服强度相等时的外伸部分宽厚比可达</w:t>
      </w:r>
      <w:r>
        <w:rPr>
          <w:rFonts w:cs="Calibri"/>
          <w:color w:val="000000"/>
          <w:szCs w:val="21"/>
        </w:rPr>
        <w:t>35ε</w:t>
      </w:r>
      <w:r>
        <w:rPr>
          <w:rFonts w:cs="Calibri"/>
          <w:color w:val="000000"/>
          <w:szCs w:val="21"/>
          <w:vertAlign w:val="subscript"/>
        </w:rPr>
        <w:t>k</w:t>
      </w:r>
      <w:r>
        <w:rPr>
          <w:rFonts w:hint="eastAsia" w:cs="Calibri"/>
          <w:color w:val="000000"/>
          <w:szCs w:val="21"/>
        </w:rPr>
        <w:t>（李炜：部分组合钢</w:t>
      </w:r>
      <w:r>
        <w:rPr>
          <w:rFonts w:cs="Calibri"/>
          <w:color w:val="000000"/>
          <w:szCs w:val="21"/>
        </w:rPr>
        <w:t>-</w:t>
      </w:r>
      <w:r>
        <w:rPr>
          <w:rFonts w:hint="eastAsia" w:cs="Calibri"/>
          <w:color w:val="000000"/>
          <w:szCs w:val="21"/>
        </w:rPr>
        <w:t>混凝土梁试验研究，同济大学申请硕士学位论文，</w:t>
      </w:r>
      <w:r>
        <w:rPr>
          <w:rFonts w:cs="Calibri"/>
          <w:color w:val="000000"/>
          <w:szCs w:val="21"/>
        </w:rPr>
        <w:t>2015</w:t>
      </w:r>
      <w:r>
        <w:rPr>
          <w:rFonts w:hint="eastAsia" w:cs="Calibri"/>
          <w:color w:val="000000"/>
          <w:szCs w:val="21"/>
        </w:rPr>
        <w:t>），故相较于纯钢构件，受压翼缘的宽厚比限制可以放宽。表</w:t>
      </w:r>
      <w:r>
        <w:rPr>
          <w:rFonts w:cs="Calibri"/>
          <w:color w:val="000000"/>
          <w:szCs w:val="21"/>
        </w:rPr>
        <w:t>F.0.3</w:t>
      </w:r>
      <w:r>
        <w:rPr>
          <w:rFonts w:hint="eastAsia" w:cs="Calibri"/>
          <w:color w:val="000000"/>
          <w:szCs w:val="21"/>
        </w:rPr>
        <w:t>采取了欧洲规范</w:t>
      </w:r>
      <w:r>
        <w:rPr>
          <w:rFonts w:cs="Calibri"/>
          <w:color w:val="000000"/>
          <w:szCs w:val="21"/>
        </w:rPr>
        <w:t>EN1994-1-1</w:t>
      </w:r>
      <w:r>
        <w:rPr>
          <w:rFonts w:hint="eastAsia" w:cs="Calibri"/>
          <w:color w:val="000000"/>
          <w:szCs w:val="21"/>
        </w:rPr>
        <w:t>：</w:t>
      </w:r>
      <w:r>
        <w:rPr>
          <w:rFonts w:cs="Calibri"/>
          <w:color w:val="000000"/>
          <w:szCs w:val="21"/>
        </w:rPr>
        <w:t>2004</w:t>
      </w:r>
      <w:r>
        <w:rPr>
          <w:rFonts w:hint="eastAsia" w:cs="Calibri"/>
          <w:color w:val="000000"/>
          <w:szCs w:val="21"/>
        </w:rPr>
        <w:t>中对部分包覆钢</w:t>
      </w:r>
      <w:r>
        <w:rPr>
          <w:rFonts w:cs="Calibri"/>
          <w:color w:val="000000"/>
          <w:szCs w:val="21"/>
        </w:rPr>
        <w:t>-</w:t>
      </w:r>
      <w:r>
        <w:rPr>
          <w:rFonts w:hint="eastAsia" w:cs="Calibri"/>
          <w:color w:val="000000"/>
          <w:szCs w:val="21"/>
        </w:rPr>
        <w:t>混凝土组合构件受压翼缘的规定。其中，截面分类</w:t>
      </w:r>
      <w:r>
        <w:rPr>
          <w:rFonts w:cs="Calibri"/>
          <w:color w:val="000000"/>
          <w:szCs w:val="21"/>
        </w:rPr>
        <w:t>1</w:t>
      </w:r>
      <w:r>
        <w:rPr>
          <w:rFonts w:hint="eastAsia" w:cs="Calibri"/>
          <w:color w:val="000000"/>
          <w:szCs w:val="21"/>
        </w:rPr>
        <w:t>是对于构件段形成塑性铰的要求，此时，混凝土已处于压溃状态，钢翼缘按无面外约束板件考虑，故与普通钢构件的宽厚比规定一致；其他分类则考虑了混凝土对钢翼缘板件的面外约束作用。虽然其局部失稳的临界宽厚比为</w:t>
      </w:r>
      <w:r>
        <w:rPr>
          <w:rFonts w:cs="Calibri"/>
          <w:color w:val="000000"/>
          <w:szCs w:val="21"/>
        </w:rPr>
        <w:t>35ε</w:t>
      </w:r>
      <w:r>
        <w:rPr>
          <w:rFonts w:cs="Calibri"/>
          <w:color w:val="000000"/>
          <w:szCs w:val="21"/>
          <w:vertAlign w:val="subscript"/>
        </w:rPr>
        <w:t>k</w:t>
      </w:r>
      <w:r>
        <w:rPr>
          <w:rFonts w:hint="eastAsia" w:cs="Calibri"/>
          <w:color w:val="000000"/>
          <w:szCs w:val="21"/>
        </w:rPr>
        <w:t>，工程设计时可按最大宽厚比不超过</w:t>
      </w:r>
      <w:r>
        <w:rPr>
          <w:rFonts w:cs="Calibri"/>
          <w:color w:val="000000"/>
          <w:szCs w:val="21"/>
        </w:rPr>
        <w:t>30ε</w:t>
      </w:r>
      <w:r>
        <w:rPr>
          <w:rFonts w:cs="Calibri"/>
          <w:color w:val="000000"/>
          <w:szCs w:val="21"/>
          <w:vertAlign w:val="subscript"/>
        </w:rPr>
        <w:t>k</w:t>
      </w:r>
      <w:r>
        <w:rPr>
          <w:rFonts w:hint="eastAsia" w:cs="Calibri"/>
          <w:color w:val="000000"/>
          <w:szCs w:val="21"/>
        </w:rPr>
        <w:t>加以限制，以考虑板件初始变形等不利影响。事实上，板件宽厚比还受加工制作约束，宽厚比过大的板件在焊接主钢件时容易产生较大变形，是不适宜采用的。</w:t>
      </w:r>
    </w:p>
    <w:p>
      <w:pPr>
        <w:tabs>
          <w:tab w:val="left" w:pos="567"/>
        </w:tabs>
        <w:spacing w:line="360" w:lineRule="auto"/>
        <w:rPr>
          <w:rFonts w:cs="Calibri"/>
          <w:color w:val="000000"/>
          <w:szCs w:val="21"/>
        </w:rPr>
      </w:pPr>
      <w:r>
        <w:rPr>
          <w:rFonts w:hint="eastAsia" w:cs="Calibri"/>
          <w:color w:val="000000"/>
          <w:szCs w:val="21"/>
        </w:rPr>
        <w:t>本条第</w:t>
      </w:r>
      <w:r>
        <w:rPr>
          <w:rFonts w:cs="Calibri"/>
          <w:color w:val="000000"/>
          <w:szCs w:val="21"/>
        </w:rPr>
        <w:t>2</w:t>
      </w:r>
      <w:r>
        <w:rPr>
          <w:rFonts w:hint="eastAsia" w:cs="Calibri"/>
          <w:color w:val="000000"/>
          <w:szCs w:val="21"/>
        </w:rPr>
        <w:t>款考虑了轴心受压柱与压弯框架柱不同的性能要求，即不需要形成充分的塑性转动能力，其受压翼缘宽厚比满足第</w:t>
      </w:r>
      <w:r>
        <w:rPr>
          <w:rFonts w:cs="Calibri"/>
          <w:color w:val="000000"/>
          <w:szCs w:val="21"/>
        </w:rPr>
        <w:t>1</w:t>
      </w:r>
      <w:r>
        <w:rPr>
          <w:rFonts w:hint="eastAsia" w:cs="Calibri"/>
          <w:color w:val="000000"/>
          <w:szCs w:val="21"/>
        </w:rPr>
        <w:t>款截面分类</w:t>
      </w:r>
      <w:r>
        <w:rPr>
          <w:rFonts w:cs="Calibri"/>
          <w:color w:val="000000"/>
          <w:szCs w:val="21"/>
        </w:rPr>
        <w:t>2</w:t>
      </w:r>
      <w:r>
        <w:rPr>
          <w:rFonts w:hint="eastAsia" w:cs="Calibri"/>
          <w:color w:val="000000"/>
          <w:szCs w:val="21"/>
        </w:rPr>
        <w:t>即可保证截面的轴压极限承载力。</w:t>
      </w:r>
    </w:p>
    <w:p>
      <w:pPr>
        <w:tabs>
          <w:tab w:val="left" w:pos="567"/>
        </w:tabs>
        <w:spacing w:line="360" w:lineRule="auto"/>
        <w:rPr>
          <w:rFonts w:cs="Calibri"/>
          <w:color w:val="000000"/>
          <w:szCs w:val="21"/>
        </w:rPr>
      </w:pPr>
      <w:r>
        <w:rPr>
          <w:rFonts w:hint="eastAsia" w:cs="Calibri"/>
          <w:color w:val="000000"/>
          <w:szCs w:val="21"/>
        </w:rPr>
        <w:t>本条第</w:t>
      </w:r>
      <w:r>
        <w:rPr>
          <w:rFonts w:cs="Calibri"/>
          <w:color w:val="000000"/>
          <w:szCs w:val="21"/>
        </w:rPr>
        <w:t>3</w:t>
      </w:r>
      <w:r>
        <w:rPr>
          <w:rFonts w:hint="eastAsia" w:cs="Calibri"/>
          <w:color w:val="000000"/>
          <w:szCs w:val="21"/>
        </w:rPr>
        <w:t>款考虑支撑构件往复压弯的可能，要求其受压翼缘宽厚比满足第</w:t>
      </w:r>
      <w:r>
        <w:rPr>
          <w:rFonts w:cs="Calibri"/>
          <w:color w:val="000000"/>
          <w:szCs w:val="21"/>
        </w:rPr>
        <w:t>1</w:t>
      </w:r>
      <w:r>
        <w:rPr>
          <w:rFonts w:hint="eastAsia" w:cs="Calibri"/>
          <w:color w:val="000000"/>
          <w:szCs w:val="21"/>
        </w:rPr>
        <w:t>款截面分类</w:t>
      </w:r>
      <w:r>
        <w:rPr>
          <w:rFonts w:cs="Calibri"/>
          <w:color w:val="000000"/>
          <w:szCs w:val="21"/>
        </w:rPr>
        <w:t>1</w:t>
      </w:r>
      <w:r>
        <w:rPr>
          <w:rFonts w:hint="eastAsia" w:cs="Calibri"/>
          <w:color w:val="000000"/>
          <w:szCs w:val="21"/>
        </w:rPr>
        <w:t>。当框架</w:t>
      </w:r>
      <w:r>
        <w:rPr>
          <w:rFonts w:cs="Calibri"/>
          <w:color w:val="000000"/>
          <w:szCs w:val="21"/>
        </w:rPr>
        <w:t>-</w:t>
      </w:r>
      <w:r>
        <w:rPr>
          <w:rFonts w:hint="eastAsia" w:cs="Calibri"/>
          <w:color w:val="000000"/>
          <w:szCs w:val="21"/>
        </w:rPr>
        <w:t>支撑结构抗震等级为三、四级或非抗震设计时，可按满足截面分类</w:t>
      </w:r>
      <w:r>
        <w:rPr>
          <w:rFonts w:cs="Calibri"/>
          <w:color w:val="000000"/>
          <w:szCs w:val="21"/>
        </w:rPr>
        <w:t>2</w:t>
      </w:r>
      <w:r>
        <w:rPr>
          <w:rFonts w:hint="eastAsia" w:cs="Calibri"/>
          <w:color w:val="000000"/>
          <w:szCs w:val="21"/>
        </w:rPr>
        <w:t>设计。</w:t>
      </w:r>
    </w:p>
    <w:p>
      <w:pPr>
        <w:tabs>
          <w:tab w:val="left" w:pos="567"/>
        </w:tabs>
        <w:spacing w:line="360" w:lineRule="auto"/>
        <w:rPr>
          <w:rFonts w:cs="Calibri"/>
          <w:color w:val="000000"/>
          <w:szCs w:val="21"/>
        </w:rPr>
      </w:pPr>
      <w:r>
        <w:rPr>
          <w:rFonts w:hint="eastAsia" w:cs="Calibri"/>
          <w:color w:val="000000"/>
          <w:szCs w:val="21"/>
        </w:rPr>
        <w:t>主钢件腹板受到两侧混凝土的约束，局部失稳受到抑制。但考虑极限状态下混凝土受损后对腹板的约束作用降低，仍需对其板件高厚比予以适当限制。本条第</w:t>
      </w:r>
      <w:r>
        <w:rPr>
          <w:rFonts w:cs="Calibri"/>
          <w:color w:val="000000"/>
          <w:szCs w:val="21"/>
        </w:rPr>
        <w:t>4</w:t>
      </w:r>
      <w:r>
        <w:rPr>
          <w:rFonts w:hint="eastAsia" w:cs="Calibri"/>
          <w:color w:val="000000"/>
          <w:szCs w:val="21"/>
        </w:rPr>
        <w:t>款参照欧洲规范</w:t>
      </w:r>
      <w:r>
        <w:rPr>
          <w:rFonts w:cs="Calibri"/>
          <w:color w:val="000000"/>
          <w:szCs w:val="21"/>
        </w:rPr>
        <w:t>EN1994-1-1</w:t>
      </w:r>
      <w:r>
        <w:rPr>
          <w:rFonts w:hint="eastAsia" w:cs="Calibri"/>
          <w:color w:val="000000"/>
          <w:szCs w:val="21"/>
        </w:rPr>
        <w:t>：</w:t>
      </w:r>
      <w:r>
        <w:rPr>
          <w:rFonts w:cs="Calibri"/>
          <w:color w:val="000000"/>
          <w:szCs w:val="21"/>
        </w:rPr>
        <w:t>2004</w:t>
      </w:r>
      <w:r>
        <w:rPr>
          <w:rFonts w:hint="eastAsia" w:cs="Calibri"/>
          <w:color w:val="000000"/>
          <w:szCs w:val="21"/>
        </w:rPr>
        <w:t>规定。</w:t>
      </w:r>
    </w:p>
    <w:p>
      <w:pPr>
        <w:tabs>
          <w:tab w:val="left" w:pos="567"/>
        </w:tabs>
        <w:spacing w:line="360" w:lineRule="auto"/>
        <w:rPr>
          <w:rFonts w:eastAsia="楷体" w:cs="Calibri"/>
          <w:color w:val="000000"/>
          <w:szCs w:val="21"/>
        </w:rPr>
      </w:pPr>
      <w:r>
        <w:rPr>
          <w:rFonts w:hint="eastAsia" w:cs="Calibri"/>
          <w:color w:val="000000"/>
          <w:szCs w:val="21"/>
        </w:rPr>
        <w:t>本条第</w:t>
      </w:r>
      <w:r>
        <w:rPr>
          <w:rFonts w:cs="Calibri"/>
          <w:color w:val="000000"/>
          <w:szCs w:val="21"/>
        </w:rPr>
        <w:t>2</w:t>
      </w:r>
      <w:r>
        <w:rPr>
          <w:rFonts w:hint="eastAsia" w:cs="Calibri"/>
          <w:color w:val="000000"/>
          <w:szCs w:val="21"/>
        </w:rPr>
        <w:t>第</w:t>
      </w:r>
      <w:r>
        <w:rPr>
          <w:rFonts w:cs="Calibri"/>
          <w:color w:val="000000"/>
          <w:szCs w:val="21"/>
        </w:rPr>
        <w:t>5</w:t>
      </w:r>
      <w:r>
        <w:rPr>
          <w:rFonts w:hint="eastAsia" w:cs="Calibri"/>
          <w:color w:val="000000"/>
          <w:szCs w:val="21"/>
        </w:rPr>
        <w:t>款参考了欧洲规范</w:t>
      </w:r>
      <w:r>
        <w:rPr>
          <w:rFonts w:cs="Calibri"/>
          <w:color w:val="000000"/>
          <w:szCs w:val="21"/>
        </w:rPr>
        <w:t>1998-1</w:t>
      </w:r>
      <w:r>
        <w:rPr>
          <w:rFonts w:hint="eastAsia" w:cs="Calibri"/>
          <w:color w:val="000000"/>
          <w:szCs w:val="21"/>
        </w:rPr>
        <w:t>：</w:t>
      </w:r>
      <w:r>
        <w:rPr>
          <w:rFonts w:cs="Calibri"/>
          <w:color w:val="000000"/>
          <w:szCs w:val="21"/>
        </w:rPr>
        <w:t>2004</w:t>
      </w:r>
      <w:r>
        <w:rPr>
          <w:rFonts w:hint="eastAsia" w:cs="Calibri"/>
          <w:color w:val="000000"/>
          <w:szCs w:val="21"/>
        </w:rPr>
        <w:t>第</w:t>
      </w:r>
      <w:r>
        <w:rPr>
          <w:rFonts w:cs="Calibri"/>
          <w:color w:val="000000"/>
          <w:szCs w:val="21"/>
        </w:rPr>
        <w:t>7.6.5</w:t>
      </w:r>
      <w:r>
        <w:rPr>
          <w:rFonts w:hint="eastAsia" w:cs="Calibri"/>
          <w:color w:val="000000"/>
          <w:szCs w:val="21"/>
        </w:rPr>
        <w:t>条第（</w:t>
      </w:r>
      <w:r>
        <w:rPr>
          <w:rFonts w:cs="Calibri"/>
          <w:color w:val="000000"/>
          <w:szCs w:val="21"/>
        </w:rPr>
        <w:t>4</w:t>
      </w:r>
      <w:r>
        <w:rPr>
          <w:rFonts w:hint="eastAsia" w:cs="Calibri"/>
          <w:color w:val="000000"/>
          <w:szCs w:val="21"/>
        </w:rPr>
        <w:t>）款的规定内容，并经过多项滞回试验结果予以确认（列举试验报告名称，插入不同宽厚比受弯、压弯构件的试验曲线）。该款基于连杆可有效约束受压翼缘外伸部分在塑性阶段的局部失稳，故可仅要求覆盖构件最大弯矩所在附近的区域。当弯矩分布较为均匀时，弯矩超过构件上最大弯矩</w:t>
      </w:r>
      <w:r>
        <w:rPr>
          <w:rFonts w:cs="Calibri"/>
          <w:color w:val="000000"/>
          <w:szCs w:val="21"/>
        </w:rPr>
        <w:t>0.8</w:t>
      </w:r>
      <w:r>
        <w:rPr>
          <w:rFonts w:hint="eastAsia" w:cs="Calibri"/>
          <w:color w:val="000000"/>
          <w:szCs w:val="21"/>
        </w:rPr>
        <w:t>倍的范围内均宜满足连杆设置的要求，以保证其塑性承载和变形能力。</w:t>
      </w:r>
    </w:p>
    <w:p>
      <w:pPr>
        <w:tabs>
          <w:tab w:val="left" w:pos="567"/>
        </w:tabs>
        <w:spacing w:line="360" w:lineRule="auto"/>
        <w:rPr>
          <w:rFonts w:hAnsi="楷体" w:eastAsia="楷体" w:cs="Calibri"/>
          <w:color w:val="000000"/>
          <w:szCs w:val="21"/>
        </w:rPr>
      </w:pPr>
      <w:r>
        <w:rPr>
          <w:rFonts w:cs="Calibri"/>
          <w:color w:val="000000"/>
          <w:szCs w:val="21"/>
        </w:rPr>
        <w:t xml:space="preserve">F.0.4 </w:t>
      </w:r>
      <w:r>
        <w:rPr>
          <w:rFonts w:hint="eastAsia" w:hAnsi="楷体" w:eastAsia="楷体" w:cs="Calibri"/>
          <w:color w:val="000000"/>
          <w:szCs w:val="21"/>
        </w:rPr>
        <w:t>钢配件的构造要求需根据所采用构件的具体情况予以确定。</w:t>
      </w:r>
    </w:p>
    <w:p>
      <w:pPr>
        <w:tabs>
          <w:tab w:val="left" w:pos="567"/>
        </w:tabs>
        <w:spacing w:line="360" w:lineRule="auto"/>
        <w:rPr>
          <w:rFonts w:eastAsia="等线" w:cs="Calibri"/>
          <w:color w:val="000000"/>
          <w:szCs w:val="21"/>
        </w:rPr>
      </w:pPr>
      <w:r>
        <w:rPr>
          <w:rFonts w:cs="Calibri"/>
          <w:color w:val="000000"/>
          <w:szCs w:val="21"/>
        </w:rPr>
        <w:t>F.0.5</w:t>
      </w:r>
      <w:r>
        <w:rPr>
          <w:rFonts w:hint="eastAsia" w:cs="Calibri"/>
          <w:color w:val="000000"/>
          <w:szCs w:val="21"/>
        </w:rPr>
        <w:t>进行结构分析时，构件的轴向刚度、抗弯刚度、抗剪刚度均采用全截面材料有效的假定，按各组成部分的刚度线性组合的方式进行计算。实验表明，由于构件中的各种钢配件存在，特别是构件两端端板的约束，钢</w:t>
      </w:r>
      <w:r>
        <w:rPr>
          <w:rFonts w:cs="Calibri"/>
          <w:color w:val="000000"/>
          <w:szCs w:val="21"/>
        </w:rPr>
        <w:t>-</w:t>
      </w:r>
      <w:r>
        <w:rPr>
          <w:rFonts w:hint="eastAsia" w:cs="Calibri"/>
          <w:color w:val="000000"/>
          <w:szCs w:val="21"/>
        </w:rPr>
        <w:t>混凝土在弹性阶段能够按变形协调的方式共同受力；两种材料界面之间即使存在构造裂纹，以及在较低的拉应力作用下混凝土表面也发生细小裂纹，但按本条规定的叠加方式计算的刚度，能够与构件的实验值有较好吻合。</w:t>
      </w:r>
    </w:p>
    <w:p>
      <w:pPr>
        <w:spacing w:line="360" w:lineRule="auto"/>
        <w:rPr>
          <w:rFonts w:ascii="等线" w:hAnsi="等线" w:cs="等线"/>
          <w:color w:val="000000"/>
          <w:szCs w:val="22"/>
        </w:rPr>
      </w:pPr>
      <w:r>
        <w:rPr>
          <w:rFonts w:cs="Calibri"/>
          <w:color w:val="000000"/>
          <w:szCs w:val="21"/>
        </w:rPr>
        <w:t xml:space="preserve">F.0.6 </w:t>
      </w:r>
      <w:r>
        <w:rPr>
          <w:rFonts w:hint="eastAsia" w:ascii="等线" w:hAnsi="等线" w:cs="等线"/>
          <w:color w:val="000000"/>
        </w:rPr>
        <w:t>本条第1款为轴心受压构件的截面强度计算。短柱轴压试验结果表明，柱子在极限承载力之前，钢与混凝土能够很好的协同工作，这种组合结构短柱最终的破坏模式主要是混凝土压碎，主钢件在横向连杆间翼缘发生局部屈曲。基于叠加原理，建立了部分包覆钢-混凝土组合柱轴压承载力计算公式。由下表可见，计算结果与试验结果吻合良好。</w:t>
      </w:r>
    </w:p>
    <w:p>
      <w:pPr>
        <w:jc w:val="center"/>
        <w:rPr>
          <w:rFonts w:hint="eastAsia" w:ascii="等线" w:hAnsi="等线" w:cs="等线"/>
          <w:color w:val="000000"/>
          <w:sz w:val="18"/>
          <w:szCs w:val="18"/>
        </w:rPr>
      </w:pPr>
      <w:r>
        <w:rPr>
          <w:rFonts w:hint="eastAsia" w:ascii="等线" w:hAnsi="等线" w:cs="等线"/>
          <w:color w:val="000000"/>
          <w:sz w:val="18"/>
          <w:szCs w:val="18"/>
        </w:rPr>
        <w:t>轴压强度试验值和理论值对比</w:t>
      </w:r>
    </w:p>
    <w:tbl>
      <w:tblPr>
        <w:tblStyle w:val="32"/>
        <w:tblW w:w="7905" w:type="dxa"/>
        <w:jc w:val="center"/>
        <w:tblLayout w:type="fixed"/>
        <w:tblCellMar>
          <w:top w:w="0" w:type="dxa"/>
          <w:left w:w="108" w:type="dxa"/>
          <w:bottom w:w="0" w:type="dxa"/>
          <w:right w:w="108" w:type="dxa"/>
        </w:tblCellMar>
      </w:tblPr>
      <w:tblGrid>
        <w:gridCol w:w="1141"/>
        <w:gridCol w:w="2135"/>
        <w:gridCol w:w="849"/>
        <w:gridCol w:w="1401"/>
        <w:gridCol w:w="949"/>
        <w:gridCol w:w="741"/>
        <w:gridCol w:w="689"/>
      </w:tblGrid>
      <w:tr>
        <w:tblPrEx>
          <w:tblCellMar>
            <w:top w:w="0" w:type="dxa"/>
            <w:left w:w="108" w:type="dxa"/>
            <w:bottom w:w="0" w:type="dxa"/>
            <w:right w:w="108" w:type="dxa"/>
          </w:tblCellMar>
        </w:tblPrEx>
        <w:trPr>
          <w:tblHeader/>
          <w:jc w:val="center"/>
        </w:trPr>
        <w:tc>
          <w:tcPr>
            <w:tcW w:w="1140"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文献来源</w:t>
            </w:r>
          </w:p>
        </w:tc>
        <w:tc>
          <w:tcPr>
            <w:tcW w:w="2134"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试件编号</w:t>
            </w:r>
          </w:p>
        </w:tc>
        <w:tc>
          <w:tcPr>
            <w:tcW w:w="849"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长宽比(L</w:t>
            </w:r>
            <w:r>
              <w:rPr>
                <w:rFonts w:hint="eastAsia" w:ascii="等线" w:hAnsi="等线" w:eastAsia="等线"/>
                <w:color w:val="000000"/>
                <w:kern w:val="0"/>
                <w:sz w:val="18"/>
                <w:szCs w:val="18"/>
                <w:vertAlign w:val="subscript"/>
              </w:rPr>
              <w:t>0</w:t>
            </w:r>
            <w:r>
              <w:rPr>
                <w:rFonts w:hint="eastAsia" w:ascii="等线" w:hAnsi="等线" w:eastAsia="等线"/>
                <w:color w:val="000000"/>
                <w:kern w:val="0"/>
                <w:sz w:val="18"/>
                <w:szCs w:val="18"/>
              </w:rPr>
              <w:t>/b</w:t>
            </w:r>
            <w:r>
              <w:rPr>
                <w:rFonts w:hint="eastAsia" w:ascii="等线" w:hAnsi="等线" w:eastAsia="等线"/>
                <w:color w:val="000000"/>
                <w:kern w:val="0"/>
                <w:sz w:val="18"/>
                <w:szCs w:val="18"/>
                <w:vertAlign w:val="subscript"/>
              </w:rPr>
              <w:t>f</w:t>
            </w:r>
            <w:r>
              <w:rPr>
                <w:rFonts w:hint="eastAsia" w:ascii="等线" w:hAnsi="等线" w:eastAsia="等线"/>
                <w:color w:val="000000"/>
                <w:kern w:val="0"/>
                <w:sz w:val="18"/>
                <w:szCs w:val="18"/>
              </w:rPr>
              <w:t>)</w:t>
            </w:r>
          </w:p>
        </w:tc>
        <w:tc>
          <w:tcPr>
            <w:tcW w:w="1401"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相对长细比</w:t>
            </w:r>
          </w:p>
          <w:p>
            <w:pPr>
              <w:ind w:firstLine="360"/>
              <w:jc w:val="center"/>
              <w:rPr>
                <w:rFonts w:hint="eastAsia" w:ascii="等线" w:hAnsi="等线" w:eastAsia="等线"/>
                <w:color w:val="000000"/>
                <w:kern w:val="0"/>
                <w:sz w:val="18"/>
                <w:szCs w:val="18"/>
              </w:rPr>
            </w:pPr>
            <w:r>
              <w:rPr>
                <w:rFonts w:ascii="Symbol" w:hAnsi="Symbol" w:eastAsia="等线"/>
                <w:bCs/>
                <w:color w:val="000000"/>
                <w:kern w:val="0"/>
                <w:sz w:val="18"/>
                <w:szCs w:val="18"/>
              </w:rPr>
              <w:t></w:t>
            </w:r>
          </w:p>
        </w:tc>
        <w:tc>
          <w:tcPr>
            <w:tcW w:w="949"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vertAlign w:val="subscript"/>
              </w:rPr>
            </w:pPr>
            <w:r>
              <w:rPr>
                <w:rFonts w:hint="eastAsia" w:ascii="等线" w:hAnsi="等线" w:eastAsia="等线"/>
                <w:color w:val="000000"/>
                <w:kern w:val="0"/>
                <w:sz w:val="18"/>
                <w:szCs w:val="18"/>
              </w:rPr>
              <w:t>N</w:t>
            </w:r>
            <w:r>
              <w:rPr>
                <w:rFonts w:hint="eastAsia" w:ascii="等线" w:hAnsi="等线" w:eastAsia="等线"/>
                <w:color w:val="000000"/>
                <w:kern w:val="0"/>
                <w:sz w:val="18"/>
                <w:szCs w:val="18"/>
                <w:vertAlign w:val="subscript"/>
              </w:rPr>
              <w:t>u</w:t>
            </w:r>
          </w:p>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(kN)</w:t>
            </w:r>
          </w:p>
        </w:tc>
        <w:tc>
          <w:tcPr>
            <w:tcW w:w="741"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N</w:t>
            </w:r>
          </w:p>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(kN)</w:t>
            </w:r>
          </w:p>
        </w:tc>
        <w:tc>
          <w:tcPr>
            <w:tcW w:w="689"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N/N</w:t>
            </w:r>
            <w:r>
              <w:rPr>
                <w:rFonts w:hint="eastAsia" w:ascii="等线" w:hAnsi="等线" w:eastAsia="等线"/>
                <w:color w:val="000000"/>
                <w:kern w:val="0"/>
                <w:sz w:val="18"/>
                <w:szCs w:val="18"/>
                <w:vertAlign w:val="subscript"/>
              </w:rPr>
              <w:t>u</w:t>
            </w:r>
          </w:p>
        </w:tc>
      </w:tr>
      <w:tr>
        <w:tblPrEx>
          <w:tblCellMar>
            <w:top w:w="0" w:type="dxa"/>
            <w:left w:w="108" w:type="dxa"/>
            <w:bottom w:w="0" w:type="dxa"/>
            <w:right w:w="108" w:type="dxa"/>
          </w:tblCellMar>
        </w:tblPrEx>
        <w:trPr>
          <w:jc w:val="center"/>
        </w:trPr>
        <w:tc>
          <w:tcPr>
            <w:tcW w:w="1140"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Tremblay, 1998</w:t>
            </w:r>
          </w:p>
        </w:tc>
        <w:tc>
          <w:tcPr>
            <w:tcW w:w="2134"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C-2</w:t>
            </w:r>
          </w:p>
        </w:tc>
        <w:tc>
          <w:tcPr>
            <w:tcW w:w="84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0.212 </w:t>
            </w:r>
          </w:p>
        </w:tc>
        <w:tc>
          <w:tcPr>
            <w:tcW w:w="94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10033 </w:t>
            </w:r>
          </w:p>
        </w:tc>
        <w:tc>
          <w:tcPr>
            <w:tcW w:w="74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10100</w:t>
            </w:r>
          </w:p>
        </w:tc>
        <w:tc>
          <w:tcPr>
            <w:tcW w:w="68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1.007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C-3</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0.212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9985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9690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0.970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C-4</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0.212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9905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9390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0.948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C-5</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0.214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10291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10000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0.972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C-6</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0.204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8522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7650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0.898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C-7</w:t>
            </w:r>
          </w:p>
        </w:tc>
        <w:tc>
          <w:tcPr>
            <w:tcW w:w="849"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0.211 </w:t>
            </w:r>
          </w:p>
        </w:tc>
        <w:tc>
          <w:tcPr>
            <w:tcW w:w="94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4367 </w:t>
            </w:r>
          </w:p>
        </w:tc>
        <w:tc>
          <w:tcPr>
            <w:tcW w:w="74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4280</w:t>
            </w:r>
          </w:p>
        </w:tc>
        <w:tc>
          <w:tcPr>
            <w:tcW w:w="68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0.980 </w:t>
            </w:r>
          </w:p>
        </w:tc>
      </w:tr>
      <w:tr>
        <w:tblPrEx>
          <w:tblCellMar>
            <w:top w:w="0" w:type="dxa"/>
            <w:left w:w="108" w:type="dxa"/>
            <w:bottom w:w="0" w:type="dxa"/>
            <w:right w:w="108" w:type="dxa"/>
          </w:tblCellMar>
        </w:tblPrEx>
        <w:trPr>
          <w:jc w:val="center"/>
        </w:trPr>
        <w:tc>
          <w:tcPr>
            <w:tcW w:w="1140"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Tremblay, 2002</w:t>
            </w:r>
          </w:p>
        </w:tc>
        <w:tc>
          <w:tcPr>
            <w:tcW w:w="2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C-8</w:t>
            </w:r>
          </w:p>
        </w:tc>
        <w:tc>
          <w:tcPr>
            <w:tcW w:w="84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0.212 </w:t>
            </w:r>
          </w:p>
        </w:tc>
        <w:tc>
          <w:tcPr>
            <w:tcW w:w="94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18006 </w:t>
            </w:r>
          </w:p>
        </w:tc>
        <w:tc>
          <w:tcPr>
            <w:tcW w:w="74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16470</w:t>
            </w:r>
          </w:p>
        </w:tc>
        <w:tc>
          <w:tcPr>
            <w:tcW w:w="68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0.915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C-9</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0.212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18023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16610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0.922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C-10</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0.212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17965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16240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0.904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C-11</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0.205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15905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14930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0.939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C-12</w:t>
            </w:r>
          </w:p>
        </w:tc>
        <w:tc>
          <w:tcPr>
            <w:tcW w:w="849"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0.212 </w:t>
            </w:r>
          </w:p>
        </w:tc>
        <w:tc>
          <w:tcPr>
            <w:tcW w:w="94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17994 </w:t>
            </w:r>
          </w:p>
        </w:tc>
        <w:tc>
          <w:tcPr>
            <w:tcW w:w="74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17450</w:t>
            </w:r>
          </w:p>
        </w:tc>
        <w:tc>
          <w:tcPr>
            <w:tcW w:w="68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0.970 </w:t>
            </w:r>
          </w:p>
        </w:tc>
      </w:tr>
      <w:tr>
        <w:tblPrEx>
          <w:tblCellMar>
            <w:top w:w="0" w:type="dxa"/>
            <w:left w:w="108" w:type="dxa"/>
            <w:bottom w:w="0" w:type="dxa"/>
            <w:right w:w="108" w:type="dxa"/>
          </w:tblCellMar>
        </w:tblPrEx>
        <w:trPr>
          <w:jc w:val="center"/>
        </w:trPr>
        <w:tc>
          <w:tcPr>
            <w:tcW w:w="1140"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Tremblay, 2003</w:t>
            </w:r>
          </w:p>
        </w:tc>
        <w:tc>
          <w:tcPr>
            <w:tcW w:w="2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P-1</w:t>
            </w:r>
          </w:p>
        </w:tc>
        <w:tc>
          <w:tcPr>
            <w:tcW w:w="84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0.218 </w:t>
            </w:r>
          </w:p>
        </w:tc>
        <w:tc>
          <w:tcPr>
            <w:tcW w:w="94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4878 </w:t>
            </w:r>
          </w:p>
        </w:tc>
        <w:tc>
          <w:tcPr>
            <w:tcW w:w="74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4770</w:t>
            </w:r>
          </w:p>
        </w:tc>
        <w:tc>
          <w:tcPr>
            <w:tcW w:w="68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0.978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P-2</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0.218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4878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4670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0.957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P-3</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0.218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4878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4790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0.982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P-4</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0.218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4878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4975</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1.020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P-5</w:t>
            </w:r>
          </w:p>
        </w:tc>
        <w:tc>
          <w:tcPr>
            <w:tcW w:w="849"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5.222</w:t>
            </w:r>
          </w:p>
        </w:tc>
        <w:tc>
          <w:tcPr>
            <w:tcW w:w="140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0.220 </w:t>
            </w:r>
          </w:p>
        </w:tc>
        <w:tc>
          <w:tcPr>
            <w:tcW w:w="94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9235 </w:t>
            </w:r>
          </w:p>
        </w:tc>
        <w:tc>
          <w:tcPr>
            <w:tcW w:w="74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9225</w:t>
            </w:r>
          </w:p>
        </w:tc>
        <w:tc>
          <w:tcPr>
            <w:tcW w:w="68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0.999 </w:t>
            </w:r>
          </w:p>
        </w:tc>
      </w:tr>
      <w:tr>
        <w:tblPrEx>
          <w:tblCellMar>
            <w:top w:w="0" w:type="dxa"/>
            <w:left w:w="108" w:type="dxa"/>
            <w:bottom w:w="0" w:type="dxa"/>
            <w:right w:w="108" w:type="dxa"/>
          </w:tblCellMar>
        </w:tblPrEx>
        <w:trPr>
          <w:jc w:val="center"/>
        </w:trPr>
        <w:tc>
          <w:tcPr>
            <w:tcW w:w="114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Bergmann, 2000</w:t>
            </w:r>
          </w:p>
        </w:tc>
        <w:tc>
          <w:tcPr>
            <w:tcW w:w="2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V1</w:t>
            </w:r>
          </w:p>
        </w:tc>
        <w:tc>
          <w:tcPr>
            <w:tcW w:w="84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5.172</w:t>
            </w:r>
          </w:p>
        </w:tc>
        <w:tc>
          <w:tcPr>
            <w:tcW w:w="140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0.238 </w:t>
            </w:r>
          </w:p>
        </w:tc>
        <w:tc>
          <w:tcPr>
            <w:tcW w:w="949"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6954 </w:t>
            </w:r>
          </w:p>
        </w:tc>
        <w:tc>
          <w:tcPr>
            <w:tcW w:w="74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8867</w:t>
            </w:r>
          </w:p>
        </w:tc>
        <w:tc>
          <w:tcPr>
            <w:tcW w:w="689"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1.275 </w:t>
            </w:r>
          </w:p>
        </w:tc>
      </w:tr>
      <w:tr>
        <w:tblPrEx>
          <w:tblCellMar>
            <w:top w:w="0" w:type="dxa"/>
            <w:left w:w="108" w:type="dxa"/>
            <w:bottom w:w="0" w:type="dxa"/>
            <w:right w:w="108" w:type="dxa"/>
          </w:tblCellMar>
        </w:tblPrEx>
        <w:trPr>
          <w:jc w:val="center"/>
        </w:trPr>
        <w:tc>
          <w:tcPr>
            <w:tcW w:w="1140"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Prickett, 2006</w:t>
            </w:r>
          </w:p>
        </w:tc>
        <w:tc>
          <w:tcPr>
            <w:tcW w:w="2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H1</w:t>
            </w:r>
          </w:p>
        </w:tc>
        <w:tc>
          <w:tcPr>
            <w:tcW w:w="84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0.192 </w:t>
            </w:r>
          </w:p>
        </w:tc>
        <w:tc>
          <w:tcPr>
            <w:tcW w:w="94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7387 </w:t>
            </w:r>
          </w:p>
        </w:tc>
        <w:tc>
          <w:tcPr>
            <w:tcW w:w="74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7380</w:t>
            </w:r>
          </w:p>
        </w:tc>
        <w:tc>
          <w:tcPr>
            <w:tcW w:w="68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0.999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H2</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0.194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7524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7570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1.006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H3</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0.239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11388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12340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1.084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H4</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0.237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11255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11860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1.054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H5</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0.241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11617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12390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1.067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H6</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0.224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10034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12180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1.214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H7</w:t>
            </w:r>
          </w:p>
        </w:tc>
        <w:tc>
          <w:tcPr>
            <w:tcW w:w="849"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0.229 </w:t>
            </w:r>
          </w:p>
        </w:tc>
        <w:tc>
          <w:tcPr>
            <w:tcW w:w="94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10493 </w:t>
            </w:r>
          </w:p>
        </w:tc>
        <w:tc>
          <w:tcPr>
            <w:tcW w:w="74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11890</w:t>
            </w:r>
          </w:p>
        </w:tc>
        <w:tc>
          <w:tcPr>
            <w:tcW w:w="68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1.133 </w:t>
            </w:r>
          </w:p>
        </w:tc>
      </w:tr>
      <w:tr>
        <w:tblPrEx>
          <w:tblCellMar>
            <w:top w:w="0" w:type="dxa"/>
            <w:left w:w="108" w:type="dxa"/>
            <w:bottom w:w="0" w:type="dxa"/>
            <w:right w:w="108" w:type="dxa"/>
          </w:tblCellMar>
        </w:tblPrEx>
        <w:trPr>
          <w:jc w:val="center"/>
        </w:trPr>
        <w:tc>
          <w:tcPr>
            <w:tcW w:w="1140"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赵根田, 2012</w:t>
            </w:r>
          </w:p>
        </w:tc>
        <w:tc>
          <w:tcPr>
            <w:tcW w:w="2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PECC-1</w:t>
            </w:r>
          </w:p>
        </w:tc>
        <w:tc>
          <w:tcPr>
            <w:tcW w:w="84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0.156 </w:t>
            </w:r>
          </w:p>
        </w:tc>
        <w:tc>
          <w:tcPr>
            <w:tcW w:w="94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1922 </w:t>
            </w:r>
          </w:p>
        </w:tc>
        <w:tc>
          <w:tcPr>
            <w:tcW w:w="74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2108</w:t>
            </w:r>
          </w:p>
        </w:tc>
        <w:tc>
          <w:tcPr>
            <w:tcW w:w="68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1.097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PECC-2</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0.151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1792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1867</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1.042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PECC-3</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0.159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1983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2558</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1.290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PECC-4</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0.149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1753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1688</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0.963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PECC-5</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0.158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2119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2382</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1.124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PECC-6</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0.159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2129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2664</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1.251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PECC-7</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0.159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2129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2559</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1.202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PECC-8</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0.154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2148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2178</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1.014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PECC-9</w:t>
            </w:r>
          </w:p>
        </w:tc>
        <w:tc>
          <w:tcPr>
            <w:tcW w:w="849"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4</w:t>
            </w:r>
          </w:p>
        </w:tc>
        <w:tc>
          <w:tcPr>
            <w:tcW w:w="140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0.166 </w:t>
            </w:r>
          </w:p>
        </w:tc>
        <w:tc>
          <w:tcPr>
            <w:tcW w:w="94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2645 </w:t>
            </w:r>
          </w:p>
        </w:tc>
        <w:tc>
          <w:tcPr>
            <w:tcW w:w="74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3110</w:t>
            </w:r>
          </w:p>
        </w:tc>
        <w:tc>
          <w:tcPr>
            <w:tcW w:w="68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1.176 </w:t>
            </w:r>
          </w:p>
        </w:tc>
      </w:tr>
      <w:tr>
        <w:tblPrEx>
          <w:tblCellMar>
            <w:top w:w="0" w:type="dxa"/>
            <w:left w:w="108" w:type="dxa"/>
            <w:bottom w:w="0" w:type="dxa"/>
            <w:right w:w="108" w:type="dxa"/>
          </w:tblCellMar>
        </w:tblPrEx>
        <w:trPr>
          <w:jc w:val="center"/>
        </w:trPr>
        <w:tc>
          <w:tcPr>
            <w:tcW w:w="1140" w:type="dxa"/>
            <w:vMerge w:val="restart"/>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吴波, 2016</w:t>
            </w:r>
          </w:p>
        </w:tc>
        <w:tc>
          <w:tcPr>
            <w:tcW w:w="2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FT8-S400-R0</w:t>
            </w:r>
          </w:p>
        </w:tc>
        <w:tc>
          <w:tcPr>
            <w:tcW w:w="84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0.189 </w:t>
            </w:r>
          </w:p>
        </w:tc>
        <w:tc>
          <w:tcPr>
            <w:tcW w:w="94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6788 </w:t>
            </w:r>
          </w:p>
        </w:tc>
        <w:tc>
          <w:tcPr>
            <w:tcW w:w="74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7753</w:t>
            </w:r>
          </w:p>
        </w:tc>
        <w:tc>
          <w:tcPr>
            <w:tcW w:w="68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1.142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FT8-S400-R20</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0.191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6991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7850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1.123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FT8-S400-R33</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0.191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6991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7906</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1.131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FT8-S200-R0</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0.189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6849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8136</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1.188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FT8-S200-R20</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0.191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6991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8200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1.173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FT8-S200-R33</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0.191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6991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8272</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1.183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FT8-S120-R33</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0.191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6991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8343</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1.193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FT10-S200-R33</w:t>
            </w:r>
          </w:p>
        </w:tc>
        <w:tc>
          <w:tcPr>
            <w:tcW w:w="849"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0.185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6906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8185</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1.185 </w:t>
            </w:r>
          </w:p>
        </w:tc>
      </w:tr>
      <w:tr>
        <w:tblPrEx>
          <w:tblCellMar>
            <w:top w:w="0" w:type="dxa"/>
            <w:left w:w="108" w:type="dxa"/>
            <w:bottom w:w="0" w:type="dxa"/>
            <w:right w:w="108" w:type="dxa"/>
          </w:tblCellMar>
        </w:tblPrEx>
        <w:trPr>
          <w:trHeight w:val="70" w:hRule="atLeast"/>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FT8-S400-R30-E0</w:t>
            </w:r>
          </w:p>
        </w:tc>
        <w:tc>
          <w:tcPr>
            <w:tcW w:w="849" w:type="dxa"/>
            <w:noWrap w:val="0"/>
            <w:vAlign w:val="top"/>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0.193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7457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7134</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0.957 </w:t>
            </w:r>
          </w:p>
        </w:tc>
      </w:tr>
      <w:tr>
        <w:tblPrEx>
          <w:tblCellMar>
            <w:top w:w="0" w:type="dxa"/>
            <w:left w:w="108" w:type="dxa"/>
            <w:bottom w:w="0" w:type="dxa"/>
            <w:right w:w="108" w:type="dxa"/>
          </w:tblCellMar>
        </w:tblPrEx>
        <w:trPr>
          <w:jc w:val="center"/>
        </w:trPr>
        <w:tc>
          <w:tcPr>
            <w:tcW w:w="6473"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2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FT8-S200-R30-E0</w:t>
            </w:r>
          </w:p>
        </w:tc>
        <w:tc>
          <w:tcPr>
            <w:tcW w:w="849" w:type="dxa"/>
            <w:noWrap w:val="0"/>
            <w:vAlign w:val="top"/>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140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0.198 </w:t>
            </w:r>
          </w:p>
        </w:tc>
        <w:tc>
          <w:tcPr>
            <w:tcW w:w="94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7457 </w:t>
            </w:r>
          </w:p>
        </w:tc>
        <w:tc>
          <w:tcPr>
            <w:tcW w:w="74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7150</w:t>
            </w:r>
          </w:p>
        </w:tc>
        <w:tc>
          <w:tcPr>
            <w:tcW w:w="68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0.959 </w:t>
            </w:r>
          </w:p>
        </w:tc>
      </w:tr>
      <w:tr>
        <w:tblPrEx>
          <w:tblCellMar>
            <w:top w:w="0" w:type="dxa"/>
            <w:left w:w="108" w:type="dxa"/>
            <w:bottom w:w="0" w:type="dxa"/>
            <w:right w:w="108" w:type="dxa"/>
          </w:tblCellMar>
        </w:tblPrEx>
        <w:trPr>
          <w:jc w:val="center"/>
        </w:trPr>
        <w:tc>
          <w:tcPr>
            <w:tcW w:w="6473" w:type="dxa"/>
            <w:gridSpan w:val="5"/>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平均值</w:t>
            </w:r>
          </w:p>
        </w:tc>
        <w:tc>
          <w:tcPr>
            <w:tcW w:w="1430" w:type="dxa"/>
            <w:gridSpan w:val="2"/>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1.060 </w:t>
            </w:r>
          </w:p>
        </w:tc>
      </w:tr>
      <w:tr>
        <w:tblPrEx>
          <w:tblCellMar>
            <w:top w:w="0" w:type="dxa"/>
            <w:left w:w="108" w:type="dxa"/>
            <w:bottom w:w="0" w:type="dxa"/>
            <w:right w:w="108" w:type="dxa"/>
          </w:tblCellMar>
        </w:tblPrEx>
        <w:trPr>
          <w:jc w:val="center"/>
        </w:trPr>
        <w:tc>
          <w:tcPr>
            <w:tcW w:w="6473" w:type="dxa"/>
            <w:gridSpan w:val="5"/>
            <w:tcBorders>
              <w:top w:val="nil"/>
              <w:left w:val="nil"/>
              <w:bottom w:val="single" w:color="auto" w:sz="12"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标准差</w:t>
            </w:r>
          </w:p>
        </w:tc>
        <w:tc>
          <w:tcPr>
            <w:tcW w:w="1430" w:type="dxa"/>
            <w:gridSpan w:val="2"/>
            <w:tcBorders>
              <w:top w:val="nil"/>
              <w:left w:val="nil"/>
              <w:bottom w:val="single" w:color="auto" w:sz="12"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0.111</w:t>
            </w:r>
          </w:p>
        </w:tc>
      </w:tr>
    </w:tbl>
    <w:p>
      <w:pPr>
        <w:ind w:firstLine="360" w:firstLineChars="200"/>
        <w:rPr>
          <w:rFonts w:hint="eastAsia" w:ascii="等线" w:hAnsi="等线" w:eastAsia="等线" w:cs="等线"/>
          <w:bCs/>
          <w:color w:val="000000"/>
          <w:sz w:val="18"/>
          <w:szCs w:val="18"/>
        </w:rPr>
      </w:pPr>
      <w:r>
        <w:rPr>
          <w:rFonts w:hint="eastAsia" w:cs="Calibri"/>
          <w:bCs/>
          <w:color w:val="000000"/>
          <w:sz w:val="18"/>
          <w:szCs w:val="18"/>
        </w:rPr>
        <w:t>注：（</w:t>
      </w:r>
      <w:r>
        <w:rPr>
          <w:rFonts w:cs="Calibri"/>
          <w:bCs/>
          <w:color w:val="000000"/>
          <w:sz w:val="18"/>
          <w:szCs w:val="18"/>
        </w:rPr>
        <w:t>1</w:t>
      </w:r>
      <w:r>
        <w:rPr>
          <w:rFonts w:hint="eastAsia" w:cs="Calibri"/>
          <w:bCs/>
          <w:color w:val="000000"/>
          <w:sz w:val="18"/>
          <w:szCs w:val="18"/>
        </w:rPr>
        <w:t>）</w:t>
      </w:r>
      <w:r>
        <w:rPr>
          <w:rFonts w:cs="Calibri"/>
          <w:bCs/>
          <w:color w:val="000000"/>
          <w:sz w:val="18"/>
          <w:szCs w:val="18"/>
        </w:rPr>
        <w:t>N</w:t>
      </w:r>
      <w:r>
        <w:rPr>
          <w:rFonts w:cs="Calibri"/>
          <w:bCs/>
          <w:color w:val="000000"/>
          <w:sz w:val="18"/>
          <w:szCs w:val="18"/>
          <w:vertAlign w:val="subscript"/>
        </w:rPr>
        <w:t>d</w:t>
      </w:r>
      <w:r>
        <w:rPr>
          <w:rFonts w:hint="eastAsia" w:ascii="宋体" w:hAnsi="宋体" w:cs="Calibri"/>
          <w:bCs/>
          <w:color w:val="000000"/>
          <w:sz w:val="18"/>
          <w:szCs w:val="18"/>
        </w:rPr>
        <w:t>为根据公式计算得到的极限轴压力；</w:t>
      </w:r>
      <w:r>
        <w:rPr>
          <w:rFonts w:cs="Calibri"/>
          <w:bCs/>
          <w:color w:val="000000"/>
          <w:sz w:val="18"/>
          <w:szCs w:val="18"/>
        </w:rPr>
        <w:t>N</w:t>
      </w:r>
      <w:r>
        <w:rPr>
          <w:rFonts w:hint="eastAsia" w:ascii="宋体" w:hAnsi="宋体" w:cs="Calibri"/>
          <w:bCs/>
          <w:color w:val="000000"/>
          <w:sz w:val="18"/>
          <w:szCs w:val="18"/>
        </w:rPr>
        <w:t>为试验极限轴压力。（2）</w:t>
      </w:r>
      <w:r>
        <w:rPr>
          <w:rFonts w:cs="Calibri"/>
          <w:bCs/>
          <w:color w:val="000000"/>
          <w:sz w:val="18"/>
          <w:szCs w:val="18"/>
        </w:rPr>
        <w:t>L</w:t>
      </w:r>
      <w:r>
        <w:rPr>
          <w:rFonts w:cs="Calibri"/>
          <w:bCs/>
          <w:color w:val="000000"/>
          <w:sz w:val="18"/>
          <w:szCs w:val="18"/>
          <w:vertAlign w:val="subscript"/>
        </w:rPr>
        <w:t>0</w:t>
      </w:r>
      <w:r>
        <w:rPr>
          <w:rFonts w:hint="eastAsia" w:cs="Calibri"/>
          <w:bCs/>
          <w:color w:val="000000"/>
          <w:sz w:val="18"/>
          <w:szCs w:val="18"/>
        </w:rPr>
        <w:t>为试件计算长度；</w:t>
      </w:r>
      <w:r>
        <w:rPr>
          <w:rFonts w:cs="Calibri"/>
          <w:bCs/>
          <w:color w:val="000000"/>
          <w:sz w:val="18"/>
          <w:szCs w:val="18"/>
        </w:rPr>
        <w:t>b</w:t>
      </w:r>
      <w:r>
        <w:rPr>
          <w:rFonts w:hint="eastAsia" w:cs="Calibri"/>
          <w:bCs/>
          <w:color w:val="000000"/>
          <w:sz w:val="18"/>
          <w:szCs w:val="18"/>
        </w:rPr>
        <w:t>为</w:t>
      </w:r>
      <w:r>
        <w:rPr>
          <w:rFonts w:cs="Calibri"/>
          <w:bCs/>
          <w:color w:val="000000"/>
          <w:sz w:val="18"/>
          <w:szCs w:val="18"/>
        </w:rPr>
        <w:t>PEC</w:t>
      </w:r>
      <w:r>
        <w:rPr>
          <w:rFonts w:hint="eastAsia" w:cs="Calibri"/>
          <w:bCs/>
          <w:color w:val="000000"/>
          <w:sz w:val="18"/>
          <w:szCs w:val="18"/>
        </w:rPr>
        <w:t>柱截面宽度</w:t>
      </w:r>
      <w:r>
        <w:rPr>
          <w:rFonts w:hint="eastAsia" w:ascii="宋体" w:hAnsi="宋体" w:cs="Calibri"/>
          <w:bCs/>
          <w:color w:val="000000"/>
          <w:sz w:val="18"/>
          <w:szCs w:val="18"/>
        </w:rPr>
        <w:t>。</w:t>
      </w:r>
    </w:p>
    <w:p>
      <w:pPr>
        <w:spacing w:line="360" w:lineRule="auto"/>
        <w:rPr>
          <w:rFonts w:hint="eastAsia" w:ascii="等线" w:hAnsi="等线" w:cs="等线"/>
          <w:color w:val="000000"/>
          <w:szCs w:val="22"/>
        </w:rPr>
      </w:pPr>
      <w:r>
        <w:rPr>
          <w:rFonts w:hint="eastAsia" w:ascii="等线" w:hAnsi="等线" w:cs="等线"/>
          <w:color w:val="000000"/>
        </w:rPr>
        <w:t>本条第2款为轴心受压构件的整体稳定性计算要求。本条中关于稳定系数的取值的规定，系根据主钢件为双轴对称单一H形截面（包括轧制、冷成型或焊接钢截面）的轴心受压构件的试验和数值计算结果确定的。整体稳定计算时按组合截面计算截面回转半径。选用稳定系数曲线时，根据主钢件钢材屈服强度，对截面强轴采用《钢结构设计标准》GB 50017规定的b曲线，对截面弱轴，采用规定的c曲线。按组合截面计算的回转半径与纯钢截面的回转半径关系大致为：强轴i</w:t>
      </w:r>
      <w:r>
        <w:rPr>
          <w:rFonts w:hint="eastAsia" w:ascii="等线" w:hAnsi="等线" w:cs="等线"/>
          <w:color w:val="000000"/>
          <w:vertAlign w:val="subscript"/>
        </w:rPr>
        <w:t>x</w:t>
      </w:r>
      <w:r>
        <w:rPr>
          <w:rFonts w:hint="eastAsia" w:ascii="等线" w:hAnsi="等线" w:cs="等线"/>
          <w:color w:val="000000"/>
        </w:rPr>
        <w:t>=0.967i</w:t>
      </w:r>
      <w:r>
        <w:rPr>
          <w:rFonts w:hint="eastAsia" w:ascii="等线" w:hAnsi="等线" w:cs="等线"/>
          <w:color w:val="000000"/>
          <w:vertAlign w:val="subscript"/>
        </w:rPr>
        <w:t>x钢</w:t>
      </w:r>
      <w:r>
        <w:rPr>
          <w:rFonts w:hint="eastAsia" w:ascii="等线" w:hAnsi="等线" w:cs="等线"/>
          <w:color w:val="000000"/>
        </w:rPr>
        <w:t>，弱轴i</w:t>
      </w:r>
      <w:r>
        <w:rPr>
          <w:rFonts w:hint="eastAsia" w:ascii="等线" w:hAnsi="等线" w:cs="等线"/>
          <w:color w:val="000000"/>
          <w:vertAlign w:val="subscript"/>
        </w:rPr>
        <w:t>y</w:t>
      </w:r>
      <w:r>
        <w:rPr>
          <w:rFonts w:hint="eastAsia" w:ascii="等线" w:hAnsi="等线" w:cs="等线"/>
          <w:color w:val="000000"/>
        </w:rPr>
        <w:t>=1.068i</w:t>
      </w:r>
      <w:r>
        <w:rPr>
          <w:rFonts w:hint="eastAsia" w:ascii="等线" w:hAnsi="等线" w:cs="等线"/>
          <w:color w:val="000000"/>
          <w:vertAlign w:val="subscript"/>
        </w:rPr>
        <w:t>y钢</w:t>
      </w:r>
      <w:r>
        <w:rPr>
          <w:rFonts w:hint="eastAsia" w:ascii="等线" w:hAnsi="等线" w:cs="等线"/>
          <w:color w:val="000000"/>
        </w:rPr>
        <w:t>。由下表对比可见，公式计算结果与试验结果吻合良好。</w:t>
      </w:r>
    </w:p>
    <w:p>
      <w:pPr>
        <w:jc w:val="center"/>
        <w:rPr>
          <w:rFonts w:hint="eastAsia" w:ascii="等线" w:hAnsi="等线" w:cs="等线"/>
          <w:color w:val="000000"/>
        </w:rPr>
      </w:pPr>
      <w:r>
        <w:rPr>
          <w:rFonts w:hint="eastAsia" w:ascii="等线" w:hAnsi="等线" w:cs="等线"/>
          <w:color w:val="000000"/>
          <w:sz w:val="18"/>
          <w:szCs w:val="18"/>
        </w:rPr>
        <w:t>轴压稳定试验值和理论值对比</w:t>
      </w:r>
    </w:p>
    <w:tbl>
      <w:tblPr>
        <w:tblStyle w:val="32"/>
        <w:tblW w:w="8310" w:type="dxa"/>
        <w:jc w:val="center"/>
        <w:tblLayout w:type="fixed"/>
        <w:tblCellMar>
          <w:top w:w="0" w:type="dxa"/>
          <w:left w:w="108" w:type="dxa"/>
          <w:bottom w:w="0" w:type="dxa"/>
          <w:right w:w="108" w:type="dxa"/>
        </w:tblCellMar>
      </w:tblPr>
      <w:tblGrid>
        <w:gridCol w:w="1133"/>
        <w:gridCol w:w="946"/>
        <w:gridCol w:w="618"/>
        <w:gridCol w:w="992"/>
        <w:gridCol w:w="466"/>
        <w:gridCol w:w="810"/>
        <w:gridCol w:w="1267"/>
        <w:gridCol w:w="9"/>
        <w:gridCol w:w="709"/>
        <w:gridCol w:w="671"/>
        <w:gridCol w:w="689"/>
      </w:tblGrid>
      <w:tr>
        <w:tblPrEx>
          <w:tblCellMar>
            <w:top w:w="0" w:type="dxa"/>
            <w:left w:w="108" w:type="dxa"/>
            <w:bottom w:w="0" w:type="dxa"/>
            <w:right w:w="108" w:type="dxa"/>
          </w:tblCellMar>
        </w:tblPrEx>
        <w:trPr>
          <w:jc w:val="center"/>
        </w:trPr>
        <w:tc>
          <w:tcPr>
            <w:tcW w:w="1131" w:type="dxa"/>
            <w:tcBorders>
              <w:top w:val="single" w:color="auto" w:sz="12" w:space="0"/>
              <w:left w:val="nil"/>
              <w:bottom w:val="single" w:color="auto" w:sz="4" w:space="0"/>
              <w:right w:val="nil"/>
            </w:tcBorders>
            <w:noWrap w:val="0"/>
            <w:vAlign w:val="center"/>
          </w:tcPr>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文献来源</w:t>
            </w:r>
          </w:p>
        </w:tc>
        <w:tc>
          <w:tcPr>
            <w:tcW w:w="1563" w:type="dxa"/>
            <w:gridSpan w:val="2"/>
            <w:tcBorders>
              <w:top w:val="single" w:color="auto" w:sz="12" w:space="0"/>
              <w:left w:val="nil"/>
              <w:bottom w:val="single" w:color="auto" w:sz="4" w:space="0"/>
              <w:right w:val="nil"/>
            </w:tcBorders>
            <w:noWrap w:val="0"/>
            <w:vAlign w:val="center"/>
          </w:tcPr>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试件编号</w:t>
            </w:r>
          </w:p>
        </w:tc>
        <w:tc>
          <w:tcPr>
            <w:tcW w:w="992" w:type="dxa"/>
            <w:tcBorders>
              <w:top w:val="single" w:color="auto" w:sz="12" w:space="0"/>
              <w:left w:val="nil"/>
              <w:bottom w:val="single" w:color="auto" w:sz="4" w:space="0"/>
              <w:right w:val="nil"/>
            </w:tcBorders>
            <w:noWrap w:val="0"/>
            <w:vAlign w:val="center"/>
          </w:tcPr>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长宽比(L</w:t>
            </w:r>
            <w:r>
              <w:rPr>
                <w:rFonts w:hint="eastAsia" w:ascii="等线" w:hAnsi="等线" w:eastAsia="等线"/>
                <w:bCs/>
                <w:color w:val="000000"/>
                <w:kern w:val="0"/>
                <w:sz w:val="18"/>
                <w:szCs w:val="18"/>
                <w:vertAlign w:val="subscript"/>
              </w:rPr>
              <w:t>0</w:t>
            </w:r>
            <w:r>
              <w:rPr>
                <w:rFonts w:hint="eastAsia" w:ascii="等线" w:hAnsi="等线" w:eastAsia="等线"/>
                <w:bCs/>
                <w:color w:val="000000"/>
                <w:kern w:val="0"/>
                <w:sz w:val="18"/>
                <w:szCs w:val="18"/>
              </w:rPr>
              <w:t>/b</w:t>
            </w:r>
            <w:r>
              <w:rPr>
                <w:rFonts w:hint="eastAsia" w:ascii="等线" w:hAnsi="等线" w:eastAsia="等线"/>
                <w:bCs/>
                <w:color w:val="000000"/>
                <w:kern w:val="0"/>
                <w:sz w:val="18"/>
                <w:szCs w:val="18"/>
                <w:vertAlign w:val="subscript"/>
              </w:rPr>
              <w:t>f</w:t>
            </w:r>
            <w:r>
              <w:rPr>
                <w:rFonts w:hint="eastAsia" w:ascii="等线" w:hAnsi="等线" w:eastAsia="等线"/>
                <w:bCs/>
                <w:color w:val="000000"/>
                <w:kern w:val="0"/>
                <w:sz w:val="18"/>
                <w:szCs w:val="18"/>
              </w:rPr>
              <w:t>)</w:t>
            </w:r>
          </w:p>
        </w:tc>
        <w:tc>
          <w:tcPr>
            <w:tcW w:w="1276" w:type="dxa"/>
            <w:gridSpan w:val="2"/>
            <w:tcBorders>
              <w:top w:val="single" w:color="auto" w:sz="12" w:space="0"/>
              <w:left w:val="nil"/>
              <w:bottom w:val="single" w:color="auto" w:sz="4" w:space="0"/>
              <w:right w:val="nil"/>
            </w:tcBorders>
            <w:noWrap w:val="0"/>
            <w:vAlign w:val="center"/>
          </w:tcPr>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相对长细比</w:t>
            </w:r>
          </w:p>
          <w:p>
            <w:pPr>
              <w:jc w:val="center"/>
              <w:rPr>
                <w:rFonts w:hint="eastAsia" w:ascii="等线" w:hAnsi="等线" w:eastAsia="等线"/>
                <w:bCs/>
                <w:color w:val="000000"/>
                <w:kern w:val="0"/>
                <w:sz w:val="18"/>
                <w:szCs w:val="18"/>
              </w:rPr>
            </w:pPr>
            <w:r>
              <w:rPr>
                <w:rFonts w:ascii="Symbol" w:hAnsi="Symbol" w:eastAsia="等线"/>
                <w:bCs/>
                <w:color w:val="000000"/>
                <w:kern w:val="0"/>
                <w:sz w:val="18"/>
                <w:szCs w:val="18"/>
              </w:rPr>
              <w:t></w:t>
            </w:r>
          </w:p>
        </w:tc>
        <w:tc>
          <w:tcPr>
            <w:tcW w:w="1275" w:type="dxa"/>
            <w:gridSpan w:val="2"/>
            <w:tcBorders>
              <w:top w:val="single" w:color="auto" w:sz="12" w:space="0"/>
              <w:left w:val="nil"/>
              <w:bottom w:val="single" w:color="auto" w:sz="4" w:space="0"/>
              <w:right w:val="nil"/>
            </w:tcBorders>
            <w:noWrap w:val="0"/>
            <w:vAlign w:val="center"/>
          </w:tcPr>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稳定系数</w:t>
            </w:r>
            <w:r>
              <w:rPr>
                <w:rFonts w:ascii="Symbol" w:hAnsi="Symbol" w:eastAsia="SimSun-ExtB"/>
                <w:bCs/>
                <w:color w:val="000000"/>
                <w:kern w:val="0"/>
                <w:sz w:val="18"/>
                <w:szCs w:val="18"/>
              </w:rPr>
              <w:t></w:t>
            </w:r>
          </w:p>
        </w:tc>
        <w:tc>
          <w:tcPr>
            <w:tcW w:w="709" w:type="dxa"/>
            <w:tcBorders>
              <w:top w:val="single" w:color="auto" w:sz="12" w:space="0"/>
              <w:left w:val="nil"/>
              <w:bottom w:val="single" w:color="auto" w:sz="4" w:space="0"/>
              <w:right w:val="nil"/>
            </w:tcBorders>
            <w:noWrap w:val="0"/>
            <w:vAlign w:val="center"/>
          </w:tcPr>
          <w:p>
            <w:pPr>
              <w:jc w:val="center"/>
              <w:rPr>
                <w:rFonts w:hint="eastAsia" w:ascii="等线" w:hAnsi="等线" w:eastAsia="等线"/>
                <w:bCs/>
                <w:color w:val="000000"/>
                <w:kern w:val="0"/>
                <w:sz w:val="18"/>
                <w:szCs w:val="18"/>
                <w:vertAlign w:val="subscript"/>
              </w:rPr>
            </w:pPr>
            <w:r>
              <w:rPr>
                <w:rFonts w:hint="eastAsia" w:ascii="等线" w:hAnsi="等线" w:eastAsia="等线"/>
                <w:bCs/>
                <w:color w:val="000000"/>
                <w:kern w:val="0"/>
                <w:sz w:val="18"/>
                <w:szCs w:val="18"/>
              </w:rPr>
              <w:t>N</w:t>
            </w:r>
            <w:r>
              <w:rPr>
                <w:rFonts w:hint="eastAsia" w:ascii="等线" w:hAnsi="等线" w:eastAsia="等线"/>
                <w:bCs/>
                <w:color w:val="000000"/>
                <w:kern w:val="0"/>
                <w:sz w:val="18"/>
                <w:szCs w:val="18"/>
                <w:vertAlign w:val="subscript"/>
              </w:rPr>
              <w:t>d</w:t>
            </w:r>
          </w:p>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(kN)</w:t>
            </w:r>
          </w:p>
        </w:tc>
        <w:tc>
          <w:tcPr>
            <w:tcW w:w="671" w:type="dxa"/>
            <w:tcBorders>
              <w:top w:val="single" w:color="auto" w:sz="12" w:space="0"/>
              <w:left w:val="nil"/>
              <w:bottom w:val="single" w:color="auto" w:sz="4" w:space="0"/>
              <w:right w:val="nil"/>
            </w:tcBorders>
            <w:noWrap w:val="0"/>
            <w:vAlign w:val="center"/>
          </w:tcPr>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N</w:t>
            </w:r>
          </w:p>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(kN)</w:t>
            </w:r>
          </w:p>
        </w:tc>
        <w:tc>
          <w:tcPr>
            <w:tcW w:w="689" w:type="dxa"/>
            <w:tcBorders>
              <w:top w:val="single" w:color="auto" w:sz="12" w:space="0"/>
              <w:left w:val="nil"/>
              <w:bottom w:val="single" w:color="auto" w:sz="4" w:space="0"/>
              <w:right w:val="nil"/>
            </w:tcBorders>
            <w:noWrap w:val="0"/>
            <w:vAlign w:val="center"/>
          </w:tcPr>
          <w:p>
            <w:pPr>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N/N</w:t>
            </w:r>
            <w:r>
              <w:rPr>
                <w:rFonts w:hint="eastAsia" w:ascii="等线" w:hAnsi="等线" w:eastAsia="等线"/>
                <w:bCs/>
                <w:color w:val="000000"/>
                <w:kern w:val="0"/>
                <w:sz w:val="18"/>
                <w:szCs w:val="18"/>
                <w:vertAlign w:val="subscript"/>
              </w:rPr>
              <w:t>d</w:t>
            </w:r>
          </w:p>
        </w:tc>
      </w:tr>
      <w:tr>
        <w:tblPrEx>
          <w:tblCellMar>
            <w:top w:w="0" w:type="dxa"/>
            <w:left w:w="108" w:type="dxa"/>
            <w:bottom w:w="0" w:type="dxa"/>
            <w:right w:w="108" w:type="dxa"/>
          </w:tblCellMar>
        </w:tblPrEx>
        <w:trPr>
          <w:jc w:val="center"/>
        </w:trPr>
        <w:tc>
          <w:tcPr>
            <w:tcW w:w="1131" w:type="dxa"/>
            <w:vMerge w:val="restart"/>
            <w:tcBorders>
              <w:top w:val="single" w:color="auto" w:sz="4" w:space="0"/>
              <w:left w:val="nil"/>
              <w:bottom w:val="nil"/>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Bergmann, 2000</w:t>
            </w:r>
          </w:p>
        </w:tc>
        <w:tc>
          <w:tcPr>
            <w:tcW w:w="1563" w:type="dxa"/>
            <w:gridSpan w:val="2"/>
            <w:tcBorders>
              <w:top w:val="single" w:color="auto" w:sz="4" w:space="0"/>
              <w:left w:val="nil"/>
              <w:bottom w:val="nil"/>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V5</w:t>
            </w:r>
          </w:p>
        </w:tc>
        <w:tc>
          <w:tcPr>
            <w:tcW w:w="992"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5.172</w:t>
            </w:r>
          </w:p>
        </w:tc>
        <w:tc>
          <w:tcPr>
            <w:tcW w:w="1276" w:type="dxa"/>
            <w:gridSpan w:val="2"/>
            <w:tcBorders>
              <w:top w:val="single" w:color="auto" w:sz="4" w:space="0"/>
              <w:left w:val="nil"/>
              <w:bottom w:val="nil"/>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0.280</w:t>
            </w:r>
          </w:p>
        </w:tc>
        <w:tc>
          <w:tcPr>
            <w:tcW w:w="1275" w:type="dxa"/>
            <w:gridSpan w:val="2"/>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0.927</w:t>
            </w:r>
          </w:p>
        </w:tc>
        <w:tc>
          <w:tcPr>
            <w:tcW w:w="709" w:type="dxa"/>
            <w:tcBorders>
              <w:top w:val="single" w:color="auto" w:sz="4" w:space="0"/>
              <w:left w:val="nil"/>
              <w:bottom w:val="nil"/>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8446</w:t>
            </w:r>
          </w:p>
        </w:tc>
        <w:tc>
          <w:tcPr>
            <w:tcW w:w="671" w:type="dxa"/>
            <w:tcBorders>
              <w:top w:val="single" w:color="auto" w:sz="4" w:space="0"/>
              <w:left w:val="nil"/>
              <w:bottom w:val="nil"/>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10672</w:t>
            </w:r>
          </w:p>
        </w:tc>
        <w:tc>
          <w:tcPr>
            <w:tcW w:w="689" w:type="dxa"/>
            <w:tcBorders>
              <w:top w:val="single" w:color="auto" w:sz="4" w:space="0"/>
              <w:left w:val="nil"/>
              <w:bottom w:val="nil"/>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1.264</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nil"/>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tcBorders>
              <w:top w:val="nil"/>
              <w:left w:val="nil"/>
              <w:bottom w:val="single" w:color="auto" w:sz="4" w:space="0"/>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V10</w:t>
            </w:r>
          </w:p>
        </w:tc>
        <w:tc>
          <w:tcPr>
            <w:tcW w:w="992"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5.172</w:t>
            </w:r>
          </w:p>
        </w:tc>
        <w:tc>
          <w:tcPr>
            <w:tcW w:w="1276" w:type="dxa"/>
            <w:gridSpan w:val="2"/>
            <w:tcBorders>
              <w:top w:val="nil"/>
              <w:left w:val="nil"/>
              <w:bottom w:val="single" w:color="auto" w:sz="4" w:space="0"/>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0.284</w:t>
            </w:r>
          </w:p>
        </w:tc>
        <w:tc>
          <w:tcPr>
            <w:tcW w:w="1275" w:type="dxa"/>
            <w:gridSpan w:val="2"/>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0.925</w:t>
            </w:r>
          </w:p>
        </w:tc>
        <w:tc>
          <w:tcPr>
            <w:tcW w:w="709" w:type="dxa"/>
            <w:tcBorders>
              <w:top w:val="nil"/>
              <w:left w:val="nil"/>
              <w:bottom w:val="single" w:color="auto" w:sz="4" w:space="0"/>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9278</w:t>
            </w:r>
          </w:p>
        </w:tc>
        <w:tc>
          <w:tcPr>
            <w:tcW w:w="671" w:type="dxa"/>
            <w:tcBorders>
              <w:top w:val="nil"/>
              <w:left w:val="nil"/>
              <w:bottom w:val="single" w:color="auto" w:sz="4" w:space="0"/>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11170</w:t>
            </w:r>
          </w:p>
        </w:tc>
        <w:tc>
          <w:tcPr>
            <w:tcW w:w="689" w:type="dxa"/>
            <w:tcBorders>
              <w:top w:val="nil"/>
              <w:left w:val="nil"/>
              <w:bottom w:val="single" w:color="auto" w:sz="4" w:space="0"/>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1.204</w:t>
            </w:r>
          </w:p>
        </w:tc>
      </w:tr>
      <w:tr>
        <w:tblPrEx>
          <w:tblCellMar>
            <w:top w:w="0" w:type="dxa"/>
            <w:left w:w="108" w:type="dxa"/>
            <w:bottom w:w="0" w:type="dxa"/>
            <w:right w:w="108" w:type="dxa"/>
          </w:tblCellMar>
        </w:tblPrEx>
        <w:trPr>
          <w:jc w:val="center"/>
        </w:trPr>
        <w:tc>
          <w:tcPr>
            <w:tcW w:w="1131" w:type="dxa"/>
            <w:vMerge w:val="restart"/>
            <w:tcBorders>
              <w:top w:val="single" w:color="auto" w:sz="4" w:space="0"/>
              <w:left w:val="nil"/>
              <w:bottom w:val="nil"/>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Tremblay, 2003</w:t>
            </w:r>
          </w:p>
        </w:tc>
        <w:tc>
          <w:tcPr>
            <w:tcW w:w="1563" w:type="dxa"/>
            <w:gridSpan w:val="2"/>
            <w:tcBorders>
              <w:top w:val="single" w:color="auto" w:sz="4" w:space="0"/>
              <w:left w:val="nil"/>
              <w:bottom w:val="nil"/>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CL-1</w:t>
            </w:r>
          </w:p>
        </w:tc>
        <w:tc>
          <w:tcPr>
            <w:tcW w:w="992"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20</w:t>
            </w:r>
          </w:p>
        </w:tc>
        <w:tc>
          <w:tcPr>
            <w:tcW w:w="1276" w:type="dxa"/>
            <w:gridSpan w:val="2"/>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0.845 </w:t>
            </w:r>
          </w:p>
        </w:tc>
        <w:tc>
          <w:tcPr>
            <w:tcW w:w="1275" w:type="dxa"/>
            <w:gridSpan w:val="2"/>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0.587 </w:t>
            </w:r>
          </w:p>
        </w:tc>
        <w:tc>
          <w:tcPr>
            <w:tcW w:w="709"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5960 </w:t>
            </w:r>
          </w:p>
        </w:tc>
        <w:tc>
          <w:tcPr>
            <w:tcW w:w="671"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7440</w:t>
            </w:r>
          </w:p>
        </w:tc>
        <w:tc>
          <w:tcPr>
            <w:tcW w:w="689"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1.248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nil"/>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CL-2</w:t>
            </w:r>
          </w:p>
        </w:tc>
        <w:tc>
          <w:tcPr>
            <w:tcW w:w="992"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20</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0.845 </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0.587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5966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5770</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0.967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nil"/>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CL-3</w:t>
            </w:r>
          </w:p>
        </w:tc>
        <w:tc>
          <w:tcPr>
            <w:tcW w:w="992"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20</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0.844 </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0.587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5942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6670</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1.122 </w:t>
            </w:r>
          </w:p>
        </w:tc>
      </w:tr>
      <w:tr>
        <w:tblPrEx>
          <w:tblCellMar>
            <w:top w:w="0" w:type="dxa"/>
            <w:left w:w="108" w:type="dxa"/>
            <w:bottom w:w="0" w:type="dxa"/>
            <w:right w:w="108" w:type="dxa"/>
          </w:tblCellMar>
        </w:tblPrEx>
        <w:trPr>
          <w:jc w:val="center"/>
        </w:trPr>
        <w:tc>
          <w:tcPr>
            <w:tcW w:w="1131" w:type="dxa"/>
            <w:vMerge w:val="restart"/>
            <w:tcBorders>
              <w:top w:val="single" w:color="auto" w:sz="4" w:space="0"/>
              <w:left w:val="nil"/>
              <w:bottom w:val="single" w:color="auto" w:sz="4"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Pereira, 2016</w:t>
            </w:r>
          </w:p>
        </w:tc>
        <w:tc>
          <w:tcPr>
            <w:tcW w:w="1563" w:type="dxa"/>
            <w:gridSpan w:val="2"/>
            <w:tcBorders>
              <w:top w:val="single" w:color="auto" w:sz="4" w:space="0"/>
              <w:left w:val="nil"/>
              <w:bottom w:val="nil"/>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P1</w:t>
            </w:r>
          </w:p>
        </w:tc>
        <w:tc>
          <w:tcPr>
            <w:tcW w:w="992"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w:t>
            </w:r>
          </w:p>
        </w:tc>
        <w:tc>
          <w:tcPr>
            <w:tcW w:w="1276" w:type="dxa"/>
            <w:gridSpan w:val="2"/>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0.373 </w:t>
            </w:r>
          </w:p>
        </w:tc>
        <w:tc>
          <w:tcPr>
            <w:tcW w:w="1275" w:type="dxa"/>
            <w:gridSpan w:val="2"/>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0.873 </w:t>
            </w:r>
          </w:p>
        </w:tc>
        <w:tc>
          <w:tcPr>
            <w:tcW w:w="709"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978 </w:t>
            </w:r>
          </w:p>
        </w:tc>
        <w:tc>
          <w:tcPr>
            <w:tcW w:w="671"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943</w:t>
            </w:r>
          </w:p>
        </w:tc>
        <w:tc>
          <w:tcPr>
            <w:tcW w:w="689"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0.964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P1R</w:t>
            </w:r>
          </w:p>
        </w:tc>
        <w:tc>
          <w:tcPr>
            <w:tcW w:w="992"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0.373 </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0.873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978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974</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0.996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P2</w:t>
            </w:r>
          </w:p>
        </w:tc>
        <w:tc>
          <w:tcPr>
            <w:tcW w:w="992"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0.370 </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0.875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962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954</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0.991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tcBorders>
              <w:top w:val="nil"/>
              <w:left w:val="nil"/>
              <w:bottom w:val="single" w:color="auto" w:sz="4" w:space="0"/>
              <w:right w:val="nil"/>
            </w:tcBorders>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P2R</w:t>
            </w:r>
          </w:p>
        </w:tc>
        <w:tc>
          <w:tcPr>
            <w:tcW w:w="992"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8</w:t>
            </w:r>
          </w:p>
        </w:tc>
        <w:tc>
          <w:tcPr>
            <w:tcW w:w="1276" w:type="dxa"/>
            <w:gridSpan w:val="2"/>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0.370 </w:t>
            </w:r>
          </w:p>
        </w:tc>
        <w:tc>
          <w:tcPr>
            <w:tcW w:w="1275" w:type="dxa"/>
            <w:gridSpan w:val="2"/>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0.875 </w:t>
            </w:r>
          </w:p>
        </w:tc>
        <w:tc>
          <w:tcPr>
            <w:tcW w:w="709"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962 </w:t>
            </w:r>
          </w:p>
        </w:tc>
        <w:tc>
          <w:tcPr>
            <w:tcW w:w="671"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950</w:t>
            </w:r>
          </w:p>
        </w:tc>
        <w:tc>
          <w:tcPr>
            <w:tcW w:w="689"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0.987 </w:t>
            </w:r>
          </w:p>
        </w:tc>
      </w:tr>
      <w:tr>
        <w:tblPrEx>
          <w:tblCellMar>
            <w:top w:w="0" w:type="dxa"/>
            <w:left w:w="108" w:type="dxa"/>
            <w:bottom w:w="0" w:type="dxa"/>
            <w:right w:w="108" w:type="dxa"/>
          </w:tblCellMar>
        </w:tblPrEx>
        <w:trPr>
          <w:jc w:val="center"/>
        </w:trPr>
        <w:tc>
          <w:tcPr>
            <w:tcW w:w="1131" w:type="dxa"/>
            <w:tcBorders>
              <w:top w:val="single" w:color="auto" w:sz="4" w:space="0"/>
              <w:left w:val="nil"/>
              <w:bottom w:val="single" w:color="auto" w:sz="4"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陈以一, 2017</w:t>
            </w:r>
          </w:p>
        </w:tc>
        <w:tc>
          <w:tcPr>
            <w:tcW w:w="1563" w:type="dxa"/>
            <w:gridSpan w:val="2"/>
            <w:tcBorders>
              <w:top w:val="single" w:color="auto" w:sz="4" w:space="0"/>
              <w:left w:val="nil"/>
              <w:bottom w:val="single" w:color="auto" w:sz="4"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N-S200</w:t>
            </w:r>
          </w:p>
        </w:tc>
        <w:tc>
          <w:tcPr>
            <w:tcW w:w="992" w:type="dxa"/>
            <w:tcBorders>
              <w:top w:val="single" w:color="auto" w:sz="4" w:space="0"/>
              <w:left w:val="nil"/>
              <w:bottom w:val="single" w:color="auto" w:sz="4"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w:t>
            </w:r>
          </w:p>
        </w:tc>
        <w:tc>
          <w:tcPr>
            <w:tcW w:w="1276" w:type="dxa"/>
            <w:gridSpan w:val="2"/>
            <w:tcBorders>
              <w:top w:val="single" w:color="auto" w:sz="4" w:space="0"/>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0.816 </w:t>
            </w:r>
          </w:p>
        </w:tc>
        <w:tc>
          <w:tcPr>
            <w:tcW w:w="1275" w:type="dxa"/>
            <w:gridSpan w:val="2"/>
            <w:tcBorders>
              <w:top w:val="single" w:color="auto" w:sz="4" w:space="0"/>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0.604 </w:t>
            </w:r>
          </w:p>
        </w:tc>
        <w:tc>
          <w:tcPr>
            <w:tcW w:w="709" w:type="dxa"/>
            <w:tcBorders>
              <w:top w:val="single" w:color="auto" w:sz="4" w:space="0"/>
              <w:left w:val="nil"/>
              <w:bottom w:val="single" w:color="auto" w:sz="4"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3159 </w:t>
            </w:r>
          </w:p>
        </w:tc>
        <w:tc>
          <w:tcPr>
            <w:tcW w:w="671" w:type="dxa"/>
            <w:tcBorders>
              <w:top w:val="single" w:color="auto" w:sz="4" w:space="0"/>
              <w:left w:val="nil"/>
              <w:bottom w:val="single" w:color="auto" w:sz="4"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3773</w:t>
            </w:r>
          </w:p>
        </w:tc>
        <w:tc>
          <w:tcPr>
            <w:tcW w:w="689" w:type="dxa"/>
            <w:tcBorders>
              <w:top w:val="single" w:color="auto" w:sz="4" w:space="0"/>
              <w:left w:val="nil"/>
              <w:bottom w:val="single" w:color="auto" w:sz="4"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1.194 </w:t>
            </w:r>
          </w:p>
        </w:tc>
      </w:tr>
      <w:tr>
        <w:tblPrEx>
          <w:tblCellMar>
            <w:top w:w="0" w:type="dxa"/>
            <w:left w:w="108" w:type="dxa"/>
            <w:bottom w:w="0" w:type="dxa"/>
            <w:right w:w="108" w:type="dxa"/>
          </w:tblCellMar>
        </w:tblPrEx>
        <w:trPr>
          <w:jc w:val="center"/>
        </w:trPr>
        <w:tc>
          <w:tcPr>
            <w:tcW w:w="1131" w:type="dxa"/>
            <w:vMerge w:val="restart"/>
            <w:tcBorders>
              <w:top w:val="single" w:color="auto" w:sz="4" w:space="0"/>
              <w:left w:val="nil"/>
              <w:bottom w:val="single" w:color="auto" w:sz="4"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赵根田,</w:t>
            </w:r>
          </w:p>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2019</w:t>
            </w:r>
          </w:p>
        </w:tc>
        <w:tc>
          <w:tcPr>
            <w:tcW w:w="1563" w:type="dxa"/>
            <w:gridSpan w:val="2"/>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PEC1-1</w:t>
            </w:r>
          </w:p>
        </w:tc>
        <w:tc>
          <w:tcPr>
            <w:tcW w:w="992"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w:t>
            </w:r>
          </w:p>
        </w:tc>
        <w:tc>
          <w:tcPr>
            <w:tcW w:w="1276" w:type="dxa"/>
            <w:gridSpan w:val="2"/>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0.355</w:t>
            </w:r>
          </w:p>
        </w:tc>
        <w:tc>
          <w:tcPr>
            <w:tcW w:w="1275" w:type="dxa"/>
            <w:gridSpan w:val="2"/>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0.884 </w:t>
            </w:r>
          </w:p>
        </w:tc>
        <w:tc>
          <w:tcPr>
            <w:tcW w:w="709"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2014 </w:t>
            </w:r>
          </w:p>
        </w:tc>
        <w:tc>
          <w:tcPr>
            <w:tcW w:w="671"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2222</w:t>
            </w:r>
          </w:p>
        </w:tc>
        <w:tc>
          <w:tcPr>
            <w:tcW w:w="689" w:type="dxa"/>
            <w:tcBorders>
              <w:top w:val="single" w:color="auto" w:sz="4" w:space="0"/>
              <w:left w:val="nil"/>
              <w:bottom w:val="nil"/>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1.103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PEC1-2</w:t>
            </w:r>
          </w:p>
        </w:tc>
        <w:tc>
          <w:tcPr>
            <w:tcW w:w="992" w:type="dxa"/>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0.355</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0.884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2014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2835</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1.408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PEC1-3</w:t>
            </w:r>
          </w:p>
        </w:tc>
        <w:tc>
          <w:tcPr>
            <w:tcW w:w="992" w:type="dxa"/>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0.355</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0.884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2014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2556</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1.269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PEC1-4</w:t>
            </w:r>
          </w:p>
        </w:tc>
        <w:tc>
          <w:tcPr>
            <w:tcW w:w="992" w:type="dxa"/>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0.355</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0.884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2014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2688</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1.335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PEC1-5</w:t>
            </w:r>
          </w:p>
        </w:tc>
        <w:tc>
          <w:tcPr>
            <w:tcW w:w="992" w:type="dxa"/>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0.355</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0.884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2014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2555</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1.269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PEC1-6</w:t>
            </w:r>
          </w:p>
        </w:tc>
        <w:tc>
          <w:tcPr>
            <w:tcW w:w="992" w:type="dxa"/>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0.355</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0.884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2014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2782</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1.382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PEC2-1</w:t>
            </w:r>
          </w:p>
        </w:tc>
        <w:tc>
          <w:tcPr>
            <w:tcW w:w="992"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0.408</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0.852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2597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3284</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1.265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PEC2-2</w:t>
            </w:r>
          </w:p>
        </w:tc>
        <w:tc>
          <w:tcPr>
            <w:tcW w:w="992" w:type="dxa"/>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0.408</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0.852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2597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3255</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1.253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PEC2-3</w:t>
            </w:r>
          </w:p>
        </w:tc>
        <w:tc>
          <w:tcPr>
            <w:tcW w:w="992" w:type="dxa"/>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0.408</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0.852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2597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3297</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1.269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PEC2-4</w:t>
            </w:r>
          </w:p>
        </w:tc>
        <w:tc>
          <w:tcPr>
            <w:tcW w:w="992" w:type="dxa"/>
            <w:noWrap w:val="0"/>
            <w:vAlign w:val="top"/>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0.409</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0.852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2906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3653</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1.257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PEC3-1</w:t>
            </w:r>
          </w:p>
        </w:tc>
        <w:tc>
          <w:tcPr>
            <w:tcW w:w="992"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w:t>
            </w:r>
          </w:p>
        </w:tc>
        <w:tc>
          <w:tcPr>
            <w:tcW w:w="1276"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0.364</w:t>
            </w:r>
          </w:p>
        </w:tc>
        <w:tc>
          <w:tcPr>
            <w:tcW w:w="1275" w:type="dxa"/>
            <w:gridSpan w:val="2"/>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0.878 </w:t>
            </w:r>
          </w:p>
        </w:tc>
        <w:tc>
          <w:tcPr>
            <w:tcW w:w="70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2439 </w:t>
            </w:r>
          </w:p>
        </w:tc>
        <w:tc>
          <w:tcPr>
            <w:tcW w:w="671"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2718</w:t>
            </w:r>
          </w:p>
        </w:tc>
        <w:tc>
          <w:tcPr>
            <w:tcW w:w="689" w:type="dxa"/>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1.114 </w:t>
            </w:r>
          </w:p>
        </w:tc>
      </w:tr>
      <w:tr>
        <w:tblPrEx>
          <w:tblCellMar>
            <w:top w:w="0" w:type="dxa"/>
            <w:left w:w="108" w:type="dxa"/>
            <w:bottom w:w="0" w:type="dxa"/>
            <w:right w:w="108" w:type="dxa"/>
          </w:tblCellMar>
        </w:tblPrEx>
        <w:trPr>
          <w:jc w:val="center"/>
        </w:trPr>
        <w:tc>
          <w:tcPr>
            <w:tcW w:w="2076" w:type="dxa"/>
            <w:vMerge w:val="continue"/>
            <w:tcBorders>
              <w:top w:val="single" w:color="auto" w:sz="4" w:space="0"/>
              <w:left w:val="nil"/>
              <w:bottom w:val="single" w:color="auto" w:sz="4" w:space="0"/>
              <w:right w:val="nil"/>
            </w:tcBorders>
            <w:noWrap w:val="0"/>
            <w:vAlign w:val="center"/>
          </w:tcPr>
          <w:p>
            <w:pPr>
              <w:widowControl/>
              <w:spacing w:beforeAutospacing="1"/>
              <w:jc w:val="left"/>
              <w:rPr>
                <w:rFonts w:ascii="等线" w:hAnsi="等线" w:eastAsia="等线"/>
                <w:color w:val="000000"/>
                <w:kern w:val="0"/>
                <w:sz w:val="18"/>
                <w:szCs w:val="18"/>
              </w:rPr>
            </w:pPr>
          </w:p>
        </w:tc>
        <w:tc>
          <w:tcPr>
            <w:tcW w:w="1563" w:type="dxa"/>
            <w:gridSpan w:val="2"/>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PEC3-2</w:t>
            </w:r>
          </w:p>
        </w:tc>
        <w:tc>
          <w:tcPr>
            <w:tcW w:w="992"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9</w:t>
            </w:r>
          </w:p>
        </w:tc>
        <w:tc>
          <w:tcPr>
            <w:tcW w:w="1276" w:type="dxa"/>
            <w:gridSpan w:val="2"/>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0.364</w:t>
            </w:r>
          </w:p>
        </w:tc>
        <w:tc>
          <w:tcPr>
            <w:tcW w:w="1275" w:type="dxa"/>
            <w:gridSpan w:val="2"/>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0.878 </w:t>
            </w:r>
          </w:p>
        </w:tc>
        <w:tc>
          <w:tcPr>
            <w:tcW w:w="709"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2439 </w:t>
            </w:r>
          </w:p>
        </w:tc>
        <w:tc>
          <w:tcPr>
            <w:tcW w:w="671"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2765</w:t>
            </w:r>
          </w:p>
        </w:tc>
        <w:tc>
          <w:tcPr>
            <w:tcW w:w="689" w:type="dxa"/>
            <w:tcBorders>
              <w:top w:val="nil"/>
              <w:left w:val="nil"/>
              <w:bottom w:val="single" w:color="auto" w:sz="4" w:space="0"/>
              <w:right w:val="nil"/>
            </w:tcBorders>
            <w:noWrap w:val="0"/>
            <w:vAlign w:val="center"/>
          </w:tcPr>
          <w:p>
            <w:pPr>
              <w:widowControl/>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1.134 </w:t>
            </w:r>
          </w:p>
        </w:tc>
      </w:tr>
      <w:tr>
        <w:tblPrEx>
          <w:tblCellMar>
            <w:top w:w="0" w:type="dxa"/>
            <w:left w:w="108" w:type="dxa"/>
            <w:bottom w:w="0" w:type="dxa"/>
            <w:right w:w="108" w:type="dxa"/>
          </w:tblCellMar>
        </w:tblPrEx>
        <w:trPr>
          <w:jc w:val="center"/>
        </w:trPr>
        <w:tc>
          <w:tcPr>
            <w:tcW w:w="2076" w:type="dxa"/>
            <w:gridSpan w:val="2"/>
            <w:tcBorders>
              <w:top w:val="single" w:color="auto" w:sz="4" w:space="0"/>
              <w:left w:val="nil"/>
              <w:bottom w:val="single" w:color="auto" w:sz="12" w:space="0"/>
              <w:right w:val="nil"/>
            </w:tcBorders>
            <w:noWrap w:val="0"/>
            <w:vAlign w:val="top"/>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平均值</w:t>
            </w:r>
          </w:p>
        </w:tc>
        <w:tc>
          <w:tcPr>
            <w:tcW w:w="2076" w:type="dxa"/>
            <w:gridSpan w:val="3"/>
            <w:tcBorders>
              <w:top w:val="single" w:color="auto" w:sz="4" w:space="0"/>
              <w:left w:val="nil"/>
              <w:bottom w:val="single" w:color="auto" w:sz="12" w:space="0"/>
              <w:right w:val="nil"/>
            </w:tcBorders>
            <w:noWrap w:val="0"/>
            <w:vAlign w:val="top"/>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1.182</w:t>
            </w:r>
          </w:p>
        </w:tc>
        <w:tc>
          <w:tcPr>
            <w:tcW w:w="2076" w:type="dxa"/>
            <w:gridSpan w:val="2"/>
            <w:tcBorders>
              <w:top w:val="single" w:color="auto" w:sz="4" w:space="0"/>
              <w:left w:val="nil"/>
              <w:bottom w:val="single" w:color="auto" w:sz="12" w:space="0"/>
              <w:right w:val="nil"/>
            </w:tcBorders>
            <w:noWrap w:val="0"/>
            <w:vAlign w:val="top"/>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标准差</w:t>
            </w:r>
          </w:p>
        </w:tc>
        <w:tc>
          <w:tcPr>
            <w:tcW w:w="2078" w:type="dxa"/>
            <w:gridSpan w:val="4"/>
            <w:tcBorders>
              <w:top w:val="single" w:color="auto" w:sz="4" w:space="0"/>
              <w:left w:val="nil"/>
              <w:bottom w:val="single" w:color="auto" w:sz="12" w:space="0"/>
              <w:right w:val="nil"/>
            </w:tcBorders>
            <w:noWrap w:val="0"/>
            <w:vAlign w:val="center"/>
          </w:tcPr>
          <w:p>
            <w:pPr>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0.136</w:t>
            </w:r>
          </w:p>
        </w:tc>
      </w:tr>
    </w:tbl>
    <w:p>
      <w:pPr>
        <w:ind w:firstLine="360" w:firstLineChars="200"/>
        <w:rPr>
          <w:rFonts w:hint="eastAsia" w:ascii="等线" w:hAnsi="等线" w:eastAsia="等线" w:cs="等线"/>
          <w:bCs/>
          <w:color w:val="000000"/>
          <w:sz w:val="18"/>
          <w:szCs w:val="18"/>
        </w:rPr>
      </w:pPr>
      <w:r>
        <w:rPr>
          <w:rFonts w:hint="eastAsia" w:cs="Calibri"/>
          <w:bCs/>
          <w:color w:val="000000"/>
          <w:sz w:val="18"/>
          <w:szCs w:val="18"/>
        </w:rPr>
        <w:t>注：（</w:t>
      </w:r>
      <w:r>
        <w:rPr>
          <w:rFonts w:cs="Calibri"/>
          <w:bCs/>
          <w:color w:val="000000"/>
          <w:sz w:val="18"/>
          <w:szCs w:val="18"/>
        </w:rPr>
        <w:t>1</w:t>
      </w:r>
      <w:r>
        <w:rPr>
          <w:rFonts w:hint="eastAsia" w:cs="Calibri"/>
          <w:bCs/>
          <w:color w:val="000000"/>
          <w:sz w:val="18"/>
          <w:szCs w:val="18"/>
        </w:rPr>
        <w:t>）</w:t>
      </w:r>
      <w:r>
        <w:rPr>
          <w:rFonts w:cs="Calibri"/>
          <w:bCs/>
          <w:color w:val="000000"/>
          <w:sz w:val="18"/>
          <w:szCs w:val="18"/>
        </w:rPr>
        <w:t>N</w:t>
      </w:r>
      <w:r>
        <w:rPr>
          <w:rFonts w:cs="Calibri"/>
          <w:bCs/>
          <w:color w:val="000000"/>
          <w:sz w:val="18"/>
          <w:szCs w:val="18"/>
          <w:vertAlign w:val="subscript"/>
        </w:rPr>
        <w:t>d</w:t>
      </w:r>
      <w:r>
        <w:rPr>
          <w:rFonts w:hint="eastAsia" w:ascii="宋体" w:hAnsi="宋体" w:cs="Calibri"/>
          <w:bCs/>
          <w:color w:val="000000"/>
          <w:sz w:val="18"/>
          <w:szCs w:val="18"/>
        </w:rPr>
        <w:t>为根据公式计算得到的极限轴压力；</w:t>
      </w:r>
      <w:r>
        <w:rPr>
          <w:rFonts w:cs="Calibri"/>
          <w:bCs/>
          <w:color w:val="000000"/>
          <w:sz w:val="18"/>
          <w:szCs w:val="18"/>
        </w:rPr>
        <w:t>N</w:t>
      </w:r>
      <w:r>
        <w:rPr>
          <w:rFonts w:hint="eastAsia" w:ascii="宋体" w:hAnsi="宋体" w:cs="Calibri"/>
          <w:bCs/>
          <w:color w:val="000000"/>
          <w:sz w:val="18"/>
          <w:szCs w:val="18"/>
        </w:rPr>
        <w:t>为试验极限轴压力。（2）</w:t>
      </w:r>
      <w:r>
        <w:rPr>
          <w:rFonts w:cs="Calibri"/>
          <w:bCs/>
          <w:color w:val="000000"/>
          <w:sz w:val="18"/>
          <w:szCs w:val="18"/>
        </w:rPr>
        <w:t>L</w:t>
      </w:r>
      <w:r>
        <w:rPr>
          <w:rFonts w:cs="Calibri"/>
          <w:bCs/>
          <w:color w:val="000000"/>
          <w:sz w:val="18"/>
          <w:szCs w:val="18"/>
          <w:vertAlign w:val="subscript"/>
        </w:rPr>
        <w:t>0</w:t>
      </w:r>
      <w:r>
        <w:rPr>
          <w:rFonts w:hint="eastAsia" w:cs="Calibri"/>
          <w:bCs/>
          <w:color w:val="000000"/>
          <w:sz w:val="18"/>
          <w:szCs w:val="18"/>
        </w:rPr>
        <w:t>为试件计算长度；</w:t>
      </w:r>
      <w:r>
        <w:rPr>
          <w:rFonts w:cs="Calibri"/>
          <w:bCs/>
          <w:color w:val="000000"/>
          <w:sz w:val="18"/>
          <w:szCs w:val="18"/>
        </w:rPr>
        <w:t>b</w:t>
      </w:r>
      <w:r>
        <w:rPr>
          <w:rFonts w:hint="eastAsia" w:cs="Calibri"/>
          <w:bCs/>
          <w:color w:val="000000"/>
          <w:sz w:val="18"/>
          <w:szCs w:val="18"/>
        </w:rPr>
        <w:t>为</w:t>
      </w:r>
      <w:r>
        <w:rPr>
          <w:rFonts w:cs="Calibri"/>
          <w:bCs/>
          <w:color w:val="000000"/>
          <w:sz w:val="18"/>
          <w:szCs w:val="18"/>
        </w:rPr>
        <w:t>PEC</w:t>
      </w:r>
      <w:r>
        <w:rPr>
          <w:rFonts w:hint="eastAsia" w:cs="Calibri"/>
          <w:bCs/>
          <w:color w:val="000000"/>
          <w:sz w:val="18"/>
          <w:szCs w:val="18"/>
        </w:rPr>
        <w:t>柱截面宽度</w:t>
      </w:r>
      <w:r>
        <w:rPr>
          <w:rFonts w:hint="eastAsia" w:ascii="宋体" w:hAnsi="宋体" w:cs="Calibri"/>
          <w:bCs/>
          <w:color w:val="000000"/>
          <w:sz w:val="18"/>
          <w:szCs w:val="18"/>
        </w:rPr>
        <w:t>。</w:t>
      </w:r>
    </w:p>
    <w:p>
      <w:pPr>
        <w:tabs>
          <w:tab w:val="left" w:pos="567"/>
        </w:tabs>
        <w:spacing w:line="360" w:lineRule="auto"/>
        <w:rPr>
          <w:rFonts w:hint="eastAsia" w:cs="Calibri"/>
          <w:color w:val="000000"/>
          <w:szCs w:val="22"/>
        </w:rPr>
      </w:pPr>
      <w:r>
        <w:rPr>
          <w:rFonts w:cs="Calibri"/>
          <w:color w:val="000000"/>
          <w:szCs w:val="21"/>
        </w:rPr>
        <w:t xml:space="preserve">F.0.7 </w:t>
      </w:r>
      <w:r>
        <w:rPr>
          <w:rFonts w:hint="eastAsia" w:cs="Calibri"/>
          <w:color w:val="000000"/>
          <w:szCs w:val="21"/>
        </w:rPr>
        <w:t>本条第</w:t>
      </w:r>
      <w:r>
        <w:rPr>
          <w:rFonts w:cs="Calibri"/>
          <w:color w:val="000000"/>
          <w:szCs w:val="21"/>
        </w:rPr>
        <w:t>4</w:t>
      </w:r>
      <w:r>
        <w:rPr>
          <w:rFonts w:hint="eastAsia" w:cs="Calibri"/>
          <w:color w:val="000000"/>
          <w:szCs w:val="21"/>
        </w:rPr>
        <w:t>款考虑到</w:t>
      </w:r>
      <w:r>
        <w:rPr>
          <w:rFonts w:hint="eastAsia" w:cs="Calibri"/>
          <w:color w:val="000000"/>
        </w:rPr>
        <w:t>主钢件平行剪力方向的板件都能满足受剪承载力要求，因此对受剪承载力计算进行了简化，即仅考虑主钢件腹板的受剪承载力。当按本条规定不能满足受剪承载力的要求时，可以参照欧洲规范</w:t>
      </w:r>
      <w:r>
        <w:rPr>
          <w:rFonts w:hint="eastAsia" w:ascii="等线" w:hAnsi="等线" w:cs="等线"/>
          <w:bCs/>
          <w:color w:val="000000"/>
          <w:szCs w:val="21"/>
        </w:rPr>
        <w:t>EN1994-1-1：2004</w:t>
      </w:r>
      <w:r>
        <w:rPr>
          <w:rFonts w:hint="eastAsia" w:cs="Calibri"/>
          <w:color w:val="000000"/>
        </w:rPr>
        <w:t>的规定，考虑腹部钢筋混凝土对受剪承载力的贡献。根据欧洲规范</w:t>
      </w:r>
      <w:r>
        <w:rPr>
          <w:rFonts w:hint="eastAsia" w:ascii="等线" w:hAnsi="等线" w:cs="等线"/>
          <w:bCs/>
          <w:color w:val="000000"/>
          <w:szCs w:val="21"/>
        </w:rPr>
        <w:t>EN1994-1-1：2004</w:t>
      </w:r>
      <w:r>
        <w:rPr>
          <w:rFonts w:hint="eastAsia" w:cs="Calibri"/>
          <w:color w:val="000000"/>
        </w:rPr>
        <w:t>的建议，可以采用剪力分配法进行设计。总的设计剪力</w:t>
      </w:r>
      <w:r>
        <w:rPr>
          <w:rFonts w:cs="Calibri"/>
          <w:i/>
          <w:color w:val="000000"/>
        </w:rPr>
        <w:t>V</w:t>
      </w:r>
      <w:r>
        <w:rPr>
          <w:rFonts w:hint="eastAsia" w:cs="Calibri"/>
          <w:color w:val="000000"/>
        </w:rPr>
        <w:t>可以分解成</w:t>
      </w:r>
      <w:r>
        <w:rPr>
          <w:rFonts w:cs="Calibri"/>
          <w:i/>
          <w:color w:val="000000"/>
        </w:rPr>
        <w:t>V</w:t>
      </w:r>
      <w:r>
        <w:rPr>
          <w:rFonts w:cs="Calibri"/>
          <w:color w:val="000000"/>
          <w:vertAlign w:val="subscript"/>
        </w:rPr>
        <w:t>a</w:t>
      </w:r>
      <w:r>
        <w:rPr>
          <w:rFonts w:hint="eastAsia" w:cs="Calibri"/>
          <w:color w:val="000000"/>
        </w:rPr>
        <w:t>和</w:t>
      </w:r>
      <w:r>
        <w:rPr>
          <w:rFonts w:cs="Calibri"/>
          <w:i/>
          <w:color w:val="000000"/>
        </w:rPr>
        <w:t>V</w:t>
      </w:r>
      <w:r>
        <w:rPr>
          <w:rFonts w:cs="Calibri"/>
          <w:color w:val="000000"/>
          <w:vertAlign w:val="subscript"/>
        </w:rPr>
        <w:t>cs</w:t>
      </w:r>
      <w:r>
        <w:rPr>
          <w:rFonts w:hint="eastAsia" w:cs="Calibri"/>
          <w:color w:val="000000"/>
        </w:rPr>
        <w:t>两部分，</w:t>
      </w:r>
      <w:r>
        <w:rPr>
          <w:rFonts w:cs="Calibri"/>
          <w:i/>
          <w:color w:val="000000"/>
        </w:rPr>
        <w:t>V</w:t>
      </w:r>
      <w:r>
        <w:rPr>
          <w:rFonts w:cs="Calibri"/>
          <w:color w:val="000000"/>
          <w:vertAlign w:val="subscript"/>
        </w:rPr>
        <w:t>a</w:t>
      </w:r>
      <w:r>
        <w:rPr>
          <w:rFonts w:hint="eastAsia" w:cs="Calibri"/>
          <w:color w:val="000000"/>
        </w:rPr>
        <w:t>由钢梁截面承担，</w:t>
      </w:r>
      <w:r>
        <w:rPr>
          <w:rFonts w:cs="Calibri"/>
          <w:i/>
          <w:color w:val="000000"/>
        </w:rPr>
        <w:t>V</w:t>
      </w:r>
      <w:r>
        <w:rPr>
          <w:rFonts w:cs="Calibri"/>
          <w:color w:val="000000"/>
          <w:vertAlign w:val="subscript"/>
        </w:rPr>
        <w:t>cs</w:t>
      </w:r>
      <w:r>
        <w:rPr>
          <w:rFonts w:hint="eastAsia" w:cs="Calibri"/>
          <w:color w:val="000000"/>
        </w:rPr>
        <w:t>由腹部的钢筋混凝土截面承担，两部分剪力与主钢件和混凝土部分分担的受弯承载力成比例。</w:t>
      </w:r>
    </w:p>
    <w:p>
      <w:pPr>
        <w:tabs>
          <w:tab w:val="left" w:pos="567"/>
        </w:tabs>
        <w:spacing w:line="360" w:lineRule="auto"/>
        <w:rPr>
          <w:rFonts w:cs="Calibri"/>
          <w:color w:val="000000"/>
          <w:szCs w:val="21"/>
        </w:rPr>
      </w:pPr>
      <w:r>
        <w:rPr>
          <w:rFonts w:hint="eastAsia" w:cs="Calibri"/>
          <w:color w:val="000000"/>
          <w:szCs w:val="21"/>
        </w:rPr>
        <w:t>本条第</w:t>
      </w:r>
      <w:r>
        <w:rPr>
          <w:rFonts w:cs="Calibri"/>
          <w:color w:val="000000"/>
          <w:szCs w:val="21"/>
        </w:rPr>
        <w:t>5</w:t>
      </w:r>
      <w:r>
        <w:rPr>
          <w:rFonts w:hint="eastAsia" w:cs="Calibri"/>
          <w:color w:val="000000"/>
          <w:szCs w:val="21"/>
        </w:rPr>
        <w:t>款考虑剪应力对受剪板件的塑性受弯承载能力有影响，根据</w:t>
      </w:r>
      <w:r>
        <w:rPr>
          <w:rFonts w:cs="Calibri"/>
          <w:color w:val="000000"/>
          <w:szCs w:val="21"/>
        </w:rPr>
        <w:t>Mises</w:t>
      </w:r>
      <w:r>
        <w:rPr>
          <w:rFonts w:hint="eastAsia" w:cs="Calibri"/>
          <w:color w:val="000000"/>
          <w:szCs w:val="21"/>
        </w:rPr>
        <w:t>屈服准则，将这一影响换算为受剪板件上受弯承载力的折减。而主钢件满足截面分类</w:t>
      </w:r>
      <w:r>
        <w:rPr>
          <w:rFonts w:cs="Calibri"/>
          <w:color w:val="000000"/>
          <w:szCs w:val="21"/>
        </w:rPr>
        <w:t>3</w:t>
      </w:r>
      <w:r>
        <w:rPr>
          <w:rFonts w:hint="eastAsia" w:cs="Calibri"/>
          <w:color w:val="000000"/>
          <w:szCs w:val="21"/>
        </w:rPr>
        <w:t>时，主钢件截面应力在弹性范围，不考虑此项折减。</w:t>
      </w:r>
    </w:p>
    <w:p>
      <w:pPr>
        <w:widowControl/>
        <w:spacing w:after="156" w:line="360" w:lineRule="auto"/>
        <w:jc w:val="left"/>
        <w:rPr>
          <w:rFonts w:cs="Calibri"/>
          <w:color w:val="000000"/>
          <w:kern w:val="0"/>
          <w:szCs w:val="22"/>
        </w:rPr>
      </w:pPr>
      <w:r>
        <w:rPr>
          <w:rFonts w:cs="Calibri"/>
          <w:color w:val="000000"/>
          <w:kern w:val="0"/>
          <w:sz w:val="22"/>
          <w:szCs w:val="21"/>
        </w:rPr>
        <w:t xml:space="preserve">F.0.8 </w:t>
      </w:r>
      <w:r>
        <w:rPr>
          <w:rFonts w:hint="eastAsia" w:cs="Calibri"/>
          <w:color w:val="000000"/>
          <w:kern w:val="0"/>
        </w:rPr>
        <w:t>截面压弯承载力按极限状态分析得到的</w:t>
      </w:r>
      <w:r>
        <w:rPr>
          <w:rFonts w:cs="Calibri"/>
          <w:color w:val="000000"/>
          <w:kern w:val="0"/>
        </w:rPr>
        <w:t>N-M</w:t>
      </w:r>
      <w:r>
        <w:rPr>
          <w:rFonts w:hint="eastAsia" w:cs="Calibri"/>
          <w:color w:val="000000"/>
          <w:kern w:val="0"/>
        </w:rPr>
        <w:t>相关曲线为抛物线型，欧洲规范（</w:t>
      </w:r>
      <w:r>
        <w:rPr>
          <w:rFonts w:cs="Calibri"/>
          <w:color w:val="000000"/>
          <w:kern w:val="0"/>
        </w:rPr>
        <w:t>Eurocode 4</w:t>
      </w:r>
      <w:r>
        <w:rPr>
          <w:rFonts w:hint="eastAsia" w:cs="Calibri"/>
          <w:color w:val="000000"/>
          <w:kern w:val="0"/>
        </w:rPr>
        <w:t>）将其简化为三折线型</w:t>
      </w:r>
      <w:r>
        <w:rPr>
          <w:rFonts w:cs="Calibri"/>
          <w:color w:val="000000"/>
          <w:kern w:val="0"/>
        </w:rPr>
        <w:t>abcd</w:t>
      </w:r>
      <w:r>
        <w:rPr>
          <w:rFonts w:hint="eastAsia" w:cs="Calibri"/>
          <w:color w:val="000000"/>
          <w:kern w:val="0"/>
        </w:rPr>
        <w:t>，</w:t>
      </w:r>
      <w:r>
        <w:rPr>
          <w:rFonts w:cs="Calibri"/>
          <w:color w:val="000000"/>
          <w:kern w:val="0"/>
        </w:rPr>
        <w:t>a</w:t>
      </w:r>
      <w:r>
        <w:rPr>
          <w:rFonts w:hint="eastAsia" w:cs="Calibri"/>
          <w:color w:val="000000"/>
          <w:kern w:val="0"/>
        </w:rPr>
        <w:t>点对应于轴心受压，</w:t>
      </w:r>
      <w:r>
        <w:rPr>
          <w:rFonts w:cs="Calibri"/>
          <w:color w:val="000000"/>
          <w:kern w:val="0"/>
        </w:rPr>
        <w:t>b</w:t>
      </w:r>
      <w:r>
        <w:rPr>
          <w:rFonts w:hint="eastAsia" w:cs="Calibri"/>
          <w:color w:val="000000"/>
          <w:kern w:val="0"/>
        </w:rPr>
        <w:t>点轴向承载力为</w:t>
      </w:r>
      <w:r>
        <w:rPr>
          <w:rFonts w:cs="Calibri"/>
          <w:color w:val="000000"/>
          <w:kern w:val="0"/>
        </w:rPr>
        <w:t>c</w:t>
      </w:r>
      <w:r>
        <w:rPr>
          <w:rFonts w:hint="eastAsia" w:cs="Calibri"/>
          <w:color w:val="000000"/>
          <w:kern w:val="0"/>
        </w:rPr>
        <w:t>点的二倍，</w:t>
      </w:r>
      <w:r>
        <w:rPr>
          <w:rFonts w:cs="Calibri"/>
          <w:color w:val="000000"/>
          <w:kern w:val="0"/>
        </w:rPr>
        <w:t>c</w:t>
      </w:r>
      <w:r>
        <w:rPr>
          <w:rFonts w:hint="eastAsia" w:cs="Calibri"/>
          <w:color w:val="000000"/>
          <w:kern w:val="0"/>
        </w:rPr>
        <w:t>点对应于受弯承载力最大点，</w:t>
      </w:r>
      <w:r>
        <w:rPr>
          <w:rFonts w:cs="Calibri"/>
          <w:color w:val="000000"/>
          <w:kern w:val="0"/>
        </w:rPr>
        <w:t>d</w:t>
      </w:r>
      <w:r>
        <w:rPr>
          <w:rFonts w:hint="eastAsia" w:cs="Calibri"/>
          <w:color w:val="000000"/>
          <w:kern w:val="0"/>
        </w:rPr>
        <w:t>点对应于纯弯，见下图。分析表明在大多数情况下</w:t>
      </w:r>
      <w:r>
        <w:rPr>
          <w:rFonts w:cs="Calibri"/>
          <w:color w:val="000000"/>
          <w:kern w:val="0"/>
        </w:rPr>
        <w:t>Nm</w:t>
      </w:r>
      <w:r>
        <w:rPr>
          <w:rFonts w:hint="eastAsia" w:cs="Calibri"/>
          <w:color w:val="000000"/>
          <w:kern w:val="0"/>
        </w:rPr>
        <w:t>下方曲线外凸程度不大，即</w:t>
      </w:r>
      <w:r>
        <w:rPr>
          <w:rFonts w:cs="Calibri"/>
          <w:color w:val="000000"/>
          <w:kern w:val="0"/>
        </w:rPr>
        <w:t>bcd</w:t>
      </w:r>
      <w:r>
        <w:rPr>
          <w:rFonts w:hint="eastAsia" w:cs="Calibri"/>
          <w:color w:val="000000"/>
          <w:kern w:val="0"/>
        </w:rPr>
        <w:t>所围三角形面积较小。本规程为便于应用并与双向压弯截面承载力计算公式相衔接，将其进一步简化为二折线</w:t>
      </w:r>
      <w:r>
        <w:rPr>
          <w:rFonts w:cs="Calibri"/>
          <w:color w:val="000000"/>
          <w:kern w:val="0"/>
        </w:rPr>
        <w:t>abd</w:t>
      </w:r>
      <w:r>
        <w:rPr>
          <w:rFonts w:hint="eastAsia" w:cs="Calibri"/>
          <w:color w:val="000000"/>
          <w:kern w:val="0"/>
        </w:rPr>
        <w:t>。和下表所列短柱偏压试验结果比较，公式计算结果偏于安全。</w:t>
      </w:r>
    </w:p>
    <w:p>
      <w:pPr>
        <w:widowControl/>
        <w:spacing w:after="156"/>
        <w:jc w:val="left"/>
        <w:rPr>
          <w:rFonts w:cs="Calibri"/>
          <w:color w:val="000000"/>
          <w:kern w:val="0"/>
        </w:rPr>
      </w:pPr>
      <w:r>
        <w:rPr>
          <w:rFonts w:ascii="等线" w:hAnsi="等线" w:eastAsia="等线" w:cs="Calibri"/>
          <w:color w:val="000000"/>
          <w:kern w:val="0"/>
          <w:sz w:val="22"/>
          <w:szCs w:val="22"/>
        </w:rPr>
        <w:drawing>
          <wp:anchor distT="0" distB="0" distL="114300" distR="114300" simplePos="0" relativeHeight="251675648" behindDoc="0" locked="0" layoutInCell="1" allowOverlap="1">
            <wp:simplePos x="0" y="0"/>
            <wp:positionH relativeFrom="margin">
              <wp:posOffset>1794510</wp:posOffset>
            </wp:positionH>
            <wp:positionV relativeFrom="paragraph">
              <wp:posOffset>53340</wp:posOffset>
            </wp:positionV>
            <wp:extent cx="1718310" cy="1612900"/>
            <wp:effectExtent l="0" t="0" r="8890" b="6350"/>
            <wp:wrapNone/>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581"/>
                    <a:stretch>
                      <a:fillRect/>
                    </a:stretch>
                  </pic:blipFill>
                  <pic:spPr>
                    <a:xfrm>
                      <a:off x="0" y="0"/>
                      <a:ext cx="1718310" cy="1612900"/>
                    </a:xfrm>
                    <a:prstGeom prst="rect">
                      <a:avLst/>
                    </a:prstGeom>
                    <a:noFill/>
                    <a:ln>
                      <a:noFill/>
                    </a:ln>
                  </pic:spPr>
                </pic:pic>
              </a:graphicData>
            </a:graphic>
          </wp:anchor>
        </w:drawing>
      </w:r>
    </w:p>
    <w:p>
      <w:pPr>
        <w:widowControl/>
        <w:spacing w:after="156"/>
        <w:jc w:val="left"/>
        <w:rPr>
          <w:rFonts w:cs="Calibri"/>
          <w:color w:val="000000"/>
          <w:kern w:val="0"/>
        </w:rPr>
      </w:pPr>
    </w:p>
    <w:p>
      <w:pPr>
        <w:widowControl/>
        <w:spacing w:after="156"/>
        <w:jc w:val="left"/>
        <w:rPr>
          <w:rFonts w:cs="Calibri"/>
          <w:color w:val="000000"/>
          <w:kern w:val="0"/>
        </w:rPr>
      </w:pPr>
    </w:p>
    <w:p>
      <w:pPr>
        <w:widowControl/>
        <w:spacing w:after="156"/>
        <w:jc w:val="left"/>
        <w:rPr>
          <w:rFonts w:cs="Calibri"/>
          <w:color w:val="000000"/>
          <w:kern w:val="0"/>
        </w:rPr>
      </w:pPr>
    </w:p>
    <w:p>
      <w:pPr>
        <w:widowControl/>
        <w:spacing w:after="156"/>
        <w:jc w:val="left"/>
        <w:rPr>
          <w:rFonts w:cs="Calibri"/>
          <w:color w:val="000000"/>
          <w:kern w:val="0"/>
        </w:rPr>
      </w:pPr>
    </w:p>
    <w:p>
      <w:pPr>
        <w:widowControl/>
        <w:spacing w:after="156"/>
        <w:jc w:val="left"/>
        <w:rPr>
          <w:rFonts w:cs="Calibri"/>
          <w:color w:val="000000"/>
          <w:kern w:val="0"/>
        </w:rPr>
      </w:pPr>
    </w:p>
    <w:p>
      <w:pPr>
        <w:tabs>
          <w:tab w:val="left" w:pos="567"/>
        </w:tabs>
        <w:jc w:val="center"/>
        <w:rPr>
          <w:rFonts w:cs="Calibri"/>
          <w:color w:val="000000"/>
          <w:szCs w:val="21"/>
        </w:rPr>
      </w:pPr>
      <w:r>
        <w:rPr>
          <w:rFonts w:hint="eastAsia" w:cs="Calibri"/>
          <w:color w:val="000000"/>
          <w:sz w:val="18"/>
          <w:szCs w:val="18"/>
        </w:rPr>
        <w:t>图</w:t>
      </w:r>
      <w:r>
        <w:rPr>
          <w:rFonts w:cs="Calibri"/>
          <w:color w:val="000000"/>
          <w:sz w:val="18"/>
          <w:szCs w:val="18"/>
        </w:rPr>
        <w:t>F.0.8-1 N-M</w:t>
      </w:r>
      <w:r>
        <w:rPr>
          <w:rFonts w:hint="eastAsia" w:cs="Calibri"/>
          <w:color w:val="000000"/>
          <w:sz w:val="18"/>
          <w:szCs w:val="18"/>
        </w:rPr>
        <w:t>相关曲线简化</w:t>
      </w:r>
    </w:p>
    <w:p>
      <w:pPr>
        <w:widowControl/>
        <w:spacing w:after="156"/>
        <w:ind w:firstLine="360"/>
        <w:jc w:val="center"/>
        <w:rPr>
          <w:rFonts w:cs="Calibri"/>
          <w:color w:val="000000"/>
          <w:kern w:val="0"/>
          <w:szCs w:val="22"/>
        </w:rPr>
      </w:pPr>
      <w:r>
        <w:rPr>
          <w:rFonts w:hint="eastAsia" w:cs="Calibri"/>
          <w:color w:val="000000"/>
          <w:kern w:val="0"/>
          <w:sz w:val="18"/>
          <w:szCs w:val="18"/>
        </w:rPr>
        <w:t>单向压弯强度试验值和理论值对比（绕强轴）</w:t>
      </w:r>
    </w:p>
    <w:tbl>
      <w:tblPr>
        <w:tblStyle w:val="32"/>
        <w:tblW w:w="8355" w:type="dxa"/>
        <w:jc w:val="center"/>
        <w:tblLayout w:type="fixed"/>
        <w:tblCellMar>
          <w:top w:w="0" w:type="dxa"/>
          <w:left w:w="108" w:type="dxa"/>
          <w:bottom w:w="0" w:type="dxa"/>
          <w:right w:w="108" w:type="dxa"/>
        </w:tblCellMar>
      </w:tblPr>
      <w:tblGrid>
        <w:gridCol w:w="993"/>
        <w:gridCol w:w="1274"/>
        <w:gridCol w:w="849"/>
        <w:gridCol w:w="1133"/>
        <w:gridCol w:w="991"/>
        <w:gridCol w:w="850"/>
        <w:gridCol w:w="1133"/>
        <w:gridCol w:w="1132"/>
      </w:tblGrid>
      <w:tr>
        <w:tblPrEx>
          <w:tblCellMar>
            <w:top w:w="0" w:type="dxa"/>
            <w:left w:w="108" w:type="dxa"/>
            <w:bottom w:w="0" w:type="dxa"/>
            <w:right w:w="108" w:type="dxa"/>
          </w:tblCellMar>
        </w:tblPrEx>
        <w:trPr>
          <w:tblHeader/>
          <w:jc w:val="center"/>
        </w:trPr>
        <w:tc>
          <w:tcPr>
            <w:tcW w:w="993" w:type="dxa"/>
            <w:tcBorders>
              <w:top w:val="single" w:color="auto" w:sz="12" w:space="0"/>
              <w:left w:val="nil"/>
              <w:bottom w:val="single" w:color="auto" w:sz="4" w:space="0"/>
              <w:right w:val="nil"/>
            </w:tcBorders>
            <w:noWrap w:val="0"/>
            <w:vAlign w:val="center"/>
          </w:tcPr>
          <w:p>
            <w:pPr>
              <w:ind w:firstLine="360"/>
              <w:jc w:val="center"/>
              <w:rPr>
                <w:rFonts w:ascii="等线" w:hAnsi="等线" w:eastAsia="等线"/>
                <w:bCs/>
                <w:color w:val="000000"/>
                <w:sz w:val="18"/>
                <w:szCs w:val="18"/>
              </w:rPr>
            </w:pPr>
            <w:r>
              <w:rPr>
                <w:rFonts w:hint="eastAsia" w:ascii="等线" w:hAnsi="等线" w:eastAsia="等线"/>
                <w:bCs/>
                <w:color w:val="000000"/>
                <w:sz w:val="18"/>
                <w:szCs w:val="18"/>
              </w:rPr>
              <w:t>文献来源</w:t>
            </w:r>
          </w:p>
        </w:tc>
        <w:tc>
          <w:tcPr>
            <w:tcW w:w="1275"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试件编号</w:t>
            </w:r>
          </w:p>
        </w:tc>
        <w:tc>
          <w:tcPr>
            <w:tcW w:w="850"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高宽比</w:t>
            </w:r>
          </w:p>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(L</w:t>
            </w:r>
            <w:r>
              <w:rPr>
                <w:rFonts w:hint="eastAsia" w:ascii="等线" w:hAnsi="等线" w:eastAsia="等线"/>
                <w:bCs/>
                <w:color w:val="000000"/>
                <w:sz w:val="18"/>
                <w:szCs w:val="18"/>
                <w:vertAlign w:val="subscript"/>
              </w:rPr>
              <w:t>0</w:t>
            </w:r>
            <w:r>
              <w:rPr>
                <w:rFonts w:hint="eastAsia" w:ascii="等线" w:hAnsi="等线" w:eastAsia="等线"/>
                <w:bCs/>
                <w:color w:val="000000"/>
                <w:sz w:val="18"/>
                <w:szCs w:val="18"/>
              </w:rPr>
              <w:t>/h)</w:t>
            </w:r>
          </w:p>
        </w:tc>
        <w:tc>
          <w:tcPr>
            <w:tcW w:w="1134"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相对长细比</w:t>
            </w:r>
            <w:r>
              <w:rPr>
                <w:rFonts w:ascii="Symbol" w:hAnsi="Symbol" w:eastAsia="等线"/>
                <w:bCs/>
                <w:color w:val="000000"/>
                <w:sz w:val="18"/>
                <w:szCs w:val="18"/>
              </w:rPr>
              <w:t></w:t>
            </w:r>
            <w:r>
              <w:rPr>
                <w:rFonts w:hint="eastAsia" w:ascii="等线" w:hAnsi="等线" w:eastAsia="等线"/>
                <w:bCs/>
                <w:color w:val="000000"/>
                <w:sz w:val="18"/>
                <w:szCs w:val="18"/>
                <w:vertAlign w:val="subscript"/>
              </w:rPr>
              <w:t>x</w:t>
            </w:r>
          </w:p>
        </w:tc>
        <w:tc>
          <w:tcPr>
            <w:tcW w:w="992"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N/N</w:t>
            </w:r>
            <w:r>
              <w:rPr>
                <w:rFonts w:hint="eastAsia" w:ascii="等线" w:hAnsi="等线" w:eastAsia="等线"/>
                <w:bCs/>
                <w:color w:val="000000"/>
                <w:sz w:val="18"/>
                <w:szCs w:val="18"/>
                <w:vertAlign w:val="subscript"/>
              </w:rPr>
              <w:t>mx</w:t>
            </w:r>
          </w:p>
        </w:tc>
        <w:tc>
          <w:tcPr>
            <w:tcW w:w="851"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M/M</w:t>
            </w:r>
            <w:r>
              <w:rPr>
                <w:rFonts w:hint="eastAsia" w:ascii="等线" w:hAnsi="等线" w:eastAsia="等线"/>
                <w:bCs/>
                <w:color w:val="000000"/>
                <w:sz w:val="18"/>
                <w:szCs w:val="18"/>
                <w:vertAlign w:val="subscript"/>
              </w:rPr>
              <w:t>ux</w:t>
            </w:r>
          </w:p>
        </w:tc>
        <w:tc>
          <w:tcPr>
            <w:tcW w:w="1134" w:type="dxa"/>
            <w:tcBorders>
              <w:top w:val="single" w:color="auto" w:sz="12" w:space="0"/>
              <w:left w:val="nil"/>
              <w:bottom w:val="single" w:color="auto" w:sz="4" w:space="0"/>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公式6.4.1-1计算值</w:t>
            </w:r>
          </w:p>
        </w:tc>
        <w:tc>
          <w:tcPr>
            <w:tcW w:w="1133"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公式6.4.1-2计算值</w:t>
            </w:r>
          </w:p>
        </w:tc>
      </w:tr>
      <w:tr>
        <w:tblPrEx>
          <w:tblCellMar>
            <w:top w:w="0" w:type="dxa"/>
            <w:left w:w="108" w:type="dxa"/>
            <w:bottom w:w="0" w:type="dxa"/>
            <w:right w:w="108" w:type="dxa"/>
          </w:tblCellMar>
        </w:tblPrEx>
        <w:trPr>
          <w:jc w:val="center"/>
        </w:trPr>
        <w:tc>
          <w:tcPr>
            <w:tcW w:w="993"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Elnashai, 1991</w:t>
            </w:r>
          </w:p>
        </w:tc>
        <w:tc>
          <w:tcPr>
            <w:tcW w:w="1275"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EM01</w:t>
            </w:r>
          </w:p>
        </w:tc>
        <w:tc>
          <w:tcPr>
            <w:tcW w:w="850"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4.839</w:t>
            </w:r>
          </w:p>
        </w:tc>
        <w:tc>
          <w:tcPr>
            <w:tcW w:w="1134"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0.147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0.710 </w:t>
            </w:r>
          </w:p>
        </w:tc>
        <w:tc>
          <w:tcPr>
            <w:tcW w:w="851"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1.323</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1.323 </w:t>
            </w:r>
          </w:p>
        </w:tc>
        <w:tc>
          <w:tcPr>
            <w:tcW w:w="1133"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IC01</w:t>
            </w:r>
          </w:p>
        </w:tc>
        <w:tc>
          <w:tcPr>
            <w:tcW w:w="850"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4.839</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0.147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0.710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1.342</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1.342 </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EM02</w:t>
            </w:r>
          </w:p>
        </w:tc>
        <w:tc>
          <w:tcPr>
            <w:tcW w:w="850"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4.839</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0.147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1.421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1.255</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1.368 </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IC02</w:t>
            </w:r>
          </w:p>
        </w:tc>
        <w:tc>
          <w:tcPr>
            <w:tcW w:w="850"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4.839</w:t>
            </w:r>
          </w:p>
        </w:tc>
        <w:tc>
          <w:tcPr>
            <w:tcW w:w="1134"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0.147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1.421 </w:t>
            </w:r>
          </w:p>
        </w:tc>
        <w:tc>
          <w:tcPr>
            <w:tcW w:w="851"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1.259</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nil"/>
              <w:left w:val="nil"/>
              <w:bottom w:val="single" w:color="auto" w:sz="4" w:space="0"/>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1.372 </w:t>
            </w:r>
          </w:p>
        </w:tc>
      </w:tr>
      <w:tr>
        <w:tblPrEx>
          <w:tblCellMar>
            <w:top w:w="0" w:type="dxa"/>
            <w:left w:w="108" w:type="dxa"/>
            <w:bottom w:w="0" w:type="dxa"/>
            <w:right w:w="108" w:type="dxa"/>
          </w:tblCellMar>
        </w:tblPrEx>
        <w:trPr>
          <w:jc w:val="center"/>
        </w:trPr>
        <w:tc>
          <w:tcPr>
            <w:tcW w:w="993"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Bergmann, 2000</w:t>
            </w:r>
          </w:p>
        </w:tc>
        <w:tc>
          <w:tcPr>
            <w:tcW w:w="1275"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V3</w:t>
            </w:r>
          </w:p>
        </w:tc>
        <w:tc>
          <w:tcPr>
            <w:tcW w:w="850"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0.172</w:t>
            </w:r>
          </w:p>
        </w:tc>
        <w:tc>
          <w:tcPr>
            <w:tcW w:w="992" w:type="dxa"/>
            <w:tcBorders>
              <w:top w:val="single" w:color="auto" w:sz="4" w:space="0"/>
              <w:left w:val="nil"/>
              <w:bottom w:val="nil"/>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3.046 </w:t>
            </w:r>
          </w:p>
        </w:tc>
        <w:tc>
          <w:tcPr>
            <w:tcW w:w="851"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0.955</w:t>
            </w:r>
          </w:p>
        </w:tc>
        <w:tc>
          <w:tcPr>
            <w:tcW w:w="1134" w:type="dxa"/>
            <w:tcBorders>
              <w:top w:val="single" w:color="auto" w:sz="4" w:space="0"/>
              <w:left w:val="nil"/>
              <w:bottom w:val="nil"/>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1.505</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V7</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0.200</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2.451 </w:t>
            </w:r>
          </w:p>
        </w:tc>
        <w:tc>
          <w:tcPr>
            <w:tcW w:w="851"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1.085</w:t>
            </w:r>
          </w:p>
        </w:tc>
        <w:tc>
          <w:tcPr>
            <w:tcW w:w="1134"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1.526</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V8</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0.200</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4.245 </w:t>
            </w:r>
          </w:p>
        </w:tc>
        <w:tc>
          <w:tcPr>
            <w:tcW w:w="851"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1.880</w:t>
            </w:r>
          </w:p>
        </w:tc>
        <w:tc>
          <w:tcPr>
            <w:tcW w:w="1134"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2.865</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V12</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2.419 </w:t>
            </w:r>
          </w:p>
        </w:tc>
        <w:tc>
          <w:tcPr>
            <w:tcW w:w="851"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1.144</w:t>
            </w:r>
          </w:p>
        </w:tc>
        <w:tc>
          <w:tcPr>
            <w:tcW w:w="1134"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1.560</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V13</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2.430 </w:t>
            </w:r>
          </w:p>
        </w:tc>
        <w:tc>
          <w:tcPr>
            <w:tcW w:w="851"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1.149</w:t>
            </w:r>
          </w:p>
        </w:tc>
        <w:tc>
          <w:tcPr>
            <w:tcW w:w="1134"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1.568</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V14</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4.166 </w:t>
            </w:r>
          </w:p>
        </w:tc>
        <w:tc>
          <w:tcPr>
            <w:tcW w:w="851"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1.970</w:t>
            </w:r>
          </w:p>
        </w:tc>
        <w:tc>
          <w:tcPr>
            <w:tcW w:w="1134"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2.898</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V17</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0.203</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2.451 </w:t>
            </w:r>
          </w:p>
        </w:tc>
        <w:tc>
          <w:tcPr>
            <w:tcW w:w="851"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1.133</w:t>
            </w:r>
          </w:p>
        </w:tc>
        <w:tc>
          <w:tcPr>
            <w:tcW w:w="1134"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1.566</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V23</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0.187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2.512 </w:t>
            </w:r>
          </w:p>
        </w:tc>
        <w:tc>
          <w:tcPr>
            <w:tcW w:w="851"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1.015</w:t>
            </w:r>
          </w:p>
        </w:tc>
        <w:tc>
          <w:tcPr>
            <w:tcW w:w="1134"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1.477</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V24</w:t>
            </w:r>
          </w:p>
        </w:tc>
        <w:tc>
          <w:tcPr>
            <w:tcW w:w="850"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0.203</w:t>
            </w:r>
          </w:p>
        </w:tc>
        <w:tc>
          <w:tcPr>
            <w:tcW w:w="992"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2.403 </w:t>
            </w:r>
          </w:p>
        </w:tc>
        <w:tc>
          <w:tcPr>
            <w:tcW w:w="851"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1.111</w:t>
            </w:r>
          </w:p>
        </w:tc>
        <w:tc>
          <w:tcPr>
            <w:tcW w:w="1134"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1.529</w:t>
            </w:r>
          </w:p>
        </w:tc>
      </w:tr>
      <w:tr>
        <w:tblPrEx>
          <w:tblCellMar>
            <w:top w:w="0" w:type="dxa"/>
            <w:left w:w="108" w:type="dxa"/>
            <w:bottom w:w="0" w:type="dxa"/>
            <w:right w:w="108" w:type="dxa"/>
          </w:tblCellMar>
        </w:tblPrEx>
        <w:trPr>
          <w:jc w:val="center"/>
        </w:trPr>
        <w:tc>
          <w:tcPr>
            <w:tcW w:w="993"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Bouche, 2003</w:t>
            </w:r>
          </w:p>
        </w:tc>
        <w:tc>
          <w:tcPr>
            <w:tcW w:w="1275"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B1-X1</w:t>
            </w:r>
          </w:p>
        </w:tc>
        <w:tc>
          <w:tcPr>
            <w:tcW w:w="850"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0.167</w:t>
            </w:r>
          </w:p>
        </w:tc>
        <w:tc>
          <w:tcPr>
            <w:tcW w:w="992" w:type="dxa"/>
            <w:tcBorders>
              <w:top w:val="single" w:color="auto" w:sz="4" w:space="0"/>
              <w:left w:val="nil"/>
              <w:bottom w:val="nil"/>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2.853 </w:t>
            </w:r>
          </w:p>
        </w:tc>
        <w:tc>
          <w:tcPr>
            <w:tcW w:w="851"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0.906</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1.362</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B1-X2</w:t>
            </w:r>
          </w:p>
        </w:tc>
        <w:tc>
          <w:tcPr>
            <w:tcW w:w="850"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2.804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0.890</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1.334</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B1-X3</w:t>
            </w:r>
          </w:p>
        </w:tc>
        <w:tc>
          <w:tcPr>
            <w:tcW w:w="850"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4.185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0.309</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1.093</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B1-X4</w:t>
            </w:r>
          </w:p>
        </w:tc>
        <w:tc>
          <w:tcPr>
            <w:tcW w:w="850"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4.372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0.312</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1.142</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B2-X1</w:t>
            </w:r>
          </w:p>
        </w:tc>
        <w:tc>
          <w:tcPr>
            <w:tcW w:w="850"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3.003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0.961</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1.454</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B2-X2</w:t>
            </w:r>
          </w:p>
        </w:tc>
        <w:tc>
          <w:tcPr>
            <w:tcW w:w="850"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3.137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1.012</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1.537</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B2-X3</w:t>
            </w:r>
          </w:p>
        </w:tc>
        <w:tc>
          <w:tcPr>
            <w:tcW w:w="850"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0.167</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4.581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0.338</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1.218</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B2-X4</w:t>
            </w:r>
          </w:p>
        </w:tc>
        <w:tc>
          <w:tcPr>
            <w:tcW w:w="850"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0.167</w:t>
            </w:r>
          </w:p>
        </w:tc>
        <w:tc>
          <w:tcPr>
            <w:tcW w:w="992"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4.582 </w:t>
            </w:r>
          </w:p>
        </w:tc>
        <w:tc>
          <w:tcPr>
            <w:tcW w:w="851"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0.328</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1.209</w:t>
            </w:r>
          </w:p>
        </w:tc>
      </w:tr>
      <w:tr>
        <w:tblPrEx>
          <w:tblCellMar>
            <w:top w:w="0" w:type="dxa"/>
            <w:left w:w="108" w:type="dxa"/>
            <w:bottom w:w="0" w:type="dxa"/>
            <w:right w:w="108" w:type="dxa"/>
          </w:tblCellMar>
        </w:tblPrEx>
        <w:trPr>
          <w:jc w:val="center"/>
        </w:trPr>
        <w:tc>
          <w:tcPr>
            <w:tcW w:w="993"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赵根田, 2008</w:t>
            </w:r>
          </w:p>
        </w:tc>
        <w:tc>
          <w:tcPr>
            <w:tcW w:w="1275"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PECC-1</w:t>
            </w:r>
          </w:p>
        </w:tc>
        <w:tc>
          <w:tcPr>
            <w:tcW w:w="850"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0.201</w:t>
            </w:r>
          </w:p>
        </w:tc>
        <w:tc>
          <w:tcPr>
            <w:tcW w:w="992" w:type="dxa"/>
            <w:tcBorders>
              <w:top w:val="single" w:color="auto" w:sz="4" w:space="0"/>
              <w:left w:val="nil"/>
              <w:bottom w:val="nil"/>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3.114 </w:t>
            </w:r>
          </w:p>
        </w:tc>
        <w:tc>
          <w:tcPr>
            <w:tcW w:w="851"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0.883</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1.406</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PECC-2</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0.200</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3.993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0.493</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1.236</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PECC-3</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0.202</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4.675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0.614</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1.516</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PECC-4</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0.194</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4.351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0.530</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1.455</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PECC-5</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0.194</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3.253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0.872</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1.496</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PECC-6</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0.190</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4.073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0.514</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1.450</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PECC-7</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0.192</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3.143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0.878</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1.526</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PECC-8</w:t>
            </w:r>
          </w:p>
        </w:tc>
        <w:tc>
          <w:tcPr>
            <w:tcW w:w="850"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0.191</w:t>
            </w:r>
          </w:p>
        </w:tc>
        <w:tc>
          <w:tcPr>
            <w:tcW w:w="992"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2.805 </w:t>
            </w:r>
          </w:p>
        </w:tc>
        <w:tc>
          <w:tcPr>
            <w:tcW w:w="851"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1.065</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1.612</w:t>
            </w:r>
          </w:p>
        </w:tc>
      </w:tr>
      <w:tr>
        <w:tblPrEx>
          <w:tblCellMar>
            <w:top w:w="0" w:type="dxa"/>
            <w:left w:w="108" w:type="dxa"/>
            <w:bottom w:w="0" w:type="dxa"/>
            <w:right w:w="108" w:type="dxa"/>
          </w:tblCellMar>
        </w:tblPrEx>
        <w:trPr>
          <w:jc w:val="center"/>
        </w:trPr>
        <w:tc>
          <w:tcPr>
            <w:tcW w:w="993"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赵根田, 2009</w:t>
            </w:r>
          </w:p>
        </w:tc>
        <w:tc>
          <w:tcPr>
            <w:tcW w:w="1275"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PECC-1</w:t>
            </w:r>
          </w:p>
        </w:tc>
        <w:tc>
          <w:tcPr>
            <w:tcW w:w="850"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4</w:t>
            </w:r>
          </w:p>
        </w:tc>
        <w:tc>
          <w:tcPr>
            <w:tcW w:w="1134"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0.127</w:t>
            </w:r>
          </w:p>
        </w:tc>
        <w:tc>
          <w:tcPr>
            <w:tcW w:w="992" w:type="dxa"/>
            <w:tcBorders>
              <w:top w:val="single" w:color="auto" w:sz="4" w:space="0"/>
              <w:left w:val="nil"/>
              <w:bottom w:val="nil"/>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3.446 </w:t>
            </w:r>
          </w:p>
        </w:tc>
        <w:tc>
          <w:tcPr>
            <w:tcW w:w="851"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0.889</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1.672</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PECC-2</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4</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0.132</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3.367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0.952</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1.534</w:t>
            </w:r>
          </w:p>
        </w:tc>
      </w:tr>
      <w:tr>
        <w:tblPrEx>
          <w:tblCellMar>
            <w:top w:w="0" w:type="dxa"/>
            <w:left w:w="108" w:type="dxa"/>
            <w:bottom w:w="0" w:type="dxa"/>
            <w:right w:w="108" w:type="dxa"/>
          </w:tblCellMar>
        </w:tblPrEx>
        <w:trPr>
          <w:trHeight w:val="80" w:hRule="atLeast"/>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PECC-3</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4</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0.130</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3.565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0.919</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1.626</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PECC-4</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4</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0.134</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3.881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1.073</w:t>
            </w:r>
          </w:p>
        </w:tc>
        <w:tc>
          <w:tcPr>
            <w:tcW w:w="1134" w:type="dxa"/>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1.789</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PECC-5</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0.205</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0.598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1.228</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1.228</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PECC-6</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0.203</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0.511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1.531</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1.531</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PECC-7</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0.205</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0.997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1.452</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1.452</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PECC-8</w:t>
            </w:r>
          </w:p>
        </w:tc>
        <w:tc>
          <w:tcPr>
            <w:tcW w:w="850" w:type="dxa"/>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0.202</w:t>
            </w:r>
          </w:p>
        </w:tc>
        <w:tc>
          <w:tcPr>
            <w:tcW w:w="992" w:type="dxa"/>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0.851 </w:t>
            </w:r>
          </w:p>
        </w:tc>
        <w:tc>
          <w:tcPr>
            <w:tcW w:w="851"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1.742</w:t>
            </w:r>
          </w:p>
        </w:tc>
        <w:tc>
          <w:tcPr>
            <w:tcW w:w="1134"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1.742</w:t>
            </w:r>
          </w:p>
        </w:tc>
        <w:tc>
          <w:tcPr>
            <w:tcW w:w="1133" w:type="dxa"/>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PECC-9</w:t>
            </w:r>
          </w:p>
        </w:tc>
        <w:tc>
          <w:tcPr>
            <w:tcW w:w="850"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6</w:t>
            </w:r>
          </w:p>
        </w:tc>
        <w:tc>
          <w:tcPr>
            <w:tcW w:w="1134"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0.205</w:t>
            </w:r>
          </w:p>
        </w:tc>
        <w:tc>
          <w:tcPr>
            <w:tcW w:w="992"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0.997 </w:t>
            </w:r>
          </w:p>
        </w:tc>
        <w:tc>
          <w:tcPr>
            <w:tcW w:w="851"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1.481</w:t>
            </w:r>
          </w:p>
        </w:tc>
        <w:tc>
          <w:tcPr>
            <w:tcW w:w="1134"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1.481</w:t>
            </w:r>
          </w:p>
        </w:tc>
        <w:tc>
          <w:tcPr>
            <w:tcW w:w="1133"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r>
      <w:tr>
        <w:tblPrEx>
          <w:tblCellMar>
            <w:top w:w="0" w:type="dxa"/>
            <w:left w:w="108" w:type="dxa"/>
            <w:bottom w:w="0" w:type="dxa"/>
            <w:right w:w="108" w:type="dxa"/>
          </w:tblCellMar>
        </w:tblPrEx>
        <w:trPr>
          <w:jc w:val="center"/>
        </w:trPr>
        <w:tc>
          <w:tcPr>
            <w:tcW w:w="993"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Kim, 2012</w:t>
            </w:r>
          </w:p>
        </w:tc>
        <w:tc>
          <w:tcPr>
            <w:tcW w:w="1275"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C6</w:t>
            </w:r>
          </w:p>
        </w:tc>
        <w:tc>
          <w:tcPr>
            <w:tcW w:w="850"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3.462</w:t>
            </w:r>
          </w:p>
        </w:tc>
        <w:tc>
          <w:tcPr>
            <w:tcW w:w="1134"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0.180</w:t>
            </w:r>
          </w:p>
        </w:tc>
        <w:tc>
          <w:tcPr>
            <w:tcW w:w="992" w:type="dxa"/>
            <w:tcBorders>
              <w:top w:val="single" w:color="auto" w:sz="4" w:space="0"/>
              <w:left w:val="nil"/>
              <w:bottom w:val="nil"/>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1.969 </w:t>
            </w:r>
          </w:p>
        </w:tc>
        <w:tc>
          <w:tcPr>
            <w:tcW w:w="851"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0.677</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single" w:color="auto" w:sz="4" w:space="0"/>
              <w:left w:val="nil"/>
              <w:bottom w:val="nil"/>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0.935</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C7</w:t>
            </w:r>
          </w:p>
        </w:tc>
        <w:tc>
          <w:tcPr>
            <w:tcW w:w="850"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3.462</w:t>
            </w:r>
          </w:p>
        </w:tc>
        <w:tc>
          <w:tcPr>
            <w:tcW w:w="1134"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0.180</w:t>
            </w:r>
          </w:p>
        </w:tc>
        <w:tc>
          <w:tcPr>
            <w:tcW w:w="992"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2.665 </w:t>
            </w:r>
          </w:p>
        </w:tc>
        <w:tc>
          <w:tcPr>
            <w:tcW w:w="851"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0.458</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nil"/>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0.902</w:t>
            </w:r>
          </w:p>
        </w:tc>
      </w:tr>
      <w:tr>
        <w:tblPrEx>
          <w:tblCellMar>
            <w:top w:w="0" w:type="dxa"/>
            <w:left w:w="108" w:type="dxa"/>
            <w:bottom w:w="0" w:type="dxa"/>
            <w:right w:w="108" w:type="dxa"/>
          </w:tblCellMar>
        </w:tblPrEx>
        <w:trPr>
          <w:jc w:val="center"/>
        </w:trPr>
        <w:tc>
          <w:tcPr>
            <w:tcW w:w="993"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Prickett, 2006</w:t>
            </w:r>
          </w:p>
        </w:tc>
        <w:tc>
          <w:tcPr>
            <w:tcW w:w="1275"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H8</w:t>
            </w:r>
          </w:p>
        </w:tc>
        <w:tc>
          <w:tcPr>
            <w:tcW w:w="850"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0.205</w:t>
            </w:r>
          </w:p>
        </w:tc>
        <w:tc>
          <w:tcPr>
            <w:tcW w:w="992" w:type="dxa"/>
            <w:tcBorders>
              <w:top w:val="single" w:color="auto" w:sz="4" w:space="0"/>
              <w:left w:val="nil"/>
              <w:bottom w:val="nil"/>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5.892 </w:t>
            </w:r>
          </w:p>
        </w:tc>
        <w:tc>
          <w:tcPr>
            <w:tcW w:w="851"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0.411</w:t>
            </w:r>
          </w:p>
        </w:tc>
        <w:tc>
          <w:tcPr>
            <w:tcW w:w="1134" w:type="dxa"/>
            <w:tcBorders>
              <w:top w:val="single" w:color="auto" w:sz="4" w:space="0"/>
              <w:left w:val="nil"/>
              <w:bottom w:val="nil"/>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1.412</w:t>
            </w:r>
          </w:p>
        </w:tc>
      </w:tr>
      <w:tr>
        <w:tblPrEx>
          <w:tblCellMar>
            <w:top w:w="0" w:type="dxa"/>
            <w:left w:w="108" w:type="dxa"/>
            <w:bottom w:w="0" w:type="dxa"/>
            <w:right w:w="108" w:type="dxa"/>
          </w:tblCellMar>
        </w:tblPrEx>
        <w:trPr>
          <w:jc w:val="center"/>
        </w:trPr>
        <w:tc>
          <w:tcPr>
            <w:tcW w:w="6095"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bCs/>
                <w:color w:val="000000"/>
                <w:sz w:val="18"/>
                <w:szCs w:val="18"/>
              </w:rPr>
            </w:pPr>
          </w:p>
        </w:tc>
        <w:tc>
          <w:tcPr>
            <w:tcW w:w="1275"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H9</w:t>
            </w:r>
          </w:p>
        </w:tc>
        <w:tc>
          <w:tcPr>
            <w:tcW w:w="850"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5</w:t>
            </w:r>
          </w:p>
        </w:tc>
        <w:tc>
          <w:tcPr>
            <w:tcW w:w="1134"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0.209</w:t>
            </w:r>
          </w:p>
        </w:tc>
        <w:tc>
          <w:tcPr>
            <w:tcW w:w="992"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 xml:space="preserve">3.876 </w:t>
            </w:r>
          </w:p>
        </w:tc>
        <w:tc>
          <w:tcPr>
            <w:tcW w:w="851"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1.107</w:t>
            </w:r>
          </w:p>
        </w:tc>
        <w:tc>
          <w:tcPr>
            <w:tcW w:w="1134"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w:t>
            </w:r>
          </w:p>
        </w:tc>
        <w:tc>
          <w:tcPr>
            <w:tcW w:w="1133"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1.687</w:t>
            </w:r>
          </w:p>
        </w:tc>
      </w:tr>
      <w:tr>
        <w:tblPrEx>
          <w:tblCellMar>
            <w:top w:w="0" w:type="dxa"/>
            <w:left w:w="108" w:type="dxa"/>
            <w:bottom w:w="0" w:type="dxa"/>
            <w:right w:w="108" w:type="dxa"/>
          </w:tblCellMar>
        </w:tblPrEx>
        <w:trPr>
          <w:jc w:val="center"/>
        </w:trPr>
        <w:tc>
          <w:tcPr>
            <w:tcW w:w="6095" w:type="dxa"/>
            <w:gridSpan w:val="6"/>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平均值</w:t>
            </w:r>
          </w:p>
        </w:tc>
        <w:tc>
          <w:tcPr>
            <w:tcW w:w="1134" w:type="dxa"/>
            <w:tcBorders>
              <w:top w:val="nil"/>
              <w:left w:val="nil"/>
              <w:bottom w:val="single" w:color="auto" w:sz="4"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1.443</w:t>
            </w:r>
          </w:p>
        </w:tc>
        <w:tc>
          <w:tcPr>
            <w:tcW w:w="1133"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1.510</w:t>
            </w:r>
          </w:p>
        </w:tc>
      </w:tr>
      <w:tr>
        <w:tblPrEx>
          <w:tblCellMar>
            <w:top w:w="0" w:type="dxa"/>
            <w:left w:w="108" w:type="dxa"/>
            <w:bottom w:w="0" w:type="dxa"/>
            <w:right w:w="108" w:type="dxa"/>
          </w:tblCellMar>
        </w:tblPrEx>
        <w:trPr>
          <w:jc w:val="center"/>
        </w:trPr>
        <w:tc>
          <w:tcPr>
            <w:tcW w:w="6095" w:type="dxa"/>
            <w:gridSpan w:val="6"/>
            <w:tcBorders>
              <w:top w:val="nil"/>
              <w:left w:val="nil"/>
              <w:bottom w:val="single" w:color="auto" w:sz="12"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标准差</w:t>
            </w:r>
          </w:p>
        </w:tc>
        <w:tc>
          <w:tcPr>
            <w:tcW w:w="1134" w:type="dxa"/>
            <w:tcBorders>
              <w:top w:val="nil"/>
              <w:left w:val="nil"/>
              <w:bottom w:val="single" w:color="auto" w:sz="12" w:space="0"/>
              <w:right w:val="nil"/>
            </w:tcBorders>
            <w:noWrap w:val="0"/>
            <w:vAlign w:val="top"/>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0.168</w:t>
            </w:r>
          </w:p>
        </w:tc>
        <w:tc>
          <w:tcPr>
            <w:tcW w:w="1133" w:type="dxa"/>
            <w:tcBorders>
              <w:top w:val="nil"/>
              <w:left w:val="nil"/>
              <w:bottom w:val="single" w:color="auto" w:sz="12" w:space="0"/>
              <w:right w:val="nil"/>
            </w:tcBorders>
            <w:noWrap w:val="0"/>
            <w:vAlign w:val="center"/>
          </w:tcPr>
          <w:p>
            <w:pPr>
              <w:widowControl/>
              <w:ind w:firstLine="360"/>
              <w:jc w:val="center"/>
              <w:rPr>
                <w:rFonts w:hint="eastAsia" w:ascii="等线" w:hAnsi="等线" w:eastAsia="等线"/>
                <w:bCs/>
                <w:color w:val="000000"/>
                <w:sz w:val="18"/>
                <w:szCs w:val="18"/>
              </w:rPr>
            </w:pPr>
            <w:r>
              <w:rPr>
                <w:rFonts w:hint="eastAsia" w:ascii="等线" w:hAnsi="等线" w:eastAsia="等线"/>
                <w:bCs/>
                <w:color w:val="000000"/>
                <w:sz w:val="18"/>
                <w:szCs w:val="18"/>
              </w:rPr>
              <w:t>0.395</w:t>
            </w:r>
          </w:p>
        </w:tc>
      </w:tr>
    </w:tbl>
    <w:p>
      <w:pPr>
        <w:ind w:firstLine="360" w:firstLineChars="200"/>
        <w:rPr>
          <w:rFonts w:hint="eastAsia" w:cs="Calibri"/>
          <w:color w:val="000000"/>
          <w:sz w:val="18"/>
          <w:szCs w:val="18"/>
        </w:rPr>
      </w:pPr>
      <w:r>
        <w:rPr>
          <w:rFonts w:hint="eastAsia" w:cs="Calibri"/>
          <w:color w:val="000000"/>
          <w:sz w:val="18"/>
          <w:szCs w:val="18"/>
        </w:rPr>
        <w:t>表中</w:t>
      </w:r>
      <w:r>
        <w:rPr>
          <w:rFonts w:cs="Calibri"/>
          <w:color w:val="000000"/>
          <w:sz w:val="18"/>
          <w:szCs w:val="18"/>
        </w:rPr>
        <w:t xml:space="preserve"> N</w:t>
      </w:r>
      <w:r>
        <w:rPr>
          <w:rFonts w:hint="eastAsia" w:cs="Calibri"/>
          <w:color w:val="000000"/>
          <w:sz w:val="18"/>
          <w:szCs w:val="18"/>
        </w:rPr>
        <w:t>、</w:t>
      </w:r>
      <w:r>
        <w:rPr>
          <w:rFonts w:cs="Calibri"/>
          <w:color w:val="000000"/>
          <w:sz w:val="18"/>
          <w:szCs w:val="18"/>
        </w:rPr>
        <w:t>M</w:t>
      </w:r>
      <w:r>
        <w:rPr>
          <w:rFonts w:hint="eastAsia" w:cs="Calibri"/>
          <w:color w:val="000000"/>
          <w:sz w:val="18"/>
          <w:szCs w:val="18"/>
        </w:rPr>
        <w:t>为试验极限轴压力和试验极限弯矩；</w:t>
      </w:r>
      <w:r>
        <w:rPr>
          <w:rFonts w:cs="Calibri"/>
          <w:color w:val="000000"/>
          <w:sz w:val="18"/>
          <w:szCs w:val="18"/>
        </w:rPr>
        <w:t>N</w:t>
      </w:r>
      <w:r>
        <w:rPr>
          <w:rFonts w:cs="Calibri"/>
          <w:color w:val="000000"/>
          <w:sz w:val="18"/>
          <w:szCs w:val="18"/>
          <w:vertAlign w:val="subscript"/>
        </w:rPr>
        <w:t>m</w:t>
      </w:r>
      <w:r>
        <w:rPr>
          <w:rFonts w:hint="eastAsia" w:cs="Calibri"/>
          <w:color w:val="000000"/>
          <w:sz w:val="18"/>
          <w:szCs w:val="18"/>
        </w:rPr>
        <w:t>、</w:t>
      </w:r>
      <w:r>
        <w:rPr>
          <w:rFonts w:cs="Calibri"/>
          <w:color w:val="000000"/>
          <w:sz w:val="18"/>
          <w:szCs w:val="18"/>
        </w:rPr>
        <w:t>N</w:t>
      </w:r>
      <w:r>
        <w:rPr>
          <w:rFonts w:cs="Calibri"/>
          <w:color w:val="000000"/>
          <w:sz w:val="18"/>
          <w:szCs w:val="18"/>
          <w:vertAlign w:val="subscript"/>
        </w:rPr>
        <w:t>u</w:t>
      </w:r>
      <w:r>
        <w:rPr>
          <w:rFonts w:hint="eastAsia" w:cs="Calibri"/>
          <w:color w:val="000000"/>
          <w:sz w:val="18"/>
          <w:szCs w:val="18"/>
        </w:rPr>
        <w:t>和</w:t>
      </w:r>
      <w:r>
        <w:rPr>
          <w:rFonts w:cs="Calibri"/>
          <w:color w:val="000000"/>
          <w:sz w:val="18"/>
          <w:szCs w:val="18"/>
        </w:rPr>
        <w:t>M</w:t>
      </w:r>
      <w:r>
        <w:rPr>
          <w:rFonts w:cs="Calibri"/>
          <w:color w:val="000000"/>
          <w:sz w:val="18"/>
          <w:szCs w:val="18"/>
          <w:vertAlign w:val="subscript"/>
        </w:rPr>
        <w:t>u</w:t>
      </w:r>
      <w:r>
        <w:rPr>
          <w:rFonts w:hint="eastAsia" w:cs="Calibri"/>
          <w:color w:val="000000"/>
          <w:sz w:val="18"/>
          <w:szCs w:val="18"/>
        </w:rPr>
        <w:t>按本条公式计算，但采用试验实测的钢材屈服强度和混凝土轴心抗压强度；</w:t>
      </w:r>
      <w:r>
        <w:rPr>
          <w:rFonts w:cs="Calibri"/>
          <w:color w:val="000000"/>
          <w:sz w:val="18"/>
          <w:szCs w:val="18"/>
        </w:rPr>
        <w:t>L</w:t>
      </w:r>
      <w:r>
        <w:rPr>
          <w:rFonts w:cs="Calibri"/>
          <w:color w:val="000000"/>
          <w:sz w:val="18"/>
          <w:szCs w:val="18"/>
          <w:vertAlign w:val="subscript"/>
        </w:rPr>
        <w:t>0</w:t>
      </w:r>
      <w:r>
        <w:rPr>
          <w:rFonts w:hint="eastAsia" w:cs="Calibri"/>
          <w:color w:val="000000"/>
          <w:sz w:val="18"/>
          <w:szCs w:val="18"/>
        </w:rPr>
        <w:t>为试件计算长度；</w:t>
      </w:r>
      <w:r>
        <w:rPr>
          <w:rFonts w:cs="Calibri"/>
          <w:color w:val="000000"/>
          <w:sz w:val="18"/>
          <w:szCs w:val="18"/>
        </w:rPr>
        <w:t>h</w:t>
      </w:r>
      <w:r>
        <w:rPr>
          <w:rFonts w:hint="eastAsia" w:cs="Calibri"/>
          <w:color w:val="000000"/>
          <w:sz w:val="18"/>
          <w:szCs w:val="18"/>
        </w:rPr>
        <w:t>为</w:t>
      </w:r>
      <w:r>
        <w:rPr>
          <w:rFonts w:cs="Calibri"/>
          <w:color w:val="000000"/>
          <w:sz w:val="18"/>
          <w:szCs w:val="18"/>
        </w:rPr>
        <w:t>PEC</w:t>
      </w:r>
      <w:r>
        <w:rPr>
          <w:rFonts w:hint="eastAsia" w:cs="Calibri"/>
          <w:color w:val="000000"/>
          <w:sz w:val="18"/>
          <w:szCs w:val="18"/>
        </w:rPr>
        <w:t>柱截面高度。把试验数据代入设计公式中，若其值（即上表中最后一列）大于</w:t>
      </w:r>
      <w:r>
        <w:rPr>
          <w:rFonts w:cs="Calibri"/>
          <w:color w:val="000000"/>
          <w:sz w:val="18"/>
          <w:szCs w:val="18"/>
        </w:rPr>
        <w:t>1</w:t>
      </w:r>
      <w:r>
        <w:rPr>
          <w:rFonts w:hint="eastAsia" w:cs="Calibri"/>
          <w:color w:val="000000"/>
          <w:sz w:val="18"/>
          <w:szCs w:val="18"/>
        </w:rPr>
        <w:t>，说明设计公式偏安全。</w:t>
      </w:r>
    </w:p>
    <w:p>
      <w:pPr>
        <w:widowControl/>
        <w:spacing w:after="156"/>
        <w:ind w:firstLine="360"/>
        <w:jc w:val="center"/>
        <w:rPr>
          <w:rFonts w:cs="Calibri"/>
          <w:color w:val="000000"/>
          <w:kern w:val="0"/>
          <w:szCs w:val="22"/>
        </w:rPr>
      </w:pPr>
      <w:r>
        <w:rPr>
          <w:rFonts w:hint="eastAsia" w:cs="Calibri"/>
          <w:color w:val="000000"/>
          <w:kern w:val="0"/>
          <w:sz w:val="18"/>
          <w:szCs w:val="18"/>
        </w:rPr>
        <w:t>单向压弯强度试验值和理论值对比（绕弱轴）</w:t>
      </w:r>
    </w:p>
    <w:tbl>
      <w:tblPr>
        <w:tblStyle w:val="32"/>
        <w:tblW w:w="8370" w:type="dxa"/>
        <w:tblInd w:w="0" w:type="dxa"/>
        <w:tblLayout w:type="fixed"/>
        <w:tblCellMar>
          <w:top w:w="0" w:type="dxa"/>
          <w:left w:w="108" w:type="dxa"/>
          <w:bottom w:w="0" w:type="dxa"/>
          <w:right w:w="108" w:type="dxa"/>
        </w:tblCellMar>
      </w:tblPr>
      <w:tblGrid>
        <w:gridCol w:w="1134"/>
        <w:gridCol w:w="1843"/>
        <w:gridCol w:w="852"/>
        <w:gridCol w:w="851"/>
        <w:gridCol w:w="710"/>
        <w:gridCol w:w="710"/>
        <w:gridCol w:w="1135"/>
        <w:gridCol w:w="1135"/>
      </w:tblGrid>
      <w:tr>
        <w:tblPrEx>
          <w:tblCellMar>
            <w:top w:w="0" w:type="dxa"/>
            <w:left w:w="108" w:type="dxa"/>
            <w:bottom w:w="0" w:type="dxa"/>
            <w:right w:w="108" w:type="dxa"/>
          </w:tblCellMar>
        </w:tblPrEx>
        <w:trPr>
          <w:tblHeader/>
        </w:trPr>
        <w:tc>
          <w:tcPr>
            <w:tcW w:w="1134" w:type="dxa"/>
            <w:tcBorders>
              <w:top w:val="single" w:color="auto" w:sz="12" w:space="0"/>
              <w:left w:val="nil"/>
              <w:bottom w:val="single" w:color="auto" w:sz="4" w:space="0"/>
              <w:right w:val="nil"/>
            </w:tcBorders>
            <w:noWrap w:val="0"/>
            <w:vAlign w:val="center"/>
          </w:tcPr>
          <w:p>
            <w:pPr>
              <w:ind w:firstLine="360"/>
              <w:jc w:val="center"/>
              <w:rPr>
                <w:rFonts w:ascii="等线" w:hAnsi="等线" w:eastAsia="等线"/>
                <w:bCs/>
                <w:color w:val="000000"/>
                <w:kern w:val="0"/>
                <w:sz w:val="18"/>
                <w:szCs w:val="18"/>
              </w:rPr>
            </w:pPr>
            <w:r>
              <w:rPr>
                <w:rFonts w:hint="eastAsia" w:ascii="等线" w:hAnsi="等线" w:eastAsia="等线"/>
                <w:bCs/>
                <w:color w:val="000000"/>
                <w:kern w:val="0"/>
                <w:sz w:val="18"/>
                <w:szCs w:val="18"/>
              </w:rPr>
              <w:t>文献来源</w:t>
            </w:r>
          </w:p>
        </w:tc>
        <w:tc>
          <w:tcPr>
            <w:tcW w:w="1843"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试件编号</w:t>
            </w:r>
          </w:p>
        </w:tc>
        <w:tc>
          <w:tcPr>
            <w:tcW w:w="851"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高宽比(L</w:t>
            </w:r>
            <w:r>
              <w:rPr>
                <w:rFonts w:hint="eastAsia" w:ascii="等线" w:hAnsi="等线" w:eastAsia="等线"/>
                <w:bCs/>
                <w:color w:val="000000"/>
                <w:kern w:val="0"/>
                <w:sz w:val="18"/>
                <w:szCs w:val="18"/>
                <w:vertAlign w:val="subscript"/>
              </w:rPr>
              <w:t>0</w:t>
            </w:r>
            <w:r>
              <w:rPr>
                <w:rFonts w:hint="eastAsia" w:ascii="等线" w:hAnsi="等线" w:eastAsia="等线"/>
                <w:bCs/>
                <w:color w:val="000000"/>
                <w:kern w:val="0"/>
                <w:sz w:val="18"/>
                <w:szCs w:val="18"/>
              </w:rPr>
              <w:t>/B)</w:t>
            </w:r>
          </w:p>
        </w:tc>
        <w:tc>
          <w:tcPr>
            <w:tcW w:w="850"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相对长细比</w:t>
            </w:r>
            <w:r>
              <w:rPr>
                <w:rFonts w:ascii="Symbol" w:hAnsi="Symbol" w:eastAsia="等线"/>
                <w:bCs/>
                <w:color w:val="000000"/>
                <w:kern w:val="0"/>
                <w:sz w:val="18"/>
                <w:szCs w:val="18"/>
              </w:rPr>
              <w:t></w:t>
            </w:r>
            <w:r>
              <w:rPr>
                <w:rFonts w:hint="eastAsia" w:ascii="等线" w:hAnsi="等线" w:eastAsia="等线"/>
                <w:bCs/>
                <w:color w:val="000000"/>
                <w:kern w:val="0"/>
                <w:sz w:val="18"/>
                <w:szCs w:val="18"/>
                <w:vertAlign w:val="subscript"/>
              </w:rPr>
              <w:t>y</w:t>
            </w:r>
          </w:p>
        </w:tc>
        <w:tc>
          <w:tcPr>
            <w:tcW w:w="709"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N/N</w:t>
            </w:r>
            <w:r>
              <w:rPr>
                <w:rFonts w:hint="eastAsia" w:ascii="等线" w:hAnsi="等线" w:eastAsia="等线"/>
                <w:bCs/>
                <w:color w:val="000000"/>
                <w:kern w:val="0"/>
                <w:sz w:val="18"/>
                <w:szCs w:val="18"/>
                <w:vertAlign w:val="subscript"/>
              </w:rPr>
              <w:t>my</w:t>
            </w:r>
          </w:p>
        </w:tc>
        <w:tc>
          <w:tcPr>
            <w:tcW w:w="709"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M/M</w:t>
            </w:r>
            <w:r>
              <w:rPr>
                <w:rFonts w:hint="eastAsia" w:ascii="等线" w:hAnsi="等线" w:eastAsia="等线"/>
                <w:bCs/>
                <w:color w:val="000000"/>
                <w:kern w:val="0"/>
                <w:sz w:val="18"/>
                <w:szCs w:val="18"/>
                <w:vertAlign w:val="subscript"/>
              </w:rPr>
              <w:t>uy</w:t>
            </w:r>
          </w:p>
        </w:tc>
        <w:tc>
          <w:tcPr>
            <w:tcW w:w="1134" w:type="dxa"/>
            <w:tcBorders>
              <w:top w:val="single" w:color="auto" w:sz="12" w:space="0"/>
              <w:left w:val="nil"/>
              <w:bottom w:val="single" w:color="auto" w:sz="4" w:space="0"/>
              <w:right w:val="nil"/>
            </w:tcBorders>
            <w:noWrap w:val="0"/>
            <w:vAlign w:val="top"/>
          </w:tcPr>
          <w:p>
            <w:pPr>
              <w:ind w:firstLine="360"/>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公式6.4.1-1计算值</w:t>
            </w:r>
          </w:p>
        </w:tc>
        <w:tc>
          <w:tcPr>
            <w:tcW w:w="1134"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bCs/>
                <w:color w:val="000000"/>
                <w:kern w:val="0"/>
                <w:sz w:val="18"/>
                <w:szCs w:val="18"/>
              </w:rPr>
            </w:pPr>
            <w:r>
              <w:rPr>
                <w:rFonts w:hint="eastAsia" w:ascii="等线" w:hAnsi="等线" w:eastAsia="等线"/>
                <w:bCs/>
                <w:color w:val="000000"/>
                <w:kern w:val="0"/>
                <w:sz w:val="18"/>
                <w:szCs w:val="18"/>
              </w:rPr>
              <w:t>公式6.4.1-2计算值</w:t>
            </w:r>
          </w:p>
        </w:tc>
      </w:tr>
      <w:tr>
        <w:tblPrEx>
          <w:tblCellMar>
            <w:top w:w="0" w:type="dxa"/>
            <w:left w:w="108" w:type="dxa"/>
            <w:bottom w:w="0" w:type="dxa"/>
            <w:right w:w="108" w:type="dxa"/>
          </w:tblCellMar>
        </w:tblPrEx>
        <w:tc>
          <w:tcPr>
            <w:tcW w:w="1134"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Bergmann, 2000</w:t>
            </w:r>
          </w:p>
        </w:tc>
        <w:tc>
          <w:tcPr>
            <w:tcW w:w="184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w:t>
            </w:r>
          </w:p>
        </w:tc>
        <w:tc>
          <w:tcPr>
            <w:tcW w:w="85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0.233</w:t>
            </w:r>
          </w:p>
        </w:tc>
        <w:tc>
          <w:tcPr>
            <w:tcW w:w="70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4.367 </w:t>
            </w:r>
          </w:p>
        </w:tc>
        <w:tc>
          <w:tcPr>
            <w:tcW w:w="70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1.413 </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2.383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V4</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0.233</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2.020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1.307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1.601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V6</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3.042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1.306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2.051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V9</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3.144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1.350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2.132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V11</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0.279</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2.825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1.363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2.103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V15</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0.279</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1.328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1.281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1.414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V16</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0.279</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2.796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1.348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2.077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V18</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0.273</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1.328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1.225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1.353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V19</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0.252</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1.456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1.113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1.264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V20</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0.273</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1.145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1.056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1.113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V21</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0.252</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1.533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1.172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1.347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V22</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0.273</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1.227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1.132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1.220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V25</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0.252</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1.677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1.282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1.505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V26</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0.273</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1.550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1.430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1.644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V27</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0.252</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1.735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1.326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1.568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V28</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0.273</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1.368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1.262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1.406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V29</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0.252</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1.902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1.454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1.751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V30</w:t>
            </w:r>
          </w:p>
        </w:tc>
        <w:tc>
          <w:tcPr>
            <w:tcW w:w="85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0.273</w:t>
            </w:r>
          </w:p>
        </w:tc>
        <w:tc>
          <w:tcPr>
            <w:tcW w:w="70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1.408 </w:t>
            </w:r>
          </w:p>
        </w:tc>
        <w:tc>
          <w:tcPr>
            <w:tcW w:w="70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1.299 </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1.458 </w:t>
            </w:r>
          </w:p>
        </w:tc>
      </w:tr>
      <w:tr>
        <w:tblPrEx>
          <w:tblCellMar>
            <w:top w:w="0" w:type="dxa"/>
            <w:left w:w="108" w:type="dxa"/>
            <w:bottom w:w="0" w:type="dxa"/>
            <w:right w:w="108" w:type="dxa"/>
          </w:tblCellMar>
        </w:tblPrEx>
        <w:tc>
          <w:tcPr>
            <w:tcW w:w="1134"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Bouche, 2003</w:t>
            </w:r>
          </w:p>
        </w:tc>
        <w:tc>
          <w:tcPr>
            <w:tcW w:w="184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B1-Y1</w:t>
            </w:r>
          </w:p>
        </w:tc>
        <w:tc>
          <w:tcPr>
            <w:tcW w:w="851"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0.201</w:t>
            </w:r>
          </w:p>
        </w:tc>
        <w:tc>
          <w:tcPr>
            <w:tcW w:w="70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1.503 </w:t>
            </w:r>
          </w:p>
        </w:tc>
        <w:tc>
          <w:tcPr>
            <w:tcW w:w="709"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0.755</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1.015</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B1-Y2</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0.201</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1.670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0.839</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1.185</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B1-Y3</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0.201</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2.184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0.301</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0.913</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B1-Y4</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0.201</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2.712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0.195</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1.080</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B2-Y1</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0.201</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1.608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0.876</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1.190</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B2-Y2</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0.201</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1.661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0.884</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1.225</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B2-Y3</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0.201</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2.553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0.351</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1.154</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B2-Y4</w:t>
            </w:r>
          </w:p>
        </w:tc>
        <w:tc>
          <w:tcPr>
            <w:tcW w:w="85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0.201</w:t>
            </w:r>
          </w:p>
        </w:tc>
        <w:tc>
          <w:tcPr>
            <w:tcW w:w="70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2.650 </w:t>
            </w:r>
          </w:p>
        </w:tc>
        <w:tc>
          <w:tcPr>
            <w:tcW w:w="709"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0.364</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1.217</w:t>
            </w:r>
          </w:p>
        </w:tc>
      </w:tr>
      <w:tr>
        <w:tblPrEx>
          <w:tblCellMar>
            <w:top w:w="0" w:type="dxa"/>
            <w:left w:w="108" w:type="dxa"/>
            <w:bottom w:w="0" w:type="dxa"/>
            <w:right w:w="108" w:type="dxa"/>
          </w:tblCellMar>
        </w:tblPrEx>
        <w:tc>
          <w:tcPr>
            <w:tcW w:w="1134"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Prickett, 2006</w:t>
            </w:r>
          </w:p>
        </w:tc>
        <w:tc>
          <w:tcPr>
            <w:tcW w:w="184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H8</w:t>
            </w:r>
          </w:p>
        </w:tc>
        <w:tc>
          <w:tcPr>
            <w:tcW w:w="851"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0.238</w:t>
            </w:r>
          </w:p>
        </w:tc>
        <w:tc>
          <w:tcPr>
            <w:tcW w:w="70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1.861 </w:t>
            </w:r>
          </w:p>
        </w:tc>
        <w:tc>
          <w:tcPr>
            <w:tcW w:w="709"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0.671</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1.674</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H9</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0.244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1.197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1.798</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2.032</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H10</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0.245</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1.577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0.632</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1.326</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H11</w:t>
            </w:r>
          </w:p>
        </w:tc>
        <w:tc>
          <w:tcPr>
            <w:tcW w:w="851"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0.245</w:t>
            </w:r>
          </w:p>
        </w:tc>
        <w:tc>
          <w:tcPr>
            <w:tcW w:w="70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1.040 </w:t>
            </w:r>
          </w:p>
        </w:tc>
        <w:tc>
          <w:tcPr>
            <w:tcW w:w="709"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1.181</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1.229</w:t>
            </w:r>
          </w:p>
        </w:tc>
      </w:tr>
      <w:tr>
        <w:tblPrEx>
          <w:tblCellMar>
            <w:top w:w="0" w:type="dxa"/>
            <w:left w:w="108" w:type="dxa"/>
            <w:bottom w:w="0" w:type="dxa"/>
            <w:right w:w="108" w:type="dxa"/>
          </w:tblCellMar>
        </w:tblPrEx>
        <w:tc>
          <w:tcPr>
            <w:tcW w:w="1134" w:type="dxa"/>
            <w:vMerge w:val="restart"/>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赵根田, 2015</w:t>
            </w:r>
          </w:p>
        </w:tc>
        <w:tc>
          <w:tcPr>
            <w:tcW w:w="184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PECC-1</w:t>
            </w:r>
          </w:p>
        </w:tc>
        <w:tc>
          <w:tcPr>
            <w:tcW w:w="851"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0.185</w:t>
            </w:r>
          </w:p>
        </w:tc>
        <w:tc>
          <w:tcPr>
            <w:tcW w:w="70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1.945 </w:t>
            </w:r>
          </w:p>
        </w:tc>
        <w:tc>
          <w:tcPr>
            <w:tcW w:w="709"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0.910</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1.304</w:t>
            </w:r>
          </w:p>
        </w:tc>
      </w:tr>
      <w:tr>
        <w:tblPrEx>
          <w:tblCellMar>
            <w:top w:w="0" w:type="dxa"/>
            <w:left w:w="108" w:type="dxa"/>
            <w:bottom w:w="0" w:type="dxa"/>
            <w:right w:w="108" w:type="dxa"/>
          </w:tblCellMar>
        </w:tblPrEx>
        <w:tc>
          <w:tcPr>
            <w:tcW w:w="6096"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PECC-2</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2.426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0.894</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1.370</w:t>
            </w:r>
          </w:p>
        </w:tc>
      </w:tr>
      <w:tr>
        <w:tblPrEx>
          <w:tblCellMar>
            <w:top w:w="0" w:type="dxa"/>
            <w:left w:w="108" w:type="dxa"/>
            <w:bottom w:w="0" w:type="dxa"/>
            <w:right w:w="108" w:type="dxa"/>
          </w:tblCellMar>
        </w:tblPrEx>
        <w:tc>
          <w:tcPr>
            <w:tcW w:w="6096"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PECC-3</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2.883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0.923</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1.463</w:t>
            </w:r>
          </w:p>
        </w:tc>
      </w:tr>
      <w:tr>
        <w:tblPrEx>
          <w:tblCellMar>
            <w:top w:w="0" w:type="dxa"/>
            <w:left w:w="108" w:type="dxa"/>
            <w:bottom w:w="0" w:type="dxa"/>
            <w:right w:w="108" w:type="dxa"/>
          </w:tblCellMar>
        </w:tblPrEx>
        <w:tc>
          <w:tcPr>
            <w:tcW w:w="6096"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PECC-4</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0.185</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1.519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1.057</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1.273</w:t>
            </w:r>
          </w:p>
        </w:tc>
      </w:tr>
      <w:tr>
        <w:tblPrEx>
          <w:tblCellMar>
            <w:top w:w="0" w:type="dxa"/>
            <w:left w:w="108" w:type="dxa"/>
            <w:bottom w:w="0" w:type="dxa"/>
            <w:right w:w="108" w:type="dxa"/>
          </w:tblCellMar>
        </w:tblPrEx>
        <w:tc>
          <w:tcPr>
            <w:tcW w:w="6096"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PECC-5</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1.990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1.093</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1.423</w:t>
            </w:r>
          </w:p>
        </w:tc>
      </w:tr>
      <w:tr>
        <w:tblPrEx>
          <w:tblCellMar>
            <w:top w:w="0" w:type="dxa"/>
            <w:left w:w="108" w:type="dxa"/>
            <w:bottom w:w="0" w:type="dxa"/>
            <w:right w:w="108" w:type="dxa"/>
          </w:tblCellMar>
        </w:tblPrEx>
        <w:tc>
          <w:tcPr>
            <w:tcW w:w="6096"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PECC-6</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2.174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1.003</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1.340</w:t>
            </w:r>
          </w:p>
        </w:tc>
      </w:tr>
      <w:tr>
        <w:tblPrEx>
          <w:tblCellMar>
            <w:top w:w="0" w:type="dxa"/>
            <w:left w:w="108" w:type="dxa"/>
            <w:bottom w:w="0" w:type="dxa"/>
            <w:right w:w="108" w:type="dxa"/>
          </w:tblCellMar>
        </w:tblPrEx>
        <w:tc>
          <w:tcPr>
            <w:tcW w:w="6096" w:type="dxa"/>
            <w:vMerge w:val="continue"/>
            <w:tcBorders>
              <w:top w:val="single" w:color="auto" w:sz="4" w:space="0"/>
              <w:left w:val="nil"/>
              <w:bottom w:val="nil"/>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PECC-7</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1.961 </w:t>
            </w:r>
          </w:p>
        </w:tc>
        <w:tc>
          <w:tcPr>
            <w:tcW w:w="709"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1.146</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1.421</w:t>
            </w:r>
          </w:p>
        </w:tc>
      </w:tr>
      <w:tr>
        <w:tblPrEx>
          <w:tblCellMar>
            <w:top w:w="0" w:type="dxa"/>
            <w:left w:w="108" w:type="dxa"/>
            <w:bottom w:w="0" w:type="dxa"/>
            <w:right w:w="108" w:type="dxa"/>
          </w:tblCellMar>
        </w:tblPrEx>
        <w:tc>
          <w:tcPr>
            <w:tcW w:w="1134"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吴波, </w:t>
            </w:r>
          </w:p>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2016</w:t>
            </w:r>
          </w:p>
        </w:tc>
        <w:tc>
          <w:tcPr>
            <w:tcW w:w="184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FT8-S400-R0-E120</w:t>
            </w:r>
          </w:p>
        </w:tc>
        <w:tc>
          <w:tcPr>
            <w:tcW w:w="851"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0.196</w:t>
            </w:r>
          </w:p>
        </w:tc>
        <w:tc>
          <w:tcPr>
            <w:tcW w:w="70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1.725 </w:t>
            </w:r>
          </w:p>
        </w:tc>
        <w:tc>
          <w:tcPr>
            <w:tcW w:w="709"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1.682 </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single" w:color="auto" w:sz="4" w:space="0"/>
              <w:left w:val="nil"/>
              <w:bottom w:val="nil"/>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2.116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FT8-S400-R30-E120</w:t>
            </w:r>
          </w:p>
        </w:tc>
        <w:tc>
          <w:tcPr>
            <w:tcW w:w="851" w:type="dxa"/>
            <w:noWrap w:val="0"/>
            <w:vAlign w:val="center"/>
          </w:tcPr>
          <w:p>
            <w:pPr>
              <w:widowControl/>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1.582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1.563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1.906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FT8-S200-R30-E60</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0.194</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2.236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1.112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1.839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FT8-S200-R30-E120</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0.195</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1.712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1.676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2.097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FT8-S120-R30-E120</w:t>
            </w:r>
          </w:p>
        </w:tc>
        <w:tc>
          <w:tcPr>
            <w:tcW w:w="851"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0.195</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1.754 </w:t>
            </w:r>
          </w:p>
        </w:tc>
        <w:tc>
          <w:tcPr>
            <w:tcW w:w="709"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1.667 </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2.114 </w:t>
            </w:r>
          </w:p>
        </w:tc>
      </w:tr>
      <w:tr>
        <w:tblPrEx>
          <w:tblCellMar>
            <w:top w:w="0" w:type="dxa"/>
            <w:left w:w="108" w:type="dxa"/>
            <w:bottom w:w="0" w:type="dxa"/>
            <w:right w:w="108" w:type="dxa"/>
          </w:tblCellMar>
        </w:tblPrEx>
        <w:tc>
          <w:tcPr>
            <w:tcW w:w="6096" w:type="dxa"/>
            <w:vMerge w:val="continue"/>
            <w:tcBorders>
              <w:top w:val="single" w:color="auto" w:sz="4" w:space="0"/>
              <w:left w:val="nil"/>
              <w:bottom w:val="single" w:color="auto" w:sz="4" w:space="0"/>
              <w:right w:val="nil"/>
            </w:tcBorders>
            <w:noWrap w:val="0"/>
            <w:vAlign w:val="center"/>
          </w:tcPr>
          <w:p>
            <w:pPr>
              <w:widowControl/>
              <w:spacing w:beforeAutospacing="1"/>
              <w:ind w:firstLine="360"/>
              <w:jc w:val="left"/>
              <w:rPr>
                <w:rFonts w:ascii="等线" w:hAnsi="等线" w:eastAsia="等线"/>
                <w:color w:val="000000"/>
                <w:kern w:val="0"/>
                <w:sz w:val="18"/>
                <w:szCs w:val="18"/>
              </w:rPr>
            </w:pPr>
          </w:p>
        </w:tc>
        <w:tc>
          <w:tcPr>
            <w:tcW w:w="184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FT10-S200-R30-E120</w:t>
            </w:r>
          </w:p>
        </w:tc>
        <w:tc>
          <w:tcPr>
            <w:tcW w:w="851"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5</w:t>
            </w:r>
          </w:p>
        </w:tc>
        <w:tc>
          <w:tcPr>
            <w:tcW w:w="85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0.188</w:t>
            </w:r>
          </w:p>
        </w:tc>
        <w:tc>
          <w:tcPr>
            <w:tcW w:w="70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1.682 </w:t>
            </w:r>
          </w:p>
        </w:tc>
        <w:tc>
          <w:tcPr>
            <w:tcW w:w="709"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1.650 </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 xml:space="preserve">2.052 </w:t>
            </w:r>
          </w:p>
        </w:tc>
      </w:tr>
      <w:tr>
        <w:tblPrEx>
          <w:tblCellMar>
            <w:top w:w="0" w:type="dxa"/>
            <w:left w:w="108" w:type="dxa"/>
            <w:bottom w:w="0" w:type="dxa"/>
            <w:right w:w="108" w:type="dxa"/>
          </w:tblCellMar>
        </w:tblPrEx>
        <w:tc>
          <w:tcPr>
            <w:tcW w:w="6096" w:type="dxa"/>
            <w:gridSpan w:val="6"/>
            <w:tcBorders>
              <w:top w:val="nil"/>
              <w:left w:val="nil"/>
              <w:bottom w:val="single" w:color="auto" w:sz="4"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平均值</w:t>
            </w: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p>
        </w:tc>
        <w:tc>
          <w:tcPr>
            <w:tcW w:w="1134" w:type="dxa"/>
            <w:tcBorders>
              <w:top w:val="nil"/>
              <w:left w:val="nil"/>
              <w:bottom w:val="single" w:color="auto" w:sz="4"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1.543</w:t>
            </w:r>
          </w:p>
        </w:tc>
      </w:tr>
      <w:tr>
        <w:tblPrEx>
          <w:tblCellMar>
            <w:top w:w="0" w:type="dxa"/>
            <w:left w:w="108" w:type="dxa"/>
            <w:bottom w:w="0" w:type="dxa"/>
            <w:right w:w="108" w:type="dxa"/>
          </w:tblCellMar>
        </w:tblPrEx>
        <w:tc>
          <w:tcPr>
            <w:tcW w:w="6096" w:type="dxa"/>
            <w:gridSpan w:val="6"/>
            <w:tcBorders>
              <w:top w:val="nil"/>
              <w:left w:val="nil"/>
              <w:bottom w:val="single" w:color="auto" w:sz="12" w:space="0"/>
              <w:right w:val="nil"/>
            </w:tcBorders>
            <w:noWrap w:val="0"/>
            <w:vAlign w:val="center"/>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标准差</w:t>
            </w:r>
          </w:p>
        </w:tc>
        <w:tc>
          <w:tcPr>
            <w:tcW w:w="1134" w:type="dxa"/>
            <w:tcBorders>
              <w:top w:val="nil"/>
              <w:left w:val="nil"/>
              <w:bottom w:val="single" w:color="auto" w:sz="12" w:space="0"/>
              <w:right w:val="nil"/>
            </w:tcBorders>
            <w:noWrap w:val="0"/>
            <w:vAlign w:val="top"/>
          </w:tcPr>
          <w:p>
            <w:pPr>
              <w:ind w:firstLine="360"/>
              <w:jc w:val="center"/>
              <w:rPr>
                <w:rFonts w:hint="eastAsia" w:ascii="等线" w:hAnsi="等线" w:eastAsia="等线"/>
                <w:color w:val="000000"/>
                <w:kern w:val="0"/>
                <w:sz w:val="18"/>
                <w:szCs w:val="18"/>
              </w:rPr>
            </w:pPr>
          </w:p>
        </w:tc>
        <w:tc>
          <w:tcPr>
            <w:tcW w:w="1134" w:type="dxa"/>
            <w:tcBorders>
              <w:top w:val="nil"/>
              <w:left w:val="nil"/>
              <w:bottom w:val="single" w:color="auto" w:sz="12" w:space="0"/>
              <w:right w:val="nil"/>
            </w:tcBorders>
            <w:noWrap w:val="0"/>
            <w:vAlign w:val="top"/>
          </w:tcPr>
          <w:p>
            <w:pPr>
              <w:ind w:firstLine="360"/>
              <w:jc w:val="center"/>
              <w:rPr>
                <w:rFonts w:hint="eastAsia" w:ascii="等线" w:hAnsi="等线" w:eastAsia="等线"/>
                <w:color w:val="000000"/>
                <w:kern w:val="0"/>
                <w:sz w:val="18"/>
                <w:szCs w:val="18"/>
              </w:rPr>
            </w:pPr>
            <w:r>
              <w:rPr>
                <w:rFonts w:hint="eastAsia" w:ascii="等线" w:hAnsi="等线" w:eastAsia="等线"/>
                <w:color w:val="000000"/>
                <w:kern w:val="0"/>
                <w:sz w:val="18"/>
                <w:szCs w:val="18"/>
              </w:rPr>
              <w:t>0.379</w:t>
            </w:r>
          </w:p>
        </w:tc>
      </w:tr>
    </w:tbl>
    <w:p>
      <w:pPr>
        <w:ind w:firstLine="360" w:firstLineChars="200"/>
        <w:rPr>
          <w:rFonts w:hint="eastAsia" w:cs="Calibri"/>
          <w:color w:val="000000"/>
          <w:sz w:val="18"/>
          <w:szCs w:val="18"/>
        </w:rPr>
      </w:pPr>
      <w:r>
        <w:rPr>
          <w:rFonts w:hint="eastAsia" w:cs="Calibri"/>
          <w:color w:val="000000"/>
          <w:sz w:val="18"/>
          <w:szCs w:val="18"/>
        </w:rPr>
        <w:t>表中</w:t>
      </w:r>
      <w:r>
        <w:rPr>
          <w:rFonts w:cs="Calibri"/>
          <w:color w:val="000000"/>
          <w:sz w:val="18"/>
          <w:szCs w:val="18"/>
        </w:rPr>
        <w:t>N</w:t>
      </w:r>
      <w:r>
        <w:rPr>
          <w:rFonts w:hint="eastAsia" w:cs="Calibri"/>
          <w:color w:val="000000"/>
          <w:sz w:val="18"/>
          <w:szCs w:val="18"/>
        </w:rPr>
        <w:t>、</w:t>
      </w:r>
      <w:r>
        <w:rPr>
          <w:rFonts w:cs="Calibri"/>
          <w:color w:val="000000"/>
          <w:sz w:val="18"/>
          <w:szCs w:val="18"/>
        </w:rPr>
        <w:t>M</w:t>
      </w:r>
      <w:r>
        <w:rPr>
          <w:rFonts w:hint="eastAsia" w:cs="Calibri"/>
          <w:color w:val="000000"/>
          <w:sz w:val="18"/>
          <w:szCs w:val="18"/>
        </w:rPr>
        <w:t>为试验极限轴压力和试验极限弯矩；</w:t>
      </w:r>
      <w:r>
        <w:rPr>
          <w:rFonts w:cs="Calibri"/>
          <w:i/>
          <w:color w:val="000000"/>
          <w:sz w:val="18"/>
          <w:szCs w:val="18"/>
        </w:rPr>
        <w:t>N</w:t>
      </w:r>
      <w:r>
        <w:rPr>
          <w:rFonts w:cs="Calibri"/>
          <w:color w:val="000000"/>
          <w:sz w:val="18"/>
          <w:szCs w:val="18"/>
          <w:vertAlign w:val="subscript"/>
        </w:rPr>
        <w:t>m</w:t>
      </w:r>
      <w:r>
        <w:rPr>
          <w:rFonts w:hint="eastAsia" w:cs="Calibri"/>
          <w:color w:val="000000"/>
          <w:sz w:val="18"/>
          <w:szCs w:val="18"/>
        </w:rPr>
        <w:t>、</w:t>
      </w:r>
      <w:r>
        <w:rPr>
          <w:rFonts w:cs="Calibri"/>
          <w:i/>
          <w:color w:val="000000"/>
          <w:sz w:val="18"/>
          <w:szCs w:val="18"/>
        </w:rPr>
        <w:t>N</w:t>
      </w:r>
      <w:r>
        <w:rPr>
          <w:rFonts w:cs="Calibri"/>
          <w:color w:val="000000"/>
          <w:sz w:val="18"/>
          <w:szCs w:val="18"/>
          <w:vertAlign w:val="subscript"/>
        </w:rPr>
        <w:t>u</w:t>
      </w:r>
      <w:r>
        <w:rPr>
          <w:rFonts w:hint="eastAsia" w:cs="Calibri"/>
          <w:color w:val="000000"/>
          <w:sz w:val="18"/>
          <w:szCs w:val="18"/>
        </w:rPr>
        <w:t>和</w:t>
      </w:r>
      <w:r>
        <w:rPr>
          <w:rFonts w:cs="Calibri"/>
          <w:i/>
          <w:color w:val="000000"/>
          <w:sz w:val="18"/>
          <w:szCs w:val="18"/>
        </w:rPr>
        <w:t>M</w:t>
      </w:r>
      <w:r>
        <w:rPr>
          <w:rFonts w:cs="Calibri"/>
          <w:color w:val="000000"/>
          <w:sz w:val="18"/>
          <w:szCs w:val="18"/>
          <w:vertAlign w:val="subscript"/>
        </w:rPr>
        <w:t>u</w:t>
      </w:r>
      <w:r>
        <w:rPr>
          <w:rFonts w:hint="eastAsia" w:cs="Calibri"/>
          <w:color w:val="000000"/>
          <w:sz w:val="18"/>
          <w:szCs w:val="18"/>
        </w:rPr>
        <w:t>的含义及具体计算如公式所定义；</w:t>
      </w:r>
      <w:r>
        <w:rPr>
          <w:rFonts w:cs="Calibri"/>
          <w:color w:val="000000"/>
          <w:sz w:val="18"/>
          <w:szCs w:val="18"/>
        </w:rPr>
        <w:t>L</w:t>
      </w:r>
      <w:r>
        <w:rPr>
          <w:rFonts w:cs="Calibri"/>
          <w:color w:val="000000"/>
          <w:sz w:val="18"/>
          <w:szCs w:val="18"/>
          <w:vertAlign w:val="subscript"/>
        </w:rPr>
        <w:t>0</w:t>
      </w:r>
      <w:r>
        <w:rPr>
          <w:rFonts w:hint="eastAsia" w:cs="Calibri"/>
          <w:color w:val="000000"/>
          <w:sz w:val="18"/>
          <w:szCs w:val="18"/>
        </w:rPr>
        <w:t>为试件计算长度；</w:t>
      </w:r>
      <w:r>
        <w:rPr>
          <w:rFonts w:cs="Calibri"/>
          <w:color w:val="000000"/>
          <w:sz w:val="18"/>
          <w:szCs w:val="18"/>
        </w:rPr>
        <w:t>b</w:t>
      </w:r>
      <w:r>
        <w:rPr>
          <w:rFonts w:hint="eastAsia" w:cs="Calibri"/>
          <w:color w:val="000000"/>
          <w:sz w:val="18"/>
          <w:szCs w:val="18"/>
        </w:rPr>
        <w:t>为</w:t>
      </w:r>
      <w:r>
        <w:rPr>
          <w:rFonts w:cs="Calibri"/>
          <w:color w:val="000000"/>
          <w:sz w:val="18"/>
          <w:szCs w:val="18"/>
        </w:rPr>
        <w:t>PEC</w:t>
      </w:r>
      <w:r>
        <w:rPr>
          <w:rFonts w:hint="eastAsia" w:cs="Calibri"/>
          <w:color w:val="000000"/>
          <w:sz w:val="18"/>
          <w:szCs w:val="18"/>
        </w:rPr>
        <w:t>柱截面宽度。把试验数据代入设计公式中，若其值（即上表中最后一列）大于</w:t>
      </w:r>
      <w:r>
        <w:rPr>
          <w:rFonts w:cs="Calibri"/>
          <w:color w:val="000000"/>
          <w:sz w:val="18"/>
          <w:szCs w:val="18"/>
        </w:rPr>
        <w:t>1</w:t>
      </w:r>
      <w:r>
        <w:rPr>
          <w:rFonts w:hint="eastAsia" w:cs="Calibri"/>
          <w:color w:val="000000"/>
          <w:sz w:val="18"/>
          <w:szCs w:val="18"/>
        </w:rPr>
        <w:t>，说明设计公式偏安全。</w:t>
      </w:r>
      <w:r>
        <w:rPr>
          <w:rFonts w:cs="Calibri"/>
          <w:color w:val="000000"/>
          <w:sz w:val="18"/>
          <w:szCs w:val="18"/>
        </w:rPr>
        <w:t xml:space="preserve"> </w:t>
      </w:r>
    </w:p>
    <w:p>
      <w:pPr>
        <w:widowControl/>
        <w:spacing w:before="156" w:beforeLines="50" w:after="156" w:line="360" w:lineRule="auto"/>
        <w:ind w:firstLine="420"/>
        <w:jc w:val="left"/>
        <w:rPr>
          <w:rFonts w:cs="Calibri"/>
          <w:color w:val="000000"/>
          <w:kern w:val="0"/>
          <w:szCs w:val="22"/>
        </w:rPr>
      </w:pPr>
      <w:r>
        <w:rPr>
          <w:rFonts w:hint="eastAsia" w:cs="Calibri"/>
          <w:color w:val="000000"/>
          <w:kern w:val="0"/>
        </w:rPr>
        <w:t>在常用的框架柱几何参数（长度与截面尺寸）范围内，压弯构件的极限承载状态主要由轴力与弯矩控制，剪力影响不大。如需要计算受剪承载力，可参照本附录</w:t>
      </w:r>
      <w:r>
        <w:rPr>
          <w:rFonts w:cs="Calibri"/>
          <w:color w:val="000000"/>
          <w:kern w:val="0"/>
        </w:rPr>
        <w:t>F.0.7</w:t>
      </w:r>
      <w:r>
        <w:rPr>
          <w:rFonts w:hint="eastAsia" w:cs="Calibri"/>
          <w:color w:val="000000"/>
          <w:kern w:val="0"/>
        </w:rPr>
        <w:t>条执行。</w:t>
      </w:r>
    </w:p>
    <w:p>
      <w:pPr>
        <w:widowControl/>
        <w:spacing w:before="156" w:beforeLines="50" w:after="156" w:line="360" w:lineRule="auto"/>
        <w:jc w:val="left"/>
        <w:rPr>
          <w:rFonts w:cs="Calibri"/>
          <w:color w:val="000000"/>
          <w:kern w:val="0"/>
        </w:rPr>
      </w:pPr>
      <w:r>
        <w:rPr>
          <w:rFonts w:cs="Calibri"/>
          <w:color w:val="000000"/>
          <w:kern w:val="0"/>
        </w:rPr>
        <w:tab/>
      </w:r>
      <w:r>
        <w:rPr>
          <w:rFonts w:hint="eastAsia" w:cs="Calibri"/>
          <w:color w:val="000000"/>
          <w:kern w:val="0"/>
        </w:rPr>
        <w:t>本条第</w:t>
      </w:r>
      <w:r>
        <w:rPr>
          <w:rFonts w:cs="Calibri"/>
          <w:color w:val="000000"/>
          <w:kern w:val="0"/>
        </w:rPr>
        <w:t>2</w:t>
      </w:r>
      <w:r>
        <w:rPr>
          <w:rFonts w:hint="eastAsia" w:cs="Calibri"/>
          <w:color w:val="000000"/>
          <w:kern w:val="0"/>
        </w:rPr>
        <w:t>款为构件整体稳定计算。对单向压弯构件稳定承载力计算，不同规范采用的方法不尽相同。欧洲规范</w:t>
      </w:r>
      <w:r>
        <w:rPr>
          <w:rFonts w:cs="Calibri"/>
          <w:bCs/>
          <w:color w:val="000000"/>
          <w:kern w:val="0"/>
          <w:sz w:val="22"/>
          <w:szCs w:val="21"/>
        </w:rPr>
        <w:t>EN1994-1-1</w:t>
      </w:r>
      <w:r>
        <w:rPr>
          <w:rFonts w:hint="eastAsia" w:cs="Calibri"/>
          <w:bCs/>
          <w:color w:val="000000"/>
          <w:kern w:val="0"/>
          <w:sz w:val="22"/>
          <w:szCs w:val="21"/>
        </w:rPr>
        <w:t>：</w:t>
      </w:r>
      <w:r>
        <w:rPr>
          <w:rFonts w:cs="Calibri"/>
          <w:bCs/>
          <w:color w:val="000000"/>
          <w:kern w:val="0"/>
          <w:sz w:val="22"/>
          <w:szCs w:val="21"/>
        </w:rPr>
        <w:t>2004</w:t>
      </w:r>
      <w:r>
        <w:rPr>
          <w:rFonts w:hint="eastAsia" w:cs="Calibri"/>
          <w:color w:val="000000"/>
          <w:kern w:val="0"/>
        </w:rPr>
        <w:t>采用单项弯矩公式，轴力影响隐含在分母项弯矩中；加拿大钢结构规范</w:t>
      </w:r>
      <w:r>
        <w:rPr>
          <w:rFonts w:cs="Calibri"/>
          <w:color w:val="000000"/>
          <w:kern w:val="0"/>
        </w:rPr>
        <w:t>CSA S16-09</w:t>
      </w:r>
      <w:r>
        <w:rPr>
          <w:rFonts w:hint="eastAsia" w:cs="Calibri"/>
          <w:color w:val="000000"/>
          <w:kern w:val="0"/>
        </w:rPr>
        <w:t>采用轴力和弯矩相关公式，轴力和弯矩为线性组合；《矩形钢管混凝土结构技术规程》</w:t>
      </w:r>
      <w:r>
        <w:rPr>
          <w:rFonts w:cs="Calibri"/>
          <w:color w:val="000000"/>
          <w:kern w:val="0"/>
        </w:rPr>
        <w:t>CECS 159</w:t>
      </w:r>
      <w:r>
        <w:rPr>
          <w:rFonts w:hint="eastAsia" w:cs="Calibri"/>
          <w:color w:val="000000"/>
          <w:kern w:val="0"/>
        </w:rPr>
        <w:t>参照</w:t>
      </w:r>
      <w:r>
        <w:rPr>
          <w:rFonts w:hint="eastAsia" w:cs="Calibri"/>
          <w:color w:val="000000"/>
          <w:kern w:val="0"/>
          <w:sz w:val="22"/>
        </w:rPr>
        <w:t>《钢结构设计标准》</w:t>
      </w:r>
      <w:r>
        <w:rPr>
          <w:rFonts w:cs="Calibri"/>
          <w:color w:val="000000"/>
          <w:kern w:val="0"/>
          <w:sz w:val="22"/>
        </w:rPr>
        <w:t>GB 50017</w:t>
      </w:r>
      <w:r>
        <w:rPr>
          <w:rFonts w:hint="eastAsia" w:cs="Calibri"/>
          <w:color w:val="000000"/>
          <w:kern w:val="0"/>
          <w:sz w:val="22"/>
        </w:rPr>
        <w:t>的计算方法</w:t>
      </w:r>
      <w:r>
        <w:rPr>
          <w:rFonts w:hint="eastAsia" w:cs="Calibri"/>
          <w:color w:val="000000"/>
          <w:kern w:val="0"/>
        </w:rPr>
        <w:t>，但在弯矩项前乘以钢贡献率</w:t>
      </w:r>
      <w:r>
        <w:rPr>
          <w:rFonts w:cs="Calibri"/>
          <w:color w:val="000000"/>
          <w:kern w:val="0"/>
        </w:rPr>
        <w:t>δ</w:t>
      </w:r>
      <w:r>
        <w:rPr>
          <w:rFonts w:hint="eastAsia" w:cs="Calibri"/>
          <w:color w:val="000000"/>
          <w:kern w:val="0"/>
        </w:rPr>
        <w:t>，并限制弯矩不大于正截面受弯承载力；《组合结构设计规范》</w:t>
      </w:r>
      <w:r>
        <w:rPr>
          <w:rFonts w:cs="Calibri"/>
          <w:color w:val="000000"/>
          <w:kern w:val="0"/>
        </w:rPr>
        <w:t>JGJ 138</w:t>
      </w:r>
      <w:r>
        <w:rPr>
          <w:rFonts w:hint="eastAsia" w:cs="Calibri"/>
          <w:color w:val="000000"/>
          <w:kern w:val="0"/>
        </w:rPr>
        <w:t>依循《混凝土结构设计规范》</w:t>
      </w:r>
      <w:r>
        <w:rPr>
          <w:rFonts w:cs="Calibri"/>
          <w:color w:val="000000"/>
          <w:kern w:val="0"/>
        </w:rPr>
        <w:t>GB 50010</w:t>
      </w:r>
      <w:r>
        <w:rPr>
          <w:rFonts w:hint="eastAsia" w:cs="Calibri"/>
          <w:color w:val="000000"/>
          <w:kern w:val="0"/>
        </w:rPr>
        <w:t>的设计思路，根据截面达到极限状态时的应力分布，通过轴向力和弯矩的平衡条件，考虑偏心距增大系数，联合求解截面压弯承载力。图</w:t>
      </w:r>
      <w:r>
        <w:rPr>
          <w:rFonts w:cs="Calibri"/>
          <w:color w:val="000000"/>
          <w:kern w:val="0"/>
        </w:rPr>
        <w:t>5</w:t>
      </w:r>
      <w:r>
        <w:rPr>
          <w:rFonts w:hint="eastAsia" w:cs="Calibri"/>
          <w:color w:val="000000"/>
          <w:kern w:val="0"/>
        </w:rPr>
        <w:t>中比较了这四种规范的计算方法，表明加拿大规范最保守（试验数据来自文献《</w:t>
      </w:r>
      <w:r>
        <w:rPr>
          <w:rFonts w:cs="Calibri"/>
          <w:color w:val="000000"/>
          <w:kern w:val="0"/>
          <w:sz w:val="22"/>
        </w:rPr>
        <w:t>The study of compression-bending behavior of partially encased composite columns</w:t>
      </w:r>
      <w:r>
        <w:rPr>
          <w:rFonts w:hint="eastAsia" w:cs="Calibri"/>
          <w:color w:val="000000"/>
          <w:kern w:val="0"/>
        </w:rPr>
        <w:t>》</w:t>
      </w:r>
      <w:r>
        <w:rPr>
          <w:rFonts w:cs="Calibri"/>
          <w:color w:val="000000"/>
          <w:kern w:val="0"/>
          <w:sz w:val="22"/>
        </w:rPr>
        <w:t>(in French) [R]. Rep. No. EPM/GCS-2003-03</w:t>
      </w:r>
      <w:r>
        <w:rPr>
          <w:rFonts w:hint="eastAsia" w:cs="Calibri"/>
          <w:color w:val="000000"/>
          <w:kern w:val="0"/>
          <w:sz w:val="22"/>
        </w:rPr>
        <w:t>，</w:t>
      </w:r>
      <w:r>
        <w:rPr>
          <w:rFonts w:cs="Calibri"/>
          <w:color w:val="000000"/>
          <w:kern w:val="0"/>
          <w:sz w:val="22"/>
        </w:rPr>
        <w:t xml:space="preserve"> Dept. of Civi Geological and Mining Engineering, Ecole Poly Technique, Montréal, 2003.</w:t>
      </w:r>
      <w:r>
        <w:rPr>
          <w:rFonts w:hint="eastAsia" w:cs="Calibri"/>
          <w:color w:val="000000"/>
          <w:kern w:val="0"/>
          <w:sz w:val="22"/>
        </w:rPr>
        <w:t>）</w:t>
      </w:r>
      <w:r>
        <w:rPr>
          <w:rFonts w:hint="eastAsia" w:cs="Calibri"/>
          <w:color w:val="000000"/>
          <w:kern w:val="0"/>
        </w:rPr>
        <w:t>。</w:t>
      </w:r>
    </w:p>
    <w:tbl>
      <w:tblPr>
        <w:tblStyle w:val="32"/>
        <w:tblW w:w="8520" w:type="dxa"/>
        <w:tblInd w:w="0" w:type="dxa"/>
        <w:tblLayout w:type="fixed"/>
        <w:tblCellMar>
          <w:top w:w="0" w:type="dxa"/>
          <w:left w:w="108" w:type="dxa"/>
          <w:bottom w:w="0" w:type="dxa"/>
          <w:right w:w="108" w:type="dxa"/>
        </w:tblCellMar>
      </w:tblPr>
      <w:tblGrid>
        <w:gridCol w:w="4260"/>
        <w:gridCol w:w="4260"/>
      </w:tblGrid>
      <w:tr>
        <w:tblPrEx>
          <w:tblCellMar>
            <w:top w:w="0" w:type="dxa"/>
            <w:left w:w="108" w:type="dxa"/>
            <w:bottom w:w="0" w:type="dxa"/>
            <w:right w:w="108" w:type="dxa"/>
          </w:tblCellMar>
        </w:tblPrEx>
        <w:tc>
          <w:tcPr>
            <w:tcW w:w="4261" w:type="dxa"/>
            <w:noWrap w:val="0"/>
            <w:vAlign w:val="center"/>
          </w:tcPr>
          <w:p>
            <w:pPr>
              <w:widowControl/>
              <w:spacing w:after="156" w:afterLines="50"/>
              <w:ind w:firstLine="480"/>
              <w:jc w:val="center"/>
              <w:rPr>
                <w:color w:val="000000"/>
                <w:sz w:val="22"/>
                <w:szCs w:val="21"/>
              </w:rPr>
            </w:pPr>
            <w:r>
              <w:rPr>
                <w:color w:val="000000"/>
                <w:sz w:val="24"/>
                <w:szCs w:val="21"/>
              </w:rPr>
              <w:drawing>
                <wp:inline distT="0" distB="0" distL="114300" distR="114300">
                  <wp:extent cx="2514600" cy="1797050"/>
                  <wp:effectExtent l="0" t="0" r="0" b="0"/>
                  <wp:docPr id="135"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69"/>
                          <pic:cNvPicPr>
                            <a:picLocks noChangeAspect="1"/>
                          </pic:cNvPicPr>
                        </pic:nvPicPr>
                        <pic:blipFill>
                          <a:blip r:embed="rId582"/>
                          <a:stretch>
                            <a:fillRect/>
                          </a:stretch>
                        </pic:blipFill>
                        <pic:spPr>
                          <a:xfrm>
                            <a:off x="0" y="0"/>
                            <a:ext cx="2514600" cy="1797050"/>
                          </a:xfrm>
                          <a:prstGeom prst="rect">
                            <a:avLst/>
                          </a:prstGeom>
                          <a:noFill/>
                          <a:ln>
                            <a:noFill/>
                          </a:ln>
                        </pic:spPr>
                      </pic:pic>
                    </a:graphicData>
                  </a:graphic>
                </wp:inline>
              </w:drawing>
            </w:r>
          </w:p>
        </w:tc>
        <w:tc>
          <w:tcPr>
            <w:tcW w:w="4261" w:type="dxa"/>
            <w:noWrap w:val="0"/>
            <w:vAlign w:val="center"/>
          </w:tcPr>
          <w:p>
            <w:pPr>
              <w:widowControl/>
              <w:spacing w:after="156" w:afterLines="50"/>
              <w:ind w:firstLine="480"/>
              <w:jc w:val="center"/>
              <w:rPr>
                <w:color w:val="000000"/>
                <w:sz w:val="22"/>
                <w:szCs w:val="21"/>
              </w:rPr>
            </w:pPr>
            <w:r>
              <w:rPr>
                <w:color w:val="000000"/>
                <w:sz w:val="24"/>
                <w:szCs w:val="21"/>
              </w:rPr>
              <w:drawing>
                <wp:inline distT="0" distB="0" distL="114300" distR="114300">
                  <wp:extent cx="2514600" cy="1797050"/>
                  <wp:effectExtent l="0" t="0" r="0" b="0"/>
                  <wp:docPr id="10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70"/>
                          <pic:cNvPicPr>
                            <a:picLocks noChangeAspect="1"/>
                          </pic:cNvPicPr>
                        </pic:nvPicPr>
                        <pic:blipFill>
                          <a:blip r:embed="rId583"/>
                          <a:stretch>
                            <a:fillRect/>
                          </a:stretch>
                        </pic:blipFill>
                        <pic:spPr>
                          <a:xfrm>
                            <a:off x="0" y="0"/>
                            <a:ext cx="2514600" cy="1797050"/>
                          </a:xfrm>
                          <a:prstGeom prst="rect">
                            <a:avLst/>
                          </a:prstGeom>
                          <a:noFill/>
                          <a:ln>
                            <a:noFill/>
                          </a:ln>
                        </pic:spPr>
                      </pic:pic>
                    </a:graphicData>
                  </a:graphic>
                </wp:inline>
              </w:drawing>
            </w:r>
          </w:p>
        </w:tc>
      </w:tr>
      <w:tr>
        <w:tc>
          <w:tcPr>
            <w:tcW w:w="4261" w:type="dxa"/>
            <w:noWrap w:val="0"/>
            <w:vAlign w:val="center"/>
          </w:tcPr>
          <w:p>
            <w:pPr>
              <w:widowControl/>
              <w:spacing w:after="156" w:afterLines="50"/>
              <w:ind w:firstLine="480"/>
              <w:jc w:val="center"/>
              <w:rPr>
                <w:color w:val="000000"/>
                <w:sz w:val="22"/>
                <w:szCs w:val="21"/>
              </w:rPr>
            </w:pPr>
            <w:r>
              <w:rPr>
                <w:color w:val="000000"/>
                <w:sz w:val="24"/>
                <w:szCs w:val="21"/>
              </w:rPr>
              <w:drawing>
                <wp:inline distT="0" distB="0" distL="114300" distR="114300">
                  <wp:extent cx="2514600" cy="1797050"/>
                  <wp:effectExtent l="0" t="0" r="0" b="0"/>
                  <wp:docPr id="34"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1"/>
                          <pic:cNvPicPr>
                            <a:picLocks noChangeAspect="1"/>
                          </pic:cNvPicPr>
                        </pic:nvPicPr>
                        <pic:blipFill>
                          <a:blip r:embed="rId584"/>
                          <a:stretch>
                            <a:fillRect/>
                          </a:stretch>
                        </pic:blipFill>
                        <pic:spPr>
                          <a:xfrm>
                            <a:off x="0" y="0"/>
                            <a:ext cx="2514600" cy="1797050"/>
                          </a:xfrm>
                          <a:prstGeom prst="rect">
                            <a:avLst/>
                          </a:prstGeom>
                          <a:noFill/>
                          <a:ln>
                            <a:noFill/>
                          </a:ln>
                        </pic:spPr>
                      </pic:pic>
                    </a:graphicData>
                  </a:graphic>
                </wp:inline>
              </w:drawing>
            </w:r>
          </w:p>
        </w:tc>
        <w:tc>
          <w:tcPr>
            <w:tcW w:w="4261" w:type="dxa"/>
            <w:noWrap w:val="0"/>
            <w:vAlign w:val="center"/>
          </w:tcPr>
          <w:p>
            <w:pPr>
              <w:widowControl/>
              <w:spacing w:after="156" w:afterLines="50"/>
              <w:ind w:firstLine="480"/>
              <w:jc w:val="center"/>
              <w:rPr>
                <w:color w:val="000000"/>
                <w:sz w:val="22"/>
                <w:szCs w:val="21"/>
              </w:rPr>
            </w:pPr>
            <w:r>
              <w:rPr>
                <w:color w:val="000000"/>
                <w:sz w:val="24"/>
                <w:szCs w:val="21"/>
              </w:rPr>
              <w:drawing>
                <wp:inline distT="0" distB="0" distL="114300" distR="114300">
                  <wp:extent cx="2514600" cy="1797050"/>
                  <wp:effectExtent l="0" t="0" r="0" b="0"/>
                  <wp:docPr id="35"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72"/>
                          <pic:cNvPicPr>
                            <a:picLocks noChangeAspect="1"/>
                          </pic:cNvPicPr>
                        </pic:nvPicPr>
                        <pic:blipFill>
                          <a:blip r:embed="rId585"/>
                          <a:stretch>
                            <a:fillRect/>
                          </a:stretch>
                        </pic:blipFill>
                        <pic:spPr>
                          <a:xfrm>
                            <a:off x="0" y="0"/>
                            <a:ext cx="2514600" cy="1797050"/>
                          </a:xfrm>
                          <a:prstGeom prst="rect">
                            <a:avLst/>
                          </a:prstGeom>
                          <a:noFill/>
                          <a:ln>
                            <a:noFill/>
                          </a:ln>
                        </pic:spPr>
                      </pic:pic>
                    </a:graphicData>
                  </a:graphic>
                </wp:inline>
              </w:drawing>
            </w:r>
          </w:p>
        </w:tc>
      </w:tr>
      <w:tr>
        <w:tblPrEx>
          <w:tblCellMar>
            <w:top w:w="0" w:type="dxa"/>
            <w:left w:w="108" w:type="dxa"/>
            <w:bottom w:w="0" w:type="dxa"/>
            <w:right w:w="108" w:type="dxa"/>
          </w:tblCellMar>
        </w:tblPrEx>
        <w:tc>
          <w:tcPr>
            <w:tcW w:w="8522" w:type="dxa"/>
            <w:gridSpan w:val="2"/>
            <w:noWrap w:val="0"/>
            <w:vAlign w:val="center"/>
          </w:tcPr>
          <w:p>
            <w:pPr>
              <w:widowControl/>
              <w:spacing w:after="156" w:afterLines="50"/>
              <w:ind w:firstLine="360"/>
              <w:jc w:val="center"/>
              <w:rPr>
                <w:color w:val="000000"/>
                <w:sz w:val="22"/>
                <w:szCs w:val="21"/>
              </w:rPr>
            </w:pPr>
            <w:r>
              <w:rPr>
                <w:rFonts w:hint="eastAsia"/>
                <w:color w:val="000000"/>
                <w:sz w:val="18"/>
                <w:szCs w:val="21"/>
              </w:rPr>
              <w:t>图</w:t>
            </w:r>
            <w:r>
              <w:rPr>
                <w:color w:val="000000"/>
                <w:sz w:val="18"/>
                <w:szCs w:val="21"/>
              </w:rPr>
              <w:t xml:space="preserve">F.0.8-2 </w:t>
            </w:r>
            <w:r>
              <w:rPr>
                <w:rFonts w:hint="eastAsia"/>
                <w:color w:val="000000"/>
                <w:sz w:val="18"/>
                <w:szCs w:val="21"/>
              </w:rPr>
              <w:t>（</w:t>
            </w:r>
            <w:r>
              <w:rPr>
                <w:color w:val="000000"/>
                <w:sz w:val="18"/>
                <w:szCs w:val="21"/>
              </w:rPr>
              <w:t>a</w:t>
            </w:r>
            <w:r>
              <w:rPr>
                <w:rFonts w:hint="eastAsia"/>
                <w:color w:val="000000"/>
                <w:sz w:val="18"/>
                <w:szCs w:val="21"/>
              </w:rPr>
              <w:t>）强轴压弯，（</w:t>
            </w:r>
            <w:r>
              <w:rPr>
                <w:color w:val="000000"/>
                <w:sz w:val="18"/>
                <w:szCs w:val="21"/>
              </w:rPr>
              <w:t>b</w:t>
            </w:r>
            <w:r>
              <w:rPr>
                <w:rFonts w:hint="eastAsia"/>
                <w:color w:val="000000"/>
                <w:sz w:val="18"/>
                <w:szCs w:val="21"/>
              </w:rPr>
              <w:t>）强轴压弯，（</w:t>
            </w:r>
            <w:r>
              <w:rPr>
                <w:color w:val="000000"/>
                <w:sz w:val="18"/>
                <w:szCs w:val="21"/>
              </w:rPr>
              <w:t>c</w:t>
            </w:r>
            <w:r>
              <w:rPr>
                <w:rFonts w:hint="eastAsia"/>
                <w:color w:val="000000"/>
                <w:sz w:val="18"/>
                <w:szCs w:val="21"/>
              </w:rPr>
              <w:t>）弱轴压弯，（</w:t>
            </w:r>
            <w:r>
              <w:rPr>
                <w:color w:val="000000"/>
                <w:sz w:val="18"/>
                <w:szCs w:val="21"/>
              </w:rPr>
              <w:t>d</w:t>
            </w:r>
            <w:r>
              <w:rPr>
                <w:rFonts w:hint="eastAsia"/>
                <w:color w:val="000000"/>
                <w:sz w:val="18"/>
                <w:szCs w:val="21"/>
              </w:rPr>
              <w:t>）弱轴压弯</w:t>
            </w:r>
          </w:p>
        </w:tc>
      </w:tr>
    </w:tbl>
    <w:p>
      <w:pPr>
        <w:widowControl/>
        <w:spacing w:after="156" w:line="360" w:lineRule="auto"/>
        <w:ind w:firstLine="420" w:firstLineChars="200"/>
        <w:jc w:val="left"/>
        <w:rPr>
          <w:rFonts w:cs="Calibri"/>
          <w:color w:val="000000"/>
          <w:kern w:val="0"/>
          <w:szCs w:val="21"/>
        </w:rPr>
      </w:pPr>
      <w:r>
        <w:rPr>
          <w:rFonts w:hint="eastAsia" w:cs="Calibri"/>
          <w:color w:val="000000"/>
          <w:kern w:val="0"/>
          <w:szCs w:val="21"/>
        </w:rPr>
        <w:t>基于《钢结构设计标准》</w:t>
      </w:r>
      <w:r>
        <w:rPr>
          <w:rFonts w:cs="Calibri"/>
          <w:color w:val="000000"/>
          <w:kern w:val="0"/>
          <w:szCs w:val="21"/>
        </w:rPr>
        <w:t>GB 50017</w:t>
      </w:r>
      <w:r>
        <w:rPr>
          <w:rFonts w:hint="eastAsia" w:cs="Calibri"/>
          <w:color w:val="000000"/>
          <w:kern w:val="0"/>
          <w:szCs w:val="21"/>
        </w:rPr>
        <w:t>的计算方法，本条提出轴力</w:t>
      </w:r>
      <w:r>
        <w:rPr>
          <w:rFonts w:cs="Calibri"/>
          <w:color w:val="000000"/>
          <w:kern w:val="0"/>
          <w:szCs w:val="21"/>
        </w:rPr>
        <w:t>-</w:t>
      </w:r>
      <w:r>
        <w:rPr>
          <w:rFonts w:hint="eastAsia" w:cs="Calibri"/>
          <w:color w:val="000000"/>
          <w:kern w:val="0"/>
          <w:szCs w:val="21"/>
        </w:rPr>
        <w:t>弯矩相关计算公式。考虑到极限状态时沿柱高度部分混凝土截面达到塑性，故计算轴压弹性稳定临界力时采用等效刚度</w:t>
      </w:r>
      <w:r>
        <w:rPr>
          <w:rFonts w:hint="eastAsia" w:cs="Calibri"/>
          <w:i/>
          <w:iCs/>
          <w:color w:val="000000"/>
          <w:kern w:val="0"/>
          <w:szCs w:val="21"/>
        </w:rPr>
        <w:t>（</w:t>
      </w:r>
      <w:r>
        <w:rPr>
          <w:rFonts w:cs="Calibri"/>
          <w:i/>
          <w:iCs/>
          <w:color w:val="000000"/>
          <w:kern w:val="0"/>
          <w:szCs w:val="21"/>
        </w:rPr>
        <w:t>EI</w:t>
      </w:r>
      <w:r>
        <w:rPr>
          <w:rFonts w:hint="eastAsia" w:cs="Calibri"/>
          <w:i/>
          <w:iCs/>
          <w:color w:val="000000"/>
          <w:kern w:val="0"/>
          <w:szCs w:val="21"/>
        </w:rPr>
        <w:t>）</w:t>
      </w:r>
      <w:r>
        <w:rPr>
          <w:rFonts w:cs="Calibri"/>
          <w:i/>
          <w:iCs/>
          <w:color w:val="000000"/>
          <w:kern w:val="0"/>
          <w:szCs w:val="21"/>
          <w:vertAlign w:val="subscript"/>
        </w:rPr>
        <w:t>e</w:t>
      </w:r>
      <w:r>
        <w:rPr>
          <w:rFonts w:hint="eastAsia" w:cs="Calibri"/>
          <w:color w:val="000000"/>
          <w:kern w:val="0"/>
          <w:szCs w:val="21"/>
        </w:rPr>
        <w:t>，将混凝土弹性模量折减</w:t>
      </w:r>
      <w:r>
        <w:rPr>
          <w:rFonts w:cs="Calibri"/>
          <w:color w:val="000000"/>
          <w:kern w:val="0"/>
          <w:szCs w:val="21"/>
        </w:rPr>
        <w:t>0.5</w:t>
      </w:r>
      <w:r>
        <w:rPr>
          <w:rFonts w:hint="eastAsia" w:cs="Calibri"/>
          <w:color w:val="000000"/>
          <w:kern w:val="0"/>
          <w:szCs w:val="21"/>
        </w:rPr>
        <w:t>。本规程公式与加拿大规范公式接近，计算值与试验数据比较可知计算结果偏于安全。</w:t>
      </w:r>
    </w:p>
    <w:p>
      <w:pPr>
        <w:jc w:val="center"/>
        <w:rPr>
          <w:rFonts w:cs="Calibri"/>
          <w:color w:val="000000"/>
          <w:sz w:val="18"/>
          <w:szCs w:val="18"/>
        </w:rPr>
      </w:pPr>
      <w:r>
        <w:rPr>
          <w:rFonts w:cs="Calibri"/>
          <w:color w:val="000000"/>
          <w:sz w:val="18"/>
          <w:szCs w:val="18"/>
        </w:rPr>
        <w:t xml:space="preserve"> </w:t>
      </w:r>
      <w:r>
        <w:rPr>
          <w:rFonts w:hint="eastAsia" w:cs="Calibri"/>
          <w:color w:val="000000"/>
          <w:sz w:val="18"/>
          <w:szCs w:val="18"/>
        </w:rPr>
        <w:t>单向压弯稳定试验值和理论值对比（绕强轴）</w:t>
      </w:r>
    </w:p>
    <w:tbl>
      <w:tblPr>
        <w:tblStyle w:val="32"/>
        <w:tblW w:w="8520" w:type="dxa"/>
        <w:jc w:val="center"/>
        <w:tblLayout w:type="fixed"/>
        <w:tblCellMar>
          <w:top w:w="0" w:type="dxa"/>
          <w:left w:w="108" w:type="dxa"/>
          <w:bottom w:w="0" w:type="dxa"/>
          <w:right w:w="108" w:type="dxa"/>
        </w:tblCellMar>
      </w:tblPr>
      <w:tblGrid>
        <w:gridCol w:w="1133"/>
        <w:gridCol w:w="996"/>
        <w:gridCol w:w="286"/>
        <w:gridCol w:w="1047"/>
        <w:gridCol w:w="797"/>
        <w:gridCol w:w="164"/>
        <w:gridCol w:w="812"/>
        <w:gridCol w:w="1155"/>
        <w:gridCol w:w="1175"/>
        <w:gridCol w:w="955"/>
      </w:tblGrid>
      <w:tr>
        <w:tblPrEx>
          <w:tblCellMar>
            <w:top w:w="0" w:type="dxa"/>
            <w:left w:w="108" w:type="dxa"/>
            <w:bottom w:w="0" w:type="dxa"/>
            <w:right w:w="108" w:type="dxa"/>
          </w:tblCellMar>
        </w:tblPrEx>
        <w:trPr>
          <w:jc w:val="center"/>
        </w:trPr>
        <w:tc>
          <w:tcPr>
            <w:tcW w:w="1134" w:type="dxa"/>
            <w:tcBorders>
              <w:top w:val="single" w:color="auto" w:sz="12" w:space="0"/>
              <w:left w:val="nil"/>
              <w:bottom w:val="single" w:color="auto" w:sz="4" w:space="0"/>
              <w:right w:val="nil"/>
            </w:tcBorders>
            <w:noWrap w:val="0"/>
            <w:vAlign w:val="center"/>
          </w:tcPr>
          <w:p>
            <w:pPr>
              <w:ind w:firstLine="360"/>
              <w:jc w:val="center"/>
              <w:rPr>
                <w:rFonts w:ascii="等线" w:hAnsi="等线" w:eastAsia="等线"/>
                <w:color w:val="000000"/>
                <w:sz w:val="18"/>
                <w:szCs w:val="18"/>
              </w:rPr>
            </w:pPr>
            <w:r>
              <w:rPr>
                <w:rFonts w:hint="eastAsia" w:ascii="等线" w:hAnsi="等线" w:eastAsia="等线"/>
                <w:color w:val="000000"/>
                <w:sz w:val="18"/>
                <w:szCs w:val="18"/>
              </w:rPr>
              <w:t>文献来源</w:t>
            </w:r>
          </w:p>
        </w:tc>
        <w:tc>
          <w:tcPr>
            <w:tcW w:w="1283" w:type="dxa"/>
            <w:gridSpan w:val="2"/>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试件编号</w:t>
            </w:r>
          </w:p>
        </w:tc>
        <w:tc>
          <w:tcPr>
            <w:tcW w:w="1047"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高宽比</w:t>
            </w:r>
          </w:p>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(L</w:t>
            </w:r>
            <w:r>
              <w:rPr>
                <w:rFonts w:hint="eastAsia" w:ascii="等线" w:hAnsi="等线" w:eastAsia="等线"/>
                <w:color w:val="000000"/>
                <w:sz w:val="18"/>
                <w:szCs w:val="18"/>
                <w:vertAlign w:val="subscript"/>
              </w:rPr>
              <w:t>0</w:t>
            </w:r>
            <w:r>
              <w:rPr>
                <w:rFonts w:hint="eastAsia" w:ascii="等线" w:hAnsi="等线" w:eastAsia="等线"/>
                <w:color w:val="000000"/>
                <w:sz w:val="18"/>
                <w:szCs w:val="18"/>
              </w:rPr>
              <w:t>/B)</w:t>
            </w:r>
          </w:p>
        </w:tc>
        <w:tc>
          <w:tcPr>
            <w:tcW w:w="961" w:type="dxa"/>
            <w:gridSpan w:val="2"/>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相对长细比</w:t>
            </w:r>
          </w:p>
        </w:tc>
        <w:tc>
          <w:tcPr>
            <w:tcW w:w="812"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N/</w:t>
            </w:r>
            <w:r>
              <w:rPr>
                <w:rFonts w:ascii="Symbol" w:hAnsi="Symbol" w:eastAsia="SimSun-ExtB"/>
                <w:color w:val="000000"/>
                <w:sz w:val="18"/>
                <w:szCs w:val="18"/>
              </w:rPr>
              <w:t></w:t>
            </w:r>
            <w:r>
              <w:rPr>
                <w:rFonts w:hint="eastAsia" w:ascii="等线" w:hAnsi="等线" w:eastAsia="等线"/>
                <w:color w:val="000000"/>
                <w:sz w:val="18"/>
                <w:szCs w:val="18"/>
              </w:rPr>
              <w:t>N</w:t>
            </w:r>
            <w:r>
              <w:rPr>
                <w:rFonts w:hint="eastAsia" w:ascii="等线" w:hAnsi="等线" w:eastAsia="等线"/>
                <w:color w:val="000000"/>
                <w:sz w:val="18"/>
                <w:szCs w:val="18"/>
                <w:vertAlign w:val="subscript"/>
              </w:rPr>
              <w:t>u</w:t>
            </w:r>
          </w:p>
        </w:tc>
        <w:tc>
          <w:tcPr>
            <w:tcW w:w="2330" w:type="dxa"/>
            <w:gridSpan w:val="2"/>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ascii="Symbol" w:hAnsi="Symbol" w:eastAsia="等线"/>
                <w:color w:val="000000"/>
                <w:sz w:val="18"/>
                <w:szCs w:val="18"/>
              </w:rPr>
              <w:t></w:t>
            </w:r>
            <w:r>
              <w:rPr>
                <w:rFonts w:hint="eastAsia" w:ascii="等线" w:hAnsi="等线" w:eastAsia="等线"/>
                <w:color w:val="000000"/>
                <w:sz w:val="18"/>
                <w:szCs w:val="18"/>
              </w:rPr>
              <w:t>M/(Mu(1-N/Ncr))</w:t>
            </w:r>
          </w:p>
        </w:tc>
        <w:tc>
          <w:tcPr>
            <w:tcW w:w="955"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前二者总和</w:t>
            </w:r>
          </w:p>
        </w:tc>
      </w:tr>
      <w:tr>
        <w:tblPrEx>
          <w:tblCellMar>
            <w:top w:w="0" w:type="dxa"/>
            <w:left w:w="108" w:type="dxa"/>
            <w:bottom w:w="0" w:type="dxa"/>
            <w:right w:w="108" w:type="dxa"/>
          </w:tblCellMar>
        </w:tblPrEx>
        <w:trPr>
          <w:jc w:val="center"/>
        </w:trPr>
        <w:tc>
          <w:tcPr>
            <w:tcW w:w="1134"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Oh, 2006</w:t>
            </w:r>
          </w:p>
        </w:tc>
        <w:tc>
          <w:tcPr>
            <w:tcW w:w="1283"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B1-SP30</w:t>
            </w:r>
          </w:p>
        </w:tc>
        <w:tc>
          <w:tcPr>
            <w:tcW w:w="1047"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12.686</w:t>
            </w:r>
          </w:p>
        </w:tc>
        <w:tc>
          <w:tcPr>
            <w:tcW w:w="96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0.448</w:t>
            </w:r>
          </w:p>
        </w:tc>
        <w:tc>
          <w:tcPr>
            <w:tcW w:w="812"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0.325</w:t>
            </w:r>
          </w:p>
        </w:tc>
        <w:tc>
          <w:tcPr>
            <w:tcW w:w="23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0.759</w:t>
            </w:r>
          </w:p>
        </w:tc>
        <w:tc>
          <w:tcPr>
            <w:tcW w:w="955"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1.084</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B2-SP40</w:t>
            </w:r>
          </w:p>
        </w:tc>
        <w:tc>
          <w:tcPr>
            <w:tcW w:w="1047"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12.686</w:t>
            </w:r>
          </w:p>
        </w:tc>
        <w:tc>
          <w:tcPr>
            <w:tcW w:w="96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0.448</w:t>
            </w:r>
          </w:p>
        </w:tc>
        <w:tc>
          <w:tcPr>
            <w:tcW w:w="812"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0.433</w:t>
            </w:r>
          </w:p>
        </w:tc>
        <w:tc>
          <w:tcPr>
            <w:tcW w:w="23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0.787</w:t>
            </w:r>
          </w:p>
        </w:tc>
        <w:tc>
          <w:tcPr>
            <w:tcW w:w="955"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1.220</w:t>
            </w:r>
          </w:p>
        </w:tc>
      </w:tr>
      <w:tr>
        <w:tblPrEx>
          <w:tblCellMar>
            <w:top w:w="0" w:type="dxa"/>
            <w:left w:w="108" w:type="dxa"/>
            <w:bottom w:w="0" w:type="dxa"/>
            <w:right w:w="108" w:type="dxa"/>
          </w:tblCellMar>
        </w:tblPrEx>
        <w:trPr>
          <w:jc w:val="center"/>
        </w:trPr>
        <w:tc>
          <w:tcPr>
            <w:tcW w:w="1134"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陈以一, 2008</w:t>
            </w:r>
          </w:p>
        </w:tc>
        <w:tc>
          <w:tcPr>
            <w:tcW w:w="1283"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C1-S</w:t>
            </w:r>
          </w:p>
        </w:tc>
        <w:tc>
          <w:tcPr>
            <w:tcW w:w="1047"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12.5</w:t>
            </w:r>
          </w:p>
        </w:tc>
        <w:tc>
          <w:tcPr>
            <w:tcW w:w="96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0.415</w:t>
            </w:r>
          </w:p>
        </w:tc>
        <w:tc>
          <w:tcPr>
            <w:tcW w:w="812"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0.650</w:t>
            </w:r>
          </w:p>
        </w:tc>
        <w:tc>
          <w:tcPr>
            <w:tcW w:w="23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0.309</w:t>
            </w:r>
          </w:p>
        </w:tc>
        <w:tc>
          <w:tcPr>
            <w:tcW w:w="955"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0.959</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C2-S</w:t>
            </w:r>
          </w:p>
        </w:tc>
        <w:tc>
          <w:tcPr>
            <w:tcW w:w="1047" w:type="dxa"/>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12.5</w:t>
            </w:r>
          </w:p>
        </w:tc>
        <w:tc>
          <w:tcPr>
            <w:tcW w:w="96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0.415</w:t>
            </w:r>
          </w:p>
        </w:tc>
        <w:tc>
          <w:tcPr>
            <w:tcW w:w="812"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0.219</w:t>
            </w:r>
          </w:p>
        </w:tc>
        <w:tc>
          <w:tcPr>
            <w:tcW w:w="23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1.497</w:t>
            </w:r>
          </w:p>
        </w:tc>
        <w:tc>
          <w:tcPr>
            <w:tcW w:w="955"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1.716</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C3-S</w:t>
            </w:r>
          </w:p>
        </w:tc>
        <w:tc>
          <w:tcPr>
            <w:tcW w:w="1047"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12.5</w:t>
            </w:r>
          </w:p>
        </w:tc>
        <w:tc>
          <w:tcPr>
            <w:tcW w:w="96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0.415</w:t>
            </w:r>
          </w:p>
        </w:tc>
        <w:tc>
          <w:tcPr>
            <w:tcW w:w="812"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0.223</w:t>
            </w:r>
          </w:p>
        </w:tc>
        <w:tc>
          <w:tcPr>
            <w:tcW w:w="23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1.370</w:t>
            </w:r>
          </w:p>
        </w:tc>
        <w:tc>
          <w:tcPr>
            <w:tcW w:w="955"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1.593</w:t>
            </w:r>
          </w:p>
        </w:tc>
      </w:tr>
      <w:tr>
        <w:tblPrEx>
          <w:tblCellMar>
            <w:top w:w="0" w:type="dxa"/>
            <w:left w:w="108" w:type="dxa"/>
            <w:bottom w:w="0" w:type="dxa"/>
            <w:right w:w="108" w:type="dxa"/>
          </w:tblCellMar>
        </w:tblPrEx>
        <w:trPr>
          <w:jc w:val="center"/>
        </w:trPr>
        <w:tc>
          <w:tcPr>
            <w:tcW w:w="1134"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赵根田, 2009</w:t>
            </w:r>
          </w:p>
        </w:tc>
        <w:tc>
          <w:tcPr>
            <w:tcW w:w="1283"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PECC-5</w:t>
            </w:r>
          </w:p>
        </w:tc>
        <w:tc>
          <w:tcPr>
            <w:tcW w:w="1047"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8</w:t>
            </w:r>
          </w:p>
        </w:tc>
        <w:tc>
          <w:tcPr>
            <w:tcW w:w="96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0.266</w:t>
            </w:r>
          </w:p>
        </w:tc>
        <w:tc>
          <w:tcPr>
            <w:tcW w:w="812"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0.691</w:t>
            </w:r>
          </w:p>
        </w:tc>
        <w:tc>
          <w:tcPr>
            <w:tcW w:w="23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1.083</w:t>
            </w:r>
          </w:p>
        </w:tc>
        <w:tc>
          <w:tcPr>
            <w:tcW w:w="955"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1.774</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PECC-6</w:t>
            </w:r>
          </w:p>
        </w:tc>
        <w:tc>
          <w:tcPr>
            <w:tcW w:w="1047"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8</w:t>
            </w:r>
          </w:p>
        </w:tc>
        <w:tc>
          <w:tcPr>
            <w:tcW w:w="96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0.259</w:t>
            </w:r>
          </w:p>
        </w:tc>
        <w:tc>
          <w:tcPr>
            <w:tcW w:w="812"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0.766</w:t>
            </w:r>
          </w:p>
        </w:tc>
        <w:tc>
          <w:tcPr>
            <w:tcW w:w="23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1.051</w:t>
            </w:r>
          </w:p>
        </w:tc>
        <w:tc>
          <w:tcPr>
            <w:tcW w:w="955"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1.816</w:t>
            </w:r>
          </w:p>
        </w:tc>
      </w:tr>
      <w:tr>
        <w:trPr>
          <w:jc w:val="center"/>
        </w:trPr>
        <w:tc>
          <w:tcPr>
            <w:tcW w:w="1134"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方有珍, 2011-2014</w:t>
            </w:r>
          </w:p>
        </w:tc>
        <w:tc>
          <w:tcPr>
            <w:tcW w:w="1283"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S11</w:t>
            </w:r>
          </w:p>
        </w:tc>
        <w:tc>
          <w:tcPr>
            <w:tcW w:w="1047"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w:t>
            </w:r>
          </w:p>
        </w:tc>
        <w:tc>
          <w:tcPr>
            <w:tcW w:w="96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0.292</w:t>
            </w:r>
          </w:p>
        </w:tc>
        <w:tc>
          <w:tcPr>
            <w:tcW w:w="812"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0.304</w:t>
            </w:r>
          </w:p>
        </w:tc>
        <w:tc>
          <w:tcPr>
            <w:tcW w:w="23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1.331</w:t>
            </w:r>
          </w:p>
        </w:tc>
        <w:tc>
          <w:tcPr>
            <w:tcW w:w="955"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1.635</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S1A</w:t>
            </w:r>
          </w:p>
        </w:tc>
        <w:tc>
          <w:tcPr>
            <w:tcW w:w="104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w:t>
            </w:r>
          </w:p>
        </w:tc>
        <w:tc>
          <w:tcPr>
            <w:tcW w:w="96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0.332</w:t>
            </w:r>
          </w:p>
        </w:tc>
        <w:tc>
          <w:tcPr>
            <w:tcW w:w="812"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0.238</w:t>
            </w:r>
          </w:p>
        </w:tc>
        <w:tc>
          <w:tcPr>
            <w:tcW w:w="23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1.215</w:t>
            </w:r>
          </w:p>
        </w:tc>
        <w:tc>
          <w:tcPr>
            <w:tcW w:w="955"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1.452</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S1B</w:t>
            </w:r>
          </w:p>
        </w:tc>
        <w:tc>
          <w:tcPr>
            <w:tcW w:w="104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w:t>
            </w:r>
          </w:p>
        </w:tc>
        <w:tc>
          <w:tcPr>
            <w:tcW w:w="96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0.342</w:t>
            </w:r>
          </w:p>
        </w:tc>
        <w:tc>
          <w:tcPr>
            <w:tcW w:w="812"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0.225</w:t>
            </w:r>
          </w:p>
        </w:tc>
        <w:tc>
          <w:tcPr>
            <w:tcW w:w="23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1.179</w:t>
            </w:r>
          </w:p>
        </w:tc>
        <w:tc>
          <w:tcPr>
            <w:tcW w:w="955"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1.404</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S2A</w:t>
            </w:r>
          </w:p>
        </w:tc>
        <w:tc>
          <w:tcPr>
            <w:tcW w:w="104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w:t>
            </w:r>
          </w:p>
        </w:tc>
        <w:tc>
          <w:tcPr>
            <w:tcW w:w="96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0.301</w:t>
            </w:r>
          </w:p>
        </w:tc>
        <w:tc>
          <w:tcPr>
            <w:tcW w:w="812"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0.285</w:t>
            </w:r>
          </w:p>
        </w:tc>
        <w:tc>
          <w:tcPr>
            <w:tcW w:w="23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1.244</w:t>
            </w:r>
          </w:p>
        </w:tc>
        <w:tc>
          <w:tcPr>
            <w:tcW w:w="955"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1.529</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S2B</w:t>
            </w:r>
          </w:p>
        </w:tc>
        <w:tc>
          <w:tcPr>
            <w:tcW w:w="104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w:t>
            </w:r>
          </w:p>
        </w:tc>
        <w:tc>
          <w:tcPr>
            <w:tcW w:w="96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0.314</w:t>
            </w:r>
          </w:p>
        </w:tc>
        <w:tc>
          <w:tcPr>
            <w:tcW w:w="812"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0.263</w:t>
            </w:r>
          </w:p>
        </w:tc>
        <w:tc>
          <w:tcPr>
            <w:tcW w:w="23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1.169</w:t>
            </w:r>
          </w:p>
        </w:tc>
        <w:tc>
          <w:tcPr>
            <w:tcW w:w="955"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1.432</w:t>
            </w:r>
          </w:p>
        </w:tc>
      </w:tr>
      <w:tr>
        <w:tblPrEx>
          <w:tblCellMar>
            <w:top w:w="0" w:type="dxa"/>
            <w:left w:w="108" w:type="dxa"/>
            <w:bottom w:w="0" w:type="dxa"/>
            <w:right w:w="108" w:type="dxa"/>
          </w:tblCellMar>
        </w:tblPrEx>
        <w:trPr>
          <w:jc w:val="center"/>
        </w:trPr>
        <w:tc>
          <w:tcPr>
            <w:tcW w:w="2131"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283"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S3B</w:t>
            </w:r>
          </w:p>
        </w:tc>
        <w:tc>
          <w:tcPr>
            <w:tcW w:w="1047"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11.667</w:t>
            </w:r>
          </w:p>
        </w:tc>
        <w:tc>
          <w:tcPr>
            <w:tcW w:w="96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0.368</w:t>
            </w:r>
          </w:p>
        </w:tc>
        <w:tc>
          <w:tcPr>
            <w:tcW w:w="812"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0.193</w:t>
            </w:r>
          </w:p>
        </w:tc>
        <w:tc>
          <w:tcPr>
            <w:tcW w:w="23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1.470</w:t>
            </w:r>
          </w:p>
        </w:tc>
        <w:tc>
          <w:tcPr>
            <w:tcW w:w="955"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1.663</w:t>
            </w:r>
          </w:p>
        </w:tc>
      </w:tr>
      <w:tr>
        <w:tblPrEx>
          <w:tblCellMar>
            <w:top w:w="0" w:type="dxa"/>
            <w:left w:w="108" w:type="dxa"/>
            <w:bottom w:w="0" w:type="dxa"/>
            <w:right w:w="108" w:type="dxa"/>
          </w:tblCellMar>
        </w:tblPrEx>
        <w:trPr>
          <w:jc w:val="center"/>
        </w:trPr>
        <w:tc>
          <w:tcPr>
            <w:tcW w:w="2131" w:type="dxa"/>
            <w:gridSpan w:val="2"/>
            <w:tcBorders>
              <w:top w:val="nil"/>
              <w:left w:val="nil"/>
              <w:bottom w:val="single" w:color="auto" w:sz="12"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平均值</w:t>
            </w:r>
          </w:p>
        </w:tc>
        <w:tc>
          <w:tcPr>
            <w:tcW w:w="2130" w:type="dxa"/>
            <w:gridSpan w:val="3"/>
            <w:tcBorders>
              <w:top w:val="nil"/>
              <w:left w:val="nil"/>
              <w:bottom w:val="single" w:color="auto" w:sz="12"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1.483</w:t>
            </w:r>
          </w:p>
        </w:tc>
        <w:tc>
          <w:tcPr>
            <w:tcW w:w="2131" w:type="dxa"/>
            <w:gridSpan w:val="3"/>
            <w:tcBorders>
              <w:top w:val="nil"/>
              <w:left w:val="nil"/>
              <w:bottom w:val="single" w:color="auto" w:sz="12"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标准差</w:t>
            </w:r>
          </w:p>
        </w:tc>
        <w:tc>
          <w:tcPr>
            <w:tcW w:w="2130" w:type="dxa"/>
            <w:gridSpan w:val="2"/>
            <w:tcBorders>
              <w:top w:val="nil"/>
              <w:left w:val="nil"/>
              <w:bottom w:val="single" w:color="auto" w:sz="12"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0.263</w:t>
            </w:r>
          </w:p>
        </w:tc>
      </w:tr>
    </w:tbl>
    <w:p>
      <w:pPr>
        <w:jc w:val="center"/>
        <w:rPr>
          <w:rFonts w:hint="eastAsia" w:cs="Calibri"/>
          <w:color w:val="000000"/>
          <w:sz w:val="18"/>
          <w:szCs w:val="18"/>
        </w:rPr>
      </w:pPr>
    </w:p>
    <w:p>
      <w:pPr>
        <w:jc w:val="center"/>
        <w:rPr>
          <w:rFonts w:cs="Calibri"/>
          <w:color w:val="000000"/>
          <w:sz w:val="18"/>
          <w:szCs w:val="18"/>
        </w:rPr>
      </w:pPr>
      <w:r>
        <w:rPr>
          <w:rFonts w:hint="eastAsia" w:cs="Calibri"/>
          <w:color w:val="000000"/>
          <w:sz w:val="18"/>
          <w:szCs w:val="18"/>
        </w:rPr>
        <w:t>单向压弯稳定试验值和理论值对比（绕弱轴）</w:t>
      </w:r>
    </w:p>
    <w:tbl>
      <w:tblPr>
        <w:tblStyle w:val="32"/>
        <w:tblW w:w="8520" w:type="dxa"/>
        <w:tblInd w:w="0" w:type="dxa"/>
        <w:tblLayout w:type="fixed"/>
        <w:tblCellMar>
          <w:top w:w="0" w:type="dxa"/>
          <w:left w:w="108" w:type="dxa"/>
          <w:bottom w:w="0" w:type="dxa"/>
          <w:right w:w="108" w:type="dxa"/>
        </w:tblCellMar>
      </w:tblPr>
      <w:tblGrid>
        <w:gridCol w:w="1170"/>
        <w:gridCol w:w="1336"/>
        <w:gridCol w:w="254"/>
        <w:gridCol w:w="1019"/>
        <w:gridCol w:w="917"/>
        <w:gridCol w:w="319"/>
        <w:gridCol w:w="511"/>
        <w:gridCol w:w="1870"/>
        <w:gridCol w:w="1124"/>
      </w:tblGrid>
      <w:tr>
        <w:trPr>
          <w:tblHeader/>
        </w:trPr>
        <w:tc>
          <w:tcPr>
            <w:tcW w:w="1171" w:type="dxa"/>
            <w:tcBorders>
              <w:top w:val="single" w:color="auto" w:sz="12" w:space="0"/>
              <w:left w:val="nil"/>
              <w:bottom w:val="single" w:color="auto" w:sz="4" w:space="0"/>
              <w:right w:val="nil"/>
            </w:tcBorders>
            <w:noWrap w:val="0"/>
            <w:vAlign w:val="center"/>
          </w:tcPr>
          <w:p>
            <w:pPr>
              <w:ind w:firstLine="360"/>
              <w:jc w:val="center"/>
              <w:rPr>
                <w:rFonts w:ascii="等线" w:hAnsi="等线" w:eastAsia="等线"/>
                <w:color w:val="000000"/>
                <w:sz w:val="18"/>
                <w:szCs w:val="18"/>
              </w:rPr>
            </w:pPr>
            <w:r>
              <w:rPr>
                <w:rFonts w:hint="eastAsia" w:ascii="等线" w:hAnsi="等线" w:eastAsia="等线"/>
                <w:color w:val="000000"/>
                <w:sz w:val="18"/>
                <w:szCs w:val="18"/>
              </w:rPr>
              <w:t>文献来源</w:t>
            </w:r>
          </w:p>
        </w:tc>
        <w:tc>
          <w:tcPr>
            <w:tcW w:w="1591" w:type="dxa"/>
            <w:gridSpan w:val="2"/>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试件编号</w:t>
            </w:r>
          </w:p>
        </w:tc>
        <w:tc>
          <w:tcPr>
            <w:tcW w:w="1019"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高宽比</w:t>
            </w:r>
          </w:p>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(L</w:t>
            </w:r>
            <w:r>
              <w:rPr>
                <w:rFonts w:hint="eastAsia" w:ascii="等线" w:hAnsi="等线" w:eastAsia="等线"/>
                <w:color w:val="000000"/>
                <w:sz w:val="18"/>
                <w:szCs w:val="18"/>
                <w:vertAlign w:val="subscript"/>
              </w:rPr>
              <w:t>0</w:t>
            </w:r>
            <w:r>
              <w:rPr>
                <w:rFonts w:hint="eastAsia" w:ascii="等线" w:hAnsi="等线" w:eastAsia="等线"/>
                <w:color w:val="000000"/>
                <w:sz w:val="18"/>
                <w:szCs w:val="18"/>
              </w:rPr>
              <w:t>/B)</w:t>
            </w:r>
          </w:p>
        </w:tc>
        <w:tc>
          <w:tcPr>
            <w:tcW w:w="917"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相对长细比</w:t>
            </w:r>
          </w:p>
        </w:tc>
        <w:tc>
          <w:tcPr>
            <w:tcW w:w="830" w:type="dxa"/>
            <w:gridSpan w:val="2"/>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N/</w:t>
            </w:r>
            <w:r>
              <w:rPr>
                <w:rFonts w:ascii="Symbol" w:hAnsi="Symbol" w:eastAsia="SimSun-ExtB"/>
                <w:color w:val="000000"/>
                <w:sz w:val="18"/>
                <w:szCs w:val="18"/>
              </w:rPr>
              <w:t></w:t>
            </w:r>
            <w:r>
              <w:rPr>
                <w:rFonts w:hint="eastAsia" w:ascii="等线" w:hAnsi="等线" w:eastAsia="等线"/>
                <w:color w:val="000000"/>
                <w:sz w:val="18"/>
                <w:szCs w:val="18"/>
              </w:rPr>
              <w:t>N</w:t>
            </w:r>
            <w:r>
              <w:rPr>
                <w:rFonts w:hint="eastAsia" w:ascii="等线" w:hAnsi="等线" w:eastAsia="等线"/>
                <w:color w:val="000000"/>
                <w:sz w:val="18"/>
                <w:szCs w:val="18"/>
                <w:vertAlign w:val="subscript"/>
              </w:rPr>
              <w:t>u</w:t>
            </w:r>
          </w:p>
        </w:tc>
        <w:tc>
          <w:tcPr>
            <w:tcW w:w="1870"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ascii="Symbol" w:hAnsi="Symbol" w:eastAsia="等线"/>
                <w:color w:val="000000"/>
                <w:sz w:val="18"/>
                <w:szCs w:val="18"/>
              </w:rPr>
              <w:t></w:t>
            </w:r>
            <w:r>
              <w:rPr>
                <w:rFonts w:hint="eastAsia" w:ascii="等线" w:hAnsi="等线" w:eastAsia="等线"/>
                <w:color w:val="000000"/>
                <w:sz w:val="18"/>
                <w:szCs w:val="18"/>
              </w:rPr>
              <w:t>M/(Mu(1-N/Ncr))</w:t>
            </w:r>
          </w:p>
        </w:tc>
        <w:tc>
          <w:tcPr>
            <w:tcW w:w="1123" w:type="dxa"/>
            <w:tcBorders>
              <w:top w:val="single" w:color="auto" w:sz="12"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前二者总和</w:t>
            </w:r>
          </w:p>
        </w:tc>
      </w:tr>
      <w:tr>
        <w:tblPrEx>
          <w:tblCellMar>
            <w:top w:w="0" w:type="dxa"/>
            <w:left w:w="108" w:type="dxa"/>
            <w:bottom w:w="0" w:type="dxa"/>
            <w:right w:w="108" w:type="dxa"/>
          </w:tblCellMar>
        </w:tblPrEx>
        <w:tc>
          <w:tcPr>
            <w:tcW w:w="1171"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Bergmann, 2000</w:t>
            </w:r>
          </w:p>
        </w:tc>
        <w:tc>
          <w:tcPr>
            <w:tcW w:w="159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VL1</w:t>
            </w:r>
          </w:p>
        </w:tc>
        <w:tc>
          <w:tcPr>
            <w:tcW w:w="1019"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18.333</w:t>
            </w:r>
          </w:p>
        </w:tc>
        <w:tc>
          <w:tcPr>
            <w:tcW w:w="917"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0.923</w:t>
            </w:r>
          </w:p>
        </w:tc>
        <w:tc>
          <w:tcPr>
            <w:tcW w:w="8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0.612</w:t>
            </w:r>
          </w:p>
        </w:tc>
        <w:tc>
          <w:tcPr>
            <w:tcW w:w="187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1.208</w:t>
            </w:r>
          </w:p>
        </w:tc>
        <w:tc>
          <w:tcPr>
            <w:tcW w:w="112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1.821</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VL2</w:t>
            </w:r>
          </w:p>
        </w:tc>
        <w:tc>
          <w:tcPr>
            <w:tcW w:w="1019"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18.333</w:t>
            </w:r>
          </w:p>
        </w:tc>
        <w:tc>
          <w:tcPr>
            <w:tcW w:w="917"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1.000</w:t>
            </w:r>
          </w:p>
        </w:tc>
        <w:tc>
          <w:tcPr>
            <w:tcW w:w="8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0.552</w:t>
            </w:r>
          </w:p>
        </w:tc>
        <w:tc>
          <w:tcPr>
            <w:tcW w:w="187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1.053</w:t>
            </w:r>
          </w:p>
        </w:tc>
        <w:tc>
          <w:tcPr>
            <w:tcW w:w="112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1.605</w:t>
            </w:r>
          </w:p>
        </w:tc>
      </w:tr>
      <w:tr>
        <w:tblPrEx>
          <w:tblCellMar>
            <w:top w:w="0" w:type="dxa"/>
            <w:left w:w="108" w:type="dxa"/>
            <w:bottom w:w="0" w:type="dxa"/>
            <w:right w:w="108" w:type="dxa"/>
          </w:tblCellMar>
        </w:tblPrEx>
        <w:tc>
          <w:tcPr>
            <w:tcW w:w="1171"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Oh, 2006</w:t>
            </w:r>
          </w:p>
        </w:tc>
        <w:tc>
          <w:tcPr>
            <w:tcW w:w="159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B3-WP30</w:t>
            </w:r>
          </w:p>
        </w:tc>
        <w:tc>
          <w:tcPr>
            <w:tcW w:w="1019"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12.686</w:t>
            </w:r>
          </w:p>
        </w:tc>
        <w:tc>
          <w:tcPr>
            <w:tcW w:w="917"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0.534</w:t>
            </w:r>
          </w:p>
        </w:tc>
        <w:tc>
          <w:tcPr>
            <w:tcW w:w="8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0.373</w:t>
            </w:r>
          </w:p>
        </w:tc>
        <w:tc>
          <w:tcPr>
            <w:tcW w:w="187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1.265</w:t>
            </w:r>
          </w:p>
        </w:tc>
        <w:tc>
          <w:tcPr>
            <w:tcW w:w="112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1.638</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B4-WP40</w:t>
            </w:r>
          </w:p>
        </w:tc>
        <w:tc>
          <w:tcPr>
            <w:tcW w:w="1019"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12.686</w:t>
            </w:r>
          </w:p>
        </w:tc>
        <w:tc>
          <w:tcPr>
            <w:tcW w:w="917"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0.533</w:t>
            </w:r>
          </w:p>
        </w:tc>
        <w:tc>
          <w:tcPr>
            <w:tcW w:w="8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0.497</w:t>
            </w:r>
          </w:p>
        </w:tc>
        <w:tc>
          <w:tcPr>
            <w:tcW w:w="187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1.317</w:t>
            </w:r>
          </w:p>
        </w:tc>
        <w:tc>
          <w:tcPr>
            <w:tcW w:w="112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1.814</w:t>
            </w:r>
          </w:p>
        </w:tc>
      </w:tr>
      <w:tr>
        <w:tblPrEx>
          <w:tblCellMar>
            <w:top w:w="0" w:type="dxa"/>
            <w:left w:w="108" w:type="dxa"/>
            <w:bottom w:w="0" w:type="dxa"/>
            <w:right w:w="108" w:type="dxa"/>
          </w:tblCellMar>
        </w:tblPrEx>
        <w:tc>
          <w:tcPr>
            <w:tcW w:w="1171"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陈以一, 2008</w:t>
            </w:r>
          </w:p>
        </w:tc>
        <w:tc>
          <w:tcPr>
            <w:tcW w:w="159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C4-W</w:t>
            </w:r>
          </w:p>
        </w:tc>
        <w:tc>
          <w:tcPr>
            <w:tcW w:w="101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12.5</w:t>
            </w:r>
          </w:p>
        </w:tc>
        <w:tc>
          <w:tcPr>
            <w:tcW w:w="917"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0.510</w:t>
            </w:r>
          </w:p>
        </w:tc>
        <w:tc>
          <w:tcPr>
            <w:tcW w:w="8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0.292</w:t>
            </w:r>
          </w:p>
        </w:tc>
        <w:tc>
          <w:tcPr>
            <w:tcW w:w="187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1.074</w:t>
            </w:r>
          </w:p>
        </w:tc>
        <w:tc>
          <w:tcPr>
            <w:tcW w:w="112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1.366</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C5-W</w:t>
            </w:r>
          </w:p>
        </w:tc>
        <w:tc>
          <w:tcPr>
            <w:tcW w:w="1019" w:type="dxa"/>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12.5</w:t>
            </w:r>
          </w:p>
        </w:tc>
        <w:tc>
          <w:tcPr>
            <w:tcW w:w="91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0.510</w:t>
            </w:r>
          </w:p>
        </w:tc>
        <w:tc>
          <w:tcPr>
            <w:tcW w:w="8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0.295</w:t>
            </w:r>
          </w:p>
        </w:tc>
        <w:tc>
          <w:tcPr>
            <w:tcW w:w="1870"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1.133</w:t>
            </w:r>
          </w:p>
        </w:tc>
        <w:tc>
          <w:tcPr>
            <w:tcW w:w="1123"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1.428</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C6-W</w:t>
            </w:r>
          </w:p>
        </w:tc>
        <w:tc>
          <w:tcPr>
            <w:tcW w:w="1019"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12.5</w:t>
            </w:r>
          </w:p>
        </w:tc>
        <w:tc>
          <w:tcPr>
            <w:tcW w:w="917"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0.509</w:t>
            </w:r>
          </w:p>
        </w:tc>
        <w:tc>
          <w:tcPr>
            <w:tcW w:w="8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0.294</w:t>
            </w:r>
          </w:p>
        </w:tc>
        <w:tc>
          <w:tcPr>
            <w:tcW w:w="187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1.074</w:t>
            </w:r>
          </w:p>
        </w:tc>
        <w:tc>
          <w:tcPr>
            <w:tcW w:w="112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1.368</w:t>
            </w:r>
          </w:p>
        </w:tc>
      </w:tr>
      <w:tr>
        <w:tblPrEx>
          <w:tblCellMar>
            <w:top w:w="0" w:type="dxa"/>
            <w:left w:w="108" w:type="dxa"/>
            <w:bottom w:w="0" w:type="dxa"/>
            <w:right w:w="108" w:type="dxa"/>
          </w:tblCellMar>
        </w:tblPrEx>
        <w:tc>
          <w:tcPr>
            <w:tcW w:w="1171"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方有珍, 2011-2014</w:t>
            </w:r>
          </w:p>
        </w:tc>
        <w:tc>
          <w:tcPr>
            <w:tcW w:w="159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S1C</w:t>
            </w:r>
          </w:p>
        </w:tc>
        <w:tc>
          <w:tcPr>
            <w:tcW w:w="101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10</w:t>
            </w:r>
          </w:p>
        </w:tc>
        <w:tc>
          <w:tcPr>
            <w:tcW w:w="917"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0.369</w:t>
            </w:r>
          </w:p>
        </w:tc>
        <w:tc>
          <w:tcPr>
            <w:tcW w:w="8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0.300</w:t>
            </w:r>
          </w:p>
        </w:tc>
        <w:tc>
          <w:tcPr>
            <w:tcW w:w="187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2.019</w:t>
            </w:r>
          </w:p>
        </w:tc>
        <w:tc>
          <w:tcPr>
            <w:tcW w:w="112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2.320</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S1CA</w:t>
            </w:r>
          </w:p>
        </w:tc>
        <w:tc>
          <w:tcPr>
            <w:tcW w:w="1019" w:type="dxa"/>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10</w:t>
            </w:r>
          </w:p>
        </w:tc>
        <w:tc>
          <w:tcPr>
            <w:tcW w:w="91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0.348</w:t>
            </w:r>
          </w:p>
        </w:tc>
        <w:tc>
          <w:tcPr>
            <w:tcW w:w="8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0.288</w:t>
            </w:r>
          </w:p>
        </w:tc>
        <w:tc>
          <w:tcPr>
            <w:tcW w:w="1870"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2.045</w:t>
            </w:r>
          </w:p>
        </w:tc>
        <w:tc>
          <w:tcPr>
            <w:tcW w:w="1123"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2.333</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S1CB</w:t>
            </w:r>
          </w:p>
        </w:tc>
        <w:tc>
          <w:tcPr>
            <w:tcW w:w="1019" w:type="dxa"/>
            <w:tcBorders>
              <w:top w:val="nil"/>
              <w:left w:val="nil"/>
              <w:bottom w:val="single" w:color="auto" w:sz="4"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10</w:t>
            </w:r>
          </w:p>
        </w:tc>
        <w:tc>
          <w:tcPr>
            <w:tcW w:w="917"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0.392</w:t>
            </w:r>
          </w:p>
        </w:tc>
        <w:tc>
          <w:tcPr>
            <w:tcW w:w="8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0.232</w:t>
            </w:r>
          </w:p>
        </w:tc>
        <w:tc>
          <w:tcPr>
            <w:tcW w:w="187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1.861</w:t>
            </w:r>
          </w:p>
        </w:tc>
        <w:tc>
          <w:tcPr>
            <w:tcW w:w="112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2.093</w:t>
            </w:r>
          </w:p>
        </w:tc>
      </w:tr>
      <w:tr>
        <w:tblPrEx>
          <w:tblCellMar>
            <w:top w:w="0" w:type="dxa"/>
            <w:left w:w="108" w:type="dxa"/>
            <w:bottom w:w="0" w:type="dxa"/>
            <w:right w:w="108" w:type="dxa"/>
          </w:tblCellMar>
        </w:tblPrEx>
        <w:tc>
          <w:tcPr>
            <w:tcW w:w="1171" w:type="dxa"/>
            <w:vMerge w:val="restart"/>
            <w:tcBorders>
              <w:top w:val="single" w:color="auto" w:sz="4" w:space="0"/>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陈以一, 2017</w:t>
            </w:r>
          </w:p>
        </w:tc>
        <w:tc>
          <w:tcPr>
            <w:tcW w:w="1591"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Y-S200-n0.3</w:t>
            </w:r>
          </w:p>
        </w:tc>
        <w:tc>
          <w:tcPr>
            <w:tcW w:w="1019" w:type="dxa"/>
            <w:tcBorders>
              <w:top w:val="single" w:color="auto" w:sz="4" w:space="0"/>
              <w:left w:val="nil"/>
              <w:bottom w:val="nil"/>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8.75</w:t>
            </w:r>
          </w:p>
        </w:tc>
        <w:tc>
          <w:tcPr>
            <w:tcW w:w="917"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0.762</w:t>
            </w:r>
          </w:p>
        </w:tc>
        <w:tc>
          <w:tcPr>
            <w:tcW w:w="830" w:type="dxa"/>
            <w:gridSpan w:val="2"/>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0.449</w:t>
            </w:r>
          </w:p>
        </w:tc>
        <w:tc>
          <w:tcPr>
            <w:tcW w:w="1870"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0.712</w:t>
            </w:r>
          </w:p>
        </w:tc>
        <w:tc>
          <w:tcPr>
            <w:tcW w:w="1123" w:type="dxa"/>
            <w:tcBorders>
              <w:top w:val="single" w:color="auto" w:sz="4" w:space="0"/>
              <w:left w:val="nil"/>
              <w:bottom w:val="nil"/>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1.162</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Y-S275-n0.3</w:t>
            </w:r>
          </w:p>
        </w:tc>
        <w:tc>
          <w:tcPr>
            <w:tcW w:w="1019" w:type="dxa"/>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8.75</w:t>
            </w:r>
          </w:p>
        </w:tc>
        <w:tc>
          <w:tcPr>
            <w:tcW w:w="91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0.763</w:t>
            </w:r>
          </w:p>
        </w:tc>
        <w:tc>
          <w:tcPr>
            <w:tcW w:w="8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0.450</w:t>
            </w:r>
          </w:p>
        </w:tc>
        <w:tc>
          <w:tcPr>
            <w:tcW w:w="1870"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0.701</w:t>
            </w:r>
          </w:p>
        </w:tc>
        <w:tc>
          <w:tcPr>
            <w:tcW w:w="1123"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1.151</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Y-S200-n0.5</w:t>
            </w:r>
          </w:p>
        </w:tc>
        <w:tc>
          <w:tcPr>
            <w:tcW w:w="1019"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8.75</w:t>
            </w:r>
          </w:p>
        </w:tc>
        <w:tc>
          <w:tcPr>
            <w:tcW w:w="91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0.762</w:t>
            </w:r>
          </w:p>
        </w:tc>
        <w:tc>
          <w:tcPr>
            <w:tcW w:w="8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0.779</w:t>
            </w:r>
          </w:p>
        </w:tc>
        <w:tc>
          <w:tcPr>
            <w:tcW w:w="1870"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0.711</w:t>
            </w:r>
          </w:p>
        </w:tc>
        <w:tc>
          <w:tcPr>
            <w:tcW w:w="1123"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1.490</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Y-S200-n0.3-T</w:t>
            </w:r>
          </w:p>
        </w:tc>
        <w:tc>
          <w:tcPr>
            <w:tcW w:w="1019"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8.75</w:t>
            </w:r>
          </w:p>
        </w:tc>
        <w:tc>
          <w:tcPr>
            <w:tcW w:w="91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0.762</w:t>
            </w:r>
          </w:p>
        </w:tc>
        <w:tc>
          <w:tcPr>
            <w:tcW w:w="8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0.450</w:t>
            </w:r>
          </w:p>
        </w:tc>
        <w:tc>
          <w:tcPr>
            <w:tcW w:w="1870"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0.685</w:t>
            </w:r>
          </w:p>
        </w:tc>
        <w:tc>
          <w:tcPr>
            <w:tcW w:w="1123"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1.134</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Y-R12-S200-n0.3-H</w:t>
            </w:r>
          </w:p>
        </w:tc>
        <w:tc>
          <w:tcPr>
            <w:tcW w:w="1019"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8.75</w:t>
            </w:r>
          </w:p>
        </w:tc>
        <w:tc>
          <w:tcPr>
            <w:tcW w:w="91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0.762</w:t>
            </w:r>
          </w:p>
        </w:tc>
        <w:tc>
          <w:tcPr>
            <w:tcW w:w="8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0.450</w:t>
            </w:r>
          </w:p>
        </w:tc>
        <w:tc>
          <w:tcPr>
            <w:tcW w:w="1870"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0.761</w:t>
            </w:r>
          </w:p>
        </w:tc>
        <w:tc>
          <w:tcPr>
            <w:tcW w:w="1123"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1.211</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Y-S200-n0.3-H</w:t>
            </w:r>
          </w:p>
        </w:tc>
        <w:tc>
          <w:tcPr>
            <w:tcW w:w="1019"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8.75</w:t>
            </w:r>
          </w:p>
        </w:tc>
        <w:tc>
          <w:tcPr>
            <w:tcW w:w="91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0.762</w:t>
            </w:r>
          </w:p>
        </w:tc>
        <w:tc>
          <w:tcPr>
            <w:tcW w:w="8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0.450</w:t>
            </w:r>
          </w:p>
        </w:tc>
        <w:tc>
          <w:tcPr>
            <w:tcW w:w="1870"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0.720</w:t>
            </w:r>
          </w:p>
        </w:tc>
        <w:tc>
          <w:tcPr>
            <w:tcW w:w="1123"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1.170</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Y-R16-S200-n0.3-HR</w:t>
            </w:r>
          </w:p>
        </w:tc>
        <w:tc>
          <w:tcPr>
            <w:tcW w:w="1019"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8.75</w:t>
            </w:r>
          </w:p>
        </w:tc>
        <w:tc>
          <w:tcPr>
            <w:tcW w:w="917"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0.762</w:t>
            </w:r>
          </w:p>
        </w:tc>
        <w:tc>
          <w:tcPr>
            <w:tcW w:w="830" w:type="dxa"/>
            <w:gridSpan w:val="2"/>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0.450</w:t>
            </w:r>
          </w:p>
        </w:tc>
        <w:tc>
          <w:tcPr>
            <w:tcW w:w="1870"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0.836</w:t>
            </w:r>
          </w:p>
        </w:tc>
        <w:tc>
          <w:tcPr>
            <w:tcW w:w="1123" w:type="dxa"/>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1.285</w:t>
            </w:r>
          </w:p>
        </w:tc>
      </w:tr>
      <w:tr>
        <w:tblPrEx>
          <w:tblCellMar>
            <w:top w:w="0" w:type="dxa"/>
            <w:left w:w="108" w:type="dxa"/>
            <w:bottom w:w="0" w:type="dxa"/>
            <w:right w:w="108" w:type="dxa"/>
          </w:tblCellMar>
        </w:tblPrEx>
        <w:tc>
          <w:tcPr>
            <w:tcW w:w="2508" w:type="dxa"/>
            <w:vMerge w:val="continue"/>
            <w:tcBorders>
              <w:top w:val="single" w:color="auto" w:sz="4" w:space="0"/>
              <w:left w:val="nil"/>
              <w:bottom w:val="single" w:color="auto" w:sz="4" w:space="0"/>
              <w:right w:val="nil"/>
            </w:tcBorders>
            <w:noWrap w:val="0"/>
            <w:vAlign w:val="center"/>
          </w:tcPr>
          <w:p>
            <w:pPr>
              <w:widowControl/>
              <w:spacing w:beforeAutospacing="1"/>
              <w:ind w:firstLine="360"/>
              <w:rPr>
                <w:rFonts w:ascii="等线" w:hAnsi="等线" w:eastAsia="等线"/>
                <w:color w:val="000000"/>
                <w:sz w:val="18"/>
                <w:szCs w:val="18"/>
              </w:rPr>
            </w:pPr>
          </w:p>
        </w:tc>
        <w:tc>
          <w:tcPr>
            <w:tcW w:w="1591"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Y-250-n0.3</w:t>
            </w:r>
          </w:p>
        </w:tc>
        <w:tc>
          <w:tcPr>
            <w:tcW w:w="1019"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8.75</w:t>
            </w:r>
          </w:p>
        </w:tc>
        <w:tc>
          <w:tcPr>
            <w:tcW w:w="917"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0.762</w:t>
            </w:r>
          </w:p>
        </w:tc>
        <w:tc>
          <w:tcPr>
            <w:tcW w:w="830" w:type="dxa"/>
            <w:gridSpan w:val="2"/>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0.450</w:t>
            </w:r>
          </w:p>
        </w:tc>
        <w:tc>
          <w:tcPr>
            <w:tcW w:w="1870"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0.716</w:t>
            </w:r>
          </w:p>
        </w:tc>
        <w:tc>
          <w:tcPr>
            <w:tcW w:w="1123" w:type="dxa"/>
            <w:tcBorders>
              <w:top w:val="nil"/>
              <w:left w:val="nil"/>
              <w:bottom w:val="single" w:color="auto" w:sz="4"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1.165</w:t>
            </w:r>
          </w:p>
        </w:tc>
      </w:tr>
      <w:tr>
        <w:tblPrEx>
          <w:tblCellMar>
            <w:top w:w="0" w:type="dxa"/>
            <w:left w:w="108" w:type="dxa"/>
            <w:bottom w:w="0" w:type="dxa"/>
            <w:right w:w="108" w:type="dxa"/>
          </w:tblCellMar>
        </w:tblPrEx>
        <w:tc>
          <w:tcPr>
            <w:tcW w:w="2508" w:type="dxa"/>
            <w:gridSpan w:val="2"/>
            <w:tcBorders>
              <w:top w:val="nil"/>
              <w:left w:val="nil"/>
              <w:bottom w:val="single" w:color="auto" w:sz="12"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总平均值</w:t>
            </w:r>
          </w:p>
        </w:tc>
        <w:tc>
          <w:tcPr>
            <w:tcW w:w="2509" w:type="dxa"/>
            <w:gridSpan w:val="4"/>
            <w:tcBorders>
              <w:top w:val="nil"/>
              <w:left w:val="nil"/>
              <w:bottom w:val="single" w:color="auto" w:sz="12"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1.531</w:t>
            </w:r>
          </w:p>
        </w:tc>
        <w:tc>
          <w:tcPr>
            <w:tcW w:w="2381" w:type="dxa"/>
            <w:gridSpan w:val="2"/>
            <w:tcBorders>
              <w:top w:val="nil"/>
              <w:left w:val="nil"/>
              <w:bottom w:val="single" w:color="auto" w:sz="12" w:space="0"/>
              <w:right w:val="nil"/>
            </w:tcBorders>
            <w:noWrap w:val="0"/>
            <w:vAlign w:val="center"/>
          </w:tcPr>
          <w:p>
            <w:pPr>
              <w:widowControl/>
              <w:ind w:firstLine="360"/>
              <w:jc w:val="center"/>
              <w:rPr>
                <w:rFonts w:hint="eastAsia" w:ascii="等线" w:hAnsi="等线" w:eastAsia="等线"/>
                <w:color w:val="000000"/>
                <w:sz w:val="18"/>
                <w:szCs w:val="18"/>
              </w:rPr>
            </w:pPr>
            <w:r>
              <w:rPr>
                <w:rFonts w:hint="eastAsia" w:ascii="等线" w:hAnsi="等线" w:eastAsia="等线"/>
                <w:color w:val="000000"/>
                <w:sz w:val="18"/>
                <w:szCs w:val="18"/>
              </w:rPr>
              <w:t>总标准差</w:t>
            </w:r>
          </w:p>
        </w:tc>
        <w:tc>
          <w:tcPr>
            <w:tcW w:w="1124" w:type="dxa"/>
            <w:tcBorders>
              <w:top w:val="nil"/>
              <w:left w:val="nil"/>
              <w:bottom w:val="single" w:color="auto" w:sz="12" w:space="0"/>
              <w:right w:val="nil"/>
            </w:tcBorders>
            <w:noWrap w:val="0"/>
            <w:vAlign w:val="center"/>
          </w:tcPr>
          <w:p>
            <w:pPr>
              <w:ind w:firstLine="360"/>
              <w:jc w:val="center"/>
              <w:rPr>
                <w:rFonts w:hint="eastAsia" w:ascii="等线" w:hAnsi="等线" w:eastAsia="等线"/>
                <w:color w:val="000000"/>
                <w:sz w:val="18"/>
                <w:szCs w:val="18"/>
              </w:rPr>
            </w:pPr>
            <w:r>
              <w:rPr>
                <w:rFonts w:hint="eastAsia" w:ascii="等线" w:hAnsi="等线" w:eastAsia="等线"/>
                <w:color w:val="000000"/>
                <w:sz w:val="18"/>
                <w:szCs w:val="18"/>
              </w:rPr>
              <w:t>0.398</w:t>
            </w:r>
          </w:p>
        </w:tc>
      </w:tr>
    </w:tbl>
    <w:p>
      <w:pPr>
        <w:widowControl/>
        <w:spacing w:after="156"/>
        <w:ind w:firstLine="360"/>
        <w:jc w:val="left"/>
        <w:rPr>
          <w:rFonts w:hint="eastAsia" w:cs="Calibri"/>
          <w:color w:val="000000"/>
          <w:kern w:val="0"/>
          <w:szCs w:val="21"/>
        </w:rPr>
      </w:pPr>
      <w:r>
        <w:rPr>
          <w:rFonts w:hint="eastAsia" w:cs="Calibri"/>
          <w:color w:val="000000"/>
          <w:kern w:val="0"/>
          <w:sz w:val="18"/>
          <w:szCs w:val="18"/>
        </w:rPr>
        <w:t>表中</w:t>
      </w:r>
      <w:r>
        <w:rPr>
          <w:rFonts w:cs="Calibri"/>
          <w:color w:val="000000"/>
          <w:kern w:val="0"/>
          <w:sz w:val="18"/>
          <w:szCs w:val="18"/>
        </w:rPr>
        <w:t>N</w:t>
      </w:r>
      <w:r>
        <w:rPr>
          <w:rFonts w:hint="eastAsia" w:cs="Calibri"/>
          <w:color w:val="000000"/>
          <w:kern w:val="0"/>
          <w:sz w:val="18"/>
          <w:szCs w:val="18"/>
        </w:rPr>
        <w:t>、</w:t>
      </w:r>
      <w:r>
        <w:rPr>
          <w:rFonts w:cs="Calibri"/>
          <w:color w:val="000000"/>
          <w:kern w:val="0"/>
          <w:sz w:val="18"/>
          <w:szCs w:val="18"/>
        </w:rPr>
        <w:t>M</w:t>
      </w:r>
      <w:r>
        <w:rPr>
          <w:rFonts w:hint="eastAsia" w:cs="Calibri"/>
          <w:color w:val="000000"/>
          <w:kern w:val="0"/>
          <w:sz w:val="18"/>
          <w:szCs w:val="18"/>
        </w:rPr>
        <w:t>为试验极限轴压力和极限弯矩；</w:t>
      </w:r>
      <w:r>
        <w:rPr>
          <w:rFonts w:cs="Calibri"/>
          <w:color w:val="000000"/>
          <w:kern w:val="0"/>
          <w:sz w:val="18"/>
          <w:szCs w:val="18"/>
        </w:rPr>
        <w:sym w:font="Times New Roman" w:char="F06A"/>
      </w:r>
      <w:r>
        <w:rPr>
          <w:rFonts w:hint="eastAsia" w:cs="Calibri"/>
          <w:color w:val="000000"/>
          <w:kern w:val="0"/>
          <w:sz w:val="18"/>
          <w:szCs w:val="18"/>
        </w:rPr>
        <w:t>、</w:t>
      </w:r>
      <w:r>
        <w:rPr>
          <w:rFonts w:cs="Calibri"/>
          <w:color w:val="000000"/>
          <w:kern w:val="0"/>
          <w:sz w:val="18"/>
          <w:szCs w:val="18"/>
        </w:rPr>
        <w:t>N</w:t>
      </w:r>
      <w:r>
        <w:rPr>
          <w:rFonts w:cs="Calibri"/>
          <w:color w:val="000000"/>
          <w:kern w:val="0"/>
          <w:sz w:val="18"/>
          <w:szCs w:val="18"/>
          <w:vertAlign w:val="subscript"/>
        </w:rPr>
        <w:t>cr</w:t>
      </w:r>
      <w:r>
        <w:rPr>
          <w:rFonts w:hint="eastAsia" w:cs="Calibri"/>
          <w:color w:val="000000"/>
          <w:kern w:val="0"/>
          <w:sz w:val="18"/>
          <w:szCs w:val="18"/>
        </w:rPr>
        <w:t>、</w:t>
      </w:r>
      <w:r>
        <w:rPr>
          <w:rFonts w:cs="Calibri"/>
          <w:color w:val="000000"/>
          <w:kern w:val="0"/>
          <w:sz w:val="18"/>
          <w:szCs w:val="18"/>
        </w:rPr>
        <w:t>N</w:t>
      </w:r>
      <w:r>
        <w:rPr>
          <w:rFonts w:cs="Calibri"/>
          <w:color w:val="000000"/>
          <w:kern w:val="0"/>
          <w:sz w:val="18"/>
          <w:szCs w:val="18"/>
          <w:vertAlign w:val="subscript"/>
        </w:rPr>
        <w:t>u</w:t>
      </w:r>
      <w:r>
        <w:rPr>
          <w:rFonts w:hint="eastAsia" w:cs="Calibri"/>
          <w:color w:val="000000"/>
          <w:kern w:val="0"/>
          <w:sz w:val="18"/>
          <w:szCs w:val="18"/>
        </w:rPr>
        <w:t>和</w:t>
      </w:r>
      <w:r>
        <w:rPr>
          <w:rFonts w:cs="Calibri"/>
          <w:color w:val="000000"/>
          <w:kern w:val="0"/>
          <w:sz w:val="18"/>
          <w:szCs w:val="18"/>
        </w:rPr>
        <w:t>M</w:t>
      </w:r>
      <w:r>
        <w:rPr>
          <w:rFonts w:cs="Calibri"/>
          <w:color w:val="000000"/>
          <w:kern w:val="0"/>
          <w:sz w:val="18"/>
          <w:szCs w:val="18"/>
          <w:vertAlign w:val="subscript"/>
        </w:rPr>
        <w:t>u</w:t>
      </w:r>
      <w:r>
        <w:rPr>
          <w:rFonts w:hint="eastAsia" w:cs="Calibri"/>
          <w:color w:val="000000"/>
          <w:kern w:val="0"/>
          <w:sz w:val="18"/>
          <w:szCs w:val="18"/>
        </w:rPr>
        <w:t>的含义及具体计算如公式所定义；</w:t>
      </w:r>
      <w:r>
        <w:rPr>
          <w:rFonts w:cs="Calibri"/>
          <w:color w:val="000000"/>
          <w:kern w:val="0"/>
          <w:sz w:val="18"/>
          <w:szCs w:val="18"/>
        </w:rPr>
        <w:t>L</w:t>
      </w:r>
      <w:r>
        <w:rPr>
          <w:rFonts w:cs="Calibri"/>
          <w:color w:val="000000"/>
          <w:kern w:val="0"/>
          <w:sz w:val="18"/>
          <w:szCs w:val="18"/>
          <w:vertAlign w:val="subscript"/>
        </w:rPr>
        <w:t>0</w:t>
      </w:r>
      <w:r>
        <w:rPr>
          <w:rFonts w:hint="eastAsia" w:cs="Calibri"/>
          <w:color w:val="000000"/>
          <w:kern w:val="0"/>
          <w:sz w:val="18"/>
          <w:szCs w:val="18"/>
        </w:rPr>
        <w:t>为试件计算长度；</w:t>
      </w:r>
      <w:r>
        <w:rPr>
          <w:rFonts w:cs="Calibri"/>
          <w:color w:val="000000"/>
          <w:kern w:val="0"/>
          <w:sz w:val="18"/>
          <w:szCs w:val="18"/>
        </w:rPr>
        <w:t>b</w:t>
      </w:r>
      <w:r>
        <w:rPr>
          <w:rFonts w:hint="eastAsia" w:cs="Calibri"/>
          <w:color w:val="000000"/>
          <w:kern w:val="0"/>
          <w:sz w:val="18"/>
          <w:szCs w:val="18"/>
        </w:rPr>
        <w:t>为</w:t>
      </w:r>
      <w:r>
        <w:rPr>
          <w:rFonts w:cs="Calibri"/>
          <w:color w:val="000000"/>
          <w:kern w:val="0"/>
          <w:sz w:val="18"/>
          <w:szCs w:val="18"/>
        </w:rPr>
        <w:t>PEC</w:t>
      </w:r>
      <w:r>
        <w:rPr>
          <w:rFonts w:hint="eastAsia" w:cs="Calibri"/>
          <w:color w:val="000000"/>
          <w:kern w:val="0"/>
          <w:sz w:val="18"/>
          <w:szCs w:val="18"/>
        </w:rPr>
        <w:t>柱截面宽度。把试验数据代入设计公式中，若其值（即上表中最后一列）大于</w:t>
      </w:r>
      <w:r>
        <w:rPr>
          <w:rFonts w:cs="Calibri"/>
          <w:color w:val="000000"/>
          <w:kern w:val="0"/>
          <w:sz w:val="18"/>
          <w:szCs w:val="18"/>
        </w:rPr>
        <w:t>1</w:t>
      </w:r>
      <w:r>
        <w:rPr>
          <w:rFonts w:hint="eastAsia" w:cs="Calibri"/>
          <w:color w:val="000000"/>
          <w:kern w:val="0"/>
          <w:sz w:val="18"/>
          <w:szCs w:val="18"/>
        </w:rPr>
        <w:t>，说明设计公式偏安全。</w:t>
      </w:r>
    </w:p>
    <w:p>
      <w:pPr>
        <w:widowControl/>
        <w:spacing w:after="156"/>
        <w:jc w:val="left"/>
        <w:rPr>
          <w:rFonts w:ascii="等线" w:hAnsi="等线" w:eastAsia="等线" w:cs="等线"/>
          <w:color w:val="000000"/>
          <w:kern w:val="0"/>
          <w:szCs w:val="22"/>
        </w:rPr>
      </w:pPr>
    </w:p>
    <w:p>
      <w:pPr>
        <w:widowControl/>
        <w:spacing w:after="156"/>
        <w:jc w:val="left"/>
        <w:rPr>
          <w:rFonts w:hint="eastAsia" w:ascii="等线" w:hAnsi="等线" w:cs="等线"/>
          <w:color w:val="000000"/>
          <w:kern w:val="0"/>
        </w:rPr>
      </w:pPr>
    </w:p>
    <w:p>
      <w:pPr>
        <w:widowControl/>
        <w:spacing w:after="156"/>
        <w:jc w:val="left"/>
        <w:rPr>
          <w:rFonts w:ascii="等线" w:hAnsi="等线" w:cs="等线"/>
          <w:color w:val="000000"/>
          <w:kern w:val="0"/>
        </w:rPr>
      </w:pPr>
    </w:p>
    <w:p>
      <w:pPr>
        <w:widowControl/>
        <w:spacing w:after="156"/>
        <w:jc w:val="left"/>
        <w:rPr>
          <w:rFonts w:ascii="等线" w:hAnsi="等线" w:cs="等线"/>
          <w:color w:val="000000"/>
          <w:kern w:val="0"/>
        </w:rPr>
      </w:pPr>
    </w:p>
    <w:p>
      <w:pPr>
        <w:pStyle w:val="134"/>
        <w:spacing w:before="312" w:after="312"/>
      </w:pPr>
      <w:r>
        <w:br w:type="page"/>
      </w:r>
      <w:bookmarkStart w:id="282" w:name="_Toc48049992"/>
      <w:r>
        <w:rPr>
          <w:rFonts w:hint="eastAsia"/>
        </w:rPr>
        <w:t>附录G 隔震和消能减震结构</w:t>
      </w:r>
      <w:bookmarkEnd w:id="282"/>
    </w:p>
    <w:p>
      <w:pPr>
        <w:spacing w:line="300" w:lineRule="auto"/>
        <w:jc w:val="center"/>
        <w:rPr>
          <w:rFonts w:hint="eastAsia" w:ascii="宋体" w:hAnsi="宋体"/>
          <w:color w:val="000000"/>
          <w:szCs w:val="21"/>
        </w:rPr>
      </w:pPr>
    </w:p>
    <w:p>
      <w:pPr>
        <w:adjustRightInd w:val="0"/>
        <w:snapToGrid w:val="0"/>
        <w:spacing w:before="156" w:beforeLines="50" w:line="300" w:lineRule="auto"/>
        <w:jc w:val="center"/>
        <w:rPr>
          <w:rFonts w:ascii="黑体" w:hAnsi="黑体" w:eastAsia="黑体"/>
          <w:color w:val="000000"/>
          <w:kern w:val="0"/>
          <w:szCs w:val="21"/>
        </w:rPr>
      </w:pPr>
      <w:r>
        <w:rPr>
          <w:rFonts w:hint="eastAsia" w:ascii="宋体" w:hAnsi="宋体" w:eastAsia="黑体"/>
          <w:color w:val="000000"/>
          <w:kern w:val="0"/>
          <w:szCs w:val="21"/>
        </w:rPr>
        <w:t xml:space="preserve">G.3  </w:t>
      </w:r>
      <w:r>
        <w:rPr>
          <w:rFonts w:hint="eastAsia" w:ascii="黑体" w:hAnsi="黑体" w:eastAsia="黑体"/>
          <w:color w:val="000000"/>
          <w:kern w:val="0"/>
          <w:szCs w:val="21"/>
        </w:rPr>
        <w:t>屋盖隔震</w:t>
      </w:r>
    </w:p>
    <w:p>
      <w:pPr>
        <w:adjustRightInd w:val="0"/>
        <w:snapToGrid w:val="0"/>
        <w:spacing w:before="156" w:beforeLines="50" w:line="300" w:lineRule="auto"/>
        <w:jc w:val="center"/>
        <w:rPr>
          <w:rFonts w:hint="eastAsia" w:ascii="宋体" w:hAnsi="宋体" w:eastAsia="黑体"/>
          <w:color w:val="000000"/>
          <w:kern w:val="0"/>
          <w:szCs w:val="21"/>
        </w:rPr>
      </w:pPr>
    </w:p>
    <w:p>
      <w:pPr>
        <w:adjustRightInd w:val="0"/>
        <w:snapToGrid w:val="0"/>
        <w:spacing w:before="156" w:beforeLines="50" w:line="300" w:lineRule="auto"/>
        <w:rPr>
          <w:rFonts w:ascii="宋体" w:hAnsi="宋体"/>
          <w:color w:val="000000"/>
          <w:kern w:val="0"/>
          <w:szCs w:val="21"/>
        </w:rPr>
      </w:pPr>
      <w:r>
        <w:rPr>
          <w:rFonts w:hint="eastAsia" w:ascii="宋体" w:hAnsi="宋体" w:eastAsia="黑体"/>
          <w:color w:val="000000"/>
          <w:kern w:val="0"/>
          <w:szCs w:val="21"/>
        </w:rPr>
        <w:t xml:space="preserve">G.3.3 </w:t>
      </w:r>
      <w:r>
        <w:rPr>
          <w:rFonts w:hint="eastAsia" w:ascii="宋体" w:hAnsi="宋体"/>
          <w:color w:val="000000"/>
          <w:kern w:val="0"/>
          <w:szCs w:val="21"/>
        </w:rPr>
        <w:t>隔震支座验算罕遇地震作用下最大压应力和最小压应力时，应考虑三向地震作用产生的最不利轴力；其中水平和竖向地震作用产生的应力应取标准值。</w:t>
      </w:r>
    </w:p>
    <w:p>
      <w:pPr>
        <w:adjustRightInd w:val="0"/>
        <w:snapToGrid w:val="0"/>
        <w:spacing w:before="156" w:beforeLines="50" w:line="300" w:lineRule="auto"/>
        <w:rPr>
          <w:rFonts w:hint="eastAsia" w:ascii="宋体" w:hAnsi="宋体"/>
          <w:color w:val="000000"/>
          <w:kern w:val="0"/>
          <w:szCs w:val="21"/>
        </w:rPr>
      </w:pPr>
    </w:p>
    <w:p>
      <w:pPr>
        <w:spacing w:before="156" w:beforeLines="50" w:after="156" w:afterLines="50" w:line="300" w:lineRule="auto"/>
        <w:jc w:val="center"/>
        <w:rPr>
          <w:rFonts w:ascii="宋体" w:hAnsi="宋体"/>
          <w:color w:val="000000"/>
          <w:szCs w:val="21"/>
        </w:rPr>
      </w:pPr>
      <w:r>
        <w:rPr>
          <w:rFonts w:hint="eastAsia" w:ascii="宋体" w:hAnsi="宋体"/>
          <w:color w:val="000000"/>
          <w:szCs w:val="21"/>
        </w:rPr>
        <w:t>G.4  主体结构消能减震</w:t>
      </w:r>
    </w:p>
    <w:p>
      <w:pPr>
        <w:spacing w:before="156" w:beforeLines="50" w:after="156" w:afterLines="50" w:line="300" w:lineRule="auto"/>
        <w:jc w:val="center"/>
        <w:rPr>
          <w:rFonts w:hint="eastAsia" w:ascii="宋体" w:hAnsi="宋体"/>
          <w:color w:val="000000"/>
          <w:szCs w:val="21"/>
        </w:rPr>
      </w:pPr>
    </w:p>
    <w:p>
      <w:pPr>
        <w:spacing w:line="300" w:lineRule="auto"/>
        <w:rPr>
          <w:rFonts w:ascii="宋体" w:hAnsi="宋体"/>
          <w:color w:val="000000"/>
          <w:szCs w:val="21"/>
        </w:rPr>
      </w:pPr>
      <w:r>
        <w:rPr>
          <w:rFonts w:hint="eastAsia" w:ascii="宋体" w:hAnsi="宋体"/>
          <w:color w:val="000000"/>
          <w:szCs w:val="21"/>
        </w:rPr>
        <w:t xml:space="preserve">G.4.7 计算Wcj时，金属消能器、摩擦消能器的变形量应取有限元模型中消能器单元的实际变形量，不得用层间位移等宏观指标计算消能器的变形，所使用的有限元模型应准确模拟连接件，体现连接件的变形。 </w:t>
      </w:r>
    </w:p>
    <w:p>
      <w:pPr>
        <w:spacing w:line="300" w:lineRule="auto"/>
        <w:rPr>
          <w:rFonts w:hint="eastAsia" w:ascii="宋体" w:hAnsi="宋体"/>
          <w:color w:val="000000"/>
          <w:szCs w:val="21"/>
        </w:rPr>
      </w:pPr>
    </w:p>
    <w:p>
      <w:pPr>
        <w:spacing w:line="300" w:lineRule="auto"/>
        <w:jc w:val="center"/>
        <w:rPr>
          <w:rFonts w:ascii="宋体" w:hAnsi="宋体"/>
          <w:color w:val="000000"/>
          <w:szCs w:val="21"/>
        </w:rPr>
      </w:pPr>
      <w:r>
        <w:rPr>
          <w:rFonts w:hint="eastAsia" w:ascii="宋体" w:hAnsi="宋体"/>
          <w:color w:val="000000"/>
          <w:szCs w:val="21"/>
        </w:rPr>
        <w:t>G.5  工业设备减隔震</w:t>
      </w:r>
    </w:p>
    <w:p>
      <w:pPr>
        <w:spacing w:line="300" w:lineRule="auto"/>
        <w:jc w:val="center"/>
        <w:rPr>
          <w:rFonts w:hint="eastAsia" w:ascii="宋体" w:hAnsi="宋体"/>
          <w:color w:val="000000"/>
          <w:szCs w:val="21"/>
        </w:rPr>
      </w:pPr>
    </w:p>
    <w:p>
      <w:pPr>
        <w:spacing w:line="300" w:lineRule="auto"/>
        <w:rPr>
          <w:rFonts w:hint="eastAsia" w:ascii="宋体" w:hAnsi="宋体"/>
          <w:color w:val="000000"/>
          <w:szCs w:val="21"/>
        </w:rPr>
      </w:pPr>
      <w:r>
        <w:rPr>
          <w:rFonts w:hint="eastAsia" w:ascii="宋体" w:hAnsi="宋体"/>
          <w:color w:val="000000"/>
          <w:szCs w:val="21"/>
        </w:rPr>
        <w:t>G.5.2</w:t>
      </w:r>
      <w:r>
        <w:rPr>
          <w:rFonts w:ascii="宋体" w:hAnsi="宋体"/>
          <w:color w:val="000000"/>
          <w:szCs w:val="21"/>
        </w:rPr>
        <w:t xml:space="preserve"> </w:t>
      </w:r>
      <w:r>
        <w:rPr>
          <w:rFonts w:hint="eastAsia" w:ascii="宋体" w:hAnsi="宋体"/>
          <w:color w:val="000000"/>
          <w:szCs w:val="21"/>
        </w:rPr>
        <w:t>重心高悬的重型工业设备，其本质类似于高宽比较大的瘦高型建筑，如采用底部支承的方法，支座处易产生上拔力，而橡胶隔震垫不宜承受较大拉力，故尽量不采用在设备底部支承的设计。不少工业设备通常工作于高温环境，如果采用支承隔震设计，结构自重与热膨胀方向相反，导致设备受压，如再加上地震力的作用，容易造成设备的破坏，若采用将设备进行悬吊设计，热膨胀与设备重力荷载的方向一致，设备的热膨胀不产生附加内力；同时，大多数工业设备都是钢制设备，采用悬吊设计，则合理利用了钢材受拉不失稳的原理，回避了设备设计中的稳定分析。</w:t>
      </w:r>
    </w:p>
    <w:p>
      <w:pPr>
        <w:spacing w:line="300" w:lineRule="auto"/>
        <w:rPr>
          <w:rFonts w:hint="eastAsia" w:ascii="宋体" w:hAnsi="宋体"/>
          <w:color w:val="000000"/>
          <w:szCs w:val="21"/>
        </w:rPr>
      </w:pPr>
      <w:r>
        <w:rPr>
          <w:rFonts w:hint="eastAsia" w:ascii="宋体" w:hAnsi="宋体"/>
          <w:color w:val="000000"/>
          <w:szCs w:val="21"/>
        </w:rPr>
        <w:t>G.5.3 设备高度不大时，尽量在低位设置隔震装置，有利于将地震作用从下层结构直接传至基础，缩短地震力的传递时间和途径途；当设备高度太大或自身刚性不足时，宜沿设备高度方向设置多层限位装置，以便将设备的地震作用均匀传递给结构。</w:t>
      </w:r>
    </w:p>
    <w:p>
      <w:pPr>
        <w:spacing w:line="300" w:lineRule="auto"/>
        <w:rPr>
          <w:rFonts w:hint="eastAsia" w:ascii="宋体" w:hAnsi="宋体"/>
          <w:color w:val="000000"/>
          <w:szCs w:val="21"/>
        </w:rPr>
      </w:pPr>
      <w:r>
        <w:rPr>
          <w:rFonts w:hint="eastAsia" w:ascii="宋体" w:hAnsi="宋体"/>
          <w:color w:val="000000"/>
          <w:szCs w:val="21"/>
        </w:rPr>
        <w:t>G.5.4 对于切实因为设备功能需要或有其它特殊的要求必须采用支承式的设备，设置橡胶隔震垫时，应根据本标准中关于橡胶隔震垫的容许拉伸位移处设置松动螺栓，螺栓在非地震工况或小震时，处于松动的非工作状态；在地震作用较大时，避免隔震垫承受较大拉应力。</w:t>
      </w:r>
    </w:p>
    <w:p>
      <w:pPr>
        <w:spacing w:line="300" w:lineRule="auto"/>
        <w:rPr>
          <w:rFonts w:hint="eastAsia" w:ascii="宋体" w:hAnsi="宋体"/>
          <w:color w:val="000000"/>
          <w:szCs w:val="21"/>
        </w:rPr>
      </w:pPr>
      <w:r>
        <w:rPr>
          <w:rFonts w:hint="eastAsia" w:ascii="宋体" w:hAnsi="宋体"/>
          <w:color w:val="000000"/>
          <w:szCs w:val="21"/>
        </w:rPr>
        <w:t>G.5.5对支承型重心高悬的立式设备，如果支承位置远低于设备的重心高度，水平地震作用容易对设备产生较大的倾覆力矩，不利于设备和下部支承结构的减隔震。</w:t>
      </w:r>
    </w:p>
    <w:p>
      <w:pPr>
        <w:spacing w:line="300" w:lineRule="auto"/>
        <w:rPr>
          <w:rFonts w:hint="eastAsia" w:ascii="宋体" w:hAnsi="宋体"/>
          <w:color w:val="000000"/>
          <w:szCs w:val="21"/>
        </w:rPr>
      </w:pPr>
      <w:r>
        <w:rPr>
          <w:rFonts w:hint="eastAsia" w:ascii="宋体" w:hAnsi="宋体"/>
          <w:color w:val="000000"/>
          <w:szCs w:val="21"/>
        </w:rPr>
        <w:t>G.5.6 工业设备通常由于功能及安全性的要求，有专门的强度和变形限制，故而应结合设备的要求进行减隔震设计，一方面是出于设备的抗震需要做出保护设备的设计，当设备的抗震要求较低时，反过来也应关注隔震结构的安全。</w:t>
      </w:r>
    </w:p>
    <w:p>
      <w:pPr>
        <w:spacing w:line="300" w:lineRule="auto"/>
        <w:rPr>
          <w:rFonts w:hint="eastAsia" w:ascii="宋体" w:hAnsi="宋体"/>
          <w:b/>
          <w:bCs/>
          <w:color w:val="000000"/>
          <w:szCs w:val="21"/>
        </w:rPr>
      </w:pPr>
      <w:r>
        <w:rPr>
          <w:rFonts w:hint="eastAsia" w:ascii="宋体" w:hAnsi="宋体"/>
          <w:color w:val="000000"/>
          <w:szCs w:val="21"/>
        </w:rPr>
        <w:t>G.5.7 部分工业高温设备在正常运转工况下通常就有较高的应力，设备采取减隔振措施时，不应限制设备的热膨胀，避免热应力的二次叠加</w:t>
      </w:r>
      <w:r>
        <w:rPr>
          <w:rFonts w:hint="eastAsia" w:ascii="宋体" w:hAnsi="宋体"/>
          <w:b/>
          <w:bCs/>
          <w:color w:val="000000"/>
          <w:szCs w:val="21"/>
        </w:rPr>
        <w:t>。</w:t>
      </w:r>
    </w:p>
    <w:p>
      <w:pPr>
        <w:spacing w:line="300" w:lineRule="auto"/>
        <w:rPr>
          <w:rFonts w:hint="eastAsia" w:ascii="宋体" w:hAnsi="宋体"/>
          <w:b/>
          <w:bCs/>
          <w:color w:val="000000"/>
          <w:szCs w:val="21"/>
        </w:rPr>
      </w:pPr>
      <w:r>
        <w:rPr>
          <w:rFonts w:hint="eastAsia" w:ascii="宋体" w:hAnsi="宋体"/>
          <w:color w:val="000000"/>
          <w:szCs w:val="21"/>
        </w:rPr>
        <w:t>G.5.8 有不少类型的工业设备，例如火力发电厂中的烟风煤粉管道、风机、空气预热器、SCR脱硝反应器、脱硫塔等，设备内部有大量流动的液态工质或气态工质，如与支撑结构的谐振频率接近，则易引起结构的不同范围内的振动，这无论对于设备还是支承结构都是极为不利的，应在设计时避免。</w:t>
      </w:r>
    </w:p>
    <w:p>
      <w:pPr>
        <w:spacing w:line="300" w:lineRule="auto"/>
        <w:rPr>
          <w:rFonts w:hint="eastAsia" w:ascii="宋体" w:hAnsi="宋体"/>
          <w:color w:val="000000"/>
          <w:szCs w:val="21"/>
        </w:rPr>
      </w:pPr>
      <w:r>
        <w:rPr>
          <w:rFonts w:hint="eastAsia" w:ascii="宋体" w:hAnsi="宋体"/>
          <w:color w:val="000000"/>
          <w:szCs w:val="21"/>
        </w:rPr>
        <w:t>G.5.9 出于场地限制或工程改造等原因，常碰到业主方将相毗邻的结构用刚性平台连接，或是用管道将相毗邻的设备连接等情况，导致结构的侧移刚度改变，与原设计不符；另外，不少工业建筑之间，设备的外缘常常超过建筑结构的外缘，应避免设备间的碰撞。</w:t>
      </w:r>
    </w:p>
    <w:p>
      <w:pPr>
        <w:spacing w:line="300" w:lineRule="auto"/>
        <w:rPr>
          <w:rFonts w:hint="eastAsia" w:ascii="宋体" w:hAnsi="宋体"/>
          <w:color w:val="000000"/>
          <w:szCs w:val="21"/>
        </w:rPr>
      </w:pPr>
      <w:r>
        <w:rPr>
          <w:rFonts w:hint="eastAsia" w:ascii="宋体" w:hAnsi="宋体"/>
          <w:color w:val="000000"/>
          <w:szCs w:val="21"/>
        </w:rPr>
        <w:t>G.5.10 出于场地限制或工程改造等原因，常碰到业主方将相毗邻的结构用刚性平台连接，或是用管道将相毗邻的设备连接等情况，导致结构的侧移刚度改变，与原设计不符，原结构和基础可能不满足设计要求。</w:t>
      </w:r>
    </w:p>
    <w:p>
      <w:pPr>
        <w:rPr>
          <w:rFonts w:hint="eastAsia"/>
          <w:color w:val="000000"/>
          <w:szCs w:val="21"/>
        </w:rPr>
      </w:pPr>
      <w:r>
        <w:rPr>
          <w:rFonts w:hint="eastAsia" w:ascii="宋体" w:hAnsi="宋体"/>
          <w:color w:val="000000"/>
          <w:szCs w:val="21"/>
        </w:rPr>
        <w:t>G.5.11 有相部分工程，因为陈年已久，缺少部分或大部分必须的技术设计文件，无法进行整体联合计算时，采用腰型孔，聚四氟乙烯板等低摩阻力材料进行滑动连接，以尽量不相互传递地震作用。</w:t>
      </w:r>
    </w:p>
    <w:p>
      <w:pPr>
        <w:tabs>
          <w:tab w:val="left" w:pos="567"/>
        </w:tabs>
        <w:jc w:val="center"/>
        <w:rPr>
          <w:rFonts w:hint="eastAsia" w:cs="Calibri"/>
          <w:color w:val="000000"/>
          <w:szCs w:val="21"/>
        </w:rPr>
      </w:pPr>
    </w:p>
    <w:p>
      <w:pPr>
        <w:spacing w:line="360" w:lineRule="auto"/>
        <w:jc w:val="center"/>
        <w:rPr>
          <w:rFonts w:cs="Calibri"/>
          <w:bCs/>
          <w:color w:val="000000"/>
          <w:kern w:val="0"/>
          <w:szCs w:val="21"/>
        </w:rPr>
      </w:pPr>
    </w:p>
    <w:p>
      <w:pPr>
        <w:spacing w:line="360" w:lineRule="auto"/>
        <w:jc w:val="center"/>
        <w:rPr>
          <w:rFonts w:cs="Calibri"/>
          <w:bCs/>
          <w:color w:val="000000"/>
          <w:kern w:val="0"/>
          <w:szCs w:val="21"/>
        </w:rPr>
      </w:pPr>
    </w:p>
    <w:p>
      <w:pPr>
        <w:spacing w:line="360" w:lineRule="auto"/>
        <w:jc w:val="center"/>
        <w:rPr>
          <w:rFonts w:hint="eastAsia" w:cs="Calibri"/>
          <w:bCs/>
          <w:color w:val="000000"/>
          <w:kern w:val="0"/>
          <w:szCs w:val="21"/>
        </w:rPr>
      </w:pPr>
    </w:p>
    <w:p>
      <w:pPr>
        <w:pStyle w:val="134"/>
        <w:spacing w:before="312" w:after="312"/>
      </w:pPr>
      <w:r>
        <w:br w:type="page"/>
      </w:r>
      <w:bookmarkStart w:id="283" w:name="_Toc48049993"/>
      <w:r>
        <w:rPr>
          <w:rFonts w:hint="eastAsia"/>
        </w:rPr>
        <w:t>附录</w:t>
      </w:r>
      <w:r>
        <w:t>I</w:t>
      </w:r>
      <w:r>
        <w:rPr>
          <w:rFonts w:hint="eastAsia"/>
        </w:rPr>
        <w:t xml:space="preserve">  工业建筑抗震性能化评价</w:t>
      </w:r>
      <w:bookmarkEnd w:id="283"/>
    </w:p>
    <w:p>
      <w:pPr>
        <w:spacing w:line="360" w:lineRule="auto"/>
        <w:jc w:val="center"/>
        <w:rPr>
          <w:rFonts w:hint="eastAsia" w:ascii="宋体" w:hAnsi="宋体" w:cs="Calibri"/>
          <w:bCs/>
          <w:color w:val="000000"/>
          <w:szCs w:val="21"/>
        </w:rPr>
      </w:pPr>
    </w:p>
    <w:p>
      <w:pPr>
        <w:adjustRightInd w:val="0"/>
        <w:snapToGrid w:val="0"/>
        <w:spacing w:before="156" w:beforeLines="50" w:after="156" w:afterLines="50" w:line="360" w:lineRule="auto"/>
        <w:ind w:firstLine="420" w:firstLineChars="200"/>
        <w:jc w:val="center"/>
        <w:rPr>
          <w:rFonts w:ascii="Times New Roman" w:hAnsi="Times New Roman"/>
          <w:color w:val="000000"/>
          <w:szCs w:val="21"/>
        </w:rPr>
      </w:pPr>
      <w:r>
        <w:rPr>
          <w:rFonts w:ascii="Times New Roman" w:hAnsi="Times New Roman"/>
          <w:color w:val="000000"/>
          <w:szCs w:val="21"/>
        </w:rPr>
        <w:t xml:space="preserve">I.2  </w:t>
      </w:r>
      <w:r>
        <w:rPr>
          <w:rFonts w:hint="eastAsia" w:ascii="宋体" w:hAnsi="宋体"/>
          <w:color w:val="000000"/>
          <w:szCs w:val="21"/>
        </w:rPr>
        <w:t>结构弹塑性模型</w:t>
      </w:r>
    </w:p>
    <w:p>
      <w:pPr>
        <w:spacing w:line="360" w:lineRule="auto"/>
        <w:jc w:val="center"/>
        <w:rPr>
          <w:rFonts w:hint="eastAsia" w:ascii="宋体" w:hAnsi="宋体" w:cs="Calibri"/>
          <w:bCs/>
          <w:color w:val="000000"/>
          <w:szCs w:val="21"/>
        </w:rPr>
      </w:pPr>
    </w:p>
    <w:p>
      <w:pPr>
        <w:spacing w:line="360" w:lineRule="auto"/>
        <w:rPr>
          <w:rFonts w:hint="eastAsia" w:cs="Calibri"/>
          <w:color w:val="000000"/>
          <w:szCs w:val="21"/>
        </w:rPr>
      </w:pPr>
      <w:r>
        <w:rPr>
          <w:rFonts w:cs="Calibri"/>
          <w:b/>
          <w:color w:val="000000"/>
          <w:sz w:val="24"/>
          <w:szCs w:val="24"/>
        </w:rPr>
        <w:t>I.2.5</w:t>
      </w:r>
      <w:r>
        <w:rPr>
          <w:rFonts w:cs="Calibri"/>
          <w:color w:val="000000"/>
          <w:sz w:val="24"/>
          <w:szCs w:val="24"/>
        </w:rPr>
        <w:t xml:space="preserve"> 3</w:t>
      </w:r>
      <w:r>
        <w:rPr>
          <w:rFonts w:cs="Calibri"/>
          <w:color w:val="000000"/>
          <w:szCs w:val="21"/>
        </w:rPr>
        <w:t xml:space="preserve"> </w:t>
      </w:r>
      <w:r>
        <w:rPr>
          <w:rFonts w:hint="eastAsia" w:cs="Calibri"/>
          <w:color w:val="000000"/>
          <w:szCs w:val="21"/>
        </w:rPr>
        <w:t>箍筋的约束作用使混凝土抗压强度和变形能力均有所提高，约束混凝土的模型比较多样化。对于三级以上的框架柱及剪力墙边缘约束区，计算时应采用合适的约束混凝土本构模型，来考虑核心区约束混凝土的影响。</w:t>
      </w:r>
    </w:p>
    <w:p>
      <w:pPr>
        <w:spacing w:line="360" w:lineRule="auto"/>
        <w:ind w:firstLine="420" w:firstLineChars="200"/>
        <w:rPr>
          <w:rFonts w:cs="Calibri"/>
          <w:color w:val="000000"/>
          <w:szCs w:val="24"/>
        </w:rPr>
      </w:pPr>
      <w:r>
        <w:rPr>
          <w:rFonts w:hint="eastAsia" w:cs="Calibri"/>
          <w:color w:val="000000"/>
          <w:szCs w:val="24"/>
        </w:rPr>
        <w:t>核心区约束混凝土单轴本构关系中的受压卸载曲线、受压再加载曲线和受拉曲线</w:t>
      </w:r>
      <w:r>
        <w:rPr>
          <w:rFonts w:hint="eastAsia" w:cs="Calibri"/>
          <w:b/>
          <w:color w:val="000000"/>
          <w:szCs w:val="24"/>
        </w:rPr>
        <w:t>可</w:t>
      </w:r>
      <w:r>
        <w:rPr>
          <w:rFonts w:hint="eastAsia" w:cs="Calibri"/>
          <w:color w:val="000000"/>
          <w:szCs w:val="24"/>
        </w:rPr>
        <w:t>采用《混凝土结构设计规范》（</w:t>
      </w:r>
      <w:r>
        <w:rPr>
          <w:rFonts w:cs="Calibri"/>
          <w:color w:val="000000"/>
          <w:szCs w:val="24"/>
        </w:rPr>
        <w:t>GB50010-2010</w:t>
      </w:r>
      <w:r>
        <w:rPr>
          <w:rFonts w:hint="eastAsia" w:cs="Calibri"/>
          <w:color w:val="000000"/>
          <w:szCs w:val="24"/>
        </w:rPr>
        <w:t>）的相关规定，受压骨架曲线</w:t>
      </w:r>
      <w:r>
        <w:rPr>
          <w:rFonts w:hint="eastAsia" w:cs="Calibri"/>
          <w:b/>
          <w:color w:val="000000"/>
          <w:szCs w:val="24"/>
        </w:rPr>
        <w:t>可</w:t>
      </w:r>
      <w:r>
        <w:rPr>
          <w:rFonts w:hint="eastAsia" w:cs="Calibri"/>
          <w:color w:val="000000"/>
          <w:szCs w:val="24"/>
        </w:rPr>
        <w:t>采用</w:t>
      </w:r>
      <w:r>
        <w:rPr>
          <w:rFonts w:cs="Calibri"/>
          <w:color w:val="000000"/>
          <w:szCs w:val="24"/>
        </w:rPr>
        <w:t>Mander</w:t>
      </w:r>
      <w:r>
        <w:rPr>
          <w:rFonts w:hint="eastAsia" w:cs="Calibri"/>
          <w:color w:val="000000"/>
          <w:szCs w:val="24"/>
        </w:rPr>
        <w:t>约束混凝土模型，该模型受压骨架线如图</w:t>
      </w:r>
      <w:r>
        <w:rPr>
          <w:rFonts w:cs="Calibri"/>
          <w:color w:val="000000"/>
          <w:szCs w:val="24"/>
        </w:rPr>
        <w:t>I.2.5-1</w:t>
      </w:r>
      <w:r>
        <w:rPr>
          <w:rFonts w:hint="eastAsia" w:cs="Calibri"/>
          <w:color w:val="000000"/>
          <w:szCs w:val="24"/>
        </w:rPr>
        <w:t>中的曲线</w:t>
      </w:r>
      <w:r>
        <w:rPr>
          <w:rFonts w:cs="Calibri"/>
          <w:color w:val="000000"/>
          <w:szCs w:val="24"/>
        </w:rPr>
        <w:t>OAB</w:t>
      </w:r>
      <w:r>
        <w:rPr>
          <w:rFonts w:hint="eastAsia" w:cs="Calibri"/>
          <w:color w:val="000000"/>
          <w:szCs w:val="24"/>
        </w:rPr>
        <w:t>所示。</w:t>
      </w:r>
    </w:p>
    <w:tbl>
      <w:tblPr>
        <w:tblStyle w:val="32"/>
        <w:tblW w:w="9781" w:type="dxa"/>
        <w:tblInd w:w="0" w:type="dxa"/>
        <w:tblLayout w:type="autofit"/>
        <w:tblCellMar>
          <w:top w:w="0" w:type="dxa"/>
          <w:left w:w="108" w:type="dxa"/>
          <w:bottom w:w="0" w:type="dxa"/>
          <w:right w:w="108" w:type="dxa"/>
        </w:tblCellMar>
      </w:tblPr>
      <w:tblGrid>
        <w:gridCol w:w="9781"/>
      </w:tblGrid>
      <w:tr>
        <w:tblPrEx>
          <w:tblCellMar>
            <w:top w:w="0" w:type="dxa"/>
            <w:left w:w="108" w:type="dxa"/>
            <w:bottom w:w="0" w:type="dxa"/>
            <w:right w:w="108" w:type="dxa"/>
          </w:tblCellMar>
        </w:tblPrEx>
        <w:tc>
          <w:tcPr>
            <w:tcW w:w="9781" w:type="dxa"/>
            <w:noWrap w:val="0"/>
            <w:vAlign w:val="center"/>
          </w:tcPr>
          <w:p>
            <w:pPr>
              <w:spacing w:line="360" w:lineRule="auto"/>
              <w:jc w:val="center"/>
              <w:rPr>
                <w:rFonts w:ascii="等线" w:hAnsi="等线" w:eastAsia="等线"/>
                <w:color w:val="000000"/>
                <w:szCs w:val="24"/>
              </w:rPr>
            </w:pPr>
            <w:r>
              <w:rPr>
                <w:rFonts w:ascii="等线" w:hAnsi="等线" w:eastAsia="等线"/>
                <w:color w:val="000000"/>
                <w:szCs w:val="24"/>
              </w:rPr>
              <w:drawing>
                <wp:inline distT="0" distB="0" distL="114300" distR="114300">
                  <wp:extent cx="2927350" cy="1797050"/>
                  <wp:effectExtent l="0" t="0" r="8890" b="5715"/>
                  <wp:docPr id="97" name="图片 273" descr="图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73" descr="图B3"/>
                          <pic:cNvPicPr>
                            <a:picLocks noChangeAspect="1"/>
                          </pic:cNvPicPr>
                        </pic:nvPicPr>
                        <pic:blipFill>
                          <a:blip r:embed="rId586"/>
                          <a:stretch>
                            <a:fillRect/>
                          </a:stretch>
                        </pic:blipFill>
                        <pic:spPr>
                          <a:xfrm>
                            <a:off x="0" y="0"/>
                            <a:ext cx="2927350" cy="1797050"/>
                          </a:xfrm>
                          <a:prstGeom prst="rect">
                            <a:avLst/>
                          </a:prstGeom>
                          <a:noFill/>
                          <a:ln>
                            <a:noFill/>
                          </a:ln>
                        </pic:spPr>
                      </pic:pic>
                    </a:graphicData>
                  </a:graphic>
                </wp:inline>
              </w:drawing>
            </w:r>
          </w:p>
        </w:tc>
      </w:tr>
      <w:tr>
        <w:tblPrEx>
          <w:tblCellMar>
            <w:top w:w="0" w:type="dxa"/>
            <w:left w:w="108" w:type="dxa"/>
            <w:bottom w:w="0" w:type="dxa"/>
            <w:right w:w="108" w:type="dxa"/>
          </w:tblCellMar>
        </w:tblPrEx>
        <w:tc>
          <w:tcPr>
            <w:tcW w:w="9781" w:type="dxa"/>
            <w:noWrap w:val="0"/>
            <w:vAlign w:val="center"/>
          </w:tcPr>
          <w:p>
            <w:pPr>
              <w:spacing w:line="360" w:lineRule="auto"/>
              <w:jc w:val="center"/>
              <w:rPr>
                <w:rFonts w:ascii="等线" w:hAnsi="等线" w:eastAsia="等线"/>
                <w:color w:val="000000"/>
                <w:szCs w:val="24"/>
              </w:rPr>
            </w:pPr>
            <w:r>
              <w:rPr>
                <w:rFonts w:hint="eastAsia" w:ascii="等线" w:hAnsi="等线" w:eastAsia="黑体"/>
                <w:color w:val="000000"/>
                <w:szCs w:val="21"/>
              </w:rPr>
              <w:t>图</w:t>
            </w:r>
            <w:r>
              <w:rPr>
                <w:rFonts w:ascii="等线" w:hAnsi="等线" w:eastAsia="黑体"/>
                <w:color w:val="000000"/>
                <w:szCs w:val="21"/>
              </w:rPr>
              <w:t>I.2.5-1 Mander</w:t>
            </w:r>
            <w:r>
              <w:rPr>
                <w:rFonts w:hint="eastAsia" w:ascii="等线" w:hAnsi="等线" w:eastAsia="黑体"/>
                <w:color w:val="000000"/>
                <w:szCs w:val="21"/>
              </w:rPr>
              <w:t>约束混凝土模型受压骨架线</w:t>
            </w:r>
          </w:p>
        </w:tc>
      </w:tr>
    </w:tbl>
    <w:p>
      <w:pPr>
        <w:tabs>
          <w:tab w:val="center" w:pos="4962"/>
          <w:tab w:val="right" w:pos="9746"/>
        </w:tabs>
        <w:spacing w:line="360" w:lineRule="auto"/>
        <w:jc w:val="right"/>
        <w:rPr>
          <w:rFonts w:cs="Calibri"/>
          <w:i/>
          <w:color w:val="000000"/>
          <w:szCs w:val="24"/>
        </w:rPr>
      </w:pPr>
      <w:r>
        <w:rPr>
          <w:rFonts w:cs="Calibri"/>
          <w:color w:val="000000"/>
          <w:szCs w:val="24"/>
        </w:rPr>
        <w:fldChar w:fldCharType="begin"/>
      </w:r>
      <w:r>
        <w:rPr>
          <w:rFonts w:cs="Calibri"/>
          <w:color w:val="000000"/>
          <w:szCs w:val="24"/>
        </w:rPr>
        <w:instrText xml:space="preserve"> QUOTE </w:instrText>
      </w:r>
      <w:r>
        <w:rPr>
          <w:rFonts w:cs="Calibri"/>
          <w:color w:val="000000"/>
          <w:position w:val="-23"/>
        </w:rPr>
        <w:pict>
          <v:shape id="_x0000_i1272" o:spt="75" type="#_x0000_t75" style="height:31pt;width:48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145664&quot;/&gt;&lt;wsp:rsid wsp:val=&quot;006C01A1&quot;/&gt;&lt;wsp:rsid wsp:val=&quot;00D9087C&quot;/&gt;&lt;wsp:rsid wsp:val=&quot;00EC0B03&quot;/&gt;&lt;/wsp:rsids&gt;&lt;/w:docPr&gt;&lt;w:body&gt;&lt;wx:sect&gt;&lt;w:p wsp:rsidR=&quot;00000000&quot; wsp:rsidRDefault=&quot;00EC0B03&quot; wsp:rsidP=&quot;00EC0B03&quot;&gt;&lt;m:oMathPara&gt;&lt;m:oMath&gt;&lt;m:r&gt;&lt;aml:annotation aml:id=&quot;0&quot; w:type=&quot;Word.Insertion&quot; aml:author=&quot;13901212966@sina.cn&quot; aml:createdate=&quot;2019-11-19T23:50:00Z&quot;&gt;&lt;aml:content&gt;&lt;w:rPr&gt;&lt;w:rFonts w:ascii=&quot;Cambria Math&quot; w:h-ansi=&quot;Cambria Math&quot;/&gt;&lt;wx:font wx:val=&quot;Cambria Math&quot;/&gt;&lt;w:i/&gt;&lt;w:sz-cs w:val=&quot;24&quot;/&gt;&lt;/w:rPr&gt;&lt;m:t&gt;σ=&lt;/m:t&gt;&lt;/aml:content&gt;&lt;/aml:annotation&gt;&lt;/m:r&gt;&lt;m:f&gt;&lt;m:fPr&gt;&lt;m:ctrlPr&gt;&lt;aml:annotation aml:id=&quot;1&quot; w:type=&quot;Word.Insertion&quot; aml:author=&quot;13901212966@sina.cn&quot; aml:createdate=&quot;2019-11-19T23:50:00Z&quot;&gt;&lt;aml:content&gt;&lt;w:rPr&gt;&lt;w:rFonts w:ascii=&quot;Cambria Math&quot; w:h-ansi=&quot;Cambria Math&quot;/&gt;&lt;wx:font wx:val=&quot;Cambria Math&quot;/&gt;&lt;w:i/&gt;&lt;w:sz-cs w:val=&quot;24&quot;/&gt;&lt;/w:rPr&gt;&lt;/aml:content&gt;&lt;/aml:annotation&gt;&lt;/m:ctrlPr&gt;&lt;/m:fPr&gt;&lt;m:num&gt;&lt;m:sSub&gt;&lt;m:sSubPr&gt;&lt;m:ctrlPr&gt;&lt;aml:annotation aml:id=&quot;2&quot; w:type=&quot;Word.Insertion&quot; aml:author=&quot;13901212966@sina.cn&quot; aml:createdate=&quot;2019-11-19T23:50:00Z&quot;&gt;&lt;aml:content&gt;&lt;w:rPr&gt;&lt;w:rFonts w:ascii=&quot;Cambria Math&quot; w:h-ansi=&quot;Cambria Math&quot;/&gt;&lt;wx:font wx:val=&quot;Cambria Math&quot;/&gt;&lt;w:i/&gt;&lt;w:sz-cs w:val=&quot;24&quot;/&gt;&lt;/w:rPr&gt;&lt;/aml:content&gt;&lt;/aml:annotation&gt;&lt;/m:ctrlPr&gt;&lt;/m:sSubPr&gt;&lt;m:e&gt;&lt;m:r&gt;&lt;aml:annotation aml:id=&quot;3&quot; w:type=&quot;Word.Insertion&quot; aml:author=&quot;13901212966@sina.cn&quot; aml:createdate=&quot;2019-11-19T23:50:00Z&quot;&gt;&lt;aml:content&gt;&lt;w:rPr&gt;&lt;w:rFonts w:ascii=&quot;Cambria Math&quot; w:h-ansi=&quot;Cambria Math&quot;/&gt;&lt;wx:font wx:val=&quot;Cambria Math&quot;/&gt;&lt;w:i/&gt;&lt;w:sz-cs w:val=&quot;24&quot;/&gt;&lt;/w:rPr&gt;&lt;m:t&gt;f&lt;/m:t&gt;&lt;/aml:content&gt;&lt;/aml:annotation&gt;&lt;/m:r&gt;&lt;/m:e&gt;&lt;m:sub&gt;&lt;m:r&gt;&lt;aml:annotation aml:id=&quot;4&quot; w:type=&quot;Word.Insertion&quot; aml:author=&quot;13901212966@sina.cn&quot; aml:createdate=&quot;2019-11-19T23:50:00Z&quot;&gt;&lt;aml:content&gt;&lt;m:rPr&gt;&lt;m:sty m:val=&quot;p&quot;/&gt;&lt;/m:rPr&gt;&lt;w:rPr&gt;&lt;w:rFonts w:ascii=&quot;Cambria Math&quot; w:h-ansi=&quot;Cambria Math&quot;/&gt;&lt;wx:font wx:val=&quot;Cambria Math&quot;/&gt;&lt;w:sz-cs w:val=&quot;24&quot;/&gt;&lt;/w:rPr&gt;&lt;m:t&gt;cc&lt;/m:t&gt;&lt;/aml:content&gt;&lt;/aml:annotation&gt;&lt;/m:r&gt;&lt;/m:sub&gt;&lt;/m:sSub&gt;&lt;m:r&gt;&lt;aml:annotation aml:id=&quot;5&quot; w:type=&quot;Word.Insertion&quot; aml:author=&quot;13901212966@sina.cn&quot; aml:createdate=&quot;2019-11-19T23:50:00Z&quot;&gt;&lt;aml:content&gt;&lt;w:rPr&gt;&lt;w:rFonts w:ascii=&quot;Cambria Math&quot; w:h-ansi=&quot;Cambria Math&quot;/&gt;&lt;wx:font wx:val=&quot;Cambria Math&quot;/&gt;&lt;w:i/&gt;&lt;w:sz-cs w:val=&quot;24&quot;/&gt;&lt;/w:rPr&gt;&lt;m:t&gt;xr&lt;/m:t&gt;&lt;/aml:content&gt;&lt;/aml:annotation&gt;&lt;/m:r&gt;&lt;/m:num&gt;&lt;m:den&gt;&lt;m:r&gt;&lt;aml:annotation aml:id=&quot;6&quot; w:type=&quot;Word.Insertion&quot; aml:author=&quot;13901212966@sina.cn&quot; aml:createdate=&quot;2019-11-19T23:50:00Z&quot;&gt;&lt;aml:content&gt;&lt;w:rPr&gt;&lt;w:rFonts w:ascii=&quot;Cambria Math&quot; w:h-ansi=&quot;Cambria Math&quot;/&gt;&lt;wx:font wx:val=&quot;Cambria Math&quot;/&gt;&lt;w:i/&gt;&lt;w:sz-cs w:val=&quot;24&quot;/&gt;&lt;/w:rPr&gt;&lt;m:t&gt;r-1+&lt;/m:t&gt;&lt;/aml:content&gt;&lt;/aml:annotation&gt;&lt;/m:r&gt;&lt;m:sSup&gt;&lt;m:sSupPr&gt;&lt;m:ctrlPr&gt;&lt;aml:annotation aml:id=&quot;7&quot; w:type=&quot;Word.Insertion&quot; aml:author=&quot;13901212966@sina.cn&quot; aml:createdate=&quot;2019-11-19T23:50:00Z&quot;&gt;&lt;aml:content&gt;&lt;w:rPr&gt;&lt;w:rFonts w:ascii=&quot;Cambria Math&quot; w:h-ansi=&quot;Cambria Math&quot;/&gt;&lt;wx:font wx:val=&quot;Cambria Math&quot;/&gt;&lt;w:i/&gt;&lt;w:sz-cs w:val=&quot;24&quot;/&gt;&lt;/w:rPr&gt;&lt;/aml:content&gt;&lt;/aml:annotation&gt;&lt;/m:ctrlPr&gt;&lt;/m:sSupPr&gt;&lt;m:e&gt;&lt;m:r&gt;&lt;aml:annotation aml:id=&quot;8&quot; w:type=&quot;Word.Insertion&quot; aml:author=&quot;13901212966@sina.cn&quot; aml:createdate=&quot;2019-11-19T23:50:00Z&quot;&gt;&lt;aml:content&gt;&lt;w:rPr&gt;&lt;w:rFonts w:ascii=&quot;Cambria Math&quot; w:h-ansi=&quot;Cambria Math&quot;/&gt;&lt;wx:font wx:val=&quot;Cambria Math&quot;/&gt;&lt;w:i/&gt;&lt;w:sz-cs w:val=&quot;24&quot;/&gt;&lt;/w:rPr&gt;&lt;m:t&gt;x&lt;/m:t&gt;&lt;/aml:content&gt;&lt;/aml:annotation&gt;&lt;/m:r&gt;&lt;/m:e&gt;&lt;m:sup&gt;&lt;m:r&gt;&lt;aml:annotation aml:id=&quot;9&quot; w:type=&quot;Word.Insertion&quot; aml:author=&quot;13901212966@sina.cn&quot; aml:createdate=&quot;2019-11-19T23:50:00Z&quot;&gt;&lt;aml:content&gt;&lt;w:rPr&gt;&lt;w:rFonts w:ascii=&quot;Cambria Math&quot; w:h-ansi=&quot;Cambria Math&quot;/&gt;&lt;wx:font wx:val=&quot;Cambria Math&quot;/&gt;&lt;w:i/&gt;&lt;w:sz-cs w:val=&quot;24&quot;/&gt;&lt;/w:rPr&gt;&lt;m:t&gt;r&lt;/m:t&gt;&lt;/aml:content&gt;&lt;/aml:annotation&gt;&lt;/m:r&gt;&lt;/m:sup&gt;&lt;/m:sSup&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87" chromakey="#FFFFFF" o:title=""/>
            <o:lock v:ext="edit" aspectratio="t"/>
            <w10:wrap type="none"/>
            <w10:anchorlock/>
          </v:shape>
        </w:pict>
      </w:r>
      <w:r>
        <w:rPr>
          <w:rFonts w:cs="Calibri"/>
          <w:color w:val="000000"/>
          <w:szCs w:val="24"/>
        </w:rPr>
        <w:instrText xml:space="preserve"> </w:instrText>
      </w:r>
      <w:r>
        <w:rPr>
          <w:rFonts w:cs="Calibri"/>
          <w:color w:val="000000"/>
          <w:szCs w:val="24"/>
        </w:rPr>
        <w:fldChar w:fldCharType="separate"/>
      </w:r>
      <w:r>
        <w:rPr>
          <w:rFonts w:cs="Calibri"/>
          <w:color w:val="000000"/>
          <w:position w:val="-23"/>
        </w:rPr>
        <w:pict>
          <v:shape id="_x0000_i1273" o:spt="75" type="#_x0000_t75" style="height:31pt;width:48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145664&quot;/&gt;&lt;wsp:rsid wsp:val=&quot;006C01A1&quot;/&gt;&lt;wsp:rsid wsp:val=&quot;00D9087C&quot;/&gt;&lt;wsp:rsid wsp:val=&quot;00EC0B03&quot;/&gt;&lt;/wsp:rsids&gt;&lt;/w:docPr&gt;&lt;w:body&gt;&lt;wx:sect&gt;&lt;w:p wsp:rsidR=&quot;00000000&quot; wsp:rsidRDefault=&quot;00EC0B03&quot; wsp:rsidP=&quot;00EC0B03&quot;&gt;&lt;m:oMathPara&gt;&lt;m:oMath&gt;&lt;m:r&gt;&lt;aml:annotation aml:id=&quot;0&quot; w:type=&quot;Word.Insertion&quot; aml:author=&quot;13901212966@sina.cn&quot; aml:createdate=&quot;2019-11-19T23:50:00Z&quot;&gt;&lt;aml:content&gt;&lt;w:rPr&gt;&lt;w:rFonts w:ascii=&quot;Cambria Math&quot; w:h-ansi=&quot;Cambria Math&quot;/&gt;&lt;wx:font wx:val=&quot;Cambria Math&quot;/&gt;&lt;w:i/&gt;&lt;w:sz-cs w:val=&quot;24&quot;/&gt;&lt;/w:rPr&gt;&lt;m:t&gt;σ=&lt;/m:t&gt;&lt;/aml:content&gt;&lt;/aml:annotation&gt;&lt;/m:r&gt;&lt;m:f&gt;&lt;m:fPr&gt;&lt;m:ctrlPr&gt;&lt;aml:annotation aml:id=&quot;1&quot; w:type=&quot;Word.Insertion&quot; aml:author=&quot;13901212966@sina.cn&quot; aml:createdate=&quot;2019-11-19T23:50:00Z&quot;&gt;&lt;aml:content&gt;&lt;w:rPr&gt;&lt;w:rFonts w:ascii=&quot;Cambria Math&quot; w:h-ansi=&quot;Cambria Math&quot;/&gt;&lt;wx:font wx:val=&quot;Cambria Math&quot;/&gt;&lt;w:i/&gt;&lt;w:sz-cs w:val=&quot;24&quot;/&gt;&lt;/w:rPr&gt;&lt;/aml:content&gt;&lt;/aml:annotation&gt;&lt;/m:ctrlPr&gt;&lt;/m:fPr&gt;&lt;m:num&gt;&lt;m:sSub&gt;&lt;m:sSubPr&gt;&lt;m:ctrlPr&gt;&lt;aml:annotation aml:id=&quot;2&quot; w:type=&quot;Word.Insertion&quot; aml:author=&quot;13901212966@sina.cn&quot; aml:createdate=&quot;2019-11-19T23:50:00Z&quot;&gt;&lt;aml:content&gt;&lt;w:rPr&gt;&lt;w:rFonts w:ascii=&quot;Cambria Math&quot; w:h-ansi=&quot;Cambria Math&quot;/&gt;&lt;wx:font wx:val=&quot;Cambria Math&quot;/&gt;&lt;w:i/&gt;&lt;w:sz-cs w:val=&quot;24&quot;/&gt;&lt;/w:rPr&gt;&lt;/aml:content&gt;&lt;/aml:annotation&gt;&lt;/m:ctrlPr&gt;&lt;/m:sSubPr&gt;&lt;m:e&gt;&lt;m:r&gt;&lt;aml:annotation aml:id=&quot;3&quot; w:type=&quot;Word.Insertion&quot; aml:author=&quot;13901212966@sina.cn&quot; aml:createdate=&quot;2019-11-19T23:50:00Z&quot;&gt;&lt;aml:content&gt;&lt;w:rPr&gt;&lt;w:rFonts w:ascii=&quot;Cambria Math&quot; w:h-ansi=&quot;Cambria Math&quot;/&gt;&lt;wx:font wx:val=&quot;Cambria Math&quot;/&gt;&lt;w:i/&gt;&lt;w:sz-cs w:val=&quot;24&quot;/&gt;&lt;/w:rPr&gt;&lt;m:t&gt;f&lt;/m:t&gt;&lt;/aml:content&gt;&lt;/aml:annotation&gt;&lt;/m:r&gt;&lt;/m:e&gt;&lt;m:sub&gt;&lt;m:r&gt;&lt;aml:annotation aml:id=&quot;4&quot; w:type=&quot;Word.Insertion&quot; aml:author=&quot;13901212966@sina.cn&quot; aml:createdate=&quot;2019-11-19T23:50:00Z&quot;&gt;&lt;aml:content&gt;&lt;m:rPr&gt;&lt;m:sty m:val=&quot;p&quot;/&gt;&lt;/m:rPr&gt;&lt;w:rPr&gt;&lt;w:rFonts w:ascii=&quot;Cambria Math&quot; w:h-ansi=&quot;Cambria Math&quot;/&gt;&lt;wx:font wx:val=&quot;Cambria Math&quot;/&gt;&lt;w:sz-cs w:val=&quot;24&quot;/&gt;&lt;/w:rPr&gt;&lt;m:t&gt;cc&lt;/m:t&gt;&lt;/aml:content&gt;&lt;/aml:annotation&gt;&lt;/m:r&gt;&lt;/m:sub&gt;&lt;/m:sSub&gt;&lt;m:r&gt;&lt;aml:annotation aml:id=&quot;5&quot; w:type=&quot;Word.Insertion&quot; aml:author=&quot;13901212966@sina.cn&quot; aml:createdate=&quot;2019-11-19T23:50:00Z&quot;&gt;&lt;aml:content&gt;&lt;w:rPr&gt;&lt;w:rFonts w:ascii=&quot;Cambria Math&quot; w:h-ansi=&quot;Cambria Math&quot;/&gt;&lt;wx:font wx:val=&quot;Cambria Math&quot;/&gt;&lt;w:i/&gt;&lt;w:sz-cs w:val=&quot;24&quot;/&gt;&lt;/w:rPr&gt;&lt;m:t&gt;xr&lt;/m:t&gt;&lt;/aml:content&gt;&lt;/aml:annotation&gt;&lt;/m:r&gt;&lt;/m:num&gt;&lt;m:den&gt;&lt;m:r&gt;&lt;aml:annotation aml:id=&quot;6&quot; w:type=&quot;Word.Insertion&quot; aml:author=&quot;13901212966@sina.cn&quot; aml:createdate=&quot;2019-11-19T23:50:00Z&quot;&gt;&lt;aml:content&gt;&lt;w:rPr&gt;&lt;w:rFonts w:ascii=&quot;Cambria Math&quot; w:h-ansi=&quot;Cambria Math&quot;/&gt;&lt;wx:font wx:val=&quot;Cambria Math&quot;/&gt;&lt;w:i/&gt;&lt;w:sz-cs w:val=&quot;24&quot;/&gt;&lt;/w:rPr&gt;&lt;m:t&gt;r-1+&lt;/m:t&gt;&lt;/aml:content&gt;&lt;/aml:annotation&gt;&lt;/m:r&gt;&lt;m:sSup&gt;&lt;m:sSupPr&gt;&lt;m:ctrlPr&gt;&lt;aml:annotation aml:id=&quot;7&quot; w:type=&quot;Word.Insertion&quot; aml:author=&quot;13901212966@sina.cn&quot; aml:createdate=&quot;2019-11-19T23:50:00Z&quot;&gt;&lt;aml:content&gt;&lt;w:rPr&gt;&lt;w:rFonts w:ascii=&quot;Cambria Math&quot; w:h-ansi=&quot;Cambria Math&quot;/&gt;&lt;wx:font wx:val=&quot;Cambria Math&quot;/&gt;&lt;w:i/&gt;&lt;w:sz-cs w:val=&quot;24&quot;/&gt;&lt;/w:rPr&gt;&lt;/aml:content&gt;&lt;/aml:annotation&gt;&lt;/m:ctrlPr&gt;&lt;/m:sSupPr&gt;&lt;m:e&gt;&lt;m:r&gt;&lt;aml:annotation aml:id=&quot;8&quot; w:type=&quot;Word.Insertion&quot; aml:author=&quot;13901212966@sina.cn&quot; aml:createdate=&quot;2019-11-19T23:50:00Z&quot;&gt;&lt;aml:content&gt;&lt;w:rPr&gt;&lt;w:rFonts w:ascii=&quot;Cambria Math&quot; w:h-ansi=&quot;Cambria Math&quot;/&gt;&lt;wx:font wx:val=&quot;Cambria Math&quot;/&gt;&lt;w:i/&gt;&lt;w:sz-cs w:val=&quot;24&quot;/&gt;&lt;/w:rPr&gt;&lt;m:t&gt;x&lt;/m:t&gt;&lt;/aml:content&gt;&lt;/aml:annotation&gt;&lt;/m:r&gt;&lt;/m:e&gt;&lt;m:sup&gt;&lt;m:r&gt;&lt;aml:annotation aml:id=&quot;9&quot; w:type=&quot;Word.Insertion&quot; aml:author=&quot;13901212966@sina.cn&quot; aml:createdate=&quot;2019-11-19T23:50:00Z&quot;&gt;&lt;aml:content&gt;&lt;w:rPr&gt;&lt;w:rFonts w:ascii=&quot;Cambria Math&quot; w:h-ansi=&quot;Cambria Math&quot;/&gt;&lt;wx:font wx:val=&quot;Cambria Math&quot;/&gt;&lt;w:i/&gt;&lt;w:sz-cs w:val=&quot;24&quot;/&gt;&lt;/w:rPr&gt;&lt;m:t&gt;r&lt;/m:t&gt;&lt;/aml:content&gt;&lt;/aml:annotation&gt;&lt;/m:r&gt;&lt;/m:sup&gt;&lt;/m:sSup&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87" chromakey="#FFFFFF" o:title=""/>
            <o:lock v:ext="edit" aspectratio="t"/>
            <w10:wrap type="none"/>
            <w10:anchorlock/>
          </v:shape>
        </w:pict>
      </w:r>
      <w:r>
        <w:rPr>
          <w:rFonts w:cs="Calibri"/>
          <w:color w:val="000000"/>
          <w:szCs w:val="24"/>
        </w:rPr>
        <w:fldChar w:fldCharType="end"/>
      </w:r>
      <w:r>
        <w:rPr>
          <w:rFonts w:cs="Calibri"/>
          <w:color w:val="000000"/>
          <w:szCs w:val="24"/>
        </w:rPr>
        <w:tab/>
      </w:r>
      <w:r>
        <w:rPr>
          <w:rFonts w:cs="Calibri"/>
          <w:color w:val="000000"/>
          <w:szCs w:val="24"/>
        </w:rPr>
        <w:t xml:space="preserve">  </w:t>
      </w:r>
      <w:r>
        <w:rPr>
          <w:rFonts w:hint="eastAsia" w:cs="Calibri"/>
          <w:color w:val="000000"/>
          <w:szCs w:val="24"/>
        </w:rPr>
        <w:t>（</w:t>
      </w:r>
      <w:r>
        <w:rPr>
          <w:rFonts w:cs="Calibri"/>
          <w:color w:val="000000"/>
          <w:szCs w:val="24"/>
        </w:rPr>
        <w:t>I.2.5-1</w:t>
      </w:r>
      <w:r>
        <w:rPr>
          <w:rFonts w:hint="eastAsia" w:cs="Calibri"/>
          <w:color w:val="000000"/>
          <w:szCs w:val="24"/>
        </w:rPr>
        <w:t>）</w:t>
      </w:r>
    </w:p>
    <w:p>
      <w:pPr>
        <w:tabs>
          <w:tab w:val="center" w:pos="4962"/>
          <w:tab w:val="right" w:pos="9746"/>
        </w:tabs>
        <w:spacing w:line="360" w:lineRule="auto"/>
        <w:jc w:val="right"/>
        <w:rPr>
          <w:rFonts w:cs="Calibri"/>
          <w:color w:val="000000"/>
          <w:szCs w:val="22"/>
        </w:rPr>
      </w:pPr>
      <w:r>
        <w:rPr>
          <w:rFonts w:cs="Calibri"/>
          <w:color w:val="000000"/>
          <w:position w:val="-28"/>
          <w:szCs w:val="24"/>
        </w:rPr>
        <w:object>
          <v:shape id="_x0000_i1274" o:spt="75" type="#_x0000_t75" style="height:36.5pt;width:36.5pt;" o:ole="t" filled="f" o:preferrelative="t" stroked="f" coordsize="21600,21600">
            <v:path/>
            <v:fill on="f" focussize="0,0"/>
            <v:stroke on="f"/>
            <v:imagedata r:id="rId589" o:title=""/>
            <o:lock v:ext="edit" aspectratio="t"/>
            <w10:wrap type="none"/>
            <w10:anchorlock/>
          </v:shape>
          <o:OLEObject Type="Embed" ProgID="Equation.DSMT4" ShapeID="_x0000_i1274" DrawAspect="Content" ObjectID="_1468075962" r:id="rId588">
            <o:LockedField>false</o:LockedField>
          </o:OLEObject>
        </w:object>
      </w:r>
      <w:r>
        <w:rPr>
          <w:rFonts w:cs="Calibri"/>
          <w:color w:val="000000"/>
        </w:rPr>
        <w:tab/>
      </w:r>
      <w:r>
        <w:rPr>
          <w:rFonts w:hint="eastAsia" w:cs="Calibri"/>
          <w:color w:val="000000"/>
        </w:rPr>
        <w:t>（</w:t>
      </w:r>
      <w:r>
        <w:rPr>
          <w:rFonts w:cs="Calibri"/>
          <w:color w:val="000000"/>
          <w:szCs w:val="24"/>
        </w:rPr>
        <w:t>I.2.5-2</w:t>
      </w:r>
      <w:r>
        <w:rPr>
          <w:rFonts w:hint="eastAsia" w:cs="Calibri"/>
          <w:color w:val="000000"/>
        </w:rPr>
        <w:t>）</w:t>
      </w:r>
    </w:p>
    <w:p>
      <w:pPr>
        <w:tabs>
          <w:tab w:val="center" w:pos="4962"/>
          <w:tab w:val="right" w:pos="9746"/>
        </w:tabs>
        <w:spacing w:line="360" w:lineRule="auto"/>
        <w:jc w:val="right"/>
        <w:rPr>
          <w:rFonts w:cs="Calibri"/>
          <w:color w:val="000000"/>
        </w:rPr>
      </w:pPr>
      <w:r>
        <w:rPr>
          <w:rFonts w:cs="Calibri"/>
          <w:color w:val="000000"/>
          <w:position w:val="-28"/>
          <w:szCs w:val="24"/>
        </w:rPr>
        <w:object>
          <v:shape id="_x0000_i1275" o:spt="75" type="#_x0000_t75" style="height:36.5pt;width:61pt;" o:ole="t" filled="f" o:preferrelative="t" stroked="f" coordsize="21600,21600">
            <v:path/>
            <v:fill on="f" focussize="0,0"/>
            <v:stroke on="f"/>
            <v:imagedata r:id="rId591" o:title=""/>
            <o:lock v:ext="edit" aspectratio="t"/>
            <w10:wrap type="none"/>
            <w10:anchorlock/>
          </v:shape>
          <o:OLEObject Type="Embed" ProgID="Equation.DSMT4" ShapeID="_x0000_i1275" DrawAspect="Content" ObjectID="_1468075963" r:id="rId590">
            <o:LockedField>false</o:LockedField>
          </o:OLEObject>
        </w:object>
      </w:r>
      <w:r>
        <w:rPr>
          <w:rFonts w:cs="Calibri"/>
          <w:color w:val="000000"/>
        </w:rPr>
        <w:tab/>
      </w:r>
      <w:r>
        <w:rPr>
          <w:rFonts w:cs="Calibri"/>
          <w:color w:val="000000"/>
          <w:szCs w:val="24"/>
        </w:rPr>
        <w:t xml:space="preserve"> </w:t>
      </w:r>
      <w:r>
        <w:rPr>
          <w:rFonts w:hint="eastAsia" w:cs="Calibri"/>
          <w:color w:val="000000"/>
        </w:rPr>
        <w:t>（</w:t>
      </w:r>
      <w:r>
        <w:rPr>
          <w:rFonts w:cs="Calibri"/>
          <w:color w:val="000000"/>
          <w:szCs w:val="24"/>
        </w:rPr>
        <w:t>I.2.5-3</w:t>
      </w:r>
      <w:r>
        <w:rPr>
          <w:rFonts w:hint="eastAsia" w:cs="Calibri"/>
          <w:color w:val="000000"/>
        </w:rPr>
        <w:t>）</w:t>
      </w:r>
    </w:p>
    <w:p>
      <w:pPr>
        <w:tabs>
          <w:tab w:val="left" w:pos="650"/>
          <w:tab w:val="left" w:pos="1843"/>
          <w:tab w:val="decimal" w:pos="3828"/>
          <w:tab w:val="center" w:pos="4962"/>
          <w:tab w:val="right" w:pos="9746"/>
        </w:tabs>
        <w:spacing w:line="360" w:lineRule="auto"/>
        <w:rPr>
          <w:rFonts w:cs="Calibri"/>
          <w:color w:val="000000"/>
          <w:szCs w:val="24"/>
        </w:rPr>
      </w:pPr>
      <w:r>
        <w:rPr>
          <w:rFonts w:hint="eastAsia" w:cs="Calibri"/>
          <w:color w:val="000000"/>
          <w:szCs w:val="24"/>
        </w:rPr>
        <w:t>式中：</w:t>
      </w:r>
      <w:r>
        <w:rPr>
          <w:rFonts w:cs="Calibri"/>
          <w:i/>
          <w:color w:val="000000"/>
          <w:szCs w:val="24"/>
        </w:rPr>
        <w:tab/>
      </w:r>
      <w:r>
        <w:rPr>
          <w:rFonts w:cs="Calibri"/>
          <w:i/>
          <w:color w:val="000000"/>
          <w:szCs w:val="24"/>
        </w:rPr>
        <w:t>σ</w:t>
      </w:r>
      <w:r>
        <w:rPr>
          <w:rFonts w:cs="Calibri"/>
          <w:color w:val="000000"/>
        </w:rPr>
        <w:t>——</w:t>
      </w:r>
      <w:r>
        <w:rPr>
          <w:rFonts w:hint="eastAsia" w:cs="Calibri"/>
          <w:color w:val="000000"/>
          <w:szCs w:val="24"/>
        </w:rPr>
        <w:t>约束混凝土轴向受压应力；</w:t>
      </w:r>
    </w:p>
    <w:p>
      <w:pPr>
        <w:tabs>
          <w:tab w:val="left" w:pos="650"/>
          <w:tab w:val="left" w:pos="1843"/>
          <w:tab w:val="decimal" w:pos="3828"/>
          <w:tab w:val="center" w:pos="4962"/>
          <w:tab w:val="right" w:pos="9746"/>
        </w:tabs>
        <w:spacing w:line="360" w:lineRule="auto"/>
        <w:ind w:firstLine="420" w:firstLineChars="200"/>
        <w:rPr>
          <w:rFonts w:cs="Calibri"/>
          <w:color w:val="000000"/>
          <w:kern w:val="0"/>
          <w:szCs w:val="22"/>
        </w:rPr>
      </w:pPr>
      <w:r>
        <w:rPr>
          <w:rFonts w:cs="Calibri"/>
          <w:i/>
          <w:color w:val="000000"/>
          <w:szCs w:val="24"/>
        </w:rPr>
        <w:tab/>
      </w:r>
      <w:r>
        <w:rPr>
          <w:rFonts w:cs="Calibri"/>
          <w:i/>
          <w:color w:val="000000"/>
          <w:szCs w:val="24"/>
        </w:rPr>
        <w:t>ε</w:t>
      </w:r>
      <w:r>
        <w:rPr>
          <w:rFonts w:cs="Calibri"/>
          <w:color w:val="000000"/>
        </w:rPr>
        <w:t>——</w:t>
      </w:r>
      <w:r>
        <w:rPr>
          <w:rFonts w:hint="eastAsia" w:cs="Calibri"/>
          <w:color w:val="000000"/>
          <w:szCs w:val="24"/>
        </w:rPr>
        <w:t>约束混凝土轴向受压应变</w:t>
      </w:r>
      <w:r>
        <w:rPr>
          <w:rFonts w:hint="eastAsia" w:cs="Calibri"/>
          <w:color w:val="000000"/>
          <w:kern w:val="0"/>
        </w:rPr>
        <w:t>；</w:t>
      </w:r>
    </w:p>
    <w:p>
      <w:pPr>
        <w:tabs>
          <w:tab w:val="left" w:pos="650"/>
          <w:tab w:val="left" w:pos="1843"/>
          <w:tab w:val="decimal" w:pos="3828"/>
          <w:tab w:val="center" w:pos="4962"/>
          <w:tab w:val="right" w:pos="9746"/>
        </w:tabs>
        <w:spacing w:line="360" w:lineRule="auto"/>
        <w:ind w:firstLine="420" w:firstLineChars="200"/>
        <w:rPr>
          <w:rFonts w:cs="Calibri"/>
          <w:color w:val="000000"/>
          <w:kern w:val="0"/>
        </w:rPr>
      </w:pPr>
      <w:r>
        <w:rPr>
          <w:rFonts w:cs="Calibri"/>
          <w:i/>
          <w:color w:val="000000"/>
          <w:szCs w:val="24"/>
        </w:rPr>
        <w:tab/>
      </w:r>
      <w:r>
        <w:rPr>
          <w:rFonts w:cs="Calibri"/>
          <w:i/>
          <w:color w:val="000000"/>
          <w:szCs w:val="24"/>
        </w:rPr>
        <w:t>E</w:t>
      </w:r>
      <w:r>
        <w:rPr>
          <w:rFonts w:cs="Calibri"/>
          <w:i/>
          <w:color w:val="000000"/>
          <w:szCs w:val="24"/>
          <w:vertAlign w:val="subscript"/>
        </w:rPr>
        <w:t>c</w:t>
      </w:r>
      <w:r>
        <w:rPr>
          <w:rFonts w:cs="Calibri"/>
          <w:color w:val="000000"/>
        </w:rPr>
        <w:t>——</w:t>
      </w:r>
      <w:r>
        <w:rPr>
          <w:rFonts w:hint="eastAsia" w:cs="Calibri"/>
          <w:color w:val="000000"/>
          <w:szCs w:val="24"/>
        </w:rPr>
        <w:t>混凝土的初始弹性模量</w:t>
      </w:r>
      <w:r>
        <w:rPr>
          <w:rFonts w:hint="eastAsia" w:cs="Calibri"/>
          <w:color w:val="000000"/>
          <w:kern w:val="0"/>
        </w:rPr>
        <w:t>；</w:t>
      </w:r>
    </w:p>
    <w:p>
      <w:pPr>
        <w:tabs>
          <w:tab w:val="left" w:pos="650"/>
          <w:tab w:val="left" w:pos="1843"/>
          <w:tab w:val="decimal" w:pos="3828"/>
          <w:tab w:val="center" w:pos="4962"/>
          <w:tab w:val="right" w:pos="9746"/>
        </w:tabs>
        <w:spacing w:line="360" w:lineRule="auto"/>
        <w:ind w:firstLine="420" w:firstLineChars="200"/>
        <w:rPr>
          <w:rFonts w:cs="Calibri"/>
          <w:color w:val="000000"/>
          <w:kern w:val="0"/>
        </w:rPr>
      </w:pPr>
      <w:r>
        <w:rPr>
          <w:rFonts w:cs="Calibri"/>
          <w:i/>
          <w:color w:val="000000"/>
          <w:szCs w:val="24"/>
        </w:rPr>
        <w:tab/>
      </w:r>
      <w:r>
        <w:rPr>
          <w:rFonts w:cs="Calibri"/>
          <w:i/>
          <w:color w:val="000000"/>
          <w:szCs w:val="24"/>
        </w:rPr>
        <w:t>E</w:t>
      </w:r>
      <w:r>
        <w:rPr>
          <w:rFonts w:cs="Calibri"/>
          <w:i/>
          <w:color w:val="000000"/>
          <w:szCs w:val="24"/>
          <w:vertAlign w:val="subscript"/>
        </w:rPr>
        <w:t>sec</w:t>
      </w:r>
      <w:r>
        <w:rPr>
          <w:rFonts w:cs="Calibri"/>
          <w:color w:val="000000"/>
        </w:rPr>
        <w:t>——</w:t>
      </w:r>
      <w:r>
        <w:rPr>
          <w:rFonts w:hint="eastAsia" w:cs="Calibri"/>
          <w:color w:val="000000"/>
          <w:szCs w:val="24"/>
        </w:rPr>
        <w:t>约束混凝土对应于峰值承载力点的割线模量</w:t>
      </w:r>
      <w:r>
        <w:rPr>
          <w:rFonts w:hint="eastAsia" w:cs="Calibri"/>
          <w:color w:val="000000"/>
          <w:kern w:val="0"/>
        </w:rPr>
        <w:t>。</w:t>
      </w:r>
    </w:p>
    <w:p>
      <w:pPr>
        <w:spacing w:line="360" w:lineRule="auto"/>
        <w:ind w:firstLine="420" w:firstLineChars="200"/>
        <w:rPr>
          <w:rFonts w:cs="Calibri"/>
          <w:color w:val="000000"/>
          <w:szCs w:val="24"/>
        </w:rPr>
      </w:pPr>
      <w:r>
        <w:rPr>
          <w:rFonts w:hint="eastAsia" w:cs="Calibri"/>
          <w:color w:val="000000"/>
          <w:szCs w:val="24"/>
        </w:rPr>
        <w:t>约束混凝土单轴受压峰值应力</w:t>
      </w:r>
      <w:r>
        <w:rPr>
          <w:rFonts w:cs="Calibri"/>
          <w:i/>
          <w:color w:val="000000"/>
          <w:szCs w:val="24"/>
        </w:rPr>
        <w:t>f</w:t>
      </w:r>
      <w:r>
        <w:rPr>
          <w:rFonts w:cs="Calibri"/>
          <w:color w:val="000000"/>
          <w:szCs w:val="24"/>
          <w:vertAlign w:val="subscript"/>
        </w:rPr>
        <w:t>cc</w:t>
      </w:r>
      <w:r>
        <w:rPr>
          <w:rFonts w:hint="eastAsia" w:cs="Calibri"/>
          <w:color w:val="000000"/>
          <w:szCs w:val="24"/>
        </w:rPr>
        <w:t>可按下式确定：</w:t>
      </w:r>
    </w:p>
    <w:p>
      <w:pPr>
        <w:tabs>
          <w:tab w:val="center" w:pos="4962"/>
          <w:tab w:val="right" w:pos="9746"/>
        </w:tabs>
        <w:spacing w:line="360" w:lineRule="auto"/>
        <w:jc w:val="right"/>
        <w:rPr>
          <w:rFonts w:cs="Calibri"/>
          <w:color w:val="000000"/>
          <w:szCs w:val="22"/>
        </w:rPr>
      </w:pPr>
      <w:r>
        <w:rPr>
          <w:rFonts w:cs="Calibri"/>
          <w:color w:val="000000"/>
          <w:position w:val="-30"/>
          <w:szCs w:val="24"/>
        </w:rPr>
        <w:object>
          <v:shape id="_x0000_i1276" o:spt="75" type="#_x0000_t75" style="height:40pt;width:204pt;" o:ole="t" filled="f" o:preferrelative="t" stroked="f" coordsize="21600,21600">
            <v:path/>
            <v:fill on="f" focussize="0,0"/>
            <v:stroke on="f"/>
            <v:imagedata r:id="rId593" o:title=""/>
            <o:lock v:ext="edit" aspectratio="t"/>
            <w10:wrap type="none"/>
            <w10:anchorlock/>
          </v:shape>
          <o:OLEObject Type="Embed" ProgID="Equation.DSMT4" ShapeID="_x0000_i1276" DrawAspect="Content" ObjectID="_1468075964" r:id="rId592">
            <o:LockedField>false</o:LockedField>
          </o:OLEObject>
        </w:object>
      </w:r>
      <w:r>
        <w:rPr>
          <w:rFonts w:cs="Calibri"/>
          <w:color w:val="000000"/>
        </w:rPr>
        <w:tab/>
      </w:r>
      <w:r>
        <w:rPr>
          <w:rFonts w:cs="Calibri"/>
          <w:color w:val="000000"/>
          <w:szCs w:val="24"/>
        </w:rPr>
        <w:t xml:space="preserve"> </w:t>
      </w:r>
      <w:r>
        <w:rPr>
          <w:rFonts w:hint="eastAsia" w:cs="Calibri"/>
          <w:color w:val="000000"/>
        </w:rPr>
        <w:t>（</w:t>
      </w:r>
      <w:r>
        <w:rPr>
          <w:rFonts w:cs="Calibri"/>
          <w:color w:val="000000"/>
          <w:szCs w:val="24"/>
        </w:rPr>
        <w:t>I.2.5-4</w:t>
      </w:r>
      <w:r>
        <w:rPr>
          <w:rFonts w:hint="eastAsia" w:cs="Calibri"/>
          <w:color w:val="000000"/>
        </w:rPr>
        <w:t>）</w:t>
      </w:r>
    </w:p>
    <w:p>
      <w:pPr>
        <w:tabs>
          <w:tab w:val="left" w:pos="650"/>
          <w:tab w:val="left" w:pos="1843"/>
          <w:tab w:val="decimal" w:pos="3828"/>
          <w:tab w:val="center" w:pos="4962"/>
          <w:tab w:val="right" w:pos="9746"/>
        </w:tabs>
        <w:spacing w:line="360" w:lineRule="auto"/>
        <w:ind w:left="2268" w:hanging="2268" w:hangingChars="1080"/>
        <w:rPr>
          <w:rFonts w:cs="Calibri"/>
          <w:color w:val="000000"/>
          <w:szCs w:val="24"/>
        </w:rPr>
      </w:pPr>
      <w:r>
        <w:rPr>
          <w:rFonts w:hint="eastAsia" w:cs="Calibri"/>
          <w:color w:val="000000"/>
          <w:szCs w:val="24"/>
        </w:rPr>
        <w:t>式中：</w:t>
      </w:r>
      <w:r>
        <w:rPr>
          <w:rFonts w:cs="Calibri"/>
          <w:color w:val="000000"/>
          <w:szCs w:val="24"/>
        </w:rPr>
        <w:tab/>
      </w:r>
      <w:r>
        <w:rPr>
          <w:rFonts w:cs="Calibri"/>
          <w:i/>
          <w:color w:val="000000"/>
          <w:szCs w:val="24"/>
        </w:rPr>
        <w:t>f</w:t>
      </w:r>
      <w:r>
        <w:rPr>
          <w:rFonts w:cs="Calibri"/>
          <w:i/>
          <w:color w:val="000000"/>
          <w:szCs w:val="24"/>
          <w:vertAlign w:val="subscript"/>
        </w:rPr>
        <w:t>co</w:t>
      </w:r>
      <w:r>
        <w:rPr>
          <w:rFonts w:cs="Calibri"/>
          <w:color w:val="000000"/>
        </w:rPr>
        <w:t>——</w:t>
      </w:r>
      <w:r>
        <w:rPr>
          <w:rFonts w:hint="eastAsia" w:cs="Calibri"/>
          <w:color w:val="000000"/>
          <w:szCs w:val="24"/>
        </w:rPr>
        <w:t>素混凝土单轴受压峰值承载力；</w:t>
      </w:r>
    </w:p>
    <w:p>
      <w:pPr>
        <w:tabs>
          <w:tab w:val="left" w:pos="650"/>
          <w:tab w:val="left" w:pos="1843"/>
          <w:tab w:val="decimal" w:pos="3828"/>
          <w:tab w:val="center" w:pos="4962"/>
          <w:tab w:val="right" w:pos="9746"/>
        </w:tabs>
        <w:spacing w:line="360" w:lineRule="auto"/>
        <w:rPr>
          <w:rFonts w:cs="Calibri"/>
          <w:color w:val="000000"/>
          <w:szCs w:val="24"/>
        </w:rPr>
      </w:pPr>
      <w:r>
        <w:rPr>
          <w:rFonts w:cs="Calibri"/>
          <w:i/>
          <w:color w:val="000000"/>
          <w:szCs w:val="24"/>
        </w:rPr>
        <w:tab/>
      </w:r>
      <w:r>
        <w:rPr>
          <w:rFonts w:cs="Calibri"/>
          <w:i/>
          <w:color w:val="000000"/>
          <w:szCs w:val="24"/>
        </w:rPr>
        <w:t>f</w:t>
      </w:r>
      <w:r>
        <w:rPr>
          <w:rFonts w:cs="Calibri"/>
          <w:i/>
          <w:color w:val="000000"/>
          <w:szCs w:val="24"/>
          <w:vertAlign w:val="subscript"/>
        </w:rPr>
        <w:t>l</w:t>
      </w:r>
      <w:r>
        <w:rPr>
          <w:rFonts w:cs="Calibri"/>
          <w:color w:val="000000"/>
        </w:rPr>
        <w:t>——</w:t>
      </w:r>
      <w:r>
        <w:rPr>
          <w:rFonts w:hint="eastAsia" w:cs="Calibri"/>
          <w:color w:val="000000"/>
          <w:szCs w:val="24"/>
        </w:rPr>
        <w:t>有效约束应力，可按下式确定：</w:t>
      </w:r>
    </w:p>
    <w:p>
      <w:pPr>
        <w:tabs>
          <w:tab w:val="center" w:pos="4962"/>
          <w:tab w:val="right" w:pos="9746"/>
        </w:tabs>
        <w:spacing w:line="360" w:lineRule="auto"/>
        <w:jc w:val="right"/>
        <w:rPr>
          <w:rFonts w:cs="Calibri"/>
          <w:color w:val="000000"/>
          <w:szCs w:val="22"/>
        </w:rPr>
      </w:pPr>
      <w:r>
        <w:rPr>
          <w:rFonts w:cs="Calibri"/>
          <w:color w:val="000000"/>
        </w:rPr>
        <w:fldChar w:fldCharType="begin"/>
      </w:r>
      <w:r>
        <w:rPr>
          <w:rFonts w:cs="Calibri"/>
          <w:color w:val="000000"/>
        </w:rPr>
        <w:instrText xml:space="preserve"> QUOTE </w:instrText>
      </w:r>
      <w:r>
        <w:rPr>
          <w:rFonts w:cs="Calibri"/>
          <w:color w:val="000000"/>
          <w:position w:val="-55"/>
        </w:rPr>
        <w:pict>
          <v:shape id="_x0000_i1277" o:spt="75" type="#_x0000_t75" style="height:62.5pt;width:203.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145664&quot;/&gt;&lt;wsp:rsid wsp:val=&quot;006C01A1&quot;/&gt;&lt;wsp:rsid wsp:val=&quot;00931536&quot;/&gt;&lt;wsp:rsid wsp:val=&quot;00D9087C&quot;/&gt;&lt;/wsp:rsids&gt;&lt;/w:docPr&gt;&lt;w:body&gt;&lt;wx:sect&gt;&lt;w:p wsp:rsidR=&quot;00000000&quot; wsp:rsidRDefault=&quot;00931536&quot; wsp:rsidP=&quot;00931536&quot;&gt;&lt;m:oMathPara&gt;&lt;m:oMath&gt;&lt;m:d&gt;&lt;m:dPr&gt;&lt;m:begChr m:val=&quot;{&quot;/&gt;&lt;m:endChr m:val=&quot;&quot;/&gt;&lt;m:ctrlPr&gt;&lt;aml:annotation aml:id=&quot;0&quot; w:type=&quot;Word.Insertion&quot; aml:author=&quot;13901212966@sina.cn&quot; aml:createdate=&quot;2019-11-19T23:50:00Z&quot;&gt;&lt;aml:content&gt;&lt;w:rPr&gt;&lt;w:rFonts w:ascii=&quot;Cambria Math&quot; w:h-ansi=&quot;Cambria Math&quot;/&gt;&lt;wx:font wx:val=&quot;Cambria Math&quot;/&gt;&lt;w:sz-cs w:val=&quot;22&quot;/&gt;&lt;/w:rPr&gt;&lt;/aml:content&gt;&lt;/aml:annotation&gt;&lt;/m:ctrlPr&gt;&lt;/m:dPr&gt;&lt;m:e&gt;&lt;m:eqArr&gt;&lt;m:eqArrPr&gt;&lt;m:ctrlPr&gt;&lt;aml:annotation aml:id=&quot;1&quot; w:type=&quot;Word.Insertion&quot; aml:author=&quot;13901212966@sina.cn&quot; aml:createdate=&quot;2019-11-19T23:50:00Z&quot;&gt;&lt;aml:content&gt;&lt;w:rPr&gt;&lt;w:rFonts w:ascii=&quot;Cambria Math&quot; w:h-ansi=&quot;Cambria Math&quot;/&gt;&lt;wx:font wx:val=&quot;Cambria Math&quot;/&gt;&lt;w:sz-cs w:val=&quot;22&quot;/&gt;&lt;/w:rPr&gt;&lt;/aml:content&gt;&lt;/aml:annotation&gt;&lt;/m:ctrlPr&gt;&lt;/m:eqArrPr&gt;&lt;m:e&gt;&lt;m:sSub&gt;&lt;m:sSubPr&gt;&lt;m:ctrlPr&gt;&lt;aml:annotation aml:id=&quot;2&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3&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4&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l&lt;/m:t&gt;&lt;/aml:content&gt;&lt;/aml:annotation&gt;&lt;/m:r&gt;&lt;/m:sub&gt;&lt;/m:sSub&gt;&lt;m:r&gt;&lt;aml:annotation aml:id=&quot;5&quot; w:type=&quot;Word.Insertion&quot; aml:author=&quot;13901212966@sina.cn&quot; aml:createdate=&quot;2019-11-19T23:50:00Z&quot;&gt;&lt;aml:content&gt;&lt;w:rPr&gt;&lt;w:rFonts w:ascii=&quot;Cambria Math&quot; w:h-ansi=&quot;Cambria Math&quot;/&gt;&lt;wx:font wx:val=&quot;Cambria Math&quot;/&gt;&lt;w:i/&gt;&lt;/w:rPr&gt;&lt;m:t&gt;=0.5&lt;/m:t&gt;&lt;/aml:content&gt;&lt;/aml:annotation&gt;&lt;/m:r&gt;&lt;m:sSub&gt;&lt;m:sSubPr&gt;&lt;m:ctrlPr&gt;&lt;aml:annotation aml:id=&quot;6&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7&quot; w:type=&quot;Word.Insertion&quot; aml:author=&quot;13901212966@sina.cn&quot; aml:createdate=&quot;2019-11-19T23:50:00Z&quot;&gt;&lt;aml:content&gt;&lt;w:rPr&gt;&lt;w:rFonts w:ascii=&quot;Cambria Math&quot; w:h-ansi=&quot;Cambria Math&quot;/&gt;&lt;wx:font wx:val=&quot;Cambria Math&quot;/&gt;&lt;w:i/&gt;&lt;/w:rPr&gt;&lt;m:t&gt;k&lt;/m:t&gt;&lt;/aml:content&gt;&lt;/aml:annotation&gt;&lt;/m:r&gt;&lt;/m:e&gt;&lt;m:sub&gt;&lt;m:r&gt;&lt;aml:annotation aml:id=&quot;8&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e&lt;/m:t&gt;&lt;/aml:content&gt;&lt;/aml:annotation&gt;&lt;/m:r&gt;&lt;/m:sub&gt;&lt;/m:sSub&gt;&lt;m:sSub&gt;&lt;m:sSubPr&gt;&lt;m:ctrlPr&gt;&lt;aml:annotation aml:id=&quot;9&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10&quot; w:type=&quot;Word.Insertion&quot; aml:author=&quot;13901212966@sina.cn&quot; aml:createdate=&quot;2019-11-19T23:50:00Z&quot;&gt;&lt;aml:content&gt;&lt;w:rPr&gt;&lt;w:rFonts w:ascii=&quot;Cambria Math&quot; w:h-ansi=&quot;Cambria Math&quot;/&gt;&lt;wx:font wx:val=&quot;Cambria Math&quot;/&gt;&lt;w:i/&gt;&lt;/w:rPr&gt;&lt;m:t&gt;ρ&lt;/m:t&gt;&lt;/aml:content&gt;&lt;/aml:annotation&gt;&lt;/m:r&gt;&lt;/m:e&gt;&lt;m:sub&gt;&lt;m:r&gt;&lt;aml:annotation aml:id=&quot;11&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s&lt;/m:t&gt;&lt;/aml:content&gt;&lt;/aml:annotation&gt;&lt;/m:r&gt;&lt;/m:sub&gt;&lt;/m:sSub&gt;&lt;m:sSub&gt;&lt;m:sSubPr&gt;&lt;m:ctrlPr&gt;&lt;aml:annotation aml:id=&quot;12&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13&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14&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yh&lt;/m:t&gt;&lt;/aml:content&gt;&lt;/aml:annotation&gt;&lt;/m:r&gt;&lt;/m:sub&gt;&lt;/m:sSub&gt;&lt;m:r&gt;&lt;aml:annotation aml:id=&quot;15&quot; w:type=&quot;Word.Insertion&quot; aml:author=&quot;13901212966@sina.cn&quot; aml:createdate=&quot;2019-11-19T23:50:00Z&quot;&gt;&lt;aml:content&gt;&lt;w:rPr&gt;&lt;w:rFonts w:ascii=&quot;Cambria Math&quot; w:h-ansi=&quot;Cambria Math&quot;/&gt;&lt;wx:font wx:val=&quot;Cambria Math&quot;/&gt;&lt;w:i/&gt;&lt;/w:rPr&gt;&lt;m:t&gt; &lt;/m:t&gt;&lt;/aml:content&gt;&lt;/aml:annotation&gt;&lt;/m:r&gt;&lt;m:r&gt;&lt;aml:annotation aml:id=&quot;16&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圆形截面径向有效约束应力&lt;/m:t&gt;&lt;/aml:content&gt;&lt;/aml:annotation&gt;&lt;/m:r&gt;&lt;/m:e&gt;&lt;m:e&gt;&lt;m:sSub&gt;&lt;m:sSubPr&gt;&lt;m:ctrlPr&gt;&lt;aml:annotation aml:id=&quot;17&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18&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19&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lx&lt;/m:t&gt;&lt;/aml:content&gt;&lt;/aml:annotation&gt;&lt;/m:r&gt;&lt;/m:sub&gt;&lt;/m:sSub&gt;&lt;m:r&gt;&lt;aml:annotation aml:id=&quot;20&quot; w:type=&quot;Word.Insertion&quot; aml:author=&quot;13901212966@sina.cn&quot; aml:createdate=&quot;2019-11-19T23:50:00Z&quot;&gt;&lt;aml:content&gt;&lt;w:rPr&gt;&lt;w:rFonts w:ascii=&quot;Cambria Math&quot; w:h-ansi=&quot;Cambria Math&quot;/&gt;&lt;wx:font wx:val=&quot;Cambria Math&quot;/&gt;&lt;w:i/&gt;&lt;/w:rPr&gt;&lt;m:t&gt;=&lt;/m:t&gt;&lt;/aml:content&gt;&lt;/aml:annotation&gt;&lt;/m:r&gt;&lt;m:sSub&gt;&lt;m:sSubPr&gt;&lt;m:ctrlPr&gt;&lt;aml:annotation aml:id=&quot;21&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22&quot; w:type=&quot;Word.Insertion&quot; aml:author=&quot;13901212966@sina.cn&quot; aml:createdate=&quot;2019-11-19T23:50:00Z&quot;&gt;&lt;aml:content&gt;&lt;w:rPr&gt;&lt;w:rFonts w:ascii=&quot;Cambria Math&quot; w:h-ansi=&quot;Cambria Math&quot;/&gt;&lt;wx:font wx:val=&quot;Cambria Math&quot;/&gt;&lt;w:i/&gt;&lt;/w:rPr&gt;&lt;m:t&gt;k&lt;/m:t&gt;&lt;/aml:content&gt;&lt;/aml:annotation&gt;&lt;/m:r&gt;&lt;/m:e&gt;&lt;m:sub&gt;&lt;m:r&gt;&lt;aml:annotation aml:id=&quot;23&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e&lt;/m:t&gt;&lt;/aml:content&gt;&lt;/aml:annotation&gt;&lt;/m:r&gt;&lt;/m:sub&gt;&lt;/m:sSub&gt;&lt;m:sSub&gt;&lt;m:sSubPr&gt;&lt;m:ctrlPr&gt;&lt;aml:annotation aml:id=&quot;24&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25&quot; w:type=&quot;Word.Insertion&quot; aml:author=&quot;13901212966@sina.cn&quot; aml:createdate=&quot;2019-11-19T23:50:00Z&quot;&gt;&lt;aml:content&gt;&lt;w:rPr&gt;&lt;w:rFonts w:ascii=&quot;Cambria Math&quot; w:h-ansi=&quot;Cambria Math&quot;/&gt;&lt;wx:font wx:val=&quot;Cambria Math&quot;/&gt;&lt;w:i/&gt;&lt;/w:rPr&gt;&lt;m:t&gt;ρ&lt;/m:t&gt;&lt;/aml:content&gt;&lt;/aml:annotation&gt;&lt;/m:r&gt;&lt;/m:e&gt;&lt;m:sub&gt;&lt;m:r&gt;&lt;aml:annotation aml:id=&quot;26&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x&lt;/m:t&gt;&lt;/aml:content&gt;&lt;/aml:annotation&gt;&lt;/m:r&gt;&lt;/m:sub&gt;&lt;/m:sSub&gt;&lt;m:sSub&gt;&lt;m:sSubPr&gt;&lt;m:ctrlPr&gt;&lt;aml:annotation aml:id=&quot;27&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28&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29&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yh&lt;/m:t&gt;&lt;/aml:content&gt;&lt;/aml:annotation&gt;&lt;/m:r&gt;&lt;/m:sub&gt;&lt;/m:sSub&gt;&lt;m:r&gt;&lt;aml:annotation aml:id=&quot;30&quot; w:type=&quot;Word.Insertion&quot; aml:author=&quot;13901212966@sina.cn&quot; aml:createdate=&quot;2019-11-19T23:50:00Z&quot;&gt;&lt;aml:content&gt;&lt;w:rPr&gt;&lt;w:rFonts w:ascii=&quot;Cambria Math&quot; w:h-ansi=&quot;Cambria Math&quot;/&gt;&lt;wx:font wx:val=&quot;Cambria Math&quot;/&gt;&lt;w:i/&gt;&lt;/w:rPr&gt;&lt;m:t&gt; &lt;/m:t&gt;&lt;/aml:content&gt;&lt;/aml:annotation&gt;&lt;/m:r&gt;&lt;m:r&gt;&lt;aml:annotation aml:id=&quot;31&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矩形截面&lt;/m:t&gt;&lt;/aml:content&gt;&lt;/aml:annotation&gt;&lt;/m:r&gt;&lt;m:r&gt;&lt;aml:annotation aml:id=&quot;32&quot; w:type=&quot;Word.Insertion&quot; aml:author=&quot;13901212966@sina.cn&quot; aml:createdate=&quot;2019-11-19T23:50:00Z&quot;&gt;&lt;aml:content&gt;&lt;w:rPr&gt;&lt;w:rFonts w:ascii=&quot;Cambria Math&quot; w:h-ansi=&quot;Cambria Math&quot;/&gt;&lt;wx:font wx:val=&quot;Cambria Math&quot;/&gt;&lt;w:i/&gt;&lt;/w:rPr&gt;&lt;m:t&gt;x&lt;/m:t&gt;&lt;/aml:content&gt;&lt;/aml:annotation&gt;&lt;/m:r&gt;&lt;m:r&gt;&lt;aml:annotation aml:id=&quot;33&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方向有效约束应力&lt;/m:t&gt;&lt;/aml:content&gt;&lt;/aml:annotation&gt;&lt;/m:r&gt;&lt;/m:e&gt;&lt;m:e&gt;&lt;m:sSub&gt;&lt;m:sSubPr&gt;&lt;m:ctrlPr&gt;&lt;aml:annotation aml:id=&quot;34&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35&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36&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ly&lt;/m:t&gt;&lt;/aml:content&gt;&lt;/aml:annotation&gt;&lt;/m:r&gt;&lt;/m:sub&gt;&lt;/m:sSub&gt;&lt;m:r&gt;&lt;aml:annotation aml:id=&quot;37&quot; w:type=&quot;Word.Insertion&quot; aml:author=&quot;13901212966@sina.cn&quot; aml:createdate=&quot;2019-11-19T23:50:00Z&quot;&gt;&lt;aml:content&gt;&lt;w:rPr&gt;&lt;w:rFonts w:ascii=&quot;Cambria Math&quot; w:h-ansi=&quot;Cambria Math&quot;/&gt;&lt;wx:font wx:val=&quot;Cambria Math&quot;/&gt;&lt;w:i/&gt;&lt;/w:rPr&gt;&lt;m:t&gt;=&lt;/m:t&gt;&lt;/aml:content&gt;&lt;/aml:annotation&gt;&lt;/m:r&gt;&lt;m:sSub&gt;&lt;m:sSubPr&gt;&lt;m:ctrlPr&gt;&lt;aml:annotation aml:id=&quot;38&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39&quot; w:type=&quot;Word.Insertion&quot; aml:author=&quot;13901212966@sina.cn&quot; aml:createdate=&quot;2019-11-19T23:50:00Z&quot;&gt;&lt;aml:content&gt;&lt;w:rPr&gt;&lt;w:rFonts w:ascii=&quot;Cambria Math&quot; w:h-ansi=&quot;Cambria Math&quot;/&gt;&lt;wx:font wx:val=&quot;Cambria Math&quot;/&gt;&lt;w:i/&gt;&lt;/w:rPr&gt;&lt;m:t&gt;k&lt;/m:t&gt;&lt;/aml:content&gt;&lt;/aml:annotation&gt;&lt;/m:r&gt;&lt;/m:e&gt;&lt;m:sub&gt;&lt;m:r&gt;&lt;aml:annotation aml:id=&quot;40&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e&lt;/m:t&gt;&lt;/aml:content&gt;&lt;/aml:annotation&gt;&lt;/m:r&gt;&lt;/m:sub&gt;&lt;/m:sSub&gt;&lt;m:sSub&gt;&lt;m:sSubPr&gt;&lt;m:ctrlPr&gt;&lt;aml:annotation aml:id=&quot;41&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42&quot; w:type=&quot;Word.Insertion&quot; aml:author=&quot;13901212966@sina.cn&quot; aml:createdate=&quot;2019-11-19T23:50:00Z&quot;&gt;&lt;aml:content&gt;&lt;w:rPr&gt;&lt;w:rFonts w:ascii=&quot;Cambria Math&quot; w:h-ansi=&quot;Cambria Math&quot;/&gt;&lt;wx:font wx:val=&quot;Cambria Math&quot;/&gt;&lt;w:i/&gt;&lt;/w:rPr&gt;&lt;m:t&gt;ρ&lt;/m:t&gt;&lt;/aml:content&gt;&lt;/aml:annotation&gt;&lt;/m:r&gt;&lt;/m:e&gt;&lt;m:sub&gt;&lt;m:r&gt;&lt;aml:annotation aml:id=&quot;43&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y&lt;/m:t&gt;&lt;/aml:content&gt;&lt;/aml:annotation&gt;&lt;/m:r&gt;&lt;/m:sub&gt;&lt;/m:sSub&gt;&lt;m:sSub&gt;&lt;m:sSubPr&gt;&lt;m:ctrlPr&gt;&lt;aml:annotation aml:id=&quot;44&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45&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46&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yh&lt;/m:t&gt;&lt;/aml:content&gt;&lt;/aml:annotation&gt;&lt;/m:r&gt;&lt;/m:sub&gt;&lt;/m:sSub&gt;&lt;m:r&gt;&lt;aml:annotation aml:id=&quot;47&quot; w:type=&quot;Word.Insertion&quot; aml:author=&quot;13901212966@sina.cn&quot; aml:createdate=&quot;2019-11-19T23:50:00Z&quot;&gt;&lt;aml:content&gt;&lt;w:rPr&gt;&lt;w:rFonts w:ascii=&quot;Cambria Math&quot; w:h-ansi=&quot;Cambria Math&quot;/&gt;&lt;wx:font wx:val=&quot;Cambria Math&quot;/&gt;&lt;w:i/&gt;&lt;/w:rPr&gt;&lt;m:t&gt; &lt;/m:t&gt;&lt;/aml:content&gt;&lt;/aml:annotation&gt;&lt;/m:r&gt;&lt;m:r&gt;&lt;aml:annotation aml:id=&quot;48&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矩形截面&lt;/m:t&gt;&lt;/aml:content&gt;&lt;/aml:annotation&gt;&lt;/m:r&gt;&lt;m:r&gt;&lt;aml:annotation aml:id=&quot;49&quot; w:type=&quot;Word.Insertion&quot; aml:author=&quot;13901212966@sina.cn&quot; aml:createdate=&quot;2019-11-19T23:50:00Z&quot;&gt;&lt;aml:content&gt;&lt;w:rPr&gt;&lt;w:rFonts w:ascii=&quot;Cambria Math&quot; w:h-ansi=&quot;Cambria Math&quot;/&gt;&lt;wx:font wx:val=&quot;Cambria Math&quot;/&gt;&lt;w:i/&gt;&lt;/w:rPr&gt;&lt;m:t&gt;y&lt;/m:t&gt;&lt;/aml:content&gt;&lt;/aml:annotation&gt;&lt;/m:r&gt;&lt;m:r&gt;&lt;aml:annotation aml:id=&quot;50&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方向有效约束应力&lt;/m:t&gt;&lt;/aml:content&gt;&lt;/aml:annotation&gt;&lt;/m:r&gt;&lt;/m:e&gt;&lt;/m:eqAr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94" chromakey="#FFFFFF" o:title=""/>
            <o:lock v:ext="edit" aspectratio="t"/>
            <w10:wrap type="none"/>
            <w10:anchorlock/>
          </v:shape>
        </w:pict>
      </w:r>
      <w:r>
        <w:rPr>
          <w:rFonts w:cs="Calibri"/>
          <w:color w:val="000000"/>
        </w:rPr>
        <w:instrText xml:space="preserve"> </w:instrText>
      </w:r>
      <w:r>
        <w:rPr>
          <w:rFonts w:cs="Calibri"/>
          <w:color w:val="000000"/>
        </w:rPr>
        <w:fldChar w:fldCharType="separate"/>
      </w:r>
      <w:r>
        <w:rPr>
          <w:rFonts w:cs="Calibri"/>
          <w:color w:val="000000"/>
          <w:position w:val="-55"/>
        </w:rPr>
        <w:pict>
          <v:shape id="_x0000_i1278" o:spt="75" type="#_x0000_t75" style="height:62.5pt;width:203.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revisionView w:comments=&quot;off&quot; w:ins-del=&quot;off&quot; w:formatting=&quot;off&quot;/&gt;&lt;w:defaultTabStop w:val=&quot;420&quot;/&gt;&lt;w:drawingGridHorizontalSpacing w:val=&quot;0&quot;/&gt;&lt;w:drawingGridVerticalSpacing w:val=&quot;156&quot;/&gt;&lt;w:characterSpacingControl w:val=&quot;CompressPunctuation&quot;/&gt;&lt;w:webPageEncoding w:val=&quot;x-cp20936&quot;/&gt;&lt;w:optimizeForBrowser/&gt;&lt;w:allowPNG/&gt;&lt;w:pixelsPerInch w:val=&quot;144&quot;/&gt;&lt;w:validateAgainstSchema w:val=&quot;off&quot;/&gt;&lt;w:saveInvalidXML w:val=&quot;off&quot;/&gt;&lt;w:ignoreMixedContent w:val=&quot;off&quot;/&gt;&lt;w:alwaysShowPlaceholderText w:val=&quot;off&quot;/&gt;&lt;w:doNotUnderlineInvalidXML/&gt;&lt;w:endnotePr&gt;&lt;w:numFmt w:val=&quot;decimal&quot;/&gt;&lt;/w:endnotePr&gt;&lt;w:compat&gt;&lt;w:spaceForUL/&gt;&lt;w:balanceSingleByteDoubleByteWidth/&gt;&lt;w:doNotLeaveBackslashAlone/&gt;&lt;w:doNotExpandShiftReturn/&gt;&lt;w:adjustLineHeightInTable/&gt;&lt;w:snapToGridInCell/&gt;&lt;w:dontGrowAutofit/&gt;&lt;w:useFELayout/&gt;&lt;/w:compat&gt;&lt;wsp:rsids&gt;&lt;wsp:rsidRoot wsp:val=&quot;00172A27&quot;/&gt;&lt;wsp:rsid wsp:val=&quot;00145664&quot;/&gt;&lt;wsp:rsid wsp:val=&quot;006C01A1&quot;/&gt;&lt;wsp:rsid wsp:val=&quot;00931536&quot;/&gt;&lt;wsp:rsid wsp:val=&quot;00D9087C&quot;/&gt;&lt;/wsp:rsids&gt;&lt;/w:docPr&gt;&lt;w:body&gt;&lt;wx:sect&gt;&lt;w:p wsp:rsidR=&quot;00000000&quot; wsp:rsidRDefault=&quot;00931536&quot; wsp:rsidP=&quot;00931536&quot;&gt;&lt;m:oMathPara&gt;&lt;m:oMath&gt;&lt;m:d&gt;&lt;m:dPr&gt;&lt;m:begChr m:val=&quot;{&quot;/&gt;&lt;m:endChr m:val=&quot;&quot;/&gt;&lt;m:ctrlPr&gt;&lt;aml:annotation aml:id=&quot;0&quot; w:type=&quot;Word.Insertion&quot; aml:author=&quot;13901212966@sina.cn&quot; aml:createdate=&quot;2019-11-19T23:50:00Z&quot;&gt;&lt;aml:content&gt;&lt;w:rPr&gt;&lt;w:rFonts w:ascii=&quot;Cambria Math&quot; w:h-ansi=&quot;Cambria Math&quot;/&gt;&lt;wx:font wx:val=&quot;Cambria Math&quot;/&gt;&lt;w:sz-cs w:val=&quot;22&quot;/&gt;&lt;/w:rPr&gt;&lt;/aml:content&gt;&lt;/aml:annotation&gt;&lt;/m:ctrlPr&gt;&lt;/m:dPr&gt;&lt;m:e&gt;&lt;m:eqArr&gt;&lt;m:eqArrPr&gt;&lt;m:ctrlPr&gt;&lt;aml:annotation aml:id=&quot;1&quot; w:type=&quot;Word.Insertion&quot; aml:author=&quot;13901212966@sina.cn&quot; aml:createdate=&quot;2019-11-19T23:50:00Z&quot;&gt;&lt;aml:content&gt;&lt;w:rPr&gt;&lt;w:rFonts w:ascii=&quot;Cambria Math&quot; w:h-ansi=&quot;Cambria Math&quot;/&gt;&lt;wx:font wx:val=&quot;Cambria Math&quot;/&gt;&lt;w:sz-cs w:val=&quot;22&quot;/&gt;&lt;/w:rPr&gt;&lt;/aml:content&gt;&lt;/aml:annotation&gt;&lt;/m:ctrlPr&gt;&lt;/m:eqArrPr&gt;&lt;m:e&gt;&lt;m:sSub&gt;&lt;m:sSubPr&gt;&lt;m:ctrlPr&gt;&lt;aml:annotation aml:id=&quot;2&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3&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4&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l&lt;/m:t&gt;&lt;/aml:content&gt;&lt;/aml:annotation&gt;&lt;/m:r&gt;&lt;/m:sub&gt;&lt;/m:sSub&gt;&lt;m:r&gt;&lt;aml:annotation aml:id=&quot;5&quot; w:type=&quot;Word.Insertion&quot; aml:author=&quot;13901212966@sina.cn&quot; aml:createdate=&quot;2019-11-19T23:50:00Z&quot;&gt;&lt;aml:content&gt;&lt;w:rPr&gt;&lt;w:rFonts w:ascii=&quot;Cambria Math&quot; w:h-ansi=&quot;Cambria Math&quot;/&gt;&lt;wx:font wx:val=&quot;Cambria Math&quot;/&gt;&lt;w:i/&gt;&lt;/w:rPr&gt;&lt;m:t&gt;=0.5&lt;/m:t&gt;&lt;/aml:content&gt;&lt;/aml:annotation&gt;&lt;/m:r&gt;&lt;m:sSub&gt;&lt;m:sSubPr&gt;&lt;m:ctrlPr&gt;&lt;aml:annotation aml:id=&quot;6&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7&quot; w:type=&quot;Word.Insertion&quot; aml:author=&quot;13901212966@sina.cn&quot; aml:createdate=&quot;2019-11-19T23:50:00Z&quot;&gt;&lt;aml:content&gt;&lt;w:rPr&gt;&lt;w:rFonts w:ascii=&quot;Cambria Math&quot; w:h-ansi=&quot;Cambria Math&quot;/&gt;&lt;wx:font wx:val=&quot;Cambria Math&quot;/&gt;&lt;w:i/&gt;&lt;/w:rPr&gt;&lt;m:t&gt;k&lt;/m:t&gt;&lt;/aml:content&gt;&lt;/aml:annotation&gt;&lt;/m:r&gt;&lt;/m:e&gt;&lt;m:sub&gt;&lt;m:r&gt;&lt;aml:annotation aml:id=&quot;8&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e&lt;/m:t&gt;&lt;/aml:content&gt;&lt;/aml:annotation&gt;&lt;/m:r&gt;&lt;/m:sub&gt;&lt;/m:sSub&gt;&lt;m:sSub&gt;&lt;m:sSubPr&gt;&lt;m:ctrlPr&gt;&lt;aml:annotation aml:id=&quot;9&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10&quot; w:type=&quot;Word.Insertion&quot; aml:author=&quot;13901212966@sina.cn&quot; aml:createdate=&quot;2019-11-19T23:50:00Z&quot;&gt;&lt;aml:content&gt;&lt;w:rPr&gt;&lt;w:rFonts w:ascii=&quot;Cambria Math&quot; w:h-ansi=&quot;Cambria Math&quot;/&gt;&lt;wx:font wx:val=&quot;Cambria Math&quot;/&gt;&lt;w:i/&gt;&lt;/w:rPr&gt;&lt;m:t&gt;ρ&lt;/m:t&gt;&lt;/aml:content&gt;&lt;/aml:annotation&gt;&lt;/m:r&gt;&lt;/m:e&gt;&lt;m:sub&gt;&lt;m:r&gt;&lt;aml:annotation aml:id=&quot;11&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s&lt;/m:t&gt;&lt;/aml:content&gt;&lt;/aml:annotation&gt;&lt;/m:r&gt;&lt;/m:sub&gt;&lt;/m:sSub&gt;&lt;m:sSub&gt;&lt;m:sSubPr&gt;&lt;m:ctrlPr&gt;&lt;aml:annotation aml:id=&quot;12&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13&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14&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yh&lt;/m:t&gt;&lt;/aml:content&gt;&lt;/aml:annotation&gt;&lt;/m:r&gt;&lt;/m:sub&gt;&lt;/m:sSub&gt;&lt;m:r&gt;&lt;aml:annotation aml:id=&quot;15&quot; w:type=&quot;Word.Insertion&quot; aml:author=&quot;13901212966@sina.cn&quot; aml:createdate=&quot;2019-11-19T23:50:00Z&quot;&gt;&lt;aml:content&gt;&lt;w:rPr&gt;&lt;w:rFonts w:ascii=&quot;Cambria Math&quot; w:h-ansi=&quot;Cambria Math&quot;/&gt;&lt;wx:font wx:val=&quot;Cambria Math&quot;/&gt;&lt;w:i/&gt;&lt;/w:rPr&gt;&lt;m:t&gt; &lt;/m:t&gt;&lt;/aml:content&gt;&lt;/aml:annotation&gt;&lt;/m:r&gt;&lt;m:r&gt;&lt;aml:annotation aml:id=&quot;16&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圆形截面径向有效约束应力&lt;/m:t&gt;&lt;/aml:content&gt;&lt;/aml:annotation&gt;&lt;/m:r&gt;&lt;/m:e&gt;&lt;m:e&gt;&lt;m:sSub&gt;&lt;m:sSubPr&gt;&lt;m:ctrlPr&gt;&lt;aml:annotation aml:id=&quot;17&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18&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19&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lx&lt;/m:t&gt;&lt;/aml:content&gt;&lt;/aml:annotation&gt;&lt;/m:r&gt;&lt;/m:sub&gt;&lt;/m:sSub&gt;&lt;m:r&gt;&lt;aml:annotation aml:id=&quot;20&quot; w:type=&quot;Word.Insertion&quot; aml:author=&quot;13901212966@sina.cn&quot; aml:createdate=&quot;2019-11-19T23:50:00Z&quot;&gt;&lt;aml:content&gt;&lt;w:rPr&gt;&lt;w:rFonts w:ascii=&quot;Cambria Math&quot; w:h-ansi=&quot;Cambria Math&quot;/&gt;&lt;wx:font wx:val=&quot;Cambria Math&quot;/&gt;&lt;w:i/&gt;&lt;/w:rPr&gt;&lt;m:t&gt;=&lt;/m:t&gt;&lt;/aml:content&gt;&lt;/aml:annotation&gt;&lt;/m:r&gt;&lt;m:sSub&gt;&lt;m:sSubPr&gt;&lt;m:ctrlPr&gt;&lt;aml:annotation aml:id=&quot;21&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22&quot; w:type=&quot;Word.Insertion&quot; aml:author=&quot;13901212966@sina.cn&quot; aml:createdate=&quot;2019-11-19T23:50:00Z&quot;&gt;&lt;aml:content&gt;&lt;w:rPr&gt;&lt;w:rFonts w:ascii=&quot;Cambria Math&quot; w:h-ansi=&quot;Cambria Math&quot;/&gt;&lt;wx:font wx:val=&quot;Cambria Math&quot;/&gt;&lt;w:i/&gt;&lt;/w:rPr&gt;&lt;m:t&gt;k&lt;/m:t&gt;&lt;/aml:content&gt;&lt;/aml:annotation&gt;&lt;/m:r&gt;&lt;/m:e&gt;&lt;m:sub&gt;&lt;m:r&gt;&lt;aml:annotation aml:id=&quot;23&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e&lt;/m:t&gt;&lt;/aml:content&gt;&lt;/aml:annotation&gt;&lt;/m:r&gt;&lt;/m:sub&gt;&lt;/m:sSub&gt;&lt;m:sSub&gt;&lt;m:sSubPr&gt;&lt;m:ctrlPr&gt;&lt;aml:annotation aml:id=&quot;24&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25&quot; w:type=&quot;Word.Insertion&quot; aml:author=&quot;13901212966@sina.cn&quot; aml:createdate=&quot;2019-11-19T23:50:00Z&quot;&gt;&lt;aml:content&gt;&lt;w:rPr&gt;&lt;w:rFonts w:ascii=&quot;Cambria Math&quot; w:h-ansi=&quot;Cambria Math&quot;/&gt;&lt;wx:font wx:val=&quot;Cambria Math&quot;/&gt;&lt;w:i/&gt;&lt;/w:rPr&gt;&lt;m:t&gt;ρ&lt;/m:t&gt;&lt;/aml:content&gt;&lt;/aml:annotation&gt;&lt;/m:r&gt;&lt;/m:e&gt;&lt;m:sub&gt;&lt;m:r&gt;&lt;aml:annotation aml:id=&quot;26&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x&lt;/m:t&gt;&lt;/aml:content&gt;&lt;/aml:annotation&gt;&lt;/m:r&gt;&lt;/m:sub&gt;&lt;/m:sSub&gt;&lt;m:sSub&gt;&lt;m:sSubPr&gt;&lt;m:ctrlPr&gt;&lt;aml:annotation aml:id=&quot;27&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28&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29&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yh&lt;/m:t&gt;&lt;/aml:content&gt;&lt;/aml:annotation&gt;&lt;/m:r&gt;&lt;/m:sub&gt;&lt;/m:sSub&gt;&lt;m:r&gt;&lt;aml:annotation aml:id=&quot;30&quot; w:type=&quot;Word.Insertion&quot; aml:author=&quot;13901212966@sina.cn&quot; aml:createdate=&quot;2019-11-19T23:50:00Z&quot;&gt;&lt;aml:content&gt;&lt;w:rPr&gt;&lt;w:rFonts w:ascii=&quot;Cambria Math&quot; w:h-ansi=&quot;Cambria Math&quot;/&gt;&lt;wx:font wx:val=&quot;Cambria Math&quot;/&gt;&lt;w:i/&gt;&lt;/w:rPr&gt;&lt;m:t&gt; &lt;/m:t&gt;&lt;/aml:content&gt;&lt;/aml:annotation&gt;&lt;/m:r&gt;&lt;m:r&gt;&lt;aml:annotation aml:id=&quot;31&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矩形截面&lt;/m:t&gt;&lt;/aml:content&gt;&lt;/aml:annotation&gt;&lt;/m:r&gt;&lt;m:r&gt;&lt;aml:annotation aml:id=&quot;32&quot; w:type=&quot;Word.Insertion&quot; aml:author=&quot;13901212966@sina.cn&quot; aml:createdate=&quot;2019-11-19T23:50:00Z&quot;&gt;&lt;aml:content&gt;&lt;w:rPr&gt;&lt;w:rFonts w:ascii=&quot;Cambria Math&quot; w:h-ansi=&quot;Cambria Math&quot;/&gt;&lt;wx:font wx:val=&quot;Cambria Math&quot;/&gt;&lt;w:i/&gt;&lt;/w:rPr&gt;&lt;m:t&gt;x&lt;/m:t&gt;&lt;/aml:content&gt;&lt;/aml:annotation&gt;&lt;/m:r&gt;&lt;m:r&gt;&lt;aml:annotation aml:id=&quot;33&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方向有效约束应力&lt;/m:t&gt;&lt;/aml:content&gt;&lt;/aml:annotation&gt;&lt;/m:r&gt;&lt;/m:e&gt;&lt;m:e&gt;&lt;m:sSub&gt;&lt;m:sSubPr&gt;&lt;m:ctrlPr&gt;&lt;aml:annotation aml:id=&quot;34&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35&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36&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ly&lt;/m:t&gt;&lt;/aml:content&gt;&lt;/aml:annotation&gt;&lt;/m:r&gt;&lt;/m:sub&gt;&lt;/m:sSub&gt;&lt;m:r&gt;&lt;aml:annotation aml:id=&quot;37&quot; w:type=&quot;Word.Insertion&quot; aml:author=&quot;13901212966@sina.cn&quot; aml:createdate=&quot;2019-11-19T23:50:00Z&quot;&gt;&lt;aml:content&gt;&lt;w:rPr&gt;&lt;w:rFonts w:ascii=&quot;Cambria Math&quot; w:h-ansi=&quot;Cambria Math&quot;/&gt;&lt;wx:font wx:val=&quot;Cambria Math&quot;/&gt;&lt;w:i/&gt;&lt;/w:rPr&gt;&lt;m:t&gt;=&lt;/m:t&gt;&lt;/aml:content&gt;&lt;/aml:annotation&gt;&lt;/m:r&gt;&lt;m:sSub&gt;&lt;m:sSubPr&gt;&lt;m:ctrlPr&gt;&lt;aml:annotation aml:id=&quot;38&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39&quot; w:type=&quot;Word.Insertion&quot; aml:author=&quot;13901212966@sina.cn&quot; aml:createdate=&quot;2019-11-19T23:50:00Z&quot;&gt;&lt;aml:content&gt;&lt;w:rPr&gt;&lt;w:rFonts w:ascii=&quot;Cambria Math&quot; w:h-ansi=&quot;Cambria Math&quot;/&gt;&lt;wx:font wx:val=&quot;Cambria Math&quot;/&gt;&lt;w:i/&gt;&lt;/w:rPr&gt;&lt;m:t&gt;k&lt;/m:t&gt;&lt;/aml:content&gt;&lt;/aml:annotation&gt;&lt;/m:r&gt;&lt;/m:e&gt;&lt;m:sub&gt;&lt;m:r&gt;&lt;aml:annotation aml:id=&quot;40&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e&lt;/m:t&gt;&lt;/aml:content&gt;&lt;/aml:annotation&gt;&lt;/m:r&gt;&lt;/m:sub&gt;&lt;/m:sSub&gt;&lt;m:sSub&gt;&lt;m:sSubPr&gt;&lt;m:ctrlPr&gt;&lt;aml:annotation aml:id=&quot;41&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42&quot; w:type=&quot;Word.Insertion&quot; aml:author=&quot;13901212966@sina.cn&quot; aml:createdate=&quot;2019-11-19T23:50:00Z&quot;&gt;&lt;aml:content&gt;&lt;w:rPr&gt;&lt;w:rFonts w:ascii=&quot;Cambria Math&quot; w:h-ansi=&quot;Cambria Math&quot;/&gt;&lt;wx:font wx:val=&quot;Cambria Math&quot;/&gt;&lt;w:i/&gt;&lt;/w:rPr&gt;&lt;m:t&gt;ρ&lt;/m:t&gt;&lt;/aml:content&gt;&lt;/aml:annotation&gt;&lt;/m:r&gt;&lt;/m:e&gt;&lt;m:sub&gt;&lt;m:r&gt;&lt;aml:annotation aml:id=&quot;43&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y&lt;/m:t&gt;&lt;/aml:content&gt;&lt;/aml:annotation&gt;&lt;/m:r&gt;&lt;/m:sub&gt;&lt;/m:sSub&gt;&lt;m:sSub&gt;&lt;m:sSubPr&gt;&lt;m:ctrlPr&gt;&lt;aml:annotation aml:id=&quot;44&quot; w:type=&quot;Word.Insertion&quot; aml:author=&quot;13901212966@sina.cn&quot; aml:createdate=&quot;2019-11-19T23:50:00Z&quot;&gt;&lt;aml:content&gt;&lt;w:rPr&gt;&lt;w:rFonts w:ascii=&quot;Cambria Math&quot; w:h-ansi=&quot;Cambria Math&quot;/&gt;&lt;wx:font wx:val=&quot;Cambria Math&quot;/&gt;&lt;w:i/&gt;&lt;w:sz-cs w:val=&quot;22&quot;/&gt;&lt;/w:rPr&gt;&lt;/aml:content&gt;&lt;/aml:annotation&gt;&lt;/m:ctrlPr&gt;&lt;/m:sSubPr&gt;&lt;m:e&gt;&lt;m:r&gt;&lt;aml:annotation aml:id=&quot;45&quot; w:type=&quot;Word.Insertion&quot; aml:author=&quot;13901212966@sina.cn&quot; aml:createdate=&quot;2019-11-19T23:50:00Z&quot;&gt;&lt;aml:content&gt;&lt;w:rPr&gt;&lt;w:rFonts w:ascii=&quot;Cambria Math&quot; w:h-ansi=&quot;Cambria Math&quot;/&gt;&lt;wx:font wx:val=&quot;Cambria Math&quot;/&gt;&lt;w:i/&gt;&lt;/w:rPr&gt;&lt;m:t&gt;f&lt;/m:t&gt;&lt;/aml:content&gt;&lt;/aml:annotation&gt;&lt;/m:r&gt;&lt;/m:e&gt;&lt;m:sub&gt;&lt;m:r&gt;&lt;aml:annotation aml:id=&quot;46&quot; w:type=&quot;Word.Insertion&quot; aml:author=&quot;13901212966@sina.cn&quot; aml:createdate=&quot;2019-11-19T23:50:00Z&quot;&gt;&lt;aml:content&gt;&lt;m:rPr&gt;&lt;m:sty m:val=&quot;p&quot;/&gt;&lt;/m:rPr&gt;&lt;w:rPr&gt;&lt;w:rFonts w:ascii=&quot;Cambria Math&quot; w:h-ansi=&quot;Cambria Math&quot;/&gt;&lt;wx:font wx:val=&quot;Cambria Math&quot;/&gt;&lt;/w:rPr&gt;&lt;m:t&gt;yh&lt;/m:t&gt;&lt;/aml:content&gt;&lt;/aml:annotation&gt;&lt;/m:r&gt;&lt;/m:sub&gt;&lt;/m:sSub&gt;&lt;m:r&gt;&lt;aml:annotation aml:id=&quot;47&quot; w:type=&quot;Word.Insertion&quot; aml:author=&quot;13901212966@sina.cn&quot; aml:createdate=&quot;2019-11-19T23:50:00Z&quot;&gt;&lt;aml:content&gt;&lt;w:rPr&gt;&lt;w:rFonts w:ascii=&quot;Cambria Math&quot; w:h-ansi=&quot;Cambria Math&quot;/&gt;&lt;wx:font wx:val=&quot;Cambria Math&quot;/&gt;&lt;w:i/&gt;&lt;/w:rPr&gt;&lt;m:t&gt; &lt;/m:t&gt;&lt;/aml:content&gt;&lt;/aml:annotation&gt;&lt;/m:r&gt;&lt;m:r&gt;&lt;aml:annotation aml:id=&quot;48&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矩形截面&lt;/m:t&gt;&lt;/aml:content&gt;&lt;/aml:annotation&gt;&lt;/m:r&gt;&lt;m:r&gt;&lt;aml:annotation aml:id=&quot;49&quot; w:type=&quot;Word.Insertion&quot; aml:author=&quot;13901212966@sina.cn&quot; aml:createdate=&quot;2019-11-19T23:50:00Z&quot;&gt;&lt;aml:content&gt;&lt;w:rPr&gt;&lt;w:rFonts w:ascii=&quot;Cambria Math&quot; w:h-ansi=&quot;Cambria Math&quot;/&gt;&lt;wx:font wx:val=&quot;Cambria Math&quot;/&gt;&lt;w:i/&gt;&lt;/w:rPr&gt;&lt;m:t&gt;y&lt;/m:t&gt;&lt;/aml:content&gt;&lt;/aml:annotation&gt;&lt;/m:r&gt;&lt;m:r&gt;&lt;aml:annotation aml:id=&quot;50&quot; w:type=&quot;Word.Insertion&quot; aml:author=&quot;13901212966@sina.cn&quot; aml:createdate=&quot;2019-11-19T23:50:00Z&quot;&gt;&lt;aml:content&gt;&lt;m:rPr&gt;&lt;m:sty m:val=&quot;p&quot;/&gt;&lt;/m:rPr&gt;&lt;w:rPr&gt;&lt;w:rFonts w:ascii=&quot;Cambria Math&quot; w:h-ansi=&quot;Cambria Math&quot; w:hint=&quot;fareast&quot;/&gt;&lt;wx:font wx:val=&quot;宋体&quot;/&gt;&lt;/w:rPr&gt;&lt;m:t&gt;方向有效约束应力&lt;/m:t&gt;&lt;/aml:content&gt;&lt;/aml:annotation&gt;&lt;/m:r&gt;&lt;/m:e&gt;&lt;/m:eqAr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94" chromakey="#FFFFFF" o:title=""/>
            <o:lock v:ext="edit" aspectratio="t"/>
            <w10:wrap type="none"/>
            <w10:anchorlock/>
          </v:shape>
        </w:pict>
      </w:r>
      <w:r>
        <w:rPr>
          <w:rFonts w:cs="Calibri"/>
          <w:color w:val="000000"/>
        </w:rPr>
        <w:fldChar w:fldCharType="end"/>
      </w:r>
      <w:r>
        <w:rPr>
          <w:rFonts w:cs="Calibri"/>
          <w:color w:val="000000"/>
        </w:rPr>
        <w:tab/>
      </w:r>
      <w:r>
        <w:rPr>
          <w:rFonts w:cs="Calibri"/>
          <w:color w:val="000000"/>
        </w:rPr>
        <w:t xml:space="preserve">              </w:t>
      </w:r>
      <w:r>
        <w:rPr>
          <w:rFonts w:hint="eastAsia" w:cs="Calibri"/>
          <w:color w:val="000000"/>
        </w:rPr>
        <w:t>（</w:t>
      </w:r>
      <w:r>
        <w:rPr>
          <w:rFonts w:cs="Calibri"/>
          <w:color w:val="000000"/>
        </w:rPr>
        <w:t>I.2.5-5</w:t>
      </w:r>
      <w:r>
        <w:rPr>
          <w:rFonts w:hint="eastAsia" w:cs="Calibri"/>
          <w:color w:val="000000"/>
        </w:rPr>
        <w:t>）</w:t>
      </w:r>
    </w:p>
    <w:p>
      <w:pPr>
        <w:tabs>
          <w:tab w:val="decimal" w:pos="3828"/>
          <w:tab w:val="center" w:pos="4962"/>
          <w:tab w:val="right" w:pos="9746"/>
        </w:tabs>
        <w:spacing w:line="360" w:lineRule="auto"/>
        <w:rPr>
          <w:rFonts w:cs="Calibri"/>
          <w:color w:val="000000"/>
          <w:szCs w:val="24"/>
        </w:rPr>
      </w:pPr>
      <w:r>
        <w:rPr>
          <w:rFonts w:hint="eastAsia" w:cs="Calibri"/>
          <w:color w:val="000000"/>
          <w:szCs w:val="24"/>
        </w:rPr>
        <w:t>式中：</w:t>
      </w:r>
      <w:r>
        <w:rPr>
          <w:rFonts w:cs="Calibri"/>
          <w:i/>
          <w:color w:val="000000"/>
          <w:szCs w:val="24"/>
        </w:rPr>
        <w:t>ρ</w:t>
      </w:r>
      <w:r>
        <w:rPr>
          <w:rFonts w:cs="Calibri"/>
          <w:i/>
          <w:color w:val="000000"/>
          <w:szCs w:val="24"/>
          <w:vertAlign w:val="subscript"/>
        </w:rPr>
        <w:t>x</w:t>
      </w:r>
      <w:r>
        <w:rPr>
          <w:rFonts w:hint="eastAsia" w:cs="Calibri"/>
          <w:color w:val="000000"/>
          <w:szCs w:val="24"/>
          <w:vertAlign w:val="subscript"/>
        </w:rPr>
        <w:t>、</w:t>
      </w:r>
      <w:r>
        <w:rPr>
          <w:rFonts w:cs="Calibri"/>
          <w:i/>
          <w:color w:val="000000"/>
          <w:szCs w:val="24"/>
        </w:rPr>
        <w:t>ρ</w:t>
      </w:r>
      <w:r>
        <w:rPr>
          <w:rFonts w:cs="Calibri"/>
          <w:i/>
          <w:color w:val="000000"/>
          <w:szCs w:val="24"/>
          <w:vertAlign w:val="subscript"/>
        </w:rPr>
        <w:t>y</w:t>
      </w:r>
      <w:r>
        <w:rPr>
          <w:rFonts w:cs="Calibri"/>
          <w:color w:val="000000"/>
        </w:rPr>
        <w:t>——</w:t>
      </w:r>
      <w:r>
        <w:rPr>
          <w:rFonts w:hint="eastAsia" w:cs="Calibri"/>
          <w:color w:val="000000"/>
          <w:szCs w:val="24"/>
        </w:rPr>
        <w:t>矩形截面</w:t>
      </w:r>
      <w:r>
        <w:rPr>
          <w:rFonts w:cs="Calibri"/>
          <w:i/>
          <w:color w:val="000000"/>
          <w:szCs w:val="24"/>
        </w:rPr>
        <w:t>x</w:t>
      </w:r>
      <w:r>
        <w:rPr>
          <w:rFonts w:hint="eastAsia" w:cs="Calibri"/>
          <w:color w:val="000000"/>
          <w:szCs w:val="24"/>
        </w:rPr>
        <w:t>方向和</w:t>
      </w:r>
      <w:r>
        <w:rPr>
          <w:rFonts w:cs="Calibri"/>
          <w:i/>
          <w:color w:val="000000"/>
          <w:szCs w:val="24"/>
        </w:rPr>
        <w:t>y</w:t>
      </w:r>
      <w:r>
        <w:rPr>
          <w:rFonts w:hint="eastAsia" w:cs="Calibri"/>
          <w:color w:val="000000"/>
          <w:szCs w:val="24"/>
        </w:rPr>
        <w:t>方向体积配箍率；</w:t>
      </w:r>
    </w:p>
    <w:p>
      <w:pPr>
        <w:tabs>
          <w:tab w:val="left" w:pos="650"/>
          <w:tab w:val="left" w:pos="1843"/>
          <w:tab w:val="decimal" w:pos="3828"/>
          <w:tab w:val="center" w:pos="4962"/>
          <w:tab w:val="right" w:pos="9746"/>
        </w:tabs>
        <w:spacing w:line="360" w:lineRule="auto"/>
        <w:ind w:firstLine="420" w:firstLineChars="200"/>
        <w:rPr>
          <w:rFonts w:cs="Calibri"/>
          <w:color w:val="000000"/>
          <w:kern w:val="0"/>
          <w:szCs w:val="22"/>
        </w:rPr>
      </w:pPr>
      <w:r>
        <w:rPr>
          <w:rFonts w:cs="Calibri"/>
          <w:i/>
          <w:color w:val="000000"/>
          <w:szCs w:val="24"/>
        </w:rPr>
        <w:tab/>
      </w:r>
      <w:r>
        <w:rPr>
          <w:rFonts w:cs="Calibri"/>
          <w:i/>
          <w:color w:val="000000"/>
          <w:szCs w:val="24"/>
        </w:rPr>
        <w:t>ρ</w:t>
      </w:r>
      <w:r>
        <w:rPr>
          <w:rFonts w:cs="Calibri"/>
          <w:i/>
          <w:color w:val="000000"/>
          <w:szCs w:val="24"/>
          <w:vertAlign w:val="subscript"/>
        </w:rPr>
        <w:t>s</w:t>
      </w:r>
      <w:r>
        <w:rPr>
          <w:rFonts w:cs="Calibri"/>
          <w:color w:val="000000"/>
        </w:rPr>
        <w:t>——</w:t>
      </w:r>
      <w:r>
        <w:rPr>
          <w:rFonts w:hint="eastAsia" w:cs="Calibri"/>
          <w:color w:val="000000"/>
          <w:szCs w:val="24"/>
        </w:rPr>
        <w:t>体积配箍率</w:t>
      </w:r>
      <w:r>
        <w:rPr>
          <w:rFonts w:hint="eastAsia" w:cs="Calibri"/>
          <w:color w:val="000000"/>
          <w:kern w:val="0"/>
        </w:rPr>
        <w:t>；</w:t>
      </w:r>
    </w:p>
    <w:p>
      <w:pPr>
        <w:tabs>
          <w:tab w:val="left" w:pos="650"/>
          <w:tab w:val="left" w:pos="1843"/>
          <w:tab w:val="decimal" w:pos="3828"/>
          <w:tab w:val="center" w:pos="4962"/>
          <w:tab w:val="right" w:pos="9746"/>
        </w:tabs>
        <w:spacing w:line="360" w:lineRule="auto"/>
        <w:ind w:firstLine="420" w:firstLineChars="200"/>
        <w:rPr>
          <w:rFonts w:cs="Calibri"/>
          <w:color w:val="000000"/>
          <w:szCs w:val="24"/>
        </w:rPr>
      </w:pPr>
      <w:r>
        <w:rPr>
          <w:rFonts w:cs="Calibri"/>
          <w:i/>
          <w:color w:val="000000"/>
        </w:rPr>
        <w:tab/>
      </w:r>
      <w:r>
        <w:rPr>
          <w:rFonts w:cs="Calibri"/>
          <w:i/>
          <w:color w:val="000000"/>
          <w:szCs w:val="24"/>
        </w:rPr>
        <w:t>f</w:t>
      </w:r>
      <w:r>
        <w:rPr>
          <w:rFonts w:cs="Calibri"/>
          <w:i/>
          <w:color w:val="000000"/>
          <w:szCs w:val="24"/>
          <w:vertAlign w:val="subscript"/>
        </w:rPr>
        <w:t>yh</w:t>
      </w:r>
      <w:r>
        <w:rPr>
          <w:rFonts w:cs="Calibri"/>
          <w:color w:val="000000"/>
          <w:szCs w:val="24"/>
          <w:vertAlign w:val="subscript"/>
        </w:rPr>
        <w:softHyphen/>
      </w:r>
      <w:r>
        <w:rPr>
          <w:rFonts w:cs="Calibri"/>
          <w:color w:val="000000"/>
        </w:rPr>
        <w:t>——</w:t>
      </w:r>
      <w:r>
        <w:rPr>
          <w:rFonts w:hint="eastAsia" w:cs="Calibri"/>
          <w:color w:val="000000"/>
          <w:szCs w:val="24"/>
        </w:rPr>
        <w:t>箍筋屈服强度</w:t>
      </w:r>
      <w:r>
        <w:rPr>
          <w:rFonts w:hint="eastAsia" w:cs="Calibri"/>
          <w:color w:val="000000"/>
          <w:kern w:val="0"/>
        </w:rPr>
        <w:t>；</w:t>
      </w:r>
    </w:p>
    <w:p>
      <w:pPr>
        <w:tabs>
          <w:tab w:val="left" w:pos="650"/>
          <w:tab w:val="decimal" w:pos="3828"/>
          <w:tab w:val="center" w:pos="4962"/>
          <w:tab w:val="right" w:pos="9746"/>
        </w:tabs>
        <w:spacing w:line="360" w:lineRule="auto"/>
        <w:ind w:left="2268" w:leftChars="200" w:hanging="1848" w:hangingChars="880"/>
        <w:rPr>
          <w:rFonts w:cs="Calibri"/>
          <w:color w:val="000000"/>
          <w:szCs w:val="24"/>
        </w:rPr>
      </w:pPr>
      <w:r>
        <w:rPr>
          <w:rFonts w:cs="Calibri"/>
          <w:i/>
          <w:color w:val="000000"/>
          <w:szCs w:val="24"/>
        </w:rPr>
        <w:tab/>
      </w:r>
      <w:r>
        <w:rPr>
          <w:rFonts w:cs="Calibri"/>
          <w:i/>
          <w:color w:val="000000"/>
          <w:szCs w:val="24"/>
        </w:rPr>
        <w:t>k</w:t>
      </w:r>
      <w:r>
        <w:rPr>
          <w:rFonts w:cs="Calibri"/>
          <w:i/>
          <w:color w:val="000000"/>
          <w:szCs w:val="24"/>
          <w:vertAlign w:val="subscript"/>
        </w:rPr>
        <w:t>e</w:t>
      </w:r>
      <w:r>
        <w:rPr>
          <w:rFonts w:cs="Calibri"/>
          <w:color w:val="000000"/>
        </w:rPr>
        <w:t>——</w:t>
      </w:r>
      <w:r>
        <w:rPr>
          <w:rFonts w:hint="eastAsia" w:cs="Calibri"/>
          <w:color w:val="000000"/>
          <w:szCs w:val="24"/>
        </w:rPr>
        <w:t>有效约束系数，</w:t>
      </w:r>
      <w:r>
        <w:rPr>
          <w:rFonts w:cs="Calibri"/>
          <w:color w:val="000000"/>
          <w:position w:val="-30"/>
          <w:szCs w:val="24"/>
        </w:rPr>
        <w:object>
          <v:shape id="_x0000_i1279" o:spt="75" type="#_x0000_t75" style="height:34.5pt;width:42pt;" o:ole="t" filled="f" o:preferrelative="t" stroked="f" coordsize="21600,21600">
            <v:path/>
            <v:fill on="f" focussize="0,0"/>
            <v:stroke on="f"/>
            <v:imagedata r:id="rId596" o:title=""/>
            <o:lock v:ext="edit" aspectratio="t"/>
            <w10:wrap type="none"/>
            <w10:anchorlock/>
          </v:shape>
          <o:OLEObject Type="Embed" ProgID="Equation.DSMT4" ShapeID="_x0000_i1279" DrawAspect="Content" ObjectID="_1468075965" r:id="rId595">
            <o:LockedField>false</o:LockedField>
          </o:OLEObject>
        </w:object>
      </w:r>
      <w:r>
        <w:rPr>
          <w:rFonts w:hint="eastAsia" w:cs="Calibri"/>
          <w:color w:val="000000"/>
        </w:rPr>
        <w:t>，</w:t>
      </w:r>
      <w:r>
        <w:rPr>
          <w:rFonts w:cs="Calibri"/>
          <w:i/>
          <w:color w:val="000000"/>
        </w:rPr>
        <w:t>A</w:t>
      </w:r>
      <w:r>
        <w:rPr>
          <w:rFonts w:cs="Calibri"/>
          <w:i/>
          <w:color w:val="000000"/>
          <w:vertAlign w:val="subscript"/>
        </w:rPr>
        <w:t>e</w:t>
      </w:r>
      <w:r>
        <w:rPr>
          <w:rFonts w:hint="eastAsia" w:cs="Calibri"/>
          <w:color w:val="000000"/>
          <w:szCs w:val="24"/>
        </w:rPr>
        <w:t>为有效混凝土核心面积：对于圆形截面，</w:t>
      </w:r>
    </w:p>
    <w:p>
      <w:pPr>
        <w:tabs>
          <w:tab w:val="left" w:pos="650"/>
          <w:tab w:val="decimal" w:pos="3828"/>
          <w:tab w:val="center" w:pos="4962"/>
          <w:tab w:val="right" w:pos="9746"/>
        </w:tabs>
        <w:spacing w:line="360" w:lineRule="auto"/>
        <w:ind w:left="2268" w:leftChars="600" w:hanging="1008" w:hangingChars="480"/>
        <w:rPr>
          <w:rFonts w:cs="Calibri"/>
          <w:color w:val="000000"/>
          <w:szCs w:val="24"/>
        </w:rPr>
      </w:pPr>
      <w:r>
        <w:rPr>
          <w:rFonts w:cs="Calibri"/>
          <w:color w:val="000000"/>
          <w:position w:val="-24"/>
          <w:szCs w:val="24"/>
        </w:rPr>
        <w:object>
          <v:shape id="_x0000_i1280" o:spt="75" type="#_x0000_t75" style="height:32pt;width:82pt;" o:ole="t" filled="f" o:preferrelative="t" stroked="f" coordsize="21600,21600">
            <v:path/>
            <v:fill on="f" focussize="0,0"/>
            <v:stroke on="f"/>
            <v:imagedata r:id="rId598" o:title=""/>
            <o:lock v:ext="edit" aspectratio="t"/>
            <w10:wrap type="none"/>
            <w10:anchorlock/>
          </v:shape>
          <o:OLEObject Type="Embed" ProgID="Equation.DSMT4" ShapeID="_x0000_i1280" DrawAspect="Content" ObjectID="_1468075966" r:id="rId597">
            <o:LockedField>false</o:LockedField>
          </o:OLEObject>
        </w:object>
      </w:r>
      <w:r>
        <w:rPr>
          <w:rFonts w:hint="eastAsia" w:cs="Calibri"/>
          <w:color w:val="000000"/>
          <w:szCs w:val="24"/>
        </w:rPr>
        <w:t>，其中</w:t>
      </w:r>
      <w:r>
        <w:rPr>
          <w:rFonts w:cs="Calibri"/>
          <w:i/>
          <w:color w:val="000000"/>
          <w:szCs w:val="24"/>
        </w:rPr>
        <w:t>s</w:t>
      </w:r>
      <w:r>
        <w:rPr>
          <w:rFonts w:cs="Calibri"/>
          <w:color w:val="000000"/>
          <w:szCs w:val="24"/>
        </w:rPr>
        <w:t>’</w:t>
      </w:r>
      <w:r>
        <w:rPr>
          <w:rFonts w:hint="eastAsia" w:cs="Calibri"/>
          <w:color w:val="000000"/>
          <w:szCs w:val="24"/>
        </w:rPr>
        <w:t>为箍筋垂直净间距，</w:t>
      </w:r>
      <w:r>
        <w:rPr>
          <w:rFonts w:cs="Calibri"/>
          <w:i/>
          <w:color w:val="000000"/>
          <w:szCs w:val="24"/>
        </w:rPr>
        <w:t>d</w:t>
      </w:r>
      <w:r>
        <w:rPr>
          <w:rFonts w:cs="Calibri"/>
          <w:i/>
          <w:color w:val="000000"/>
          <w:szCs w:val="24"/>
          <w:vertAlign w:val="subscript"/>
        </w:rPr>
        <w:t>s</w:t>
      </w:r>
      <w:r>
        <w:rPr>
          <w:rFonts w:hint="eastAsia" w:cs="Calibri"/>
          <w:color w:val="000000"/>
          <w:szCs w:val="24"/>
        </w:rPr>
        <w:t>为箍筋所围圆形的净直径加</w:t>
      </w:r>
    </w:p>
    <w:p>
      <w:pPr>
        <w:tabs>
          <w:tab w:val="left" w:pos="650"/>
          <w:tab w:val="decimal" w:pos="3828"/>
          <w:tab w:val="center" w:pos="4962"/>
          <w:tab w:val="right" w:pos="9746"/>
        </w:tabs>
        <w:spacing w:line="360" w:lineRule="auto"/>
        <w:ind w:left="2268" w:leftChars="600" w:hanging="1008" w:hangingChars="480"/>
        <w:rPr>
          <w:rFonts w:cs="Calibri"/>
          <w:color w:val="000000"/>
          <w:szCs w:val="24"/>
        </w:rPr>
      </w:pPr>
      <w:r>
        <w:rPr>
          <w:rFonts w:hint="eastAsia" w:cs="Calibri"/>
          <w:color w:val="000000"/>
          <w:szCs w:val="24"/>
        </w:rPr>
        <w:t>上箍筋直径；对于矩形截面，</w:t>
      </w:r>
      <w:r>
        <w:rPr>
          <w:rFonts w:cs="Calibri"/>
          <w:color w:val="000000"/>
          <w:position w:val="-24"/>
          <w:szCs w:val="24"/>
        </w:rPr>
        <w:object>
          <v:shape id="_x0000_i1281" o:spt="75" type="#_x0000_t75" style="height:32pt;width:188pt;" o:ole="t" filled="f" o:preferrelative="t" stroked="f" coordsize="21600,21600">
            <v:path/>
            <v:fill on="f" focussize="0,0"/>
            <v:stroke on="f"/>
            <v:imagedata r:id="rId600" o:title=""/>
            <o:lock v:ext="edit" aspectratio="t"/>
            <w10:wrap type="none"/>
            <w10:anchorlock/>
          </v:shape>
          <o:OLEObject Type="Embed" ProgID="Equation.DSMT4" ShapeID="_x0000_i1281" DrawAspect="Content" ObjectID="_1468075967" r:id="rId599">
            <o:LockedField>false</o:LockedField>
          </o:OLEObject>
        </w:object>
      </w:r>
      <w:r>
        <w:rPr>
          <w:rFonts w:hint="eastAsia" w:cs="Calibri"/>
          <w:color w:val="000000"/>
          <w:szCs w:val="24"/>
        </w:rPr>
        <w:t>，其中</w:t>
      </w:r>
    </w:p>
    <w:p>
      <w:pPr>
        <w:tabs>
          <w:tab w:val="left" w:pos="650"/>
          <w:tab w:val="decimal" w:pos="3828"/>
          <w:tab w:val="center" w:pos="4962"/>
          <w:tab w:val="right" w:pos="9746"/>
        </w:tabs>
        <w:spacing w:line="360" w:lineRule="auto"/>
        <w:ind w:left="2268" w:leftChars="600" w:hanging="1008" w:hangingChars="480"/>
        <w:rPr>
          <w:rFonts w:cs="Calibri"/>
          <w:color w:val="000000"/>
          <w:szCs w:val="24"/>
        </w:rPr>
      </w:pPr>
      <w:r>
        <w:rPr>
          <w:rFonts w:cs="Calibri"/>
          <w:i/>
          <w:color w:val="000000"/>
          <w:szCs w:val="24"/>
        </w:rPr>
        <w:t>B</w:t>
      </w:r>
      <w:r>
        <w:rPr>
          <w:rFonts w:cs="Calibri"/>
          <w:color w:val="000000"/>
          <w:szCs w:val="24"/>
        </w:rPr>
        <w:t>’</w:t>
      </w:r>
      <w:r>
        <w:rPr>
          <w:rFonts w:hint="eastAsia" w:cs="Calibri"/>
          <w:color w:val="000000"/>
          <w:szCs w:val="24"/>
        </w:rPr>
        <w:t>和</w:t>
      </w:r>
      <w:r>
        <w:rPr>
          <w:rFonts w:cs="Calibri"/>
          <w:i/>
          <w:color w:val="000000"/>
          <w:szCs w:val="24"/>
        </w:rPr>
        <w:t>D</w:t>
      </w:r>
      <w:r>
        <w:rPr>
          <w:rFonts w:cs="Calibri"/>
          <w:color w:val="000000"/>
          <w:szCs w:val="24"/>
        </w:rPr>
        <w:t>’</w:t>
      </w:r>
      <w:r>
        <w:rPr>
          <w:rFonts w:hint="eastAsia" w:cs="Calibri"/>
          <w:color w:val="000000"/>
          <w:szCs w:val="24"/>
        </w:rPr>
        <w:t>为矩形截面约束混凝土核心宽度和高度，即最外侧箍筋中心之间的距</w:t>
      </w:r>
    </w:p>
    <w:p>
      <w:pPr>
        <w:tabs>
          <w:tab w:val="left" w:pos="650"/>
          <w:tab w:val="decimal" w:pos="3828"/>
          <w:tab w:val="center" w:pos="4962"/>
          <w:tab w:val="right" w:pos="9746"/>
        </w:tabs>
        <w:spacing w:line="360" w:lineRule="auto"/>
        <w:ind w:left="2268" w:leftChars="600" w:hanging="1008" w:hangingChars="480"/>
        <w:rPr>
          <w:rFonts w:hint="eastAsia" w:cs="Calibri"/>
          <w:color w:val="000000"/>
          <w:szCs w:val="24"/>
        </w:rPr>
      </w:pPr>
      <w:r>
        <w:rPr>
          <w:rFonts w:hint="eastAsia" w:cs="Calibri"/>
          <w:color w:val="000000"/>
          <w:szCs w:val="24"/>
        </w:rPr>
        <w:t>离，</w:t>
      </w:r>
      <w:r>
        <w:rPr>
          <w:rFonts w:cs="Calibri"/>
          <w:i/>
          <w:color w:val="000000"/>
          <w:szCs w:val="24"/>
        </w:rPr>
        <w:t>W</w:t>
      </w:r>
      <w:r>
        <w:rPr>
          <w:rFonts w:cs="Calibri"/>
          <w:i/>
          <w:color w:val="000000"/>
          <w:szCs w:val="24"/>
          <w:vertAlign w:val="subscript"/>
        </w:rPr>
        <w:t>i</w:t>
      </w:r>
      <w:r>
        <w:rPr>
          <w:rFonts w:hint="eastAsia" w:cs="Calibri"/>
          <w:color w:val="000000"/>
          <w:szCs w:val="24"/>
        </w:rPr>
        <w:t>为纵筋净间距。</w:t>
      </w:r>
      <w:r>
        <w:rPr>
          <w:rFonts w:cs="Calibri"/>
          <w:color w:val="000000"/>
          <w:position w:val="-12"/>
          <w:szCs w:val="22"/>
        </w:rPr>
        <w:object>
          <v:shape id="_x0000_i1282" o:spt="75" type="#_x0000_t75" style="height:16.5pt;width:80pt;" o:ole="t" filled="f" o:preferrelative="t" stroked="f" coordsize="21600,21600">
            <v:path/>
            <v:fill on="f" focussize="0,0"/>
            <v:stroke on="f"/>
            <v:imagedata r:id="rId602" o:title=""/>
            <o:lock v:ext="edit" aspectratio="t"/>
            <w10:wrap type="none"/>
            <w10:anchorlock/>
          </v:shape>
          <o:OLEObject Type="Embed" ProgID="Equation.DSMT4" ShapeID="_x0000_i1282" DrawAspect="Content" ObjectID="_1468075968" r:id="rId601">
            <o:LockedField>false</o:LockedField>
          </o:OLEObject>
        </w:object>
      </w:r>
      <w:r>
        <w:rPr>
          <w:rFonts w:hint="eastAsia" w:cs="Calibri"/>
          <w:color w:val="000000"/>
          <w:szCs w:val="24"/>
        </w:rPr>
        <w:t>，其中</w:t>
      </w:r>
      <w:r>
        <w:rPr>
          <w:rFonts w:cs="Calibri"/>
          <w:i/>
          <w:color w:val="000000"/>
          <w:szCs w:val="24"/>
        </w:rPr>
        <w:t>A</w:t>
      </w:r>
      <w:r>
        <w:rPr>
          <w:rFonts w:cs="Calibri"/>
          <w:i/>
          <w:color w:val="000000"/>
          <w:szCs w:val="24"/>
          <w:vertAlign w:val="subscript"/>
        </w:rPr>
        <w:t>c</w:t>
      </w:r>
      <w:r>
        <w:rPr>
          <w:rFonts w:hint="eastAsia" w:cs="Calibri"/>
          <w:color w:val="000000"/>
          <w:szCs w:val="24"/>
        </w:rPr>
        <w:t>为核心区混凝土面积，对</w:t>
      </w:r>
    </w:p>
    <w:p>
      <w:pPr>
        <w:tabs>
          <w:tab w:val="left" w:pos="650"/>
          <w:tab w:val="decimal" w:pos="3828"/>
          <w:tab w:val="center" w:pos="4962"/>
          <w:tab w:val="right" w:pos="9746"/>
        </w:tabs>
        <w:spacing w:line="360" w:lineRule="auto"/>
        <w:ind w:left="2268" w:leftChars="600" w:hanging="1008" w:hangingChars="480"/>
        <w:rPr>
          <w:rFonts w:cs="Calibri"/>
          <w:color w:val="000000"/>
          <w:szCs w:val="24"/>
        </w:rPr>
      </w:pPr>
      <w:r>
        <w:rPr>
          <w:rFonts w:hint="eastAsia" w:cs="Calibri"/>
          <w:color w:val="000000"/>
          <w:szCs w:val="24"/>
        </w:rPr>
        <w:t>于圆形截面，</w:t>
      </w:r>
      <w:r>
        <w:rPr>
          <w:rFonts w:cs="Calibri"/>
          <w:color w:val="000000"/>
          <w:position w:val="-24"/>
          <w:szCs w:val="22"/>
        </w:rPr>
        <w:object>
          <v:shape id="_x0000_i1283" o:spt="75" type="#_x0000_t75" style="height:31pt;width:50pt;" o:ole="t" filled="f" o:preferrelative="t" stroked="f" coordsize="21600,21600">
            <v:path/>
            <v:fill on="f" focussize="0,0"/>
            <v:stroke on="f"/>
            <v:imagedata r:id="rId604" o:title=""/>
            <o:lock v:ext="edit" aspectratio="t"/>
            <w10:wrap type="none"/>
            <w10:anchorlock/>
          </v:shape>
          <o:OLEObject Type="Embed" ProgID="Equation.DSMT4" ShapeID="_x0000_i1283" DrawAspect="Content" ObjectID="_1468075969" r:id="rId603">
            <o:LockedField>false</o:LockedField>
          </o:OLEObject>
        </w:object>
      </w:r>
      <w:r>
        <w:rPr>
          <w:rFonts w:hint="eastAsia" w:cs="Calibri"/>
          <w:color w:val="000000"/>
        </w:rPr>
        <w:t>，</w:t>
      </w:r>
      <w:r>
        <w:rPr>
          <w:rFonts w:hint="eastAsia" w:cs="Calibri"/>
          <w:color w:val="000000"/>
          <w:szCs w:val="24"/>
        </w:rPr>
        <w:t>对于矩形截面有</w:t>
      </w:r>
      <w:r>
        <w:rPr>
          <w:rFonts w:cs="Calibri"/>
          <w:color w:val="000000"/>
          <w:position w:val="-12"/>
          <w:szCs w:val="24"/>
        </w:rPr>
        <w:object>
          <v:shape id="_x0000_i1284" o:spt="75" type="#_x0000_t75" style="height:19pt;width:46.5pt;" o:ole="t" filled="f" o:preferrelative="t" stroked="f" coordsize="21600,21600">
            <v:path/>
            <v:fill on="f" focussize="0,0"/>
            <v:stroke on="f"/>
            <v:imagedata r:id="rId606" o:title=""/>
            <o:lock v:ext="edit" aspectratio="t"/>
            <w10:wrap type="none"/>
            <w10:anchorlock/>
          </v:shape>
          <o:OLEObject Type="Embed" ProgID="Equation.DSMT4" ShapeID="_x0000_i1284" DrawAspect="Content" ObjectID="_1468075970" r:id="rId605">
            <o:LockedField>false</o:LockedField>
          </o:OLEObject>
        </w:object>
      </w:r>
      <w:r>
        <w:rPr>
          <w:rFonts w:hint="eastAsia" w:cs="Calibri"/>
          <w:color w:val="000000"/>
          <w:szCs w:val="24"/>
        </w:rPr>
        <w:t>，</w:t>
      </w:r>
      <w:r>
        <w:rPr>
          <w:rFonts w:cs="Calibri"/>
          <w:i/>
          <w:color w:val="000000"/>
          <w:szCs w:val="24"/>
        </w:rPr>
        <w:t>ρ</w:t>
      </w:r>
      <w:r>
        <w:rPr>
          <w:rFonts w:cs="Calibri"/>
          <w:i/>
          <w:color w:val="000000"/>
          <w:szCs w:val="24"/>
          <w:vertAlign w:val="subscript"/>
        </w:rPr>
        <w:t>cc</w:t>
      </w:r>
      <w:r>
        <w:rPr>
          <w:rFonts w:hint="eastAsia" w:cs="Calibri"/>
          <w:color w:val="000000"/>
          <w:szCs w:val="24"/>
        </w:rPr>
        <w:t>为纵筋面积与核心</w:t>
      </w:r>
    </w:p>
    <w:p>
      <w:pPr>
        <w:tabs>
          <w:tab w:val="left" w:pos="650"/>
          <w:tab w:val="decimal" w:pos="3828"/>
          <w:tab w:val="center" w:pos="4962"/>
          <w:tab w:val="right" w:pos="9746"/>
        </w:tabs>
        <w:spacing w:line="360" w:lineRule="auto"/>
        <w:ind w:left="2268" w:leftChars="600" w:hanging="1008" w:hangingChars="480"/>
        <w:rPr>
          <w:rFonts w:cs="Calibri"/>
          <w:color w:val="000000"/>
          <w:szCs w:val="24"/>
        </w:rPr>
      </w:pPr>
      <w:r>
        <w:rPr>
          <w:rFonts w:hint="eastAsia" w:cs="Calibri"/>
          <w:color w:val="000000"/>
          <w:szCs w:val="24"/>
        </w:rPr>
        <w:t>区混凝土面积的比值。</w:t>
      </w:r>
    </w:p>
    <w:p>
      <w:pPr>
        <w:tabs>
          <w:tab w:val="left" w:pos="1276"/>
          <w:tab w:val="left" w:pos="1843"/>
          <w:tab w:val="decimal" w:pos="3828"/>
          <w:tab w:val="center" w:pos="4962"/>
          <w:tab w:val="right" w:pos="9746"/>
        </w:tabs>
        <w:spacing w:line="360" w:lineRule="auto"/>
        <w:ind w:firstLine="420" w:firstLineChars="200"/>
        <w:rPr>
          <w:rFonts w:cs="Calibri"/>
          <w:color w:val="000000"/>
          <w:szCs w:val="24"/>
        </w:rPr>
      </w:pPr>
      <w:r>
        <w:rPr>
          <w:rFonts w:hint="eastAsia" w:cs="Calibri"/>
          <w:color w:val="000000"/>
          <w:szCs w:val="24"/>
        </w:rPr>
        <w:t>约束混凝土峰值应力对应的轴向受压应变</w:t>
      </w:r>
      <w:r>
        <w:rPr>
          <w:rFonts w:cs="Calibri"/>
          <w:i/>
          <w:color w:val="000000"/>
          <w:szCs w:val="24"/>
        </w:rPr>
        <w:t>ε</w:t>
      </w:r>
      <w:r>
        <w:rPr>
          <w:rFonts w:cs="Calibri"/>
          <w:i/>
          <w:color w:val="000000"/>
          <w:szCs w:val="24"/>
          <w:vertAlign w:val="subscript"/>
        </w:rPr>
        <w:t>cc</w:t>
      </w:r>
      <w:r>
        <w:rPr>
          <w:rFonts w:hint="eastAsia" w:cs="Calibri"/>
          <w:color w:val="000000"/>
          <w:szCs w:val="24"/>
        </w:rPr>
        <w:t>可按下式确定：</w:t>
      </w:r>
    </w:p>
    <w:p>
      <w:pPr>
        <w:tabs>
          <w:tab w:val="center" w:pos="4962"/>
          <w:tab w:val="right" w:pos="9746"/>
        </w:tabs>
        <w:spacing w:line="360" w:lineRule="auto"/>
        <w:rPr>
          <w:rFonts w:cs="Calibri"/>
          <w:color w:val="000000"/>
          <w:szCs w:val="22"/>
        </w:rPr>
      </w:pPr>
      <w:r>
        <w:rPr>
          <w:rFonts w:cs="Calibri"/>
          <w:color w:val="000000"/>
        </w:rPr>
        <w:tab/>
      </w:r>
      <w:r>
        <w:rPr>
          <w:rFonts w:cs="Calibri"/>
          <w:color w:val="000000"/>
          <w:position w:val="-32"/>
          <w:szCs w:val="24"/>
        </w:rPr>
        <w:object>
          <v:shape id="_x0000_i1285" o:spt="75" type="#_x0000_t75" style="height:42pt;width:113.5pt;" o:ole="t" filled="f" o:preferrelative="t" stroked="f" coordsize="21600,21600">
            <v:path/>
            <v:fill on="f" focussize="0,0"/>
            <v:stroke on="f"/>
            <v:imagedata r:id="rId608" o:title=""/>
            <o:lock v:ext="edit" aspectratio="t"/>
            <w10:wrap type="none"/>
            <w10:anchorlock/>
          </v:shape>
          <o:OLEObject Type="Embed" ProgID="Equation.DSMT4" ShapeID="_x0000_i1285" DrawAspect="Content" ObjectID="_1468075971" r:id="rId607">
            <o:LockedField>false</o:LockedField>
          </o:OLEObject>
        </w:object>
      </w:r>
      <w:r>
        <w:rPr>
          <w:rFonts w:cs="Calibri"/>
          <w:color w:val="000000"/>
        </w:rPr>
        <w:t xml:space="preserve">                  </w:t>
      </w:r>
      <w:r>
        <w:rPr>
          <w:rFonts w:hint="eastAsia" w:cs="Calibri"/>
          <w:color w:val="000000"/>
        </w:rPr>
        <w:t>（</w:t>
      </w:r>
      <w:r>
        <w:rPr>
          <w:rFonts w:cs="Calibri"/>
          <w:color w:val="000000"/>
          <w:szCs w:val="24"/>
        </w:rPr>
        <w:t>I.2.5-6</w:t>
      </w:r>
      <w:r>
        <w:rPr>
          <w:rFonts w:hint="eastAsia" w:cs="Calibri"/>
          <w:color w:val="000000"/>
        </w:rPr>
        <w:t>）</w:t>
      </w:r>
    </w:p>
    <w:p>
      <w:pPr>
        <w:tabs>
          <w:tab w:val="left" w:pos="650"/>
          <w:tab w:val="left" w:pos="1843"/>
          <w:tab w:val="decimal" w:pos="3828"/>
          <w:tab w:val="center" w:pos="4962"/>
          <w:tab w:val="right" w:pos="9746"/>
        </w:tabs>
        <w:spacing w:line="360" w:lineRule="auto"/>
        <w:rPr>
          <w:rFonts w:hint="eastAsia" w:cs="Calibri"/>
          <w:color w:val="000000"/>
          <w:szCs w:val="24"/>
        </w:rPr>
      </w:pPr>
      <w:r>
        <w:rPr>
          <w:rFonts w:hint="eastAsia" w:cs="Calibri"/>
          <w:color w:val="000000"/>
          <w:szCs w:val="24"/>
        </w:rPr>
        <w:t>式中：</w:t>
      </w:r>
      <w:r>
        <w:rPr>
          <w:rFonts w:cs="Calibri"/>
          <w:i/>
          <w:color w:val="000000"/>
          <w:szCs w:val="24"/>
        </w:rPr>
        <w:tab/>
      </w:r>
      <w:r>
        <w:rPr>
          <w:rFonts w:cs="Calibri"/>
          <w:i/>
          <w:color w:val="000000"/>
          <w:szCs w:val="24"/>
        </w:rPr>
        <w:t>ε</w:t>
      </w:r>
      <w:r>
        <w:rPr>
          <w:rFonts w:cs="Calibri"/>
          <w:i/>
          <w:color w:val="000000"/>
          <w:szCs w:val="24"/>
          <w:vertAlign w:val="subscript"/>
        </w:rPr>
        <w:t>co</w:t>
      </w:r>
      <w:r>
        <w:rPr>
          <w:rFonts w:cs="Calibri"/>
          <w:color w:val="000000"/>
        </w:rPr>
        <w:t>——</w:t>
      </w:r>
      <w:r>
        <w:rPr>
          <w:rFonts w:hint="eastAsia" w:cs="Calibri"/>
          <w:color w:val="000000"/>
          <w:szCs w:val="24"/>
        </w:rPr>
        <w:t>素混凝土单轴受压峰值承载力对应的轴向受压应变。</w:t>
      </w:r>
    </w:p>
    <w:p>
      <w:pPr>
        <w:spacing w:line="360" w:lineRule="auto"/>
        <w:rPr>
          <w:rFonts w:cs="Calibri"/>
          <w:color w:val="000000"/>
          <w:szCs w:val="21"/>
        </w:rPr>
      </w:pPr>
      <w:r>
        <w:rPr>
          <w:rFonts w:cs="Calibri"/>
          <w:b/>
          <w:color w:val="000000"/>
          <w:sz w:val="24"/>
          <w:szCs w:val="24"/>
        </w:rPr>
        <w:t xml:space="preserve">4 </w:t>
      </w:r>
      <w:r>
        <w:rPr>
          <w:rFonts w:hint="eastAsia" w:cs="Calibri"/>
          <w:color w:val="000000"/>
          <w:szCs w:val="21"/>
        </w:rPr>
        <w:t>普通钢材的滞回本构一般以随动强化为主，有时伴随少量的等向强化，而低屈服钢则伴随明显的等向强化成分，对于一般钢材，在缺乏试验数据支撑时，宜采用随动强化滞回模型或混合强化滞回模型。</w:t>
      </w:r>
    </w:p>
    <w:p>
      <w:pPr>
        <w:spacing w:line="360" w:lineRule="auto"/>
        <w:ind w:firstLine="420" w:firstLineChars="200"/>
        <w:rPr>
          <w:rFonts w:cs="Calibri"/>
          <w:color w:val="000000"/>
          <w:szCs w:val="21"/>
        </w:rPr>
      </w:pPr>
      <w:r>
        <w:rPr>
          <w:rFonts w:hint="eastAsia" w:cs="Calibri"/>
          <w:color w:val="000000"/>
          <w:szCs w:val="21"/>
        </w:rPr>
        <w:t>在普通钢材的单轴应力应变关系曲线的在屈服后的强度上升段刚度一般接近</w:t>
      </w:r>
      <w:r>
        <w:rPr>
          <w:rFonts w:cs="Calibri"/>
          <w:color w:val="000000"/>
          <w:szCs w:val="21"/>
        </w:rPr>
        <w:t>1%</w:t>
      </w:r>
      <w:r>
        <w:rPr>
          <w:rFonts w:hint="eastAsia" w:cs="Calibri"/>
          <w:color w:val="000000"/>
          <w:szCs w:val="21"/>
        </w:rPr>
        <w:t>弹性模量，无试验数据时，屈服后刚度可取</w:t>
      </w:r>
      <w:r>
        <w:rPr>
          <w:rFonts w:cs="Calibri"/>
          <w:color w:val="000000"/>
          <w:szCs w:val="21"/>
        </w:rPr>
        <w:t>1%</w:t>
      </w:r>
      <w:r>
        <w:rPr>
          <w:rFonts w:hint="eastAsia" w:cs="Calibri"/>
          <w:color w:val="000000"/>
          <w:szCs w:val="21"/>
        </w:rPr>
        <w:t>弹性模量。</w:t>
      </w:r>
    </w:p>
    <w:p>
      <w:pPr>
        <w:spacing w:line="360" w:lineRule="auto"/>
        <w:ind w:firstLine="420" w:firstLineChars="200"/>
        <w:rPr>
          <w:rFonts w:hint="eastAsia" w:cs="Calibri"/>
          <w:color w:val="000000"/>
          <w:szCs w:val="21"/>
        </w:rPr>
      </w:pPr>
      <w:r>
        <w:rPr>
          <w:rFonts w:hint="eastAsia" w:cs="Calibri"/>
          <w:color w:val="000000"/>
          <w:szCs w:val="21"/>
        </w:rPr>
        <w:t>钢构件在地震作用下有时会发生局部屈曲，根据板件宽厚比、高厚比的不同，发生局部屈曲的难度不同，可分为弹性屈曲和屈服后屈曲，在构件进入深度塑性状态时，板件均会发生局部屈曲甚至断裂，从而导致构件的强度下降甚至大幅下降。在分析结构严重破坏状态时，不考虑局部屈曲和断裂的影响，将可能低估破坏的程度。</w:t>
      </w:r>
    </w:p>
    <w:p>
      <w:pPr>
        <w:spacing w:line="360" w:lineRule="auto"/>
        <w:jc w:val="left"/>
        <w:rPr>
          <w:rFonts w:cs="Calibri"/>
          <w:color w:val="000000"/>
          <w:szCs w:val="21"/>
        </w:rPr>
      </w:pPr>
      <w:r>
        <w:rPr>
          <w:rFonts w:cs="Calibri"/>
          <w:b/>
          <w:color w:val="000000"/>
          <w:sz w:val="24"/>
          <w:szCs w:val="24"/>
        </w:rPr>
        <w:t xml:space="preserve">5  </w:t>
      </w:r>
      <w:r>
        <w:rPr>
          <w:rFonts w:hint="eastAsia" w:cs="Calibri"/>
          <w:color w:val="000000"/>
          <w:szCs w:val="21"/>
        </w:rPr>
        <w:t>防屈曲支撑可用双折线或多段线等各种力</w:t>
      </w:r>
      <w:r>
        <w:rPr>
          <w:rFonts w:cs="Calibri"/>
          <w:color w:val="000000"/>
          <w:szCs w:val="21"/>
        </w:rPr>
        <w:t>-</w:t>
      </w:r>
      <w:r>
        <w:rPr>
          <w:rFonts w:hint="eastAsia" w:cs="Calibri"/>
          <w:color w:val="000000"/>
          <w:szCs w:val="21"/>
        </w:rPr>
        <w:t>位移关系模型进行分析，由于轴向受力构件力</w:t>
      </w:r>
      <w:r>
        <w:rPr>
          <w:rFonts w:cs="Calibri"/>
          <w:color w:val="000000"/>
          <w:szCs w:val="21"/>
        </w:rPr>
        <w:t>-</w:t>
      </w:r>
      <w:r>
        <w:rPr>
          <w:rFonts w:hint="eastAsia" w:cs="Calibri"/>
          <w:color w:val="000000"/>
          <w:szCs w:val="21"/>
        </w:rPr>
        <w:t>位移关系曲线的屈服过程明显，而双线性模型参数简单，概念清楚，结构分析时可简单采用双线性模型。对于屈服点不明显的力</w:t>
      </w:r>
      <w:r>
        <w:rPr>
          <w:rFonts w:cs="Calibri"/>
          <w:color w:val="000000"/>
          <w:szCs w:val="21"/>
        </w:rPr>
        <w:t>-</w:t>
      </w:r>
      <w:r>
        <w:rPr>
          <w:rFonts w:hint="eastAsia" w:cs="Calibri"/>
          <w:color w:val="000000"/>
          <w:szCs w:val="21"/>
        </w:rPr>
        <w:t>位移关系曲线，可采用名义屈服点。</w:t>
      </w:r>
    </w:p>
    <w:p>
      <w:pPr>
        <w:spacing w:line="360" w:lineRule="auto"/>
        <w:jc w:val="left"/>
        <w:rPr>
          <w:rFonts w:cs="Calibri"/>
          <w:color w:val="000000"/>
          <w:szCs w:val="21"/>
        </w:rPr>
      </w:pPr>
    </w:p>
    <w:p>
      <w:pPr>
        <w:adjustRightInd w:val="0"/>
        <w:snapToGrid w:val="0"/>
        <w:jc w:val="center"/>
        <w:rPr>
          <w:rFonts w:ascii="Times New Roman" w:hAnsi="Times New Roman"/>
          <w:color w:val="000000"/>
          <w:szCs w:val="21"/>
        </w:rPr>
      </w:pPr>
      <w:r>
        <w:rPr>
          <w:rFonts w:ascii="Times New Roman" w:hAnsi="Times New Roman"/>
          <w:color w:val="000000"/>
          <w:szCs w:val="21"/>
        </w:rPr>
        <w:t xml:space="preserve">I.4  </w:t>
      </w:r>
      <w:r>
        <w:rPr>
          <w:rFonts w:hint="eastAsia" w:ascii="宋体" w:hAnsi="宋体"/>
          <w:color w:val="000000"/>
          <w:szCs w:val="21"/>
        </w:rPr>
        <w:t>抗震性能化评价指标和判据</w:t>
      </w:r>
    </w:p>
    <w:p>
      <w:pPr>
        <w:spacing w:line="360" w:lineRule="auto"/>
        <w:jc w:val="left"/>
        <w:rPr>
          <w:rFonts w:hint="eastAsia" w:cs="Calibri"/>
          <w:color w:val="000000"/>
          <w:szCs w:val="21"/>
        </w:rPr>
      </w:pPr>
    </w:p>
    <w:p>
      <w:pPr>
        <w:spacing w:line="360" w:lineRule="auto"/>
        <w:jc w:val="left"/>
        <w:rPr>
          <w:rFonts w:hint="eastAsia" w:cs="Calibri"/>
          <w:color w:val="000000"/>
          <w:sz w:val="24"/>
          <w:szCs w:val="22"/>
        </w:rPr>
      </w:pPr>
      <w:r>
        <w:rPr>
          <w:rFonts w:cs="Calibri"/>
          <w:b/>
          <w:color w:val="000000"/>
          <w:sz w:val="24"/>
          <w:szCs w:val="24"/>
        </w:rPr>
        <w:t xml:space="preserve">I.4.2  </w:t>
      </w:r>
      <w:r>
        <w:rPr>
          <w:rFonts w:hint="eastAsia" w:cs="Calibri"/>
          <w:color w:val="000000"/>
          <w:szCs w:val="21"/>
        </w:rPr>
        <w:t>表I</w:t>
      </w:r>
      <w:r>
        <w:rPr>
          <w:rFonts w:cs="Calibri"/>
          <w:color w:val="000000"/>
          <w:szCs w:val="21"/>
        </w:rPr>
        <w:t>.4.2-2</w:t>
      </w:r>
      <w:r>
        <w:rPr>
          <w:rFonts w:hint="eastAsia" w:cs="Calibri"/>
          <w:color w:val="000000"/>
          <w:szCs w:val="21"/>
        </w:rPr>
        <w:t>宏观描述各级抗震性能水准所对应的结构、构件损坏程度。根据对结构抗震安全的影响程度，结构构件可分为普通竖向构件、关键构件、耗能构件。由于不同构件损伤程度会有差别，表中性能要求，对于同一楼层，普通竖向构件超出比例不大于</w:t>
      </w:r>
      <w:r>
        <w:rPr>
          <w:rFonts w:cs="Calibri"/>
          <w:color w:val="000000"/>
          <w:szCs w:val="21"/>
        </w:rPr>
        <w:t>25%</w:t>
      </w:r>
      <w:r>
        <w:rPr>
          <w:rFonts w:hint="eastAsia" w:cs="Calibri"/>
          <w:color w:val="000000"/>
          <w:szCs w:val="21"/>
        </w:rPr>
        <w:t>，关键构件超出比例不大于</w:t>
      </w:r>
      <w:r>
        <w:rPr>
          <w:rFonts w:cs="Calibri"/>
          <w:color w:val="000000"/>
          <w:szCs w:val="21"/>
        </w:rPr>
        <w:t>10%</w:t>
      </w:r>
      <w:r>
        <w:rPr>
          <w:rFonts w:hint="eastAsia" w:cs="Calibri"/>
          <w:color w:val="000000"/>
          <w:szCs w:val="21"/>
        </w:rPr>
        <w:t>，耗能构件超出比例不大于</w:t>
      </w:r>
      <w:r>
        <w:rPr>
          <w:rFonts w:cs="Calibri"/>
          <w:color w:val="000000"/>
          <w:szCs w:val="21"/>
        </w:rPr>
        <w:t>30%</w:t>
      </w:r>
      <w:r>
        <w:rPr>
          <w:rFonts w:hint="eastAsia" w:cs="Calibri"/>
          <w:color w:val="000000"/>
          <w:szCs w:val="21"/>
        </w:rPr>
        <w:t>时，可视为满足要求</w:t>
      </w:r>
      <w:r>
        <w:rPr>
          <w:rFonts w:hint="eastAsia" w:cs="Calibri"/>
          <w:color w:val="000000"/>
          <w:sz w:val="24"/>
        </w:rPr>
        <w:t>。</w:t>
      </w:r>
    </w:p>
    <w:p>
      <w:pPr>
        <w:spacing w:line="360" w:lineRule="auto"/>
        <w:jc w:val="left"/>
        <w:rPr>
          <w:rFonts w:hint="eastAsia" w:ascii="宋体" w:hAnsi="宋体" w:cs="Calibri"/>
          <w:color w:val="000000"/>
          <w:sz w:val="24"/>
        </w:rPr>
      </w:pPr>
      <w:r>
        <w:rPr>
          <w:rFonts w:cs="Calibri"/>
          <w:b/>
          <w:color w:val="000000"/>
          <w:sz w:val="24"/>
          <w:szCs w:val="24"/>
        </w:rPr>
        <w:t xml:space="preserve">I.4.6  </w:t>
      </w:r>
      <w:r>
        <w:rPr>
          <w:rFonts w:hint="eastAsia" w:ascii="宋体" w:hAnsi="宋体" w:cs="Calibri"/>
          <w:color w:val="000000"/>
          <w:szCs w:val="21"/>
        </w:rPr>
        <w:t>对于压弯破坏的钢筋混凝土结构构件，提供</w:t>
      </w:r>
      <w:r>
        <w:rPr>
          <w:rFonts w:cs="Calibri"/>
          <w:i/>
          <w:color w:val="000000"/>
          <w:szCs w:val="21"/>
        </w:rPr>
        <w:t>θ</w:t>
      </w:r>
      <w:r>
        <w:rPr>
          <w:rFonts w:cs="Calibri"/>
          <w:color w:val="000000"/>
          <w:szCs w:val="21"/>
          <w:vertAlign w:val="subscript"/>
        </w:rPr>
        <w:t>r</w:t>
      </w:r>
      <w:r>
        <w:rPr>
          <w:rFonts w:hint="eastAsia" w:ascii="宋体" w:hAnsi="宋体" w:cs="Calibri"/>
          <w:color w:val="000000"/>
          <w:szCs w:val="21"/>
        </w:rPr>
        <w:t>是为了给弹塑性分析建模提供骨架线的性能点。</w:t>
      </w:r>
    </w:p>
    <w:p>
      <w:pPr>
        <w:spacing w:line="360" w:lineRule="auto"/>
        <w:rPr>
          <w:rFonts w:cs="Calibri"/>
          <w:color w:val="000000"/>
          <w:szCs w:val="22"/>
        </w:rPr>
      </w:pPr>
      <w:r>
        <w:rPr>
          <w:rFonts w:cs="Calibri"/>
          <w:b/>
          <w:color w:val="000000"/>
          <w:sz w:val="24"/>
          <w:szCs w:val="24"/>
        </w:rPr>
        <w:t xml:space="preserve">I.4.8  </w:t>
      </w:r>
      <w:r>
        <w:rPr>
          <w:rFonts w:hint="eastAsia" w:cs="Calibri"/>
          <w:color w:val="000000"/>
        </w:rPr>
        <w:t>本条中的骨架曲线特征点及各状态对应的转角是清华大学基于大量</w:t>
      </w:r>
      <w:r>
        <w:rPr>
          <w:rFonts w:cs="Calibri"/>
          <w:color w:val="000000"/>
        </w:rPr>
        <w:t>RC</w:t>
      </w:r>
      <w:r>
        <w:rPr>
          <w:rFonts w:hint="eastAsia" w:cs="Calibri"/>
          <w:color w:val="000000"/>
        </w:rPr>
        <w:t>剪力墙试验数据统计分析得到的。试验数据包括</w:t>
      </w:r>
      <w:r>
        <w:rPr>
          <w:rFonts w:cs="Calibri"/>
          <w:color w:val="000000"/>
        </w:rPr>
        <w:t>87</w:t>
      </w:r>
      <w:r>
        <w:rPr>
          <w:rFonts w:hint="eastAsia" w:cs="Calibri"/>
          <w:color w:val="000000"/>
        </w:rPr>
        <w:t>个</w:t>
      </w:r>
      <w:r>
        <w:rPr>
          <w:rFonts w:cs="Calibri"/>
          <w:color w:val="000000"/>
        </w:rPr>
        <w:t>RC</w:t>
      </w:r>
      <w:r>
        <w:rPr>
          <w:rFonts w:hint="eastAsia" w:cs="Calibri"/>
          <w:color w:val="000000"/>
        </w:rPr>
        <w:t>压弯破坏的剪力墙试件，剪力墙试件符合《建筑抗震设计规范》（</w:t>
      </w:r>
      <w:r>
        <w:rPr>
          <w:rFonts w:cs="Calibri"/>
          <w:color w:val="000000"/>
        </w:rPr>
        <w:t>GB50011-2010</w:t>
      </w:r>
      <w:r>
        <w:rPr>
          <w:rFonts w:hint="eastAsia" w:cs="Calibri"/>
          <w:color w:val="000000"/>
        </w:rPr>
        <w:t>）规定的抗震构造要求，试件剪跨比在</w:t>
      </w:r>
      <w:r>
        <w:rPr>
          <w:rFonts w:cs="Calibri"/>
          <w:color w:val="000000"/>
        </w:rPr>
        <w:t>1.5</w:t>
      </w:r>
      <w:r>
        <w:rPr>
          <w:rFonts w:cs="Calibri"/>
          <w:color w:val="000000"/>
        </w:rPr>
        <w:sym w:font="Symbol" w:char="F07E"/>
      </w:r>
      <w:r>
        <w:rPr>
          <w:rFonts w:cs="Calibri"/>
          <w:color w:val="000000"/>
        </w:rPr>
        <w:t>2.8</w:t>
      </w:r>
      <w:r>
        <w:rPr>
          <w:rFonts w:hint="eastAsia" w:cs="Calibri"/>
          <w:color w:val="000000"/>
        </w:rPr>
        <w:t>之间。骨架线上各特征点及性能点对应的转角统计分析时，假定试验样本满足对数正态分布，表中给出的值为对数正态分布的中值（即概率函数值为</w:t>
      </w:r>
      <w:r>
        <w:rPr>
          <w:rFonts w:cs="Calibri"/>
          <w:color w:val="000000"/>
        </w:rPr>
        <w:t>50%</w:t>
      </w:r>
      <w:r>
        <w:rPr>
          <w:rFonts w:hint="eastAsia" w:cs="Calibri"/>
          <w:color w:val="000000"/>
        </w:rPr>
        <w:t>对应的转角）。</w:t>
      </w:r>
    </w:p>
    <w:p>
      <w:pPr>
        <w:numPr>
          <w:ilvl w:val="0"/>
          <w:numId w:val="14"/>
        </w:numPr>
        <w:spacing w:line="360" w:lineRule="auto"/>
        <w:rPr>
          <w:color w:val="000000"/>
          <w:szCs w:val="22"/>
        </w:rPr>
      </w:pPr>
      <w:r>
        <w:rPr>
          <w:rFonts w:hint="eastAsia"/>
          <w:color w:val="000000"/>
          <w:szCs w:val="22"/>
        </w:rPr>
        <w:t>名义屈服点转角</w:t>
      </w:r>
      <w:r>
        <w:rPr>
          <w:i/>
          <w:color w:val="000000"/>
          <w:sz w:val="24"/>
          <w:szCs w:val="22"/>
        </w:rPr>
        <w:t>θ</w:t>
      </w:r>
      <w:r>
        <w:rPr>
          <w:color w:val="000000"/>
          <w:sz w:val="24"/>
          <w:szCs w:val="22"/>
          <w:vertAlign w:val="subscript"/>
        </w:rPr>
        <w:t>y</w:t>
      </w:r>
      <w:r>
        <w:rPr>
          <w:rFonts w:hint="eastAsia"/>
          <w:color w:val="000000"/>
          <w:sz w:val="24"/>
          <w:szCs w:val="22"/>
        </w:rPr>
        <w:t>，</w:t>
      </w:r>
      <w:r>
        <w:rPr>
          <w:rFonts w:hint="eastAsia"/>
          <w:color w:val="000000"/>
          <w:szCs w:val="22"/>
        </w:rPr>
        <w:t>对应状态为边缘纵筋屈服；</w:t>
      </w:r>
    </w:p>
    <w:p>
      <w:pPr>
        <w:numPr>
          <w:ilvl w:val="0"/>
          <w:numId w:val="14"/>
        </w:numPr>
        <w:spacing w:line="360" w:lineRule="auto"/>
        <w:rPr>
          <w:color w:val="000000"/>
          <w:szCs w:val="21"/>
        </w:rPr>
      </w:pPr>
      <w:r>
        <w:rPr>
          <w:rFonts w:hint="eastAsia"/>
          <w:color w:val="000000"/>
          <w:szCs w:val="21"/>
        </w:rPr>
        <w:t>性能点</w:t>
      </w:r>
      <w:r>
        <w:rPr>
          <w:i/>
          <w:color w:val="000000"/>
          <w:szCs w:val="21"/>
        </w:rPr>
        <w:t>θ</w:t>
      </w:r>
      <w:r>
        <w:rPr>
          <w:color w:val="000000"/>
          <w:szCs w:val="21"/>
          <w:vertAlign w:val="subscript"/>
        </w:rPr>
        <w:t>IO</w:t>
      </w:r>
      <w:r>
        <w:rPr>
          <w:rFonts w:hint="eastAsia"/>
          <w:color w:val="000000"/>
          <w:szCs w:val="21"/>
        </w:rPr>
        <w:t>，对应损伤状态为混凝土墙出现多条受弯裂缝；</w:t>
      </w:r>
    </w:p>
    <w:p>
      <w:pPr>
        <w:numPr>
          <w:ilvl w:val="0"/>
          <w:numId w:val="14"/>
        </w:numPr>
        <w:spacing w:line="360" w:lineRule="auto"/>
        <w:rPr>
          <w:color w:val="000000"/>
          <w:szCs w:val="22"/>
        </w:rPr>
      </w:pPr>
      <w:r>
        <w:rPr>
          <w:rFonts w:hint="eastAsia"/>
          <w:color w:val="000000"/>
          <w:szCs w:val="22"/>
        </w:rPr>
        <w:t>峰值点转角</w:t>
      </w:r>
      <w:r>
        <w:rPr>
          <w:i/>
          <w:color w:val="000000"/>
          <w:szCs w:val="22"/>
        </w:rPr>
        <w:t>θ</w:t>
      </w:r>
      <w:r>
        <w:rPr>
          <w:color w:val="000000"/>
          <w:szCs w:val="22"/>
          <w:vertAlign w:val="subscript"/>
        </w:rPr>
        <w:t>p</w:t>
      </w:r>
      <w:r>
        <w:rPr>
          <w:rFonts w:hint="eastAsia"/>
          <w:color w:val="000000"/>
          <w:szCs w:val="22"/>
        </w:rPr>
        <w:t>，对应的损伤状态为受压侧保护层开始剥落，但尚未露出纵筋；</w:t>
      </w:r>
    </w:p>
    <w:p>
      <w:pPr>
        <w:numPr>
          <w:ilvl w:val="0"/>
          <w:numId w:val="14"/>
        </w:numPr>
        <w:spacing w:line="360" w:lineRule="auto"/>
        <w:rPr>
          <w:color w:val="000000"/>
          <w:szCs w:val="22"/>
        </w:rPr>
      </w:pPr>
      <w:r>
        <w:rPr>
          <w:rFonts w:hint="eastAsia"/>
          <w:color w:val="000000"/>
          <w:szCs w:val="22"/>
        </w:rPr>
        <w:t>性能点</w:t>
      </w:r>
      <w:r>
        <w:rPr>
          <w:i/>
          <w:color w:val="000000"/>
          <w:sz w:val="24"/>
          <w:szCs w:val="22"/>
        </w:rPr>
        <w:t>θ</w:t>
      </w:r>
      <w:r>
        <w:rPr>
          <w:color w:val="000000"/>
          <w:sz w:val="24"/>
          <w:szCs w:val="22"/>
          <w:vertAlign w:val="subscript"/>
        </w:rPr>
        <w:t>LS</w:t>
      </w:r>
      <w:r>
        <w:rPr>
          <w:rFonts w:hint="eastAsia"/>
          <w:color w:val="000000"/>
          <w:szCs w:val="22"/>
        </w:rPr>
        <w:t>，对应的损伤状态为保护层剥落明显，纵筋裸露；</w:t>
      </w:r>
    </w:p>
    <w:p>
      <w:pPr>
        <w:numPr>
          <w:ilvl w:val="0"/>
          <w:numId w:val="14"/>
        </w:numPr>
        <w:spacing w:line="360" w:lineRule="auto"/>
        <w:rPr>
          <w:color w:val="000000"/>
          <w:szCs w:val="22"/>
        </w:rPr>
      </w:pPr>
      <w:r>
        <w:rPr>
          <w:rFonts w:hint="eastAsia"/>
          <w:color w:val="000000"/>
          <w:szCs w:val="22"/>
        </w:rPr>
        <w:t>性能点</w:t>
      </w:r>
      <w:r>
        <w:rPr>
          <w:i/>
          <w:color w:val="000000"/>
          <w:sz w:val="24"/>
          <w:szCs w:val="22"/>
        </w:rPr>
        <w:t>θ</w:t>
      </w:r>
      <w:r>
        <w:rPr>
          <w:color w:val="000000"/>
          <w:sz w:val="24"/>
          <w:szCs w:val="22"/>
          <w:vertAlign w:val="subscript"/>
        </w:rPr>
        <w:t>u</w:t>
      </w:r>
      <w:r>
        <w:rPr>
          <w:rFonts w:hint="eastAsia"/>
          <w:color w:val="000000"/>
          <w:szCs w:val="22"/>
        </w:rPr>
        <w:t>，对应的损伤状态为钢筋受压屈曲，边缘构件约束混凝土开始压溃；</w:t>
      </w:r>
    </w:p>
    <w:p>
      <w:pPr>
        <w:numPr>
          <w:ilvl w:val="0"/>
          <w:numId w:val="14"/>
        </w:numPr>
        <w:spacing w:line="360" w:lineRule="auto"/>
        <w:rPr>
          <w:rFonts w:hint="eastAsia"/>
          <w:color w:val="000000"/>
          <w:szCs w:val="22"/>
        </w:rPr>
      </w:pPr>
      <w:r>
        <w:rPr>
          <w:rFonts w:hint="eastAsia"/>
          <w:color w:val="000000"/>
          <w:szCs w:val="22"/>
        </w:rPr>
        <w:t>性能点</w:t>
      </w:r>
      <w:r>
        <w:rPr>
          <w:i/>
          <w:color w:val="000000"/>
          <w:sz w:val="24"/>
          <w:szCs w:val="22"/>
        </w:rPr>
        <w:t>θ</w:t>
      </w:r>
      <w:r>
        <w:rPr>
          <w:color w:val="000000"/>
          <w:sz w:val="24"/>
          <w:szCs w:val="22"/>
          <w:vertAlign w:val="subscript"/>
        </w:rPr>
        <w:t>r</w:t>
      </w:r>
      <w:r>
        <w:rPr>
          <w:rFonts w:hint="eastAsia"/>
          <w:color w:val="000000"/>
          <w:szCs w:val="22"/>
        </w:rPr>
        <w:t>，对应的状态为承载力下降至峰值荷载的</w:t>
      </w:r>
      <w:r>
        <w:rPr>
          <w:color w:val="000000"/>
          <w:szCs w:val="22"/>
        </w:rPr>
        <w:t>85%</w:t>
      </w:r>
      <w:r>
        <w:rPr>
          <w:rFonts w:hint="eastAsia"/>
          <w:color w:val="000000"/>
          <w:szCs w:val="22"/>
        </w:rPr>
        <w:t>或者试件失效。</w:t>
      </w:r>
    </w:p>
    <w:p>
      <w:pPr>
        <w:spacing w:line="360" w:lineRule="auto"/>
        <w:rPr>
          <w:rFonts w:hint="eastAsia" w:cs="Calibri"/>
          <w:color w:val="000000"/>
          <w:szCs w:val="21"/>
        </w:rPr>
      </w:pPr>
      <w:r>
        <w:rPr>
          <w:rFonts w:cs="Calibri"/>
          <w:b/>
          <w:color w:val="000000"/>
          <w:sz w:val="24"/>
          <w:szCs w:val="24"/>
        </w:rPr>
        <w:t xml:space="preserve">I.4.10  1  </w:t>
      </w:r>
      <w:r>
        <w:rPr>
          <w:rFonts w:hint="eastAsia" w:cs="Calibri"/>
          <w:color w:val="000000"/>
          <w:szCs w:val="21"/>
        </w:rPr>
        <w:t>对于表I</w:t>
      </w:r>
      <w:r>
        <w:rPr>
          <w:rFonts w:cs="Calibri"/>
          <w:color w:val="000000"/>
          <w:szCs w:val="21"/>
        </w:rPr>
        <w:t>.4.10-1</w:t>
      </w:r>
      <w:r>
        <w:rPr>
          <w:rFonts w:hint="eastAsia" w:cs="Calibri"/>
          <w:color w:val="000000"/>
          <w:szCs w:val="21"/>
        </w:rPr>
        <w:t>数据</w:t>
      </w:r>
      <w:r>
        <w:rPr>
          <w:rFonts w:cs="Calibri"/>
          <w:color w:val="000000"/>
          <w:szCs w:val="21"/>
        </w:rPr>
        <w:t>(</w:t>
      </w:r>
      <w:r>
        <w:rPr>
          <w:rFonts w:ascii="Symbol" w:hAnsi="Symbol" w:cs="Calibri"/>
          <w:i/>
          <w:color w:val="000000"/>
          <w:szCs w:val="21"/>
        </w:rPr>
        <w:t></w:t>
      </w:r>
      <w:r>
        <w:rPr>
          <w:rFonts w:cs="Calibri"/>
          <w:color w:val="000000"/>
          <w:szCs w:val="21"/>
        </w:rPr>
        <w:t>/</w:t>
      </w:r>
      <w:r>
        <w:rPr>
          <w:rFonts w:cs="Calibri"/>
          <w:i/>
          <w:color w:val="000000"/>
          <w:szCs w:val="21"/>
        </w:rPr>
        <w:t>L</w:t>
      </w:r>
      <w:r>
        <w:rPr>
          <w:rFonts w:cs="Calibri"/>
          <w:color w:val="000000"/>
          <w:szCs w:val="21"/>
        </w:rPr>
        <w:t>)</w:t>
      </w:r>
      <w:r>
        <w:rPr>
          <w:rFonts w:cs="Calibri"/>
          <w:color w:val="000000"/>
          <w:szCs w:val="21"/>
          <w:vertAlign w:val="subscript"/>
        </w:rPr>
        <w:t>y</w:t>
      </w:r>
      <w:r>
        <w:rPr>
          <w:rFonts w:hint="eastAsia" w:cs="Calibri"/>
          <w:color w:val="000000"/>
          <w:szCs w:val="21"/>
        </w:rPr>
        <w:t>，取为</w:t>
      </w:r>
      <w:r>
        <w:rPr>
          <w:rFonts w:cs="Calibri"/>
          <w:color w:val="000000"/>
          <w:szCs w:val="21"/>
        </w:rPr>
        <w:t>1/1000</w:t>
      </w:r>
      <w:r>
        <w:rPr>
          <w:rFonts w:hint="eastAsia" w:cs="Calibri"/>
          <w:color w:val="000000"/>
          <w:szCs w:val="21"/>
        </w:rPr>
        <w:t>，和《建筑抗震设计规范》</w:t>
      </w:r>
      <w:r>
        <w:rPr>
          <w:rFonts w:cs="Calibri"/>
          <w:color w:val="000000"/>
          <w:szCs w:val="21"/>
        </w:rPr>
        <w:t>GB 50011-2010</w:t>
      </w:r>
      <w:r>
        <w:rPr>
          <w:rFonts w:hint="eastAsia" w:cs="Calibri"/>
          <w:color w:val="000000"/>
          <w:szCs w:val="21"/>
        </w:rPr>
        <w:t>弹性层间位移相协调。</w:t>
      </w:r>
    </w:p>
    <w:p>
      <w:pPr>
        <w:spacing w:line="360" w:lineRule="auto"/>
        <w:rPr>
          <w:rFonts w:cs="Calibri"/>
          <w:color w:val="000000"/>
          <w:szCs w:val="21"/>
        </w:rPr>
      </w:pPr>
      <w:r>
        <w:rPr>
          <w:rFonts w:cs="Calibri"/>
          <w:b/>
          <w:color w:val="000000"/>
          <w:sz w:val="24"/>
          <w:szCs w:val="24"/>
        </w:rPr>
        <w:t xml:space="preserve">2  </w:t>
      </w:r>
      <w:r>
        <w:rPr>
          <w:rFonts w:hint="eastAsia" w:cs="Calibri"/>
          <w:color w:val="000000"/>
          <w:szCs w:val="21"/>
        </w:rPr>
        <w:t>对于表I</w:t>
      </w:r>
      <w:r>
        <w:rPr>
          <w:rFonts w:cs="Calibri"/>
          <w:color w:val="000000"/>
          <w:szCs w:val="21"/>
        </w:rPr>
        <w:t>.4.10-2</w:t>
      </w:r>
      <w:r>
        <w:rPr>
          <w:rFonts w:hint="eastAsia" w:cs="Calibri"/>
          <w:color w:val="000000"/>
          <w:szCs w:val="21"/>
        </w:rPr>
        <w:t>数据</w:t>
      </w:r>
      <w:r>
        <w:rPr>
          <w:rFonts w:cs="Calibri"/>
          <w:color w:val="000000"/>
          <w:szCs w:val="21"/>
        </w:rPr>
        <w:t>(</w:t>
      </w:r>
      <w:r>
        <w:rPr>
          <w:rFonts w:ascii="Symbol" w:hAnsi="Symbol" w:cs="Calibri"/>
          <w:i/>
          <w:color w:val="000000"/>
          <w:szCs w:val="21"/>
        </w:rPr>
        <w:t></w:t>
      </w:r>
      <w:r>
        <w:rPr>
          <w:rFonts w:cs="Calibri"/>
          <w:color w:val="000000"/>
          <w:szCs w:val="21"/>
        </w:rPr>
        <w:t>/</w:t>
      </w:r>
      <w:r>
        <w:rPr>
          <w:rFonts w:cs="Calibri"/>
          <w:i/>
          <w:color w:val="000000"/>
          <w:szCs w:val="21"/>
        </w:rPr>
        <w:t>L</w:t>
      </w:r>
      <w:r>
        <w:rPr>
          <w:rFonts w:cs="Calibri"/>
          <w:color w:val="000000"/>
          <w:szCs w:val="21"/>
        </w:rPr>
        <w:t>)</w:t>
      </w:r>
      <w:r>
        <w:rPr>
          <w:rFonts w:cs="Calibri"/>
          <w:color w:val="000000"/>
          <w:szCs w:val="21"/>
          <w:vertAlign w:val="subscript"/>
        </w:rPr>
        <w:t>y</w:t>
      </w:r>
      <w:r>
        <w:rPr>
          <w:rFonts w:hint="eastAsia" w:cs="Calibri"/>
          <w:color w:val="000000"/>
          <w:szCs w:val="21"/>
        </w:rPr>
        <w:t>，取为</w:t>
      </w:r>
      <w:r>
        <w:rPr>
          <w:rFonts w:cs="Calibri"/>
          <w:color w:val="000000"/>
          <w:szCs w:val="21"/>
        </w:rPr>
        <w:t>1/1000</w:t>
      </w:r>
      <w:r>
        <w:rPr>
          <w:rFonts w:hint="eastAsia" w:cs="Calibri"/>
          <w:color w:val="000000"/>
          <w:szCs w:val="21"/>
        </w:rPr>
        <w:t>，和《建筑抗震设计规范》</w:t>
      </w:r>
      <w:r>
        <w:rPr>
          <w:rFonts w:cs="Calibri"/>
          <w:color w:val="000000"/>
          <w:szCs w:val="21"/>
        </w:rPr>
        <w:t>GB 50011-2010</w:t>
      </w:r>
      <w:r>
        <w:rPr>
          <w:rFonts w:hint="eastAsia" w:cs="Calibri"/>
          <w:color w:val="000000"/>
          <w:szCs w:val="21"/>
        </w:rPr>
        <w:t>弹性层间位移相协调。</w:t>
      </w:r>
    </w:p>
    <w:p>
      <w:pPr>
        <w:jc w:val="left"/>
        <w:rPr>
          <w:rFonts w:ascii="宋体" w:hAnsi="宋体" w:cs="Calibri"/>
          <w:b/>
          <w:color w:val="000000"/>
          <w:sz w:val="30"/>
          <w:szCs w:val="30"/>
        </w:rPr>
      </w:pPr>
    </w:p>
    <w:p>
      <w:pPr>
        <w:jc w:val="left"/>
        <w:rPr>
          <w:rFonts w:ascii="宋体" w:hAnsi="宋体" w:cs="Calibri"/>
          <w:b/>
          <w:color w:val="000000"/>
          <w:sz w:val="30"/>
          <w:szCs w:val="30"/>
        </w:rPr>
      </w:pPr>
    </w:p>
    <w:p>
      <w:pPr>
        <w:autoSpaceDE w:val="0"/>
        <w:autoSpaceDN w:val="0"/>
        <w:adjustRightInd w:val="0"/>
        <w:spacing w:line="360" w:lineRule="auto"/>
        <w:rPr>
          <w:rFonts w:hint="eastAsia" w:cs="Calibri"/>
          <w:bCs/>
          <w:color w:val="000000"/>
          <w:kern w:val="0"/>
          <w:szCs w:val="21"/>
        </w:rPr>
      </w:pPr>
    </w:p>
    <w:p>
      <w:pPr>
        <w:pStyle w:val="134"/>
        <w:spacing w:before="312" w:after="312"/>
      </w:pPr>
      <w:r>
        <w:br w:type="page"/>
      </w:r>
      <w:bookmarkStart w:id="284" w:name="_Toc48049994"/>
      <w:r>
        <w:rPr>
          <w:rFonts w:hint="eastAsia"/>
        </w:rPr>
        <w:t>附录</w:t>
      </w:r>
      <w:r>
        <w:t>J 屈曲</w:t>
      </w:r>
      <w:r>
        <w:rPr>
          <w:rFonts w:hint="eastAsia"/>
        </w:rPr>
        <w:t>约束</w:t>
      </w:r>
      <w:r>
        <w:t>支撑</w:t>
      </w:r>
      <w:bookmarkEnd w:id="284"/>
    </w:p>
    <w:p>
      <w:pPr>
        <w:autoSpaceDE w:val="0"/>
        <w:autoSpaceDN w:val="0"/>
        <w:adjustRightInd w:val="0"/>
        <w:spacing w:line="360" w:lineRule="auto"/>
        <w:jc w:val="center"/>
        <w:rPr>
          <w:rFonts w:hint="eastAsia" w:cs="Calibri"/>
          <w:bCs/>
          <w:color w:val="000000"/>
          <w:szCs w:val="21"/>
        </w:rPr>
      </w:pPr>
    </w:p>
    <w:p>
      <w:pPr>
        <w:adjustRightInd w:val="0"/>
        <w:spacing w:line="360" w:lineRule="auto"/>
        <w:rPr>
          <w:rFonts w:cs="Calibri"/>
          <w:bCs/>
          <w:color w:val="000000"/>
          <w:szCs w:val="21"/>
        </w:rPr>
      </w:pPr>
      <w:r>
        <w:rPr>
          <w:rFonts w:cs="Calibri"/>
          <w:bCs/>
          <w:color w:val="000000"/>
          <w:szCs w:val="21"/>
        </w:rPr>
        <w:t>J.0.1 屈曲约束支撑偏心受力时，可能会引起核心支撑杆在预留空隙处发生弯曲，导致支撑耗能失效或产生破坏。因此在结构设计和施工中，屈曲约束支撑应设计为轴心受力构件，并保证施工过程中不产生过大的误差导致支撑成为偏心受力构件。</w:t>
      </w:r>
    </w:p>
    <w:p>
      <w:pPr>
        <w:adjustRightInd w:val="0"/>
        <w:spacing w:line="360" w:lineRule="auto"/>
        <w:rPr>
          <w:rFonts w:cs="Calibri"/>
          <w:bCs/>
          <w:color w:val="000000"/>
          <w:szCs w:val="21"/>
        </w:rPr>
      </w:pPr>
      <w:r>
        <w:rPr>
          <w:rFonts w:cs="Calibri"/>
          <w:bCs/>
          <w:color w:val="000000"/>
          <w:szCs w:val="21"/>
        </w:rPr>
        <w:t xml:space="preserve">    在中震和大震作用下，K形支撑会使柱承受较大的水平力，一般不应采用；由于构造原因，X形的布置不能实现。</w:t>
      </w:r>
    </w:p>
    <w:p>
      <w:pPr>
        <w:adjustRightInd w:val="0"/>
        <w:spacing w:line="360" w:lineRule="auto"/>
        <w:ind w:firstLine="420" w:firstLineChars="200"/>
        <w:rPr>
          <w:rFonts w:cs="Calibri"/>
          <w:bCs/>
          <w:color w:val="000000"/>
          <w:szCs w:val="21"/>
        </w:rPr>
      </w:pPr>
      <w:r>
        <w:rPr>
          <w:rFonts w:cs="Calibri"/>
          <w:bCs/>
          <w:color w:val="000000"/>
          <w:szCs w:val="21"/>
        </w:rPr>
        <w:t>屈曲约束支撑的轴向承载力由核心钢支撑的工作段控制，在风荷载和小震作用下其应保持弹性工作状态，在中震和大震时可进入屈服耗能状态。</w:t>
      </w:r>
    </w:p>
    <w:p>
      <w:pPr>
        <w:adjustRightInd w:val="0"/>
        <w:spacing w:line="360" w:lineRule="auto"/>
        <w:rPr>
          <w:rFonts w:cs="Calibri"/>
          <w:bCs/>
          <w:color w:val="000000"/>
          <w:szCs w:val="21"/>
        </w:rPr>
      </w:pPr>
      <w:r>
        <w:rPr>
          <w:rFonts w:cs="Calibri"/>
          <w:bCs/>
          <w:color w:val="000000"/>
          <w:szCs w:val="21"/>
        </w:rPr>
        <w:t>J.0.2 屈曲约束支撑的形式较多，但工作原理基本一致，即，通过外约束单元限制核心钢支撑的整体屈曲，使之受压时形成高阶屈曲模态，由核心钢支撑的工作段屈服耗能。屈曲约束支撑由核心钢支撑、外约束单元和两者之间的无粘结构造层组成。核心钢支撑由工作段、过渡段和连接段组成，外约束单元常用钢管或钢管混凝土（或砂浆）。</w:t>
      </w:r>
    </w:p>
    <w:p>
      <w:pPr>
        <w:adjustRightInd w:val="0"/>
        <w:spacing w:line="360" w:lineRule="auto"/>
        <w:jc w:val="center"/>
        <w:rPr>
          <w:rFonts w:cs="Calibri"/>
          <w:bCs/>
          <w:color w:val="000000"/>
          <w:szCs w:val="21"/>
        </w:rPr>
      </w:pPr>
      <w:r>
        <w:rPr>
          <w:rFonts w:cs="Calibri"/>
          <w:bCs/>
          <w:color w:val="000000"/>
        </w:rPr>
        <w:drawing>
          <wp:inline distT="0" distB="0" distL="114300" distR="114300">
            <wp:extent cx="2889250" cy="1570355"/>
            <wp:effectExtent l="0" t="0" r="3810" b="5715"/>
            <wp:docPr id="143"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88"/>
                    <pic:cNvPicPr>
                      <a:picLocks noChangeAspect="1"/>
                    </pic:cNvPicPr>
                  </pic:nvPicPr>
                  <pic:blipFill>
                    <a:blip r:embed="rId609"/>
                    <a:srcRect l="31087" t="49277" r="30823" b="24962"/>
                    <a:stretch>
                      <a:fillRect/>
                    </a:stretch>
                  </pic:blipFill>
                  <pic:spPr>
                    <a:xfrm>
                      <a:off x="0" y="0"/>
                      <a:ext cx="2889250" cy="1570355"/>
                    </a:xfrm>
                    <a:prstGeom prst="rect">
                      <a:avLst/>
                    </a:prstGeom>
                    <a:noFill/>
                    <a:ln>
                      <a:noFill/>
                    </a:ln>
                  </pic:spPr>
                </pic:pic>
              </a:graphicData>
            </a:graphic>
          </wp:inline>
        </w:drawing>
      </w:r>
    </w:p>
    <w:p>
      <w:pPr>
        <w:spacing w:line="360" w:lineRule="auto"/>
        <w:jc w:val="center"/>
        <w:rPr>
          <w:rFonts w:cs="Calibri"/>
          <w:bCs/>
          <w:color w:val="000000"/>
        </w:rPr>
      </w:pPr>
      <w:r>
        <w:rPr>
          <w:rFonts w:cs="Calibri"/>
          <w:bCs/>
          <w:color w:val="000000"/>
        </w:rPr>
        <w:t>图</w:t>
      </w:r>
      <w:r>
        <w:rPr>
          <w:rFonts w:hint="eastAsia" w:cs="Calibri"/>
          <w:bCs/>
          <w:color w:val="000000"/>
        </w:rPr>
        <w:t>J</w:t>
      </w:r>
      <w:r>
        <w:rPr>
          <w:rFonts w:cs="Calibri"/>
          <w:bCs/>
          <w:color w:val="000000"/>
        </w:rPr>
        <w:t>.0.2-</w:t>
      </w:r>
      <w:r>
        <w:rPr>
          <w:rFonts w:hint="eastAsia" w:cs="Calibri"/>
          <w:bCs/>
          <w:color w:val="000000"/>
        </w:rPr>
        <w:t>1</w:t>
      </w:r>
      <w:r>
        <w:rPr>
          <w:rFonts w:cs="Calibri"/>
          <w:bCs/>
          <w:color w:val="000000"/>
        </w:rPr>
        <w:t xml:space="preserve">  屈曲约束支撑组成</w:t>
      </w:r>
    </w:p>
    <w:p>
      <w:pPr>
        <w:adjustRightInd w:val="0"/>
        <w:spacing w:line="360" w:lineRule="auto"/>
        <w:ind w:firstLine="420" w:firstLineChars="200"/>
        <w:rPr>
          <w:rFonts w:cs="Calibri"/>
          <w:bCs/>
          <w:color w:val="000000"/>
          <w:szCs w:val="21"/>
        </w:rPr>
      </w:pPr>
      <w:r>
        <w:rPr>
          <w:rFonts w:cs="Calibri"/>
          <w:bCs/>
          <w:color w:val="000000"/>
          <w:szCs w:val="21"/>
        </w:rPr>
        <w:t>为保证屈曲约束支撑的延性性能，对核心钢支撑材料应有一定的要求；核心钢支撑独自承担支撑的轴向力，因此核心钢支撑工作段和过渡段与约束单元间和应留有一定间隙，保证其自由伸缩。</w:t>
      </w:r>
    </w:p>
    <w:p>
      <w:pPr>
        <w:spacing w:line="360" w:lineRule="auto"/>
        <w:rPr>
          <w:rFonts w:cs="Calibri"/>
          <w:bCs/>
          <w:color w:val="000000"/>
          <w:szCs w:val="21"/>
        </w:rPr>
      </w:pPr>
      <w:r>
        <w:rPr>
          <w:rFonts w:cs="Calibri"/>
          <w:bCs/>
          <w:color w:val="000000"/>
          <w:szCs w:val="21"/>
        </w:rPr>
        <w:t>J.0.6 屈曲约束支撑的极限承载力计算，应考虑材料超强的影响。</w:t>
      </w:r>
    </w:p>
    <w:p>
      <w:pPr>
        <w:autoSpaceDE w:val="0"/>
        <w:autoSpaceDN w:val="0"/>
        <w:adjustRightInd w:val="0"/>
        <w:snapToGrid w:val="0"/>
        <w:spacing w:line="360" w:lineRule="auto"/>
        <w:rPr>
          <w:rFonts w:hint="eastAsia"/>
          <w:bCs/>
          <w:snapToGrid w:val="0"/>
          <w:color w:val="000000"/>
          <w:kern w:val="0"/>
          <w:sz w:val="24"/>
          <w:szCs w:val="21"/>
        </w:rPr>
      </w:pPr>
    </w:p>
    <w:p>
      <w:pPr>
        <w:ind w:firstLine="420"/>
        <w:rPr>
          <w:color w:val="000000" w:themeColor="text1"/>
          <w14:textFill>
            <w14:solidFill>
              <w14:schemeClr w14:val="tx1"/>
            </w14:solidFill>
          </w14:textFill>
        </w:rPr>
      </w:pPr>
    </w:p>
    <w:sectPr>
      <w:footerReference r:id="rId22"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STCaiyun">
    <w:altName w:val="宋体"/>
    <w:panose1 w:val="00000000000000000000"/>
    <w:charset w:val="86"/>
    <w:family w:val="auto"/>
    <w:pitch w:val="default"/>
    <w:sig w:usb0="00000000" w:usb1="00000000" w:usb2="00000016" w:usb3="00000000" w:csb0="00040001" w:csb1="00000000"/>
  </w:font>
  <w:font w:name="STZhongsong">
    <w:altName w:val="宋体"/>
    <w:panose1 w:val="00000000000000000000"/>
    <w:charset w:val="86"/>
    <w:family w:val="auto"/>
    <w:pitch w:val="default"/>
    <w:sig w:usb0="00000000" w:usb1="00000000" w:usb2="00000010" w:usb3="00000000" w:csb0="0004009F" w:csb1="00000000"/>
  </w:font>
  <w:font w:name="楷体_GB2312">
    <w:altName w:val="楷体"/>
    <w:panose1 w:val="00000000000000000000"/>
    <w:charset w:val="86"/>
    <w:family w:val="modern"/>
    <w:pitch w:val="default"/>
    <w:sig w:usb0="00000000" w:usb1="00000000" w:usb2="00000000" w:usb3="00000000" w:csb0="00040000" w:csb1="00000000"/>
  </w:font>
  <w:font w:name="HiddenHorzOCR">
    <w:altName w:val="Yu Gothic"/>
    <w:panose1 w:val="00000000000000000000"/>
    <w:charset w:val="80"/>
    <w:family w:val="auto"/>
    <w:pitch w:val="default"/>
    <w:sig w:usb0="00000000" w:usb1="00000000" w:usb2="00000010" w:usb3="00000000" w:csb0="0002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HiddenVertOCR">
    <w:altName w:val="Yu Gothic"/>
    <w:panose1 w:val="00000000000000000000"/>
    <w:charset w:val="80"/>
    <w:family w:val="auto"/>
    <w:pitch w:val="default"/>
    <w:sig w:usb0="00000000" w:usb1="00000000" w:usb2="00000010" w:usb3="00000000" w:csb0="00020000" w:csb1="00000000"/>
  </w:font>
  <w:font w:name="Times">
    <w:altName w:val="Times New Roman"/>
    <w:panose1 w:val="02020603050405020304"/>
    <w:charset w:val="00"/>
    <w:family w:val="roman"/>
    <w:pitch w:val="default"/>
    <w:sig w:usb0="00000000" w:usb1="00000000" w:usb2="00000009" w:usb3="00000000" w:csb0="000001FF" w:csb1="00000000"/>
  </w:font>
  <w:font w:name="SimSun-ExtB">
    <w:panose1 w:val="02010609060101010101"/>
    <w:charset w:val="86"/>
    <w:family w:val="modern"/>
    <w:pitch w:val="default"/>
    <w:sig w:usb0="00000001" w:usb1="02000000" w:usb2="00000000" w:usb3="00000000" w:csb0="00040001" w:csb1="00000000"/>
  </w:font>
  <w:font w:name="Yu Gothic">
    <w:panose1 w:val="020B04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fldChar w:fldCharType="begin"/>
    </w:r>
    <w:r>
      <w:instrText xml:space="preserve"> PAGE   \* MERGEFORMAT </w:instrText>
    </w:r>
    <w:r>
      <w:fldChar w:fldCharType="separate"/>
    </w:r>
    <w:r>
      <w:rPr>
        <w:lang w:val="zh-CN"/>
      </w:rPr>
      <w:t>18</w:t>
    </w:r>
    <w:r>
      <w:fldChar w:fldCharType="end"/>
    </w:r>
  </w:p>
  <w:p>
    <w:pPr>
      <w:pStyle w:val="22"/>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Align="top"/>
      <w:pBdr>
        <w:between w:val="none" w:color="auto" w:sz="0" w:space="0"/>
      </w:pBdr>
    </w:pPr>
    <w:r>
      <w:fldChar w:fldCharType="begin"/>
    </w:r>
    <w:r>
      <w:rPr>
        <w:rStyle w:val="36"/>
      </w:rPr>
      <w:instrText xml:space="preserve"> PAGE  </w:instrText>
    </w:r>
    <w:r>
      <w:fldChar w:fldCharType="separate"/>
    </w:r>
    <w:r>
      <w:rPr>
        <w:rStyle w:val="36"/>
      </w:rPr>
      <w:t>1</w:t>
    </w:r>
    <w:r>
      <w:fldChar w:fldCharType="end"/>
    </w:r>
  </w:p>
  <w:p>
    <w:pPr>
      <w:pStyle w:val="22"/>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fldChar w:fldCharType="begin"/>
    </w:r>
    <w:r>
      <w:instrText xml:space="preserve"> PAGE   \* MERGEFORMAT </w:instrText>
    </w:r>
    <w:r>
      <w:fldChar w:fldCharType="separate"/>
    </w:r>
    <w:r>
      <w:rPr>
        <w:lang w:val="zh-CN"/>
      </w:rPr>
      <w:t>18</w:t>
    </w:r>
    <w:r>
      <w:fldChar w:fldCharType="end"/>
    </w:r>
  </w:p>
  <w:p>
    <w:pPr>
      <w:pStyle w:val="2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rPr>
        <w:kern w:val="0"/>
        <w:szCs w:val="21"/>
      </w:rPr>
      <w:t>40</w:t>
    </w:r>
    <w:r>
      <w:rPr>
        <w:rFonts w:hint="eastAsia"/>
        <w:kern w:val="0"/>
        <w:szCs w:val="21"/>
      </w:rPr>
      <w:t>—</w:t>
    </w:r>
    <w:r>
      <w:rPr>
        <w:kern w:val="0"/>
        <w:szCs w:val="21"/>
      </w:rPr>
      <w:fldChar w:fldCharType="begin"/>
    </w:r>
    <w:r>
      <w:rPr>
        <w:kern w:val="0"/>
        <w:szCs w:val="21"/>
      </w:rPr>
      <w:instrText xml:space="preserve"> PAGE </w:instrText>
    </w:r>
    <w:r>
      <w:rPr>
        <w:kern w:val="0"/>
        <w:szCs w:val="21"/>
      </w:rPr>
      <w:fldChar w:fldCharType="separate"/>
    </w:r>
    <w:r>
      <w:rPr>
        <w:kern w:val="0"/>
        <w:szCs w:val="21"/>
      </w:rPr>
      <w:t>38</w:t>
    </w:r>
    <w:r>
      <w:rPr>
        <w:kern w:val="0"/>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fldChar w:fldCharType="begin"/>
    </w:r>
    <w:r>
      <w:instrText xml:space="preserve"> PAGE   \* MERGEFORMAT </w:instrText>
    </w:r>
    <w:r>
      <w:fldChar w:fldCharType="separate"/>
    </w:r>
    <w:r>
      <w:rPr>
        <w:lang w:val="zh-CN"/>
      </w:rPr>
      <w:t>18</w:t>
    </w:r>
    <w:r>
      <w:fldChar w:fldCharType="end"/>
    </w:r>
  </w:p>
  <w:p>
    <w:pPr>
      <w:pStyle w:val="2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ind w:firstLine="360"/>
      <w:rPr>
        <w:rStyle w:val="36"/>
      </w:rPr>
    </w:pPr>
    <w:r>
      <w:rPr>
        <w:rStyle w:val="36"/>
      </w:rPr>
      <w:fldChar w:fldCharType="begin"/>
    </w:r>
    <w:r>
      <w:rPr>
        <w:rStyle w:val="36"/>
      </w:rPr>
      <w:instrText xml:space="preserve">PAGE  </w:instrText>
    </w:r>
    <w:r>
      <w:rPr>
        <w:rStyle w:val="36"/>
      </w:rPr>
      <w:fldChar w:fldCharType="separate"/>
    </w:r>
    <w:r>
      <w:rPr>
        <w:rStyle w:val="36"/>
      </w:rPr>
      <w:t>2</w:t>
    </w:r>
    <w:r>
      <w:rPr>
        <w:rStyle w:val="36"/>
      </w:rPr>
      <w:fldChar w:fldCharType="end"/>
    </w:r>
  </w:p>
  <w:p>
    <w:pPr>
      <w:pStyle w:val="2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fldChar w:fldCharType="begin"/>
    </w:r>
    <w:r>
      <w:instrText xml:space="preserve"> PAGE   \* MERGEFORMAT </w:instrText>
    </w:r>
    <w:r>
      <w:fldChar w:fldCharType="separate"/>
    </w:r>
    <w:r>
      <w:rPr>
        <w:lang w:val="zh-CN"/>
      </w:rPr>
      <w:t>18</w:t>
    </w:r>
    <w:r>
      <w:fldChar w:fldCharType="end"/>
    </w:r>
  </w:p>
  <w:p>
    <w:pPr>
      <w:pStyle w:val="22"/>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jc w:val="center"/>
    </w:pPr>
    <w:r>
      <w:rPr>
        <w:kern w:val="0"/>
        <w:szCs w:val="21"/>
      </w:rPr>
      <w:t>40</w:t>
    </w:r>
    <w:r>
      <w:rPr>
        <w:rFonts w:hint="eastAsia"/>
        <w:kern w:val="0"/>
        <w:szCs w:val="21"/>
      </w:rPr>
      <w:t>—</w:t>
    </w:r>
    <w:r>
      <w:rPr>
        <w:kern w:val="0"/>
        <w:szCs w:val="21"/>
      </w:rPr>
      <w:fldChar w:fldCharType="begin"/>
    </w:r>
    <w:r>
      <w:rPr>
        <w:kern w:val="0"/>
        <w:szCs w:val="21"/>
      </w:rPr>
      <w:instrText xml:space="preserve"> PAGE </w:instrText>
    </w:r>
    <w:r>
      <w:rPr>
        <w:kern w:val="0"/>
        <w:szCs w:val="21"/>
      </w:rPr>
      <w:fldChar w:fldCharType="separate"/>
    </w:r>
    <w:r>
      <w:rPr>
        <w:kern w:val="0"/>
        <w:szCs w:val="21"/>
      </w:rPr>
      <w:t>38</w:t>
    </w:r>
    <w:r>
      <w:rPr>
        <w:kern w:val="0"/>
        <w:szCs w:val="21"/>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34FF7B"/>
    <w:multiLevelType w:val="singleLevel"/>
    <w:tmpl w:val="8D34FF7B"/>
    <w:lvl w:ilvl="0" w:tentative="0">
      <w:start w:val="2"/>
      <w:numFmt w:val="decimal"/>
      <w:suff w:val="space"/>
      <w:lvlText w:val="%1."/>
      <w:lvlJc w:val="left"/>
    </w:lvl>
  </w:abstractNum>
  <w:abstractNum w:abstractNumId="1">
    <w:nsid w:val="93B4E53B"/>
    <w:multiLevelType w:val="singleLevel"/>
    <w:tmpl w:val="93B4E53B"/>
    <w:lvl w:ilvl="0" w:tentative="0">
      <w:start w:val="1"/>
      <w:numFmt w:val="decimal"/>
      <w:suff w:val="space"/>
      <w:lvlText w:val="%1."/>
      <w:lvlJc w:val="left"/>
    </w:lvl>
  </w:abstractNum>
  <w:abstractNum w:abstractNumId="2">
    <w:nsid w:val="0E3C55F6"/>
    <w:multiLevelType w:val="multilevel"/>
    <w:tmpl w:val="0E3C55F6"/>
    <w:lvl w:ilvl="0" w:tentative="0">
      <w:start w:val="9"/>
      <w:numFmt w:val="decimal"/>
      <w:lvlText w:val="%1"/>
      <w:lvlJc w:val="left"/>
      <w:pPr>
        <w:ind w:left="360" w:hanging="360"/>
      </w:pPr>
      <w:rPr>
        <w:rFonts w:hint="default"/>
      </w:rPr>
    </w:lvl>
    <w:lvl w:ilvl="1" w:tentative="0">
      <w:start w:val="2"/>
      <w:numFmt w:val="decimal"/>
      <w:lvlText w:val="%1.%2"/>
      <w:lvlJc w:val="left"/>
      <w:pPr>
        <w:ind w:left="780" w:hanging="36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1980" w:hanging="72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180" w:hanging="1080"/>
      </w:pPr>
      <w:rPr>
        <w:rFonts w:hint="default"/>
      </w:rPr>
    </w:lvl>
    <w:lvl w:ilvl="6" w:tentative="0">
      <w:start w:val="1"/>
      <w:numFmt w:val="decimal"/>
      <w:lvlText w:val="%1.%2.%3.%4.%5.%6.%7"/>
      <w:lvlJc w:val="left"/>
      <w:pPr>
        <w:ind w:left="3600" w:hanging="1080"/>
      </w:pPr>
      <w:rPr>
        <w:rFonts w:hint="default"/>
      </w:rPr>
    </w:lvl>
    <w:lvl w:ilvl="7" w:tentative="0">
      <w:start w:val="1"/>
      <w:numFmt w:val="decimal"/>
      <w:lvlText w:val="%1.%2.%3.%4.%5.%6.%7.%8"/>
      <w:lvlJc w:val="left"/>
      <w:pPr>
        <w:ind w:left="4380" w:hanging="1440"/>
      </w:pPr>
      <w:rPr>
        <w:rFonts w:hint="default"/>
      </w:rPr>
    </w:lvl>
    <w:lvl w:ilvl="8" w:tentative="0">
      <w:start w:val="1"/>
      <w:numFmt w:val="decimal"/>
      <w:lvlText w:val="%1.%2.%3.%4.%5.%6.%7.%8.%9"/>
      <w:lvlJc w:val="left"/>
      <w:pPr>
        <w:ind w:left="4800" w:hanging="1440"/>
      </w:pPr>
      <w:rPr>
        <w:rFonts w:hint="default"/>
      </w:rPr>
    </w:lvl>
  </w:abstractNum>
  <w:abstractNum w:abstractNumId="3">
    <w:nsid w:val="15615E6E"/>
    <w:multiLevelType w:val="multilevel"/>
    <w:tmpl w:val="15615E6E"/>
    <w:lvl w:ilvl="0" w:tentative="0">
      <w:start w:val="1"/>
      <w:numFmt w:val="decimal"/>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1FC91163"/>
    <w:multiLevelType w:val="multilevel"/>
    <w:tmpl w:val="1FC91163"/>
    <w:lvl w:ilvl="0" w:tentative="0">
      <w:start w:val="1"/>
      <w:numFmt w:val="decimal"/>
      <w:suff w:val="nothing"/>
      <w:lvlText w:val="%1　"/>
      <w:lvlJc w:val="left"/>
      <w:pPr>
        <w:ind w:left="105"/>
      </w:pPr>
      <w:rPr>
        <w:rFonts w:hint="eastAsia" w:ascii="黑体" w:hAnsi="Times New Roman" w:eastAsia="黑体" w:cs="Times New Roman"/>
        <w:b w:val="0"/>
        <w:bCs w:val="0"/>
        <w:i w:val="0"/>
        <w:iCs w:val="0"/>
        <w:sz w:val="21"/>
        <w:szCs w:val="21"/>
      </w:rPr>
    </w:lvl>
    <w:lvl w:ilvl="1" w:tentative="0">
      <w:start w:val="1"/>
      <w:numFmt w:val="decimal"/>
      <w:pStyle w:val="116"/>
      <w:suff w:val="nothing"/>
      <w:lvlText w:val="%1.%2　"/>
      <w:lvlJc w:val="left"/>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117"/>
      <w:suff w:val="nothing"/>
      <w:lvlText w:val="%1.%2.%3　"/>
      <w:lvlJc w:val="left"/>
      <w:pPr>
        <w:ind w:left="630"/>
      </w:pPr>
      <w:rPr>
        <w:rFonts w:hint="eastAsia" w:ascii="黑体" w:hAnsi="Times New Roman" w:eastAsia="黑体" w:cs="Times New Roman"/>
        <w:b w:val="0"/>
        <w:bCs w:val="0"/>
        <w:i w:val="0"/>
        <w:iCs w:val="0"/>
        <w:sz w:val="21"/>
        <w:szCs w:val="21"/>
      </w:rPr>
    </w:lvl>
    <w:lvl w:ilvl="3" w:tentative="0">
      <w:start w:val="1"/>
      <w:numFmt w:val="decimal"/>
      <w:pStyle w:val="118"/>
      <w:suff w:val="nothing"/>
      <w:lvlText w:val="%1.%2.%3.%4　"/>
      <w:lvlJc w:val="left"/>
      <w:rPr>
        <w:rFonts w:hint="eastAsia" w:ascii="黑体" w:hAnsi="Times New Roman" w:eastAsia="黑体" w:cs="Times New Roman"/>
        <w:b w:val="0"/>
        <w:bCs w:val="0"/>
        <w:i w:val="0"/>
        <w:iCs w:val="0"/>
        <w:sz w:val="21"/>
        <w:szCs w:val="21"/>
      </w:rPr>
    </w:lvl>
    <w:lvl w:ilvl="4" w:tentative="0">
      <w:start w:val="1"/>
      <w:numFmt w:val="decimal"/>
      <w:pStyle w:val="119"/>
      <w:suff w:val="nothing"/>
      <w:lvlText w:val="%1.%2.%3.%4.%5　"/>
      <w:lvlJc w:val="left"/>
      <w:rPr>
        <w:rFonts w:hint="eastAsia" w:ascii="黑体" w:hAnsi="Times New Roman" w:eastAsia="黑体" w:cs="Times New Roman"/>
        <w:b w:val="0"/>
        <w:bCs w:val="0"/>
        <w:i w:val="0"/>
        <w:iCs w:val="0"/>
        <w:sz w:val="21"/>
        <w:szCs w:val="21"/>
      </w:rPr>
    </w:lvl>
    <w:lvl w:ilvl="5" w:tentative="0">
      <w:start w:val="1"/>
      <w:numFmt w:val="decimal"/>
      <w:pStyle w:val="120"/>
      <w:suff w:val="nothing"/>
      <w:lvlText w:val="%1.%2.%3.%4.%5.%6　"/>
      <w:lvlJc w:val="left"/>
      <w:rPr>
        <w:rFonts w:hint="eastAsia" w:ascii="黑体" w:hAnsi="Times New Roman" w:eastAsia="黑体" w:cs="Times New Roman"/>
        <w:b w:val="0"/>
        <w:bCs w:val="0"/>
        <w:i w:val="0"/>
        <w:iCs w:val="0"/>
        <w:sz w:val="21"/>
        <w:szCs w:val="21"/>
      </w:rPr>
    </w:lvl>
    <w:lvl w:ilvl="6" w:tentative="0">
      <w:start w:val="1"/>
      <w:numFmt w:val="decimal"/>
      <w:suff w:val="nothing"/>
      <w:lvlText w:val="%1%2.%3.%4.%5.%6.%7　"/>
      <w:lvlJc w:val="left"/>
      <w:rPr>
        <w:rFonts w:hint="eastAsia" w:ascii="黑体" w:hAnsi="Times New Roman" w:eastAsia="黑体" w:cs="Times New Roman"/>
        <w:b w:val="0"/>
        <w:bCs w:val="0"/>
        <w:i w:val="0"/>
        <w:iCs w:val="0"/>
        <w:sz w:val="21"/>
        <w:szCs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5">
    <w:nsid w:val="2CAA263F"/>
    <w:multiLevelType w:val="multilevel"/>
    <w:tmpl w:val="2CAA263F"/>
    <w:lvl w:ilvl="0" w:tentative="0">
      <w:start w:val="1"/>
      <w:numFmt w:val="decimal"/>
      <w:lvlText w:val="%1  "/>
      <w:lvlJc w:val="left"/>
      <w:pPr>
        <w:ind w:left="425" w:hanging="425"/>
      </w:pPr>
      <w:rPr>
        <w:rFonts w:hint="default" w:ascii="Times New Roman" w:hAnsi="Times New Roman" w:eastAsia="宋体"/>
        <w:b/>
        <w:i w:val="0"/>
        <w:sz w:val="30"/>
      </w:rPr>
    </w:lvl>
    <w:lvl w:ilvl="1" w:tentative="0">
      <w:start w:val="1"/>
      <w:numFmt w:val="decimal"/>
      <w:lvlText w:val="%1.%2"/>
      <w:lvlJc w:val="left"/>
      <w:pPr>
        <w:ind w:left="4820"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412617AC"/>
    <w:multiLevelType w:val="multilevel"/>
    <w:tmpl w:val="412617AC"/>
    <w:lvl w:ilvl="0" w:tentative="0">
      <w:start w:val="1"/>
      <w:numFmt w:val="decimal"/>
      <w:lvlText w:val="%1  "/>
      <w:lvlJc w:val="left"/>
      <w:pPr>
        <w:ind w:left="425" w:hanging="425"/>
      </w:pPr>
      <w:rPr>
        <w:rFonts w:ascii="Times New Roman" w:hAnsi="Times New Roman" w:eastAsia="宋体"/>
        <w:b/>
        <w:i/>
        <w:sz w:val="30"/>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5A180ED0"/>
    <w:multiLevelType w:val="multilevel"/>
    <w:tmpl w:val="5A180ED0"/>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61984A45"/>
    <w:multiLevelType w:val="multilevel"/>
    <w:tmpl w:val="61984A45"/>
    <w:lvl w:ilvl="0" w:tentative="0">
      <w:start w:val="1"/>
      <w:numFmt w:val="lowerLetter"/>
      <w:lvlText w:val="(%1)"/>
      <w:lvlJc w:val="left"/>
      <w:pPr>
        <w:ind w:left="785" w:hanging="360"/>
      </w:pPr>
      <w:rPr>
        <w:rFonts w:hint="default" w:hAnsi="宋体"/>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9">
    <w:nsid w:val="62912CB2"/>
    <w:multiLevelType w:val="singleLevel"/>
    <w:tmpl w:val="62912CB2"/>
    <w:lvl w:ilvl="0" w:tentative="0">
      <w:start w:val="1"/>
      <w:numFmt w:val="decimal"/>
      <w:suff w:val="space"/>
      <w:lvlText w:val="%1."/>
      <w:lvlJc w:val="left"/>
    </w:lvl>
  </w:abstractNum>
  <w:abstractNum w:abstractNumId="10">
    <w:nsid w:val="646260FA"/>
    <w:multiLevelType w:val="multilevel"/>
    <w:tmpl w:val="646260FA"/>
    <w:lvl w:ilvl="0" w:tentative="0">
      <w:start w:val="1"/>
      <w:numFmt w:val="decimal"/>
      <w:pStyle w:val="121"/>
      <w:suff w:val="nothing"/>
      <w:lvlText w:val="表%1　"/>
      <w:lvlJc w:val="left"/>
      <w:rPr>
        <w:rFonts w:hint="eastAsia" w:ascii="黑体" w:hAnsi="Times New Roman" w:eastAsia="黑体" w:cs="Times New Roman"/>
        <w:b w:val="0"/>
        <w:bCs w:val="0"/>
        <w:i w:val="0"/>
        <w:iCs w:val="0"/>
        <w:sz w:val="21"/>
        <w:szCs w:val="21"/>
        <w:lang w:val="en-US"/>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1">
    <w:nsid w:val="6DE7152A"/>
    <w:multiLevelType w:val="multilevel"/>
    <w:tmpl w:val="6DE7152A"/>
    <w:lvl w:ilvl="0" w:tentative="0">
      <w:start w:val="1"/>
      <w:numFmt w:val="decimal"/>
      <w:lvlText w:val="%1）"/>
      <w:lvlJc w:val="left"/>
      <w:pPr>
        <w:ind w:left="360" w:hanging="36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F382F05"/>
    <w:multiLevelType w:val="singleLevel"/>
    <w:tmpl w:val="6F382F05"/>
    <w:lvl w:ilvl="0" w:tentative="0">
      <w:start w:val="1"/>
      <w:numFmt w:val="decimal"/>
      <w:suff w:val="nothing"/>
      <w:lvlText w:val="%1）"/>
      <w:lvlJc w:val="left"/>
      <w:pPr>
        <w:ind w:left="840" w:firstLine="0"/>
      </w:pPr>
    </w:lvl>
  </w:abstractNum>
  <w:abstractNum w:abstractNumId="13">
    <w:nsid w:val="7E2A11FE"/>
    <w:multiLevelType w:val="singleLevel"/>
    <w:tmpl w:val="7E2A11FE"/>
    <w:lvl w:ilvl="0" w:tentative="0">
      <w:start w:val="1"/>
      <w:numFmt w:val="lowerLetter"/>
      <w:suff w:val="space"/>
      <w:lvlText w:val="（%1)"/>
      <w:lvlJc w:val="left"/>
    </w:lvl>
  </w:abstractNum>
  <w:num w:numId="1">
    <w:abstractNumId w:val="5"/>
    <w:lvlOverride w:ilvl="1">
      <w:lvl w:ilvl="1" w:tentative="1">
        <w:start w:val="1"/>
        <w:numFmt w:val="decimal"/>
        <w:pStyle w:val="3"/>
        <w:lvlText w:val="%1.%2"/>
        <w:lvlJc w:val="left"/>
        <w:pPr>
          <w:ind w:left="4820" w:hanging="567"/>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Override>
  </w:num>
  <w:num w:numId="2">
    <w:abstractNumId w:val="4"/>
  </w:num>
  <w:num w:numId="3">
    <w:abstractNumId w:val="10"/>
  </w:num>
  <w:num w:numId="4">
    <w:abstractNumId w:val="13"/>
  </w:num>
  <w:num w:numId="5">
    <w:abstractNumId w:val="0"/>
  </w:num>
  <w:num w:numId="6">
    <w:abstractNumId w:val="2"/>
  </w:num>
  <w:num w:numId="7">
    <w:abstractNumId w:val="1"/>
  </w:num>
  <w:num w:numId="8">
    <w:abstractNumId w:val="8"/>
  </w:num>
  <w:num w:numId="9">
    <w:abstractNumId w:val="7"/>
  </w:num>
  <w:num w:numId="10">
    <w:abstractNumId w:val="3"/>
  </w:num>
  <w:num w:numId="11">
    <w:abstractNumId w:val="6"/>
  </w:num>
  <w:num w:numId="12">
    <w:abstractNumId w:val="9"/>
  </w:num>
  <w:num w:numId="13">
    <w:abstractNumId w:val="1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07C"/>
    <w:rsid w:val="00002BCE"/>
    <w:rsid w:val="00003762"/>
    <w:rsid w:val="00003924"/>
    <w:rsid w:val="00005085"/>
    <w:rsid w:val="00006D1C"/>
    <w:rsid w:val="00007929"/>
    <w:rsid w:val="00007B82"/>
    <w:rsid w:val="00010E35"/>
    <w:rsid w:val="000120B9"/>
    <w:rsid w:val="00013163"/>
    <w:rsid w:val="000142C7"/>
    <w:rsid w:val="000145C5"/>
    <w:rsid w:val="00015A24"/>
    <w:rsid w:val="0002050C"/>
    <w:rsid w:val="00020EA5"/>
    <w:rsid w:val="00020EB8"/>
    <w:rsid w:val="00021056"/>
    <w:rsid w:val="00021947"/>
    <w:rsid w:val="00025AA9"/>
    <w:rsid w:val="0002783E"/>
    <w:rsid w:val="000278BA"/>
    <w:rsid w:val="00032261"/>
    <w:rsid w:val="00032E06"/>
    <w:rsid w:val="00034B0D"/>
    <w:rsid w:val="000405D3"/>
    <w:rsid w:val="0004282D"/>
    <w:rsid w:val="000443C9"/>
    <w:rsid w:val="000452DF"/>
    <w:rsid w:val="00047219"/>
    <w:rsid w:val="00050BF5"/>
    <w:rsid w:val="00051913"/>
    <w:rsid w:val="00051D2A"/>
    <w:rsid w:val="00052C92"/>
    <w:rsid w:val="00053F1B"/>
    <w:rsid w:val="00056E5F"/>
    <w:rsid w:val="00057AAF"/>
    <w:rsid w:val="000609E4"/>
    <w:rsid w:val="0006405D"/>
    <w:rsid w:val="00065995"/>
    <w:rsid w:val="00067F08"/>
    <w:rsid w:val="00071C70"/>
    <w:rsid w:val="00074F49"/>
    <w:rsid w:val="00080374"/>
    <w:rsid w:val="00080B5C"/>
    <w:rsid w:val="000818FD"/>
    <w:rsid w:val="00084D70"/>
    <w:rsid w:val="00085B4B"/>
    <w:rsid w:val="00087433"/>
    <w:rsid w:val="00090335"/>
    <w:rsid w:val="000919C5"/>
    <w:rsid w:val="00091C5E"/>
    <w:rsid w:val="00092E41"/>
    <w:rsid w:val="0009371A"/>
    <w:rsid w:val="00094061"/>
    <w:rsid w:val="000952F2"/>
    <w:rsid w:val="00095C23"/>
    <w:rsid w:val="000968E5"/>
    <w:rsid w:val="00097178"/>
    <w:rsid w:val="000A1F6B"/>
    <w:rsid w:val="000A2C5E"/>
    <w:rsid w:val="000A3042"/>
    <w:rsid w:val="000A5B8C"/>
    <w:rsid w:val="000A6B17"/>
    <w:rsid w:val="000A794F"/>
    <w:rsid w:val="000B0664"/>
    <w:rsid w:val="000B0BA2"/>
    <w:rsid w:val="000B1DD5"/>
    <w:rsid w:val="000B2310"/>
    <w:rsid w:val="000B6657"/>
    <w:rsid w:val="000B7008"/>
    <w:rsid w:val="000C007B"/>
    <w:rsid w:val="000C16CF"/>
    <w:rsid w:val="000C458B"/>
    <w:rsid w:val="000C4D83"/>
    <w:rsid w:val="000C4EF0"/>
    <w:rsid w:val="000D1920"/>
    <w:rsid w:val="000D41C0"/>
    <w:rsid w:val="000D5F6C"/>
    <w:rsid w:val="000D782E"/>
    <w:rsid w:val="000E232A"/>
    <w:rsid w:val="000E29A6"/>
    <w:rsid w:val="000E58FB"/>
    <w:rsid w:val="000E6F62"/>
    <w:rsid w:val="000F30A6"/>
    <w:rsid w:val="000F45A7"/>
    <w:rsid w:val="000F4704"/>
    <w:rsid w:val="000F5EB3"/>
    <w:rsid w:val="001015DA"/>
    <w:rsid w:val="00105BCF"/>
    <w:rsid w:val="001063B3"/>
    <w:rsid w:val="00107909"/>
    <w:rsid w:val="00110CBD"/>
    <w:rsid w:val="00112C37"/>
    <w:rsid w:val="001133BB"/>
    <w:rsid w:val="0012103C"/>
    <w:rsid w:val="00122B3B"/>
    <w:rsid w:val="00123262"/>
    <w:rsid w:val="001232DD"/>
    <w:rsid w:val="00123C3F"/>
    <w:rsid w:val="00130392"/>
    <w:rsid w:val="001328E0"/>
    <w:rsid w:val="00133113"/>
    <w:rsid w:val="00133267"/>
    <w:rsid w:val="001364AA"/>
    <w:rsid w:val="00145044"/>
    <w:rsid w:val="00145B4A"/>
    <w:rsid w:val="00146F9F"/>
    <w:rsid w:val="00150CBC"/>
    <w:rsid w:val="00150E22"/>
    <w:rsid w:val="001513F6"/>
    <w:rsid w:val="001567AA"/>
    <w:rsid w:val="00163B0E"/>
    <w:rsid w:val="00163D7E"/>
    <w:rsid w:val="00165A69"/>
    <w:rsid w:val="00166725"/>
    <w:rsid w:val="00166832"/>
    <w:rsid w:val="00166D41"/>
    <w:rsid w:val="00170285"/>
    <w:rsid w:val="001702E2"/>
    <w:rsid w:val="0017157C"/>
    <w:rsid w:val="00171625"/>
    <w:rsid w:val="001716B8"/>
    <w:rsid w:val="00171A38"/>
    <w:rsid w:val="00171D68"/>
    <w:rsid w:val="001738EF"/>
    <w:rsid w:val="001759C6"/>
    <w:rsid w:val="00175CE3"/>
    <w:rsid w:val="00176E09"/>
    <w:rsid w:val="00185E6D"/>
    <w:rsid w:val="00187BBD"/>
    <w:rsid w:val="00187C2B"/>
    <w:rsid w:val="001910FD"/>
    <w:rsid w:val="001912F3"/>
    <w:rsid w:val="001933E1"/>
    <w:rsid w:val="00193BA3"/>
    <w:rsid w:val="00194BA9"/>
    <w:rsid w:val="00194E31"/>
    <w:rsid w:val="00195818"/>
    <w:rsid w:val="0019726F"/>
    <w:rsid w:val="001979DD"/>
    <w:rsid w:val="001A0C24"/>
    <w:rsid w:val="001A5192"/>
    <w:rsid w:val="001B042B"/>
    <w:rsid w:val="001B06EF"/>
    <w:rsid w:val="001B37C7"/>
    <w:rsid w:val="001B402A"/>
    <w:rsid w:val="001B598C"/>
    <w:rsid w:val="001C020E"/>
    <w:rsid w:val="001C43D2"/>
    <w:rsid w:val="001C62FA"/>
    <w:rsid w:val="001D169F"/>
    <w:rsid w:val="001D3593"/>
    <w:rsid w:val="001D3F76"/>
    <w:rsid w:val="001D5199"/>
    <w:rsid w:val="001D5604"/>
    <w:rsid w:val="001D712A"/>
    <w:rsid w:val="001E1573"/>
    <w:rsid w:val="001E1C30"/>
    <w:rsid w:val="001E47BB"/>
    <w:rsid w:val="001E6D1D"/>
    <w:rsid w:val="001E72B6"/>
    <w:rsid w:val="001F124D"/>
    <w:rsid w:val="001F1306"/>
    <w:rsid w:val="001F208C"/>
    <w:rsid w:val="001F49B6"/>
    <w:rsid w:val="001F4FF5"/>
    <w:rsid w:val="001F7293"/>
    <w:rsid w:val="001F7D9D"/>
    <w:rsid w:val="00200DD6"/>
    <w:rsid w:val="002023DE"/>
    <w:rsid w:val="0020532E"/>
    <w:rsid w:val="00205750"/>
    <w:rsid w:val="002071D4"/>
    <w:rsid w:val="002072C8"/>
    <w:rsid w:val="0021020B"/>
    <w:rsid w:val="00211556"/>
    <w:rsid w:val="00211992"/>
    <w:rsid w:val="002124D0"/>
    <w:rsid w:val="002132A1"/>
    <w:rsid w:val="00216FCB"/>
    <w:rsid w:val="002175E1"/>
    <w:rsid w:val="0022023B"/>
    <w:rsid w:val="00223A9F"/>
    <w:rsid w:val="00225A47"/>
    <w:rsid w:val="00225B53"/>
    <w:rsid w:val="002273D7"/>
    <w:rsid w:val="00233C63"/>
    <w:rsid w:val="00245B7E"/>
    <w:rsid w:val="00247147"/>
    <w:rsid w:val="002518A5"/>
    <w:rsid w:val="00253AE4"/>
    <w:rsid w:val="00253DA2"/>
    <w:rsid w:val="00261577"/>
    <w:rsid w:val="0026788D"/>
    <w:rsid w:val="00267B4C"/>
    <w:rsid w:val="0027092F"/>
    <w:rsid w:val="00271E48"/>
    <w:rsid w:val="00272D55"/>
    <w:rsid w:val="002756CF"/>
    <w:rsid w:val="00280FC9"/>
    <w:rsid w:val="00282E52"/>
    <w:rsid w:val="002838C7"/>
    <w:rsid w:val="002839EC"/>
    <w:rsid w:val="00287BFC"/>
    <w:rsid w:val="00287C1A"/>
    <w:rsid w:val="00293318"/>
    <w:rsid w:val="00294AC9"/>
    <w:rsid w:val="00296E71"/>
    <w:rsid w:val="00297463"/>
    <w:rsid w:val="002A04A5"/>
    <w:rsid w:val="002A2581"/>
    <w:rsid w:val="002A3BA0"/>
    <w:rsid w:val="002B3AA4"/>
    <w:rsid w:val="002B4E25"/>
    <w:rsid w:val="002B5817"/>
    <w:rsid w:val="002C1EAF"/>
    <w:rsid w:val="002C7F8A"/>
    <w:rsid w:val="002D0CBF"/>
    <w:rsid w:val="002D5752"/>
    <w:rsid w:val="002D7621"/>
    <w:rsid w:val="002E21CA"/>
    <w:rsid w:val="002E3363"/>
    <w:rsid w:val="002E4526"/>
    <w:rsid w:val="002E68E8"/>
    <w:rsid w:val="002E7D8D"/>
    <w:rsid w:val="002F1D59"/>
    <w:rsid w:val="002F27BD"/>
    <w:rsid w:val="003011FB"/>
    <w:rsid w:val="00306B4B"/>
    <w:rsid w:val="0031067F"/>
    <w:rsid w:val="0031631C"/>
    <w:rsid w:val="00316B4F"/>
    <w:rsid w:val="003227AC"/>
    <w:rsid w:val="003239A3"/>
    <w:rsid w:val="00324F2B"/>
    <w:rsid w:val="003260D6"/>
    <w:rsid w:val="00330FBB"/>
    <w:rsid w:val="00332618"/>
    <w:rsid w:val="00333AFE"/>
    <w:rsid w:val="00334F8F"/>
    <w:rsid w:val="00337ADB"/>
    <w:rsid w:val="00345788"/>
    <w:rsid w:val="003468B7"/>
    <w:rsid w:val="00347941"/>
    <w:rsid w:val="003525B4"/>
    <w:rsid w:val="00353C49"/>
    <w:rsid w:val="00356243"/>
    <w:rsid w:val="00356BAA"/>
    <w:rsid w:val="00356F22"/>
    <w:rsid w:val="00357EA3"/>
    <w:rsid w:val="00360D07"/>
    <w:rsid w:val="0036131E"/>
    <w:rsid w:val="00362472"/>
    <w:rsid w:val="003628EC"/>
    <w:rsid w:val="0036316E"/>
    <w:rsid w:val="00365076"/>
    <w:rsid w:val="003661E8"/>
    <w:rsid w:val="003673E6"/>
    <w:rsid w:val="003706B2"/>
    <w:rsid w:val="003708B2"/>
    <w:rsid w:val="003709A3"/>
    <w:rsid w:val="003774AF"/>
    <w:rsid w:val="00380123"/>
    <w:rsid w:val="0038136A"/>
    <w:rsid w:val="0038236C"/>
    <w:rsid w:val="00382664"/>
    <w:rsid w:val="0038344F"/>
    <w:rsid w:val="00384675"/>
    <w:rsid w:val="00385BD5"/>
    <w:rsid w:val="003860B5"/>
    <w:rsid w:val="00386BA1"/>
    <w:rsid w:val="003876D7"/>
    <w:rsid w:val="003910F7"/>
    <w:rsid w:val="00392D73"/>
    <w:rsid w:val="00393651"/>
    <w:rsid w:val="00393FCB"/>
    <w:rsid w:val="0039611F"/>
    <w:rsid w:val="00397E6F"/>
    <w:rsid w:val="00397EE7"/>
    <w:rsid w:val="003A274E"/>
    <w:rsid w:val="003A3114"/>
    <w:rsid w:val="003A3632"/>
    <w:rsid w:val="003A5829"/>
    <w:rsid w:val="003A59EC"/>
    <w:rsid w:val="003B1733"/>
    <w:rsid w:val="003B2A31"/>
    <w:rsid w:val="003B457F"/>
    <w:rsid w:val="003B45D1"/>
    <w:rsid w:val="003B5989"/>
    <w:rsid w:val="003B77CB"/>
    <w:rsid w:val="003C0424"/>
    <w:rsid w:val="003C14AC"/>
    <w:rsid w:val="003C42D5"/>
    <w:rsid w:val="003C5660"/>
    <w:rsid w:val="003C6254"/>
    <w:rsid w:val="003C63F2"/>
    <w:rsid w:val="003C6C2C"/>
    <w:rsid w:val="003C6C44"/>
    <w:rsid w:val="003D0697"/>
    <w:rsid w:val="003D69F7"/>
    <w:rsid w:val="003D715C"/>
    <w:rsid w:val="003D7BF4"/>
    <w:rsid w:val="003E4CD2"/>
    <w:rsid w:val="003E745B"/>
    <w:rsid w:val="003F0121"/>
    <w:rsid w:val="003F160F"/>
    <w:rsid w:val="003F2034"/>
    <w:rsid w:val="003F302E"/>
    <w:rsid w:val="003F3FD4"/>
    <w:rsid w:val="003F4814"/>
    <w:rsid w:val="003F6134"/>
    <w:rsid w:val="003F7210"/>
    <w:rsid w:val="003F7A6D"/>
    <w:rsid w:val="003F7D24"/>
    <w:rsid w:val="0040082B"/>
    <w:rsid w:val="00401472"/>
    <w:rsid w:val="0040331C"/>
    <w:rsid w:val="00404ABA"/>
    <w:rsid w:val="004054FD"/>
    <w:rsid w:val="004061B4"/>
    <w:rsid w:val="00407564"/>
    <w:rsid w:val="00413F00"/>
    <w:rsid w:val="0041654D"/>
    <w:rsid w:val="00420680"/>
    <w:rsid w:val="004209BA"/>
    <w:rsid w:val="004226AF"/>
    <w:rsid w:val="004238B7"/>
    <w:rsid w:val="0042485D"/>
    <w:rsid w:val="00426DDC"/>
    <w:rsid w:val="00430C8A"/>
    <w:rsid w:val="00431326"/>
    <w:rsid w:val="00431477"/>
    <w:rsid w:val="00433FF2"/>
    <w:rsid w:val="00435A86"/>
    <w:rsid w:val="00441EB2"/>
    <w:rsid w:val="00442C3D"/>
    <w:rsid w:val="00442D83"/>
    <w:rsid w:val="00443E32"/>
    <w:rsid w:val="00447C07"/>
    <w:rsid w:val="00447E0F"/>
    <w:rsid w:val="00450489"/>
    <w:rsid w:val="00450518"/>
    <w:rsid w:val="0045597E"/>
    <w:rsid w:val="00455B87"/>
    <w:rsid w:val="0046122A"/>
    <w:rsid w:val="00463AF8"/>
    <w:rsid w:val="00465A75"/>
    <w:rsid w:val="00466A5F"/>
    <w:rsid w:val="0047104D"/>
    <w:rsid w:val="00471130"/>
    <w:rsid w:val="004716B5"/>
    <w:rsid w:val="00473AE3"/>
    <w:rsid w:val="004757FA"/>
    <w:rsid w:val="004761B1"/>
    <w:rsid w:val="004777E6"/>
    <w:rsid w:val="00482F0D"/>
    <w:rsid w:val="00483BDA"/>
    <w:rsid w:val="004876EC"/>
    <w:rsid w:val="004923BA"/>
    <w:rsid w:val="004929D3"/>
    <w:rsid w:val="00493266"/>
    <w:rsid w:val="004949F9"/>
    <w:rsid w:val="00496EB6"/>
    <w:rsid w:val="004970F9"/>
    <w:rsid w:val="00497C60"/>
    <w:rsid w:val="00497EFD"/>
    <w:rsid w:val="004A1D90"/>
    <w:rsid w:val="004A2E7A"/>
    <w:rsid w:val="004A3668"/>
    <w:rsid w:val="004A690D"/>
    <w:rsid w:val="004B20BC"/>
    <w:rsid w:val="004B2DFC"/>
    <w:rsid w:val="004B373E"/>
    <w:rsid w:val="004B3C6E"/>
    <w:rsid w:val="004B465D"/>
    <w:rsid w:val="004B4E74"/>
    <w:rsid w:val="004B5322"/>
    <w:rsid w:val="004B60BC"/>
    <w:rsid w:val="004B6EE7"/>
    <w:rsid w:val="004B7242"/>
    <w:rsid w:val="004B7E82"/>
    <w:rsid w:val="004C3674"/>
    <w:rsid w:val="004D15F7"/>
    <w:rsid w:val="004D3D1E"/>
    <w:rsid w:val="004D4E8E"/>
    <w:rsid w:val="004D6A7B"/>
    <w:rsid w:val="004E0AE6"/>
    <w:rsid w:val="004E0F77"/>
    <w:rsid w:val="004E4AF8"/>
    <w:rsid w:val="004E6D99"/>
    <w:rsid w:val="004E72EB"/>
    <w:rsid w:val="004E780B"/>
    <w:rsid w:val="004F0612"/>
    <w:rsid w:val="004F184A"/>
    <w:rsid w:val="004F2D2A"/>
    <w:rsid w:val="004F7492"/>
    <w:rsid w:val="0050195B"/>
    <w:rsid w:val="00501EE0"/>
    <w:rsid w:val="005033FA"/>
    <w:rsid w:val="005042DE"/>
    <w:rsid w:val="005044ED"/>
    <w:rsid w:val="005053C2"/>
    <w:rsid w:val="005053F5"/>
    <w:rsid w:val="00506A8D"/>
    <w:rsid w:val="00507988"/>
    <w:rsid w:val="00512426"/>
    <w:rsid w:val="00520D77"/>
    <w:rsid w:val="005212B3"/>
    <w:rsid w:val="005223CF"/>
    <w:rsid w:val="00524155"/>
    <w:rsid w:val="005244C7"/>
    <w:rsid w:val="00525D69"/>
    <w:rsid w:val="00533C0A"/>
    <w:rsid w:val="00533FBA"/>
    <w:rsid w:val="00534790"/>
    <w:rsid w:val="00540880"/>
    <w:rsid w:val="0054391D"/>
    <w:rsid w:val="00543F0E"/>
    <w:rsid w:val="00546A2D"/>
    <w:rsid w:val="0054762E"/>
    <w:rsid w:val="00550678"/>
    <w:rsid w:val="00560A72"/>
    <w:rsid w:val="005626D7"/>
    <w:rsid w:val="005633D2"/>
    <w:rsid w:val="00564969"/>
    <w:rsid w:val="00564F78"/>
    <w:rsid w:val="00570623"/>
    <w:rsid w:val="0057379F"/>
    <w:rsid w:val="00574A37"/>
    <w:rsid w:val="00576991"/>
    <w:rsid w:val="00576BC9"/>
    <w:rsid w:val="00580219"/>
    <w:rsid w:val="00581229"/>
    <w:rsid w:val="005843B0"/>
    <w:rsid w:val="00587123"/>
    <w:rsid w:val="00594F99"/>
    <w:rsid w:val="0059502A"/>
    <w:rsid w:val="005A3246"/>
    <w:rsid w:val="005A5B66"/>
    <w:rsid w:val="005B2C58"/>
    <w:rsid w:val="005B4D14"/>
    <w:rsid w:val="005B5096"/>
    <w:rsid w:val="005C12DD"/>
    <w:rsid w:val="005C231E"/>
    <w:rsid w:val="005C3208"/>
    <w:rsid w:val="005C3515"/>
    <w:rsid w:val="005D0259"/>
    <w:rsid w:val="005D0EE6"/>
    <w:rsid w:val="005D253F"/>
    <w:rsid w:val="005D332E"/>
    <w:rsid w:val="005D414D"/>
    <w:rsid w:val="005D623A"/>
    <w:rsid w:val="005D731E"/>
    <w:rsid w:val="005D79F4"/>
    <w:rsid w:val="005E015E"/>
    <w:rsid w:val="005E21E0"/>
    <w:rsid w:val="005E3BD8"/>
    <w:rsid w:val="005E3F05"/>
    <w:rsid w:val="005E62EE"/>
    <w:rsid w:val="005E6AB8"/>
    <w:rsid w:val="005F30A3"/>
    <w:rsid w:val="005F480D"/>
    <w:rsid w:val="005F59C2"/>
    <w:rsid w:val="005F71DC"/>
    <w:rsid w:val="00600753"/>
    <w:rsid w:val="0060122D"/>
    <w:rsid w:val="006014B7"/>
    <w:rsid w:val="00604A4B"/>
    <w:rsid w:val="00604D87"/>
    <w:rsid w:val="00605BC7"/>
    <w:rsid w:val="00615F31"/>
    <w:rsid w:val="00616B3C"/>
    <w:rsid w:val="00616CC6"/>
    <w:rsid w:val="0061754C"/>
    <w:rsid w:val="00620A23"/>
    <w:rsid w:val="00620C53"/>
    <w:rsid w:val="00621A22"/>
    <w:rsid w:val="00621EC0"/>
    <w:rsid w:val="00623BA0"/>
    <w:rsid w:val="00624DAA"/>
    <w:rsid w:val="00631438"/>
    <w:rsid w:val="00632F55"/>
    <w:rsid w:val="006336C0"/>
    <w:rsid w:val="00634112"/>
    <w:rsid w:val="00634E69"/>
    <w:rsid w:val="00635C4F"/>
    <w:rsid w:val="006376D4"/>
    <w:rsid w:val="00637874"/>
    <w:rsid w:val="006414EE"/>
    <w:rsid w:val="00644B2C"/>
    <w:rsid w:val="006507E2"/>
    <w:rsid w:val="00650F34"/>
    <w:rsid w:val="00650FE6"/>
    <w:rsid w:val="00652D5D"/>
    <w:rsid w:val="00654B5F"/>
    <w:rsid w:val="00654C22"/>
    <w:rsid w:val="00656AE9"/>
    <w:rsid w:val="00657AC1"/>
    <w:rsid w:val="00657B32"/>
    <w:rsid w:val="00660503"/>
    <w:rsid w:val="00660944"/>
    <w:rsid w:val="00662A23"/>
    <w:rsid w:val="00663776"/>
    <w:rsid w:val="00663807"/>
    <w:rsid w:val="00663DCA"/>
    <w:rsid w:val="0066688B"/>
    <w:rsid w:val="006678F3"/>
    <w:rsid w:val="00670582"/>
    <w:rsid w:val="00671541"/>
    <w:rsid w:val="006739F9"/>
    <w:rsid w:val="00680192"/>
    <w:rsid w:val="00681114"/>
    <w:rsid w:val="006841F9"/>
    <w:rsid w:val="006847D2"/>
    <w:rsid w:val="00687AD2"/>
    <w:rsid w:val="006935EE"/>
    <w:rsid w:val="00693613"/>
    <w:rsid w:val="0069390A"/>
    <w:rsid w:val="00694D4C"/>
    <w:rsid w:val="006955B0"/>
    <w:rsid w:val="00695F14"/>
    <w:rsid w:val="00696543"/>
    <w:rsid w:val="0069770D"/>
    <w:rsid w:val="006A26FF"/>
    <w:rsid w:val="006A6626"/>
    <w:rsid w:val="006B034F"/>
    <w:rsid w:val="006B1381"/>
    <w:rsid w:val="006B32E4"/>
    <w:rsid w:val="006B366F"/>
    <w:rsid w:val="006B4034"/>
    <w:rsid w:val="006B416F"/>
    <w:rsid w:val="006B4968"/>
    <w:rsid w:val="006B4FF0"/>
    <w:rsid w:val="006B6446"/>
    <w:rsid w:val="006C180B"/>
    <w:rsid w:val="006C73B8"/>
    <w:rsid w:val="006C7E8B"/>
    <w:rsid w:val="006D1220"/>
    <w:rsid w:val="006D3995"/>
    <w:rsid w:val="006D7B09"/>
    <w:rsid w:val="006D7D04"/>
    <w:rsid w:val="006E3F80"/>
    <w:rsid w:val="006E3F95"/>
    <w:rsid w:val="006E4D79"/>
    <w:rsid w:val="006E510D"/>
    <w:rsid w:val="006E64B8"/>
    <w:rsid w:val="006E7EE0"/>
    <w:rsid w:val="006E7F1A"/>
    <w:rsid w:val="006F083C"/>
    <w:rsid w:val="006F2753"/>
    <w:rsid w:val="006F2766"/>
    <w:rsid w:val="006F376C"/>
    <w:rsid w:val="006F3EC1"/>
    <w:rsid w:val="006F50AF"/>
    <w:rsid w:val="006F60E9"/>
    <w:rsid w:val="00700DA9"/>
    <w:rsid w:val="0070445A"/>
    <w:rsid w:val="00705157"/>
    <w:rsid w:val="0071000D"/>
    <w:rsid w:val="0071046C"/>
    <w:rsid w:val="00711F91"/>
    <w:rsid w:val="007125B3"/>
    <w:rsid w:val="00713421"/>
    <w:rsid w:val="00714787"/>
    <w:rsid w:val="007166B9"/>
    <w:rsid w:val="00716D52"/>
    <w:rsid w:val="007175F0"/>
    <w:rsid w:val="00717CBA"/>
    <w:rsid w:val="00722C6C"/>
    <w:rsid w:val="007232BB"/>
    <w:rsid w:val="00725716"/>
    <w:rsid w:val="007258DE"/>
    <w:rsid w:val="00726484"/>
    <w:rsid w:val="0073233A"/>
    <w:rsid w:val="00735421"/>
    <w:rsid w:val="00735590"/>
    <w:rsid w:val="00737FF9"/>
    <w:rsid w:val="00740E28"/>
    <w:rsid w:val="00742042"/>
    <w:rsid w:val="00742DA0"/>
    <w:rsid w:val="007445E5"/>
    <w:rsid w:val="00744748"/>
    <w:rsid w:val="00746BBD"/>
    <w:rsid w:val="00746D28"/>
    <w:rsid w:val="00746EC0"/>
    <w:rsid w:val="00747621"/>
    <w:rsid w:val="00755A29"/>
    <w:rsid w:val="00755E66"/>
    <w:rsid w:val="0076125F"/>
    <w:rsid w:val="00761662"/>
    <w:rsid w:val="00763611"/>
    <w:rsid w:val="007656E9"/>
    <w:rsid w:val="0077050D"/>
    <w:rsid w:val="00773C30"/>
    <w:rsid w:val="007747A8"/>
    <w:rsid w:val="00774FE5"/>
    <w:rsid w:val="00775FA3"/>
    <w:rsid w:val="0078038B"/>
    <w:rsid w:val="0078143A"/>
    <w:rsid w:val="00781C26"/>
    <w:rsid w:val="0078503E"/>
    <w:rsid w:val="00785B65"/>
    <w:rsid w:val="0079041E"/>
    <w:rsid w:val="0079304E"/>
    <w:rsid w:val="00794F44"/>
    <w:rsid w:val="00796DFD"/>
    <w:rsid w:val="00797D01"/>
    <w:rsid w:val="007A269B"/>
    <w:rsid w:val="007A3AB8"/>
    <w:rsid w:val="007A4B23"/>
    <w:rsid w:val="007A7361"/>
    <w:rsid w:val="007B3E97"/>
    <w:rsid w:val="007B4B75"/>
    <w:rsid w:val="007B5A99"/>
    <w:rsid w:val="007B661A"/>
    <w:rsid w:val="007B76EA"/>
    <w:rsid w:val="007C047E"/>
    <w:rsid w:val="007C2AB8"/>
    <w:rsid w:val="007C46D7"/>
    <w:rsid w:val="007C64C8"/>
    <w:rsid w:val="007D2AE3"/>
    <w:rsid w:val="007D3778"/>
    <w:rsid w:val="007D3B4B"/>
    <w:rsid w:val="007D46AD"/>
    <w:rsid w:val="007E1160"/>
    <w:rsid w:val="007E1211"/>
    <w:rsid w:val="007E4614"/>
    <w:rsid w:val="007E5535"/>
    <w:rsid w:val="007E594C"/>
    <w:rsid w:val="007E7271"/>
    <w:rsid w:val="007E76BE"/>
    <w:rsid w:val="007E7D5C"/>
    <w:rsid w:val="007F19AE"/>
    <w:rsid w:val="007F2B3A"/>
    <w:rsid w:val="007F554C"/>
    <w:rsid w:val="007F6667"/>
    <w:rsid w:val="007F6BD6"/>
    <w:rsid w:val="007F6F91"/>
    <w:rsid w:val="0080192F"/>
    <w:rsid w:val="0080229D"/>
    <w:rsid w:val="008047BC"/>
    <w:rsid w:val="0080488B"/>
    <w:rsid w:val="00806326"/>
    <w:rsid w:val="008118E2"/>
    <w:rsid w:val="008134BF"/>
    <w:rsid w:val="008146B6"/>
    <w:rsid w:val="00816AD8"/>
    <w:rsid w:val="00816E20"/>
    <w:rsid w:val="00822731"/>
    <w:rsid w:val="00823021"/>
    <w:rsid w:val="00827331"/>
    <w:rsid w:val="0082746A"/>
    <w:rsid w:val="00827F36"/>
    <w:rsid w:val="008307A9"/>
    <w:rsid w:val="0083360A"/>
    <w:rsid w:val="00833707"/>
    <w:rsid w:val="008366C3"/>
    <w:rsid w:val="008416B8"/>
    <w:rsid w:val="00846358"/>
    <w:rsid w:val="00847296"/>
    <w:rsid w:val="00850181"/>
    <w:rsid w:val="00852562"/>
    <w:rsid w:val="00852583"/>
    <w:rsid w:val="00852AE5"/>
    <w:rsid w:val="00854000"/>
    <w:rsid w:val="008548AD"/>
    <w:rsid w:val="00856472"/>
    <w:rsid w:val="0085695C"/>
    <w:rsid w:val="00857824"/>
    <w:rsid w:val="00857F83"/>
    <w:rsid w:val="00863615"/>
    <w:rsid w:val="0086653B"/>
    <w:rsid w:val="00867057"/>
    <w:rsid w:val="008676F0"/>
    <w:rsid w:val="00875463"/>
    <w:rsid w:val="008757C5"/>
    <w:rsid w:val="00880349"/>
    <w:rsid w:val="008836EF"/>
    <w:rsid w:val="00884CBB"/>
    <w:rsid w:val="00885C33"/>
    <w:rsid w:val="00887E99"/>
    <w:rsid w:val="0089051F"/>
    <w:rsid w:val="008909CC"/>
    <w:rsid w:val="00891D65"/>
    <w:rsid w:val="0089371C"/>
    <w:rsid w:val="0089586A"/>
    <w:rsid w:val="00895DFA"/>
    <w:rsid w:val="00896214"/>
    <w:rsid w:val="008979E6"/>
    <w:rsid w:val="00897FEF"/>
    <w:rsid w:val="008A1E1B"/>
    <w:rsid w:val="008A2956"/>
    <w:rsid w:val="008A6046"/>
    <w:rsid w:val="008B0504"/>
    <w:rsid w:val="008B44F6"/>
    <w:rsid w:val="008B5795"/>
    <w:rsid w:val="008B5AE4"/>
    <w:rsid w:val="008B6B1F"/>
    <w:rsid w:val="008B7D0E"/>
    <w:rsid w:val="008C242C"/>
    <w:rsid w:val="008C3280"/>
    <w:rsid w:val="008C50C8"/>
    <w:rsid w:val="008C6433"/>
    <w:rsid w:val="008C6AC8"/>
    <w:rsid w:val="008E0317"/>
    <w:rsid w:val="008E0C41"/>
    <w:rsid w:val="008E2A82"/>
    <w:rsid w:val="008E3F20"/>
    <w:rsid w:val="008E448D"/>
    <w:rsid w:val="008E4837"/>
    <w:rsid w:val="008E54F3"/>
    <w:rsid w:val="008E697B"/>
    <w:rsid w:val="008F0CC9"/>
    <w:rsid w:val="008F24EB"/>
    <w:rsid w:val="008F546F"/>
    <w:rsid w:val="008F680E"/>
    <w:rsid w:val="008F7CD0"/>
    <w:rsid w:val="009015BF"/>
    <w:rsid w:val="00901621"/>
    <w:rsid w:val="009019FC"/>
    <w:rsid w:val="00904C33"/>
    <w:rsid w:val="00905271"/>
    <w:rsid w:val="009054FC"/>
    <w:rsid w:val="00906A6E"/>
    <w:rsid w:val="00911C1B"/>
    <w:rsid w:val="0091324D"/>
    <w:rsid w:val="0091453C"/>
    <w:rsid w:val="009148D7"/>
    <w:rsid w:val="0091535E"/>
    <w:rsid w:val="00915747"/>
    <w:rsid w:val="009164AC"/>
    <w:rsid w:val="00916F0C"/>
    <w:rsid w:val="00917BCA"/>
    <w:rsid w:val="0092107C"/>
    <w:rsid w:val="009235C0"/>
    <w:rsid w:val="00923CE9"/>
    <w:rsid w:val="009246B0"/>
    <w:rsid w:val="00925A48"/>
    <w:rsid w:val="0092714E"/>
    <w:rsid w:val="00931098"/>
    <w:rsid w:val="00932707"/>
    <w:rsid w:val="00934E5D"/>
    <w:rsid w:val="0093671E"/>
    <w:rsid w:val="00936C92"/>
    <w:rsid w:val="00940658"/>
    <w:rsid w:val="00940FCD"/>
    <w:rsid w:val="00943604"/>
    <w:rsid w:val="0094396B"/>
    <w:rsid w:val="00943DF8"/>
    <w:rsid w:val="00944159"/>
    <w:rsid w:val="0094558F"/>
    <w:rsid w:val="009475AD"/>
    <w:rsid w:val="009479E4"/>
    <w:rsid w:val="00951100"/>
    <w:rsid w:val="00955CFC"/>
    <w:rsid w:val="00955D9D"/>
    <w:rsid w:val="00957BF8"/>
    <w:rsid w:val="009615F0"/>
    <w:rsid w:val="00961EEA"/>
    <w:rsid w:val="009623C8"/>
    <w:rsid w:val="00964389"/>
    <w:rsid w:val="00970F51"/>
    <w:rsid w:val="009724B3"/>
    <w:rsid w:val="00972D9A"/>
    <w:rsid w:val="00975F31"/>
    <w:rsid w:val="009775CB"/>
    <w:rsid w:val="00977B35"/>
    <w:rsid w:val="00977FE0"/>
    <w:rsid w:val="00981068"/>
    <w:rsid w:val="009811C4"/>
    <w:rsid w:val="009829ED"/>
    <w:rsid w:val="009849A2"/>
    <w:rsid w:val="00985797"/>
    <w:rsid w:val="0098579A"/>
    <w:rsid w:val="00986243"/>
    <w:rsid w:val="00986A9F"/>
    <w:rsid w:val="009935EE"/>
    <w:rsid w:val="00995A97"/>
    <w:rsid w:val="009A1324"/>
    <w:rsid w:val="009A3627"/>
    <w:rsid w:val="009A6C13"/>
    <w:rsid w:val="009A751A"/>
    <w:rsid w:val="009B1432"/>
    <w:rsid w:val="009B37F4"/>
    <w:rsid w:val="009B5F0A"/>
    <w:rsid w:val="009B6F38"/>
    <w:rsid w:val="009C2BD8"/>
    <w:rsid w:val="009C33A4"/>
    <w:rsid w:val="009C34D8"/>
    <w:rsid w:val="009C3521"/>
    <w:rsid w:val="009D14DC"/>
    <w:rsid w:val="009D1984"/>
    <w:rsid w:val="009D2BBB"/>
    <w:rsid w:val="009D3535"/>
    <w:rsid w:val="009D4AA7"/>
    <w:rsid w:val="009D7AF5"/>
    <w:rsid w:val="009E0359"/>
    <w:rsid w:val="009E144A"/>
    <w:rsid w:val="009E180F"/>
    <w:rsid w:val="009E1EDE"/>
    <w:rsid w:val="009E2CA5"/>
    <w:rsid w:val="009E326E"/>
    <w:rsid w:val="009E365B"/>
    <w:rsid w:val="009F2A0F"/>
    <w:rsid w:val="009F2DA2"/>
    <w:rsid w:val="009F30CA"/>
    <w:rsid w:val="009F31F7"/>
    <w:rsid w:val="009F36F6"/>
    <w:rsid w:val="00A04682"/>
    <w:rsid w:val="00A07754"/>
    <w:rsid w:val="00A13A73"/>
    <w:rsid w:val="00A15BA4"/>
    <w:rsid w:val="00A16CDF"/>
    <w:rsid w:val="00A2058A"/>
    <w:rsid w:val="00A21F57"/>
    <w:rsid w:val="00A247DA"/>
    <w:rsid w:val="00A25AC0"/>
    <w:rsid w:val="00A30C7D"/>
    <w:rsid w:val="00A31397"/>
    <w:rsid w:val="00A31817"/>
    <w:rsid w:val="00A357ED"/>
    <w:rsid w:val="00A36C65"/>
    <w:rsid w:val="00A371B1"/>
    <w:rsid w:val="00A376FF"/>
    <w:rsid w:val="00A41C7E"/>
    <w:rsid w:val="00A43B51"/>
    <w:rsid w:val="00A43FDE"/>
    <w:rsid w:val="00A47213"/>
    <w:rsid w:val="00A479A0"/>
    <w:rsid w:val="00A530FC"/>
    <w:rsid w:val="00A5492D"/>
    <w:rsid w:val="00A55D85"/>
    <w:rsid w:val="00A6146F"/>
    <w:rsid w:val="00A62EB1"/>
    <w:rsid w:val="00A62ED0"/>
    <w:rsid w:val="00A6406A"/>
    <w:rsid w:val="00A64FE2"/>
    <w:rsid w:val="00A6764D"/>
    <w:rsid w:val="00A717FE"/>
    <w:rsid w:val="00A726A8"/>
    <w:rsid w:val="00A73763"/>
    <w:rsid w:val="00A75277"/>
    <w:rsid w:val="00A756F2"/>
    <w:rsid w:val="00A75DA5"/>
    <w:rsid w:val="00A77E32"/>
    <w:rsid w:val="00A80B2D"/>
    <w:rsid w:val="00A80BEF"/>
    <w:rsid w:val="00A80CE2"/>
    <w:rsid w:val="00A85F96"/>
    <w:rsid w:val="00A86ED0"/>
    <w:rsid w:val="00A90DBE"/>
    <w:rsid w:val="00A94B65"/>
    <w:rsid w:val="00A95167"/>
    <w:rsid w:val="00A957A0"/>
    <w:rsid w:val="00AA0B5E"/>
    <w:rsid w:val="00AA504A"/>
    <w:rsid w:val="00AA5214"/>
    <w:rsid w:val="00AB2D5F"/>
    <w:rsid w:val="00AB664C"/>
    <w:rsid w:val="00AB7D96"/>
    <w:rsid w:val="00AC1FA5"/>
    <w:rsid w:val="00AC2C17"/>
    <w:rsid w:val="00AC3395"/>
    <w:rsid w:val="00AC5242"/>
    <w:rsid w:val="00AC67D4"/>
    <w:rsid w:val="00AC7BC9"/>
    <w:rsid w:val="00AD0F77"/>
    <w:rsid w:val="00AD26A6"/>
    <w:rsid w:val="00AD75A8"/>
    <w:rsid w:val="00AE1985"/>
    <w:rsid w:val="00AE7D15"/>
    <w:rsid w:val="00AF0AC4"/>
    <w:rsid w:val="00AF3E72"/>
    <w:rsid w:val="00AF614B"/>
    <w:rsid w:val="00AF6DBC"/>
    <w:rsid w:val="00AF746B"/>
    <w:rsid w:val="00B0317D"/>
    <w:rsid w:val="00B048C4"/>
    <w:rsid w:val="00B05972"/>
    <w:rsid w:val="00B0602A"/>
    <w:rsid w:val="00B108A7"/>
    <w:rsid w:val="00B121EF"/>
    <w:rsid w:val="00B12814"/>
    <w:rsid w:val="00B159E0"/>
    <w:rsid w:val="00B17A20"/>
    <w:rsid w:val="00B203D6"/>
    <w:rsid w:val="00B215BF"/>
    <w:rsid w:val="00B21BDB"/>
    <w:rsid w:val="00B246BF"/>
    <w:rsid w:val="00B26483"/>
    <w:rsid w:val="00B43F55"/>
    <w:rsid w:val="00B449C8"/>
    <w:rsid w:val="00B44AAB"/>
    <w:rsid w:val="00B45193"/>
    <w:rsid w:val="00B4617F"/>
    <w:rsid w:val="00B4755D"/>
    <w:rsid w:val="00B47B68"/>
    <w:rsid w:val="00B47F12"/>
    <w:rsid w:val="00B50F9E"/>
    <w:rsid w:val="00B56224"/>
    <w:rsid w:val="00B60225"/>
    <w:rsid w:val="00B642B1"/>
    <w:rsid w:val="00B64CD3"/>
    <w:rsid w:val="00B6512A"/>
    <w:rsid w:val="00B6608B"/>
    <w:rsid w:val="00B6622F"/>
    <w:rsid w:val="00B72111"/>
    <w:rsid w:val="00B72E41"/>
    <w:rsid w:val="00B74589"/>
    <w:rsid w:val="00B7586F"/>
    <w:rsid w:val="00B80B61"/>
    <w:rsid w:val="00B83431"/>
    <w:rsid w:val="00B83B19"/>
    <w:rsid w:val="00B866AA"/>
    <w:rsid w:val="00B86D83"/>
    <w:rsid w:val="00B87BB5"/>
    <w:rsid w:val="00B90B16"/>
    <w:rsid w:val="00B924EB"/>
    <w:rsid w:val="00B92915"/>
    <w:rsid w:val="00B92FA4"/>
    <w:rsid w:val="00B95883"/>
    <w:rsid w:val="00B96BF0"/>
    <w:rsid w:val="00B97594"/>
    <w:rsid w:val="00B97A7A"/>
    <w:rsid w:val="00BA179C"/>
    <w:rsid w:val="00BA192B"/>
    <w:rsid w:val="00BA1CA7"/>
    <w:rsid w:val="00BA3C6D"/>
    <w:rsid w:val="00BA7D00"/>
    <w:rsid w:val="00BB00C8"/>
    <w:rsid w:val="00BB11DE"/>
    <w:rsid w:val="00BB2F09"/>
    <w:rsid w:val="00BB3894"/>
    <w:rsid w:val="00BB493F"/>
    <w:rsid w:val="00BC0D68"/>
    <w:rsid w:val="00BC3960"/>
    <w:rsid w:val="00BC4FB5"/>
    <w:rsid w:val="00BD0221"/>
    <w:rsid w:val="00BD186D"/>
    <w:rsid w:val="00BD71FB"/>
    <w:rsid w:val="00BE0901"/>
    <w:rsid w:val="00BE332F"/>
    <w:rsid w:val="00BE3FC2"/>
    <w:rsid w:val="00BE5D12"/>
    <w:rsid w:val="00BE72EC"/>
    <w:rsid w:val="00BF0D83"/>
    <w:rsid w:val="00BF250B"/>
    <w:rsid w:val="00BF2FAD"/>
    <w:rsid w:val="00BF314B"/>
    <w:rsid w:val="00BF33CB"/>
    <w:rsid w:val="00BF3E63"/>
    <w:rsid w:val="00BF46AC"/>
    <w:rsid w:val="00BF52E4"/>
    <w:rsid w:val="00BF5E55"/>
    <w:rsid w:val="00BF773E"/>
    <w:rsid w:val="00C027B5"/>
    <w:rsid w:val="00C02EA9"/>
    <w:rsid w:val="00C03F9A"/>
    <w:rsid w:val="00C05478"/>
    <w:rsid w:val="00C06063"/>
    <w:rsid w:val="00C06638"/>
    <w:rsid w:val="00C078A0"/>
    <w:rsid w:val="00C11BCA"/>
    <w:rsid w:val="00C13159"/>
    <w:rsid w:val="00C138A1"/>
    <w:rsid w:val="00C151CF"/>
    <w:rsid w:val="00C15F97"/>
    <w:rsid w:val="00C17373"/>
    <w:rsid w:val="00C216DE"/>
    <w:rsid w:val="00C21801"/>
    <w:rsid w:val="00C31FCD"/>
    <w:rsid w:val="00C32DA7"/>
    <w:rsid w:val="00C340B4"/>
    <w:rsid w:val="00C355EF"/>
    <w:rsid w:val="00C35BBA"/>
    <w:rsid w:val="00C40539"/>
    <w:rsid w:val="00C40922"/>
    <w:rsid w:val="00C4251C"/>
    <w:rsid w:val="00C446F6"/>
    <w:rsid w:val="00C45DD2"/>
    <w:rsid w:val="00C51218"/>
    <w:rsid w:val="00C52F8F"/>
    <w:rsid w:val="00C5448D"/>
    <w:rsid w:val="00C54832"/>
    <w:rsid w:val="00C609EE"/>
    <w:rsid w:val="00C61867"/>
    <w:rsid w:val="00C65215"/>
    <w:rsid w:val="00C652DB"/>
    <w:rsid w:val="00C65395"/>
    <w:rsid w:val="00C656D7"/>
    <w:rsid w:val="00C664D2"/>
    <w:rsid w:val="00C66CC2"/>
    <w:rsid w:val="00C70198"/>
    <w:rsid w:val="00C7076F"/>
    <w:rsid w:val="00C70CCD"/>
    <w:rsid w:val="00C742C6"/>
    <w:rsid w:val="00C80033"/>
    <w:rsid w:val="00C81660"/>
    <w:rsid w:val="00C81B83"/>
    <w:rsid w:val="00C8222A"/>
    <w:rsid w:val="00C86565"/>
    <w:rsid w:val="00C87EBB"/>
    <w:rsid w:val="00C92A44"/>
    <w:rsid w:val="00C949ED"/>
    <w:rsid w:val="00C96226"/>
    <w:rsid w:val="00CA21FB"/>
    <w:rsid w:val="00CA23D1"/>
    <w:rsid w:val="00CA4745"/>
    <w:rsid w:val="00CA6409"/>
    <w:rsid w:val="00CB0707"/>
    <w:rsid w:val="00CB17E5"/>
    <w:rsid w:val="00CB3542"/>
    <w:rsid w:val="00CB5933"/>
    <w:rsid w:val="00CB6F0D"/>
    <w:rsid w:val="00CC1284"/>
    <w:rsid w:val="00CC1771"/>
    <w:rsid w:val="00CC23DE"/>
    <w:rsid w:val="00CC23E2"/>
    <w:rsid w:val="00CC3422"/>
    <w:rsid w:val="00CC571B"/>
    <w:rsid w:val="00CD5BA3"/>
    <w:rsid w:val="00CD7068"/>
    <w:rsid w:val="00CE1857"/>
    <w:rsid w:val="00CE1F94"/>
    <w:rsid w:val="00CE2D25"/>
    <w:rsid w:val="00CE32DB"/>
    <w:rsid w:val="00CE36C7"/>
    <w:rsid w:val="00CE4328"/>
    <w:rsid w:val="00CE47EB"/>
    <w:rsid w:val="00CF033E"/>
    <w:rsid w:val="00CF129A"/>
    <w:rsid w:val="00CF1792"/>
    <w:rsid w:val="00CF4030"/>
    <w:rsid w:val="00CF541F"/>
    <w:rsid w:val="00D00D59"/>
    <w:rsid w:val="00D012E5"/>
    <w:rsid w:val="00D014CB"/>
    <w:rsid w:val="00D01B19"/>
    <w:rsid w:val="00D03BF9"/>
    <w:rsid w:val="00D073FE"/>
    <w:rsid w:val="00D155C7"/>
    <w:rsid w:val="00D22A10"/>
    <w:rsid w:val="00D24F8B"/>
    <w:rsid w:val="00D25389"/>
    <w:rsid w:val="00D25692"/>
    <w:rsid w:val="00D25EA3"/>
    <w:rsid w:val="00D2742B"/>
    <w:rsid w:val="00D274C8"/>
    <w:rsid w:val="00D3294B"/>
    <w:rsid w:val="00D338C7"/>
    <w:rsid w:val="00D35989"/>
    <w:rsid w:val="00D35EC1"/>
    <w:rsid w:val="00D410A6"/>
    <w:rsid w:val="00D41A06"/>
    <w:rsid w:val="00D44DA2"/>
    <w:rsid w:val="00D45FD1"/>
    <w:rsid w:val="00D50935"/>
    <w:rsid w:val="00D50B20"/>
    <w:rsid w:val="00D52914"/>
    <w:rsid w:val="00D56CC0"/>
    <w:rsid w:val="00D63DDD"/>
    <w:rsid w:val="00D64B88"/>
    <w:rsid w:val="00D66E89"/>
    <w:rsid w:val="00D707DF"/>
    <w:rsid w:val="00D70B52"/>
    <w:rsid w:val="00D70CD6"/>
    <w:rsid w:val="00D71221"/>
    <w:rsid w:val="00D81547"/>
    <w:rsid w:val="00D8167D"/>
    <w:rsid w:val="00D86673"/>
    <w:rsid w:val="00D92A6F"/>
    <w:rsid w:val="00D942D3"/>
    <w:rsid w:val="00D95557"/>
    <w:rsid w:val="00D97344"/>
    <w:rsid w:val="00D97A48"/>
    <w:rsid w:val="00DA0333"/>
    <w:rsid w:val="00DA15ED"/>
    <w:rsid w:val="00DA4158"/>
    <w:rsid w:val="00DA55BB"/>
    <w:rsid w:val="00DA776A"/>
    <w:rsid w:val="00DB12C8"/>
    <w:rsid w:val="00DB4025"/>
    <w:rsid w:val="00DB6F78"/>
    <w:rsid w:val="00DB72ED"/>
    <w:rsid w:val="00DC4D94"/>
    <w:rsid w:val="00DC628B"/>
    <w:rsid w:val="00DD05E1"/>
    <w:rsid w:val="00DD675E"/>
    <w:rsid w:val="00DD69E2"/>
    <w:rsid w:val="00DD6A0B"/>
    <w:rsid w:val="00DD6B63"/>
    <w:rsid w:val="00DD729D"/>
    <w:rsid w:val="00DE031C"/>
    <w:rsid w:val="00DE0552"/>
    <w:rsid w:val="00DE2157"/>
    <w:rsid w:val="00DE2AD4"/>
    <w:rsid w:val="00DE4399"/>
    <w:rsid w:val="00DE54D2"/>
    <w:rsid w:val="00DE552E"/>
    <w:rsid w:val="00DE587B"/>
    <w:rsid w:val="00DE6B5F"/>
    <w:rsid w:val="00DE79D1"/>
    <w:rsid w:val="00DE7B5A"/>
    <w:rsid w:val="00DF51D9"/>
    <w:rsid w:val="00DF5410"/>
    <w:rsid w:val="00DF6E5C"/>
    <w:rsid w:val="00DF7497"/>
    <w:rsid w:val="00E01DD8"/>
    <w:rsid w:val="00E020F7"/>
    <w:rsid w:val="00E02F14"/>
    <w:rsid w:val="00E03E1F"/>
    <w:rsid w:val="00E044D0"/>
    <w:rsid w:val="00E05065"/>
    <w:rsid w:val="00E05DF4"/>
    <w:rsid w:val="00E07237"/>
    <w:rsid w:val="00E07757"/>
    <w:rsid w:val="00E13F33"/>
    <w:rsid w:val="00E1463D"/>
    <w:rsid w:val="00E15433"/>
    <w:rsid w:val="00E16E6D"/>
    <w:rsid w:val="00E17771"/>
    <w:rsid w:val="00E17F77"/>
    <w:rsid w:val="00E20600"/>
    <w:rsid w:val="00E20D6D"/>
    <w:rsid w:val="00E23762"/>
    <w:rsid w:val="00E26D43"/>
    <w:rsid w:val="00E325F6"/>
    <w:rsid w:val="00E326B1"/>
    <w:rsid w:val="00E33683"/>
    <w:rsid w:val="00E35B6D"/>
    <w:rsid w:val="00E41DBC"/>
    <w:rsid w:val="00E42BD8"/>
    <w:rsid w:val="00E47370"/>
    <w:rsid w:val="00E5266F"/>
    <w:rsid w:val="00E5287F"/>
    <w:rsid w:val="00E55055"/>
    <w:rsid w:val="00E55117"/>
    <w:rsid w:val="00E55473"/>
    <w:rsid w:val="00E556BC"/>
    <w:rsid w:val="00E56CF2"/>
    <w:rsid w:val="00E637E6"/>
    <w:rsid w:val="00E64F1E"/>
    <w:rsid w:val="00E65D12"/>
    <w:rsid w:val="00E66755"/>
    <w:rsid w:val="00E679C8"/>
    <w:rsid w:val="00E7026E"/>
    <w:rsid w:val="00E70539"/>
    <w:rsid w:val="00E70981"/>
    <w:rsid w:val="00E73672"/>
    <w:rsid w:val="00E74F50"/>
    <w:rsid w:val="00E75AB0"/>
    <w:rsid w:val="00E77575"/>
    <w:rsid w:val="00E80DC8"/>
    <w:rsid w:val="00E8117D"/>
    <w:rsid w:val="00E8128A"/>
    <w:rsid w:val="00E85428"/>
    <w:rsid w:val="00E868DD"/>
    <w:rsid w:val="00E9164C"/>
    <w:rsid w:val="00E9190D"/>
    <w:rsid w:val="00E92140"/>
    <w:rsid w:val="00E963C1"/>
    <w:rsid w:val="00E971B4"/>
    <w:rsid w:val="00EA1D09"/>
    <w:rsid w:val="00EA1D1E"/>
    <w:rsid w:val="00EA5599"/>
    <w:rsid w:val="00EA7261"/>
    <w:rsid w:val="00EB01E8"/>
    <w:rsid w:val="00EB3C98"/>
    <w:rsid w:val="00EB3EE3"/>
    <w:rsid w:val="00EB7321"/>
    <w:rsid w:val="00EB7D3F"/>
    <w:rsid w:val="00EC1D62"/>
    <w:rsid w:val="00EC5A39"/>
    <w:rsid w:val="00EC606B"/>
    <w:rsid w:val="00EC6B3A"/>
    <w:rsid w:val="00ED08FD"/>
    <w:rsid w:val="00ED0AE4"/>
    <w:rsid w:val="00ED301A"/>
    <w:rsid w:val="00ED30D0"/>
    <w:rsid w:val="00ED699B"/>
    <w:rsid w:val="00EE2794"/>
    <w:rsid w:val="00EE48FD"/>
    <w:rsid w:val="00EE5B85"/>
    <w:rsid w:val="00EE6621"/>
    <w:rsid w:val="00EF0293"/>
    <w:rsid w:val="00EF13B5"/>
    <w:rsid w:val="00EF1FAB"/>
    <w:rsid w:val="00EF275B"/>
    <w:rsid w:val="00EF2C46"/>
    <w:rsid w:val="00EF4E8D"/>
    <w:rsid w:val="00EF4F0D"/>
    <w:rsid w:val="00EF77DE"/>
    <w:rsid w:val="00F0216C"/>
    <w:rsid w:val="00F0369C"/>
    <w:rsid w:val="00F03BBB"/>
    <w:rsid w:val="00F1023E"/>
    <w:rsid w:val="00F107FF"/>
    <w:rsid w:val="00F10B14"/>
    <w:rsid w:val="00F11CCA"/>
    <w:rsid w:val="00F12BCE"/>
    <w:rsid w:val="00F1472E"/>
    <w:rsid w:val="00F17EEA"/>
    <w:rsid w:val="00F20C9E"/>
    <w:rsid w:val="00F21102"/>
    <w:rsid w:val="00F27247"/>
    <w:rsid w:val="00F27479"/>
    <w:rsid w:val="00F3052F"/>
    <w:rsid w:val="00F3073E"/>
    <w:rsid w:val="00F30ED1"/>
    <w:rsid w:val="00F3485C"/>
    <w:rsid w:val="00F34FC6"/>
    <w:rsid w:val="00F3593C"/>
    <w:rsid w:val="00F35FAD"/>
    <w:rsid w:val="00F4352F"/>
    <w:rsid w:val="00F44F5A"/>
    <w:rsid w:val="00F5184C"/>
    <w:rsid w:val="00F519F3"/>
    <w:rsid w:val="00F524CA"/>
    <w:rsid w:val="00F53536"/>
    <w:rsid w:val="00F554D5"/>
    <w:rsid w:val="00F57E7C"/>
    <w:rsid w:val="00F64005"/>
    <w:rsid w:val="00F6597A"/>
    <w:rsid w:val="00F713F6"/>
    <w:rsid w:val="00F72798"/>
    <w:rsid w:val="00F72A80"/>
    <w:rsid w:val="00F72AD7"/>
    <w:rsid w:val="00F72DBC"/>
    <w:rsid w:val="00F72FF9"/>
    <w:rsid w:val="00F75234"/>
    <w:rsid w:val="00F75D29"/>
    <w:rsid w:val="00F768AD"/>
    <w:rsid w:val="00F82ED5"/>
    <w:rsid w:val="00F83B81"/>
    <w:rsid w:val="00F85B16"/>
    <w:rsid w:val="00F85FBF"/>
    <w:rsid w:val="00F90260"/>
    <w:rsid w:val="00F90865"/>
    <w:rsid w:val="00F90CC4"/>
    <w:rsid w:val="00F93968"/>
    <w:rsid w:val="00F94F7A"/>
    <w:rsid w:val="00F95F0F"/>
    <w:rsid w:val="00FA5397"/>
    <w:rsid w:val="00FA6287"/>
    <w:rsid w:val="00FA685A"/>
    <w:rsid w:val="00FA73F4"/>
    <w:rsid w:val="00FB13B8"/>
    <w:rsid w:val="00FB21F1"/>
    <w:rsid w:val="00FB5660"/>
    <w:rsid w:val="00FB5F82"/>
    <w:rsid w:val="00FB7D56"/>
    <w:rsid w:val="00FC1036"/>
    <w:rsid w:val="00FC4C0A"/>
    <w:rsid w:val="00FC5074"/>
    <w:rsid w:val="00FC6C8D"/>
    <w:rsid w:val="00FC730A"/>
    <w:rsid w:val="00FD0CEF"/>
    <w:rsid w:val="00FD28FE"/>
    <w:rsid w:val="00FD2A75"/>
    <w:rsid w:val="00FD3EBF"/>
    <w:rsid w:val="00FD4B59"/>
    <w:rsid w:val="00FD4C84"/>
    <w:rsid w:val="00FD5B91"/>
    <w:rsid w:val="00FD6821"/>
    <w:rsid w:val="00FE3BE0"/>
    <w:rsid w:val="00FE4B89"/>
    <w:rsid w:val="00FE5A4B"/>
    <w:rsid w:val="00FE5CE3"/>
    <w:rsid w:val="00FE6891"/>
    <w:rsid w:val="00FF08A7"/>
    <w:rsid w:val="00FF1587"/>
    <w:rsid w:val="00FF28A7"/>
    <w:rsid w:val="00FF4FEC"/>
    <w:rsid w:val="040B159C"/>
    <w:rsid w:val="05AE5200"/>
    <w:rsid w:val="08D11210"/>
    <w:rsid w:val="0E995331"/>
    <w:rsid w:val="0EDE4E4B"/>
    <w:rsid w:val="13477C41"/>
    <w:rsid w:val="13A40909"/>
    <w:rsid w:val="14206CC8"/>
    <w:rsid w:val="2E0F48DE"/>
    <w:rsid w:val="2EFB1813"/>
    <w:rsid w:val="2F395F11"/>
    <w:rsid w:val="375B3150"/>
    <w:rsid w:val="37736D9D"/>
    <w:rsid w:val="390A673A"/>
    <w:rsid w:val="3FD761B8"/>
    <w:rsid w:val="43025E24"/>
    <w:rsid w:val="487874F0"/>
    <w:rsid w:val="48D26D06"/>
    <w:rsid w:val="4F61421E"/>
    <w:rsid w:val="56E11C93"/>
    <w:rsid w:val="579C26FB"/>
    <w:rsid w:val="64C40F35"/>
    <w:rsid w:val="6F984502"/>
    <w:rsid w:val="79A44592"/>
    <w:rsid w:val="7CB417EC"/>
    <w:rsid w:val="7F636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ind w:firstLine="200" w:firstLineChars="200"/>
      <w:jc w:val="both"/>
    </w:pPr>
    <w:rPr>
      <w:rFonts w:ascii="Times New Roman" w:hAnsi="Times New Roman" w:eastAsia="宋体" w:cstheme="minorBidi"/>
      <w:kern w:val="2"/>
      <w:sz w:val="21"/>
      <w:szCs w:val="22"/>
      <w:lang w:val="en-US" w:eastAsia="zh-CN" w:bidi="ar-SA"/>
    </w:rPr>
  </w:style>
  <w:style w:type="paragraph" w:styleId="2">
    <w:name w:val="heading 1"/>
    <w:basedOn w:val="1"/>
    <w:next w:val="1"/>
    <w:link w:val="41"/>
    <w:qFormat/>
    <w:uiPriority w:val="0"/>
    <w:pPr>
      <w:keepNext/>
      <w:keepLines/>
      <w:spacing w:line="480" w:lineRule="auto"/>
      <w:ind w:firstLine="0" w:firstLineChars="0"/>
      <w:jc w:val="center"/>
      <w:textAlignment w:val="baseline"/>
      <w:outlineLvl w:val="0"/>
    </w:pPr>
    <w:rPr>
      <w:rFonts w:cs="Times New Roman"/>
      <w:b/>
      <w:kern w:val="44"/>
      <w:sz w:val="30"/>
      <w:szCs w:val="20"/>
      <w:lang w:val="zh-CN"/>
    </w:rPr>
  </w:style>
  <w:style w:type="paragraph" w:styleId="3">
    <w:name w:val="heading 2"/>
    <w:basedOn w:val="1"/>
    <w:next w:val="1"/>
    <w:link w:val="42"/>
    <w:qFormat/>
    <w:uiPriority w:val="0"/>
    <w:pPr>
      <w:keepNext/>
      <w:keepLines/>
      <w:numPr>
        <w:ilvl w:val="1"/>
        <w:numId w:val="1"/>
      </w:numPr>
      <w:spacing w:before="312" w:beforeLines="100" w:after="312" w:afterLines="100"/>
      <w:ind w:left="567" w:firstLine="0" w:firstLineChars="0"/>
      <w:jc w:val="center"/>
      <w:outlineLvl w:val="1"/>
    </w:pPr>
    <w:rPr>
      <w:rFonts w:ascii="Arial" w:hAnsi="Arial" w:cs="Times New Roman"/>
      <w:b/>
      <w:bCs/>
      <w:sz w:val="24"/>
      <w:szCs w:val="32"/>
      <w:lang w:val="zh-CN"/>
    </w:rPr>
  </w:style>
  <w:style w:type="paragraph" w:styleId="4">
    <w:name w:val="heading 3"/>
    <w:basedOn w:val="1"/>
    <w:next w:val="1"/>
    <w:link w:val="43"/>
    <w:qFormat/>
    <w:uiPriority w:val="0"/>
    <w:pPr>
      <w:keepNext/>
      <w:keepLines/>
      <w:spacing w:line="480" w:lineRule="auto"/>
      <w:jc w:val="center"/>
      <w:textAlignment w:val="baseline"/>
      <w:outlineLvl w:val="2"/>
    </w:pPr>
    <w:rPr>
      <w:rFonts w:cs="Times New Roman"/>
      <w:b/>
      <w:kern w:val="0"/>
      <w:sz w:val="30"/>
      <w:szCs w:val="20"/>
    </w:rPr>
  </w:style>
  <w:style w:type="paragraph" w:styleId="5">
    <w:name w:val="heading 4"/>
    <w:basedOn w:val="1"/>
    <w:next w:val="1"/>
    <w:link w:val="44"/>
    <w:qFormat/>
    <w:uiPriority w:val="0"/>
    <w:pPr>
      <w:keepNext/>
      <w:keepLines/>
      <w:spacing w:before="280" w:after="290" w:line="376" w:lineRule="atLeast"/>
      <w:jc w:val="left"/>
      <w:textAlignment w:val="baseline"/>
      <w:outlineLvl w:val="3"/>
    </w:pPr>
    <w:rPr>
      <w:rFonts w:ascii="Arial" w:hAnsi="Arial" w:eastAsia="黑体" w:cs="Times New Roman"/>
      <w:b/>
      <w:kern w:val="0"/>
      <w:sz w:val="28"/>
      <w:szCs w:val="20"/>
    </w:rPr>
  </w:style>
  <w:style w:type="paragraph" w:styleId="6">
    <w:name w:val="heading 5"/>
    <w:basedOn w:val="1"/>
    <w:next w:val="1"/>
    <w:link w:val="45"/>
    <w:qFormat/>
    <w:uiPriority w:val="0"/>
    <w:pPr>
      <w:keepNext/>
      <w:keepLines/>
      <w:spacing w:before="280" w:after="290" w:line="376" w:lineRule="atLeast"/>
      <w:jc w:val="left"/>
      <w:textAlignment w:val="baseline"/>
      <w:outlineLvl w:val="4"/>
    </w:pPr>
    <w:rPr>
      <w:rFonts w:eastAsia="楷体" w:cs="Times New Roman"/>
      <w:b/>
      <w:kern w:val="0"/>
      <w:sz w:val="28"/>
      <w:szCs w:val="20"/>
    </w:rPr>
  </w:style>
  <w:style w:type="paragraph" w:styleId="7">
    <w:name w:val="heading 6"/>
    <w:basedOn w:val="1"/>
    <w:next w:val="1"/>
    <w:link w:val="46"/>
    <w:qFormat/>
    <w:uiPriority w:val="0"/>
    <w:pPr>
      <w:keepNext/>
      <w:keepLines/>
      <w:spacing w:before="240" w:after="64" w:line="320" w:lineRule="atLeast"/>
      <w:jc w:val="left"/>
      <w:textAlignment w:val="baseline"/>
      <w:outlineLvl w:val="5"/>
    </w:pPr>
    <w:rPr>
      <w:rFonts w:ascii="Arial" w:hAnsi="Arial" w:eastAsia="黑体" w:cs="Times New Roman"/>
      <w:b/>
      <w:kern w:val="0"/>
      <w:sz w:val="24"/>
      <w:szCs w:val="20"/>
    </w:rPr>
  </w:style>
  <w:style w:type="paragraph" w:styleId="8">
    <w:name w:val="heading 7"/>
    <w:basedOn w:val="1"/>
    <w:next w:val="1"/>
    <w:link w:val="47"/>
    <w:qFormat/>
    <w:uiPriority w:val="0"/>
    <w:pPr>
      <w:keepNext/>
      <w:keepLines/>
      <w:spacing w:before="240" w:after="64" w:line="320" w:lineRule="atLeast"/>
      <w:jc w:val="left"/>
      <w:textAlignment w:val="baseline"/>
      <w:outlineLvl w:val="6"/>
    </w:pPr>
    <w:rPr>
      <w:rFonts w:eastAsia="楷体" w:cs="Times New Roman"/>
      <w:b/>
      <w:kern w:val="0"/>
      <w:sz w:val="24"/>
      <w:szCs w:val="20"/>
    </w:rPr>
  </w:style>
  <w:style w:type="paragraph" w:styleId="9">
    <w:name w:val="heading 8"/>
    <w:basedOn w:val="1"/>
    <w:next w:val="1"/>
    <w:link w:val="48"/>
    <w:qFormat/>
    <w:uiPriority w:val="0"/>
    <w:pPr>
      <w:keepNext/>
      <w:keepLines/>
      <w:spacing w:before="240" w:after="64" w:line="320" w:lineRule="atLeast"/>
      <w:jc w:val="left"/>
      <w:textAlignment w:val="baseline"/>
      <w:outlineLvl w:val="7"/>
    </w:pPr>
    <w:rPr>
      <w:rFonts w:ascii="Arial" w:hAnsi="Arial" w:eastAsia="黑体" w:cs="Times New Roman"/>
      <w:kern w:val="0"/>
      <w:sz w:val="24"/>
      <w:szCs w:val="20"/>
    </w:rPr>
  </w:style>
  <w:style w:type="paragraph" w:styleId="10">
    <w:name w:val="heading 9"/>
    <w:basedOn w:val="1"/>
    <w:next w:val="1"/>
    <w:link w:val="49"/>
    <w:qFormat/>
    <w:uiPriority w:val="0"/>
    <w:pPr>
      <w:keepNext/>
      <w:keepLines/>
      <w:spacing w:before="240" w:after="64" w:line="320" w:lineRule="atLeast"/>
      <w:jc w:val="left"/>
      <w:textAlignment w:val="baseline"/>
      <w:outlineLvl w:val="8"/>
    </w:pPr>
    <w:rPr>
      <w:rFonts w:ascii="Arial" w:hAnsi="Arial" w:eastAsia="黑体" w:cs="Times New Roman"/>
      <w:kern w:val="0"/>
      <w:sz w:val="24"/>
      <w:szCs w:val="20"/>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unhideWhenUsed/>
    <w:qFormat/>
    <w:uiPriority w:val="0"/>
    <w:pPr>
      <w:ind w:firstLine="420"/>
    </w:pPr>
    <w:rPr>
      <w:rFonts w:cs="Times New Roman"/>
      <w:szCs w:val="20"/>
    </w:rPr>
  </w:style>
  <w:style w:type="paragraph" w:styleId="12">
    <w:name w:val="Document Map"/>
    <w:basedOn w:val="1"/>
    <w:link w:val="81"/>
    <w:semiHidden/>
    <w:unhideWhenUsed/>
    <w:qFormat/>
    <w:uiPriority w:val="99"/>
    <w:rPr>
      <w:rFonts w:ascii="宋体" w:hAnsi="Calibri" w:cs="Times New Roman"/>
      <w:sz w:val="18"/>
      <w:szCs w:val="18"/>
      <w:lang w:val="zh-CN"/>
    </w:rPr>
  </w:style>
  <w:style w:type="paragraph" w:styleId="13">
    <w:name w:val="annotation text"/>
    <w:basedOn w:val="1"/>
    <w:link w:val="56"/>
    <w:semiHidden/>
    <w:unhideWhenUsed/>
    <w:qFormat/>
    <w:uiPriority w:val="99"/>
    <w:pPr>
      <w:jc w:val="left"/>
    </w:pPr>
  </w:style>
  <w:style w:type="paragraph" w:styleId="14">
    <w:name w:val="Body Text 3"/>
    <w:basedOn w:val="1"/>
    <w:link w:val="87"/>
    <w:qFormat/>
    <w:uiPriority w:val="0"/>
    <w:rPr>
      <w:rFonts w:cs="Times New Roman"/>
      <w:sz w:val="28"/>
      <w:szCs w:val="20"/>
    </w:rPr>
  </w:style>
  <w:style w:type="paragraph" w:styleId="15">
    <w:name w:val="Body Text"/>
    <w:basedOn w:val="1"/>
    <w:link w:val="86"/>
    <w:qFormat/>
    <w:uiPriority w:val="0"/>
    <w:pPr>
      <w:spacing w:line="240" w:lineRule="exact"/>
      <w:jc w:val="center"/>
      <w:textAlignment w:val="baseline"/>
    </w:pPr>
    <w:rPr>
      <w:rFonts w:cs="Times New Roman"/>
      <w:kern w:val="0"/>
      <w:szCs w:val="20"/>
    </w:rPr>
  </w:style>
  <w:style w:type="paragraph" w:styleId="16">
    <w:name w:val="Body Text Indent"/>
    <w:basedOn w:val="1"/>
    <w:link w:val="85"/>
    <w:qFormat/>
    <w:uiPriority w:val="0"/>
    <w:pPr>
      <w:ind w:firstLine="435"/>
      <w:jc w:val="left"/>
      <w:textAlignment w:val="baseline"/>
    </w:pPr>
    <w:rPr>
      <w:rFonts w:ascii="Calibri" w:hAnsi="Calibri" w:cs="Times New Roman"/>
      <w:snapToGrid w:val="0"/>
      <w:kern w:val="0"/>
      <w:szCs w:val="20"/>
    </w:rPr>
  </w:style>
  <w:style w:type="paragraph" w:styleId="17">
    <w:name w:val="toc 3"/>
    <w:basedOn w:val="1"/>
    <w:next w:val="1"/>
    <w:unhideWhenUsed/>
    <w:qFormat/>
    <w:uiPriority w:val="39"/>
    <w:pPr>
      <w:widowControl/>
      <w:adjustRightInd/>
      <w:snapToGrid/>
      <w:spacing w:after="100" w:line="259" w:lineRule="auto"/>
      <w:ind w:left="440" w:firstLine="0" w:firstLineChars="0"/>
      <w:jc w:val="left"/>
    </w:pPr>
    <w:rPr>
      <w:rFonts w:cs="Times New Roman" w:asciiTheme="minorHAnsi" w:hAnsiTheme="minorHAnsi" w:eastAsiaTheme="minorEastAsia"/>
      <w:kern w:val="0"/>
      <w:sz w:val="22"/>
    </w:rPr>
  </w:style>
  <w:style w:type="paragraph" w:styleId="18">
    <w:name w:val="Plain Text"/>
    <w:basedOn w:val="1"/>
    <w:link w:val="59"/>
    <w:unhideWhenUsed/>
    <w:qFormat/>
    <w:uiPriority w:val="99"/>
    <w:pPr>
      <w:spacing w:line="360" w:lineRule="auto"/>
      <w:jc w:val="left"/>
    </w:pPr>
    <w:rPr>
      <w:rFonts w:ascii="宋体" w:hAnsi="Courier New" w:cs="Times New Roman"/>
      <w:spacing w:val="20"/>
      <w:kern w:val="0"/>
      <w:szCs w:val="20"/>
    </w:rPr>
  </w:style>
  <w:style w:type="paragraph" w:styleId="19">
    <w:name w:val="Date"/>
    <w:basedOn w:val="1"/>
    <w:next w:val="1"/>
    <w:link w:val="54"/>
    <w:unhideWhenUsed/>
    <w:qFormat/>
    <w:uiPriority w:val="99"/>
    <w:pPr>
      <w:ind w:left="100" w:leftChars="2500"/>
    </w:pPr>
  </w:style>
  <w:style w:type="paragraph" w:styleId="20">
    <w:name w:val="Body Text Indent 2"/>
    <w:basedOn w:val="1"/>
    <w:link w:val="58"/>
    <w:unhideWhenUsed/>
    <w:qFormat/>
    <w:uiPriority w:val="0"/>
    <w:pPr>
      <w:spacing w:after="120" w:line="480" w:lineRule="auto"/>
      <w:ind w:left="420" w:leftChars="200"/>
    </w:pPr>
    <w:rPr>
      <w:rFonts w:cs="Times New Roman"/>
      <w:sz w:val="24"/>
      <w:szCs w:val="24"/>
    </w:rPr>
  </w:style>
  <w:style w:type="paragraph" w:styleId="21">
    <w:name w:val="Balloon Text"/>
    <w:basedOn w:val="1"/>
    <w:link w:val="52"/>
    <w:semiHidden/>
    <w:unhideWhenUsed/>
    <w:qFormat/>
    <w:uiPriority w:val="99"/>
    <w:rPr>
      <w:sz w:val="18"/>
      <w:szCs w:val="18"/>
    </w:rPr>
  </w:style>
  <w:style w:type="paragraph" w:styleId="22">
    <w:name w:val="footer"/>
    <w:basedOn w:val="1"/>
    <w:link w:val="51"/>
    <w:unhideWhenUsed/>
    <w:qFormat/>
    <w:uiPriority w:val="99"/>
    <w:pPr>
      <w:tabs>
        <w:tab w:val="center" w:pos="4153"/>
        <w:tab w:val="right" w:pos="8306"/>
      </w:tabs>
      <w:jc w:val="left"/>
    </w:pPr>
    <w:rPr>
      <w:sz w:val="18"/>
      <w:szCs w:val="18"/>
    </w:rPr>
  </w:style>
  <w:style w:type="paragraph" w:styleId="23">
    <w:name w:val="header"/>
    <w:basedOn w:val="1"/>
    <w:link w:val="50"/>
    <w:unhideWhenUsed/>
    <w:qFormat/>
    <w:uiPriority w:val="99"/>
    <w:pPr>
      <w:pBdr>
        <w:bottom w:val="single" w:color="auto" w:sz="6" w:space="1"/>
      </w:pBdr>
      <w:tabs>
        <w:tab w:val="center" w:pos="4153"/>
        <w:tab w:val="right" w:pos="8306"/>
      </w:tabs>
      <w:jc w:val="center"/>
    </w:pPr>
    <w:rPr>
      <w:sz w:val="18"/>
      <w:szCs w:val="18"/>
    </w:rPr>
  </w:style>
  <w:style w:type="paragraph" w:styleId="24">
    <w:name w:val="toc 1"/>
    <w:basedOn w:val="1"/>
    <w:next w:val="1"/>
    <w:unhideWhenUsed/>
    <w:qFormat/>
    <w:uiPriority w:val="39"/>
    <w:pPr>
      <w:widowControl/>
      <w:adjustRightInd/>
      <w:snapToGrid/>
      <w:spacing w:after="100" w:line="259" w:lineRule="auto"/>
      <w:ind w:firstLine="0" w:firstLineChars="0"/>
      <w:jc w:val="left"/>
    </w:pPr>
    <w:rPr>
      <w:rFonts w:cs="Times New Roman" w:asciiTheme="minorHAnsi" w:hAnsiTheme="minorHAnsi" w:eastAsiaTheme="minorEastAsia"/>
      <w:kern w:val="0"/>
      <w:sz w:val="22"/>
    </w:rPr>
  </w:style>
  <w:style w:type="paragraph" w:styleId="25">
    <w:name w:val="Subtitle"/>
    <w:basedOn w:val="1"/>
    <w:next w:val="1"/>
    <w:link w:val="128"/>
    <w:qFormat/>
    <w:uiPriority w:val="0"/>
    <w:pPr>
      <w:adjustRightInd/>
      <w:snapToGrid/>
      <w:spacing w:before="240" w:after="60" w:line="312" w:lineRule="auto"/>
      <w:ind w:firstLine="0" w:firstLineChars="0"/>
      <w:jc w:val="center"/>
      <w:outlineLvl w:val="1"/>
    </w:pPr>
    <w:rPr>
      <w:rFonts w:ascii="Cambria" w:hAnsi="Cambria" w:cs="Times New Roman"/>
      <w:b/>
      <w:bCs/>
      <w:kern w:val="28"/>
      <w:sz w:val="32"/>
      <w:szCs w:val="32"/>
    </w:rPr>
  </w:style>
  <w:style w:type="paragraph" w:styleId="26">
    <w:name w:val="Body Text Indent 3"/>
    <w:basedOn w:val="1"/>
    <w:link w:val="84"/>
    <w:qFormat/>
    <w:uiPriority w:val="0"/>
    <w:pPr>
      <w:spacing w:line="400" w:lineRule="exact"/>
      <w:ind w:firstLine="480"/>
    </w:pPr>
    <w:rPr>
      <w:rFonts w:cs="Times New Roman"/>
      <w:sz w:val="24"/>
      <w:szCs w:val="24"/>
    </w:rPr>
  </w:style>
  <w:style w:type="paragraph" w:styleId="27">
    <w:name w:val="toc 2"/>
    <w:basedOn w:val="1"/>
    <w:next w:val="1"/>
    <w:unhideWhenUsed/>
    <w:qFormat/>
    <w:uiPriority w:val="39"/>
    <w:pPr>
      <w:widowControl/>
      <w:adjustRightInd/>
      <w:snapToGrid/>
      <w:spacing w:after="100" w:line="259" w:lineRule="auto"/>
      <w:ind w:left="220" w:firstLine="0" w:firstLineChars="0"/>
      <w:jc w:val="left"/>
    </w:pPr>
    <w:rPr>
      <w:rFonts w:cs="Times New Roman" w:asciiTheme="minorHAnsi" w:hAnsiTheme="minorHAnsi" w:eastAsiaTheme="minorEastAsia"/>
      <w:kern w:val="0"/>
      <w:sz w:val="22"/>
    </w:rPr>
  </w:style>
  <w:style w:type="paragraph" w:styleId="28">
    <w:name w:val="Body Text 2"/>
    <w:basedOn w:val="1"/>
    <w:link w:val="88"/>
    <w:qFormat/>
    <w:uiPriority w:val="0"/>
    <w:rPr>
      <w:rFonts w:cs="Times New Roman"/>
      <w:snapToGrid w:val="0"/>
      <w:kern w:val="0"/>
      <w:sz w:val="18"/>
      <w:szCs w:val="20"/>
    </w:rPr>
  </w:style>
  <w:style w:type="paragraph" w:styleId="29">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30">
    <w:name w:val="index 1"/>
    <w:basedOn w:val="1"/>
    <w:next w:val="1"/>
    <w:semiHidden/>
    <w:qFormat/>
    <w:uiPriority w:val="0"/>
    <w:pPr>
      <w:spacing w:line="360" w:lineRule="atLeast"/>
      <w:jc w:val="left"/>
      <w:textAlignment w:val="baseline"/>
    </w:pPr>
    <w:rPr>
      <w:rFonts w:cs="Times New Roman"/>
      <w:kern w:val="0"/>
      <w:sz w:val="24"/>
      <w:szCs w:val="20"/>
    </w:rPr>
  </w:style>
  <w:style w:type="paragraph" w:styleId="31">
    <w:name w:val="annotation subject"/>
    <w:basedOn w:val="13"/>
    <w:next w:val="13"/>
    <w:link w:val="57"/>
    <w:semiHidden/>
    <w:unhideWhenUsed/>
    <w:qFormat/>
    <w:uiPriority w:val="99"/>
    <w:rPr>
      <w:b/>
      <w:bCs/>
    </w:r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basedOn w:val="34"/>
    <w:semiHidden/>
    <w:unhideWhenUsed/>
    <w:qFormat/>
    <w:uiPriority w:val="99"/>
    <w:rPr>
      <w:color w:val="800080" w:themeColor="followedHyperlink"/>
      <w:u w:val="single"/>
      <w14:textFill>
        <w14:solidFill>
          <w14:schemeClr w14:val="folHlink"/>
        </w14:solidFill>
      </w14:textFill>
    </w:rPr>
  </w:style>
  <w:style w:type="character" w:styleId="38">
    <w:name w:val="Emphasis"/>
    <w:qFormat/>
    <w:uiPriority w:val="0"/>
    <w:rPr>
      <w:i/>
    </w:rPr>
  </w:style>
  <w:style w:type="character" w:styleId="39">
    <w:name w:val="Hyperlink"/>
    <w:qFormat/>
    <w:uiPriority w:val="99"/>
    <w:rPr>
      <w:color w:val="0000FF"/>
      <w:u w:val="single"/>
    </w:rPr>
  </w:style>
  <w:style w:type="character" w:styleId="40">
    <w:name w:val="annotation reference"/>
    <w:basedOn w:val="34"/>
    <w:semiHidden/>
    <w:unhideWhenUsed/>
    <w:qFormat/>
    <w:uiPriority w:val="99"/>
    <w:rPr>
      <w:sz w:val="21"/>
      <w:szCs w:val="21"/>
    </w:rPr>
  </w:style>
  <w:style w:type="character" w:customStyle="1" w:styleId="41">
    <w:name w:val="标题 1 字符"/>
    <w:basedOn w:val="34"/>
    <w:link w:val="2"/>
    <w:qFormat/>
    <w:uiPriority w:val="0"/>
    <w:rPr>
      <w:rFonts w:ascii="Times New Roman" w:hAnsi="Times New Roman" w:eastAsia="宋体" w:cs="Times New Roman"/>
      <w:b/>
      <w:kern w:val="44"/>
      <w:sz w:val="30"/>
      <w:lang w:val="zh-CN"/>
    </w:rPr>
  </w:style>
  <w:style w:type="character" w:customStyle="1" w:styleId="42">
    <w:name w:val="标题 2 字符"/>
    <w:basedOn w:val="34"/>
    <w:link w:val="3"/>
    <w:qFormat/>
    <w:uiPriority w:val="0"/>
    <w:rPr>
      <w:rFonts w:ascii="Arial" w:hAnsi="Arial" w:eastAsia="宋体" w:cs="Times New Roman"/>
      <w:b/>
      <w:bCs/>
      <w:kern w:val="2"/>
      <w:sz w:val="24"/>
      <w:szCs w:val="32"/>
      <w:lang w:val="zh-CN"/>
    </w:rPr>
  </w:style>
  <w:style w:type="character" w:customStyle="1" w:styleId="43">
    <w:name w:val="标题 3 字符"/>
    <w:basedOn w:val="34"/>
    <w:link w:val="4"/>
    <w:qFormat/>
    <w:uiPriority w:val="0"/>
    <w:rPr>
      <w:rFonts w:ascii="Times New Roman" w:hAnsi="Times New Roman" w:eastAsia="宋体" w:cs="Times New Roman"/>
      <w:b/>
      <w:sz w:val="30"/>
    </w:rPr>
  </w:style>
  <w:style w:type="character" w:customStyle="1" w:styleId="44">
    <w:name w:val="标题 4 字符"/>
    <w:basedOn w:val="34"/>
    <w:link w:val="5"/>
    <w:qFormat/>
    <w:uiPriority w:val="0"/>
    <w:rPr>
      <w:rFonts w:ascii="Arial" w:hAnsi="Arial" w:eastAsia="黑体" w:cs="Times New Roman"/>
      <w:b/>
      <w:kern w:val="0"/>
      <w:sz w:val="28"/>
      <w:szCs w:val="20"/>
    </w:rPr>
  </w:style>
  <w:style w:type="character" w:customStyle="1" w:styleId="45">
    <w:name w:val="标题 5 字符"/>
    <w:basedOn w:val="34"/>
    <w:link w:val="6"/>
    <w:qFormat/>
    <w:uiPriority w:val="0"/>
    <w:rPr>
      <w:rFonts w:ascii="Times New Roman" w:hAnsi="Times New Roman" w:eastAsia="楷体" w:cs="Times New Roman"/>
      <w:b/>
      <w:kern w:val="0"/>
      <w:sz w:val="28"/>
      <w:szCs w:val="20"/>
    </w:rPr>
  </w:style>
  <w:style w:type="character" w:customStyle="1" w:styleId="46">
    <w:name w:val="标题 6 字符"/>
    <w:basedOn w:val="34"/>
    <w:link w:val="7"/>
    <w:qFormat/>
    <w:uiPriority w:val="0"/>
    <w:rPr>
      <w:rFonts w:ascii="Arial" w:hAnsi="Arial" w:eastAsia="黑体" w:cs="Times New Roman"/>
      <w:b/>
      <w:kern w:val="0"/>
      <w:sz w:val="24"/>
      <w:szCs w:val="20"/>
    </w:rPr>
  </w:style>
  <w:style w:type="character" w:customStyle="1" w:styleId="47">
    <w:name w:val="标题 7 字符"/>
    <w:basedOn w:val="34"/>
    <w:link w:val="8"/>
    <w:qFormat/>
    <w:uiPriority w:val="0"/>
    <w:rPr>
      <w:rFonts w:ascii="Times New Roman" w:hAnsi="Times New Roman" w:eastAsia="楷体" w:cs="Times New Roman"/>
      <w:b/>
      <w:kern w:val="0"/>
      <w:sz w:val="24"/>
      <w:szCs w:val="20"/>
    </w:rPr>
  </w:style>
  <w:style w:type="character" w:customStyle="1" w:styleId="48">
    <w:name w:val="标题 8 字符"/>
    <w:basedOn w:val="34"/>
    <w:link w:val="9"/>
    <w:qFormat/>
    <w:uiPriority w:val="0"/>
    <w:rPr>
      <w:rFonts w:ascii="Arial" w:hAnsi="Arial" w:eastAsia="黑体" w:cs="Times New Roman"/>
      <w:kern w:val="0"/>
      <w:sz w:val="24"/>
      <w:szCs w:val="20"/>
    </w:rPr>
  </w:style>
  <w:style w:type="character" w:customStyle="1" w:styleId="49">
    <w:name w:val="标题 9 字符"/>
    <w:basedOn w:val="34"/>
    <w:link w:val="10"/>
    <w:qFormat/>
    <w:uiPriority w:val="0"/>
    <w:rPr>
      <w:rFonts w:ascii="Arial" w:hAnsi="Arial" w:eastAsia="黑体" w:cs="Times New Roman"/>
      <w:kern w:val="0"/>
      <w:sz w:val="24"/>
      <w:szCs w:val="20"/>
    </w:rPr>
  </w:style>
  <w:style w:type="character" w:customStyle="1" w:styleId="50">
    <w:name w:val="页眉 字符"/>
    <w:basedOn w:val="34"/>
    <w:link w:val="23"/>
    <w:qFormat/>
    <w:uiPriority w:val="99"/>
    <w:rPr>
      <w:sz w:val="18"/>
      <w:szCs w:val="18"/>
    </w:rPr>
  </w:style>
  <w:style w:type="character" w:customStyle="1" w:styleId="51">
    <w:name w:val="页脚 字符"/>
    <w:basedOn w:val="34"/>
    <w:link w:val="22"/>
    <w:qFormat/>
    <w:uiPriority w:val="99"/>
    <w:rPr>
      <w:sz w:val="18"/>
      <w:szCs w:val="18"/>
    </w:rPr>
  </w:style>
  <w:style w:type="character" w:customStyle="1" w:styleId="52">
    <w:name w:val="批注框文本 字符"/>
    <w:basedOn w:val="34"/>
    <w:link w:val="21"/>
    <w:semiHidden/>
    <w:qFormat/>
    <w:uiPriority w:val="99"/>
    <w:rPr>
      <w:sz w:val="18"/>
      <w:szCs w:val="18"/>
    </w:rPr>
  </w:style>
  <w:style w:type="paragraph" w:styleId="53">
    <w:name w:val="List Paragraph"/>
    <w:basedOn w:val="1"/>
    <w:qFormat/>
    <w:uiPriority w:val="34"/>
    <w:pPr>
      <w:ind w:firstLine="420"/>
    </w:pPr>
  </w:style>
  <w:style w:type="character" w:customStyle="1" w:styleId="54">
    <w:name w:val="日期 字符"/>
    <w:basedOn w:val="34"/>
    <w:link w:val="19"/>
    <w:semiHidden/>
    <w:qFormat/>
    <w:uiPriority w:val="99"/>
  </w:style>
  <w:style w:type="paragraph" w:customStyle="1" w:styleId="55">
    <w:name w:val="msonormal"/>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56">
    <w:name w:val="批注文字 字符"/>
    <w:basedOn w:val="34"/>
    <w:link w:val="13"/>
    <w:semiHidden/>
    <w:qFormat/>
    <w:uiPriority w:val="99"/>
  </w:style>
  <w:style w:type="character" w:customStyle="1" w:styleId="57">
    <w:name w:val="批注主题 字符"/>
    <w:basedOn w:val="56"/>
    <w:link w:val="31"/>
    <w:semiHidden/>
    <w:qFormat/>
    <w:uiPriority w:val="99"/>
    <w:rPr>
      <w:b/>
      <w:bCs/>
    </w:rPr>
  </w:style>
  <w:style w:type="character" w:customStyle="1" w:styleId="58">
    <w:name w:val="正文文本缩进 2 字符"/>
    <w:basedOn w:val="34"/>
    <w:link w:val="20"/>
    <w:semiHidden/>
    <w:qFormat/>
    <w:uiPriority w:val="0"/>
    <w:rPr>
      <w:rFonts w:ascii="Times New Roman" w:hAnsi="Times New Roman" w:eastAsia="宋体" w:cs="Times New Roman"/>
      <w:sz w:val="24"/>
      <w:szCs w:val="24"/>
    </w:rPr>
  </w:style>
  <w:style w:type="character" w:customStyle="1" w:styleId="59">
    <w:name w:val="纯文本 字符"/>
    <w:basedOn w:val="34"/>
    <w:link w:val="18"/>
    <w:qFormat/>
    <w:uiPriority w:val="99"/>
    <w:rPr>
      <w:rFonts w:ascii="宋体" w:hAnsi="Courier New" w:eastAsia="宋体" w:cs="Times New Roman"/>
      <w:spacing w:val="20"/>
      <w:kern w:val="0"/>
      <w:szCs w:val="20"/>
    </w:rPr>
  </w:style>
  <w:style w:type="paragraph" w:customStyle="1" w:styleId="60">
    <w:name w:val="列表段落1"/>
    <w:basedOn w:val="1"/>
    <w:qFormat/>
    <w:uiPriority w:val="0"/>
    <w:pPr>
      <w:ind w:firstLine="420"/>
    </w:pPr>
    <w:rPr>
      <w:rFonts w:cs="Times New Roman"/>
      <w:szCs w:val="20"/>
    </w:rPr>
  </w:style>
  <w:style w:type="paragraph" w:customStyle="1" w:styleId="61">
    <w:name w:val="_Style 1"/>
    <w:basedOn w:val="1"/>
    <w:qFormat/>
    <w:uiPriority w:val="0"/>
    <w:pPr>
      <w:ind w:firstLine="420"/>
    </w:pPr>
    <w:rPr>
      <w:rFonts w:cs="Times New Roman"/>
      <w:szCs w:val="20"/>
    </w:rPr>
  </w:style>
  <w:style w:type="paragraph" w:customStyle="1" w:styleId="62">
    <w:name w:val="一般条文"/>
    <w:basedOn w:val="1"/>
    <w:qFormat/>
    <w:uiPriority w:val="0"/>
    <w:rPr>
      <w:rFonts w:cs="Times New Roman"/>
      <w:szCs w:val="20"/>
    </w:rPr>
  </w:style>
  <w:style w:type="paragraph" w:customStyle="1" w:styleId="63">
    <w:name w:val="_Style 0"/>
    <w:qFormat/>
    <w:uiPriority w:val="0"/>
    <w:pPr>
      <w:ind w:firstLine="420" w:firstLineChars="200"/>
    </w:pPr>
    <w:rPr>
      <w:rFonts w:ascii="Times New Roman" w:hAnsi="Times New Roman" w:eastAsia="宋体" w:cs="Times New Roman"/>
      <w:kern w:val="2"/>
      <w:sz w:val="21"/>
      <w:szCs w:val="24"/>
      <w:lang w:val="en-US" w:eastAsia="zh-CN" w:bidi="ar-SA"/>
    </w:rPr>
  </w:style>
  <w:style w:type="paragraph" w:customStyle="1" w:styleId="64">
    <w:name w:val="Char Char Char Char Char Char Char"/>
    <w:basedOn w:val="1"/>
    <w:qFormat/>
    <w:uiPriority w:val="0"/>
    <w:pPr>
      <w:widowControl/>
      <w:topLinePunct/>
      <w:spacing w:after="160" w:line="240" w:lineRule="exact"/>
      <w:jc w:val="left"/>
    </w:pPr>
    <w:rPr>
      <w:rFonts w:cs="Times New Roman"/>
      <w:szCs w:val="24"/>
    </w:rPr>
  </w:style>
  <w:style w:type="paragraph" w:customStyle="1" w:styleId="65">
    <w:name w:val="Default"/>
    <w:qFormat/>
    <w:uiPriority w:val="99"/>
    <w:pPr>
      <w:widowControl w:val="0"/>
      <w:autoSpaceDE w:val="0"/>
      <w:autoSpaceDN w:val="0"/>
    </w:pPr>
    <w:rPr>
      <w:rFonts w:ascii="宋体" w:hAnsi="宋体" w:eastAsia="宋体" w:cs="Times New Roman"/>
      <w:color w:val="000000"/>
      <w:sz w:val="24"/>
      <w:lang w:val="en-US" w:eastAsia="zh-CN" w:bidi="ar-SA"/>
    </w:rPr>
  </w:style>
  <w:style w:type="paragraph" w:customStyle="1" w:styleId="66">
    <w:name w:val="_Style 2"/>
    <w:qFormat/>
    <w:uiPriority w:val="0"/>
    <w:pPr>
      <w:ind w:firstLine="420" w:firstLineChars="200"/>
    </w:pPr>
    <w:rPr>
      <w:rFonts w:ascii="Times New Roman" w:hAnsi="Times New Roman" w:eastAsia="宋体" w:cs="Times New Roman"/>
      <w:kern w:val="2"/>
      <w:sz w:val="21"/>
      <w:szCs w:val="24"/>
      <w:lang w:val="en-US" w:eastAsia="zh-CN" w:bidi="ar-SA"/>
    </w:rPr>
  </w:style>
  <w:style w:type="paragraph" w:customStyle="1" w:styleId="67">
    <w:name w:val="首行缩进 正文"/>
    <w:basedOn w:val="1"/>
    <w:qFormat/>
    <w:uiPriority w:val="0"/>
    <w:pPr>
      <w:ind w:firstLine="420"/>
    </w:pPr>
    <w:rPr>
      <w:rFonts w:cs="Times New Roman"/>
      <w:szCs w:val="20"/>
    </w:rPr>
  </w:style>
  <w:style w:type="paragraph" w:customStyle="1" w:styleId="68">
    <w:name w:val="列出段落1"/>
    <w:basedOn w:val="1"/>
    <w:qFormat/>
    <w:uiPriority w:val="0"/>
    <w:pPr>
      <w:ind w:firstLine="420"/>
    </w:pPr>
    <w:rPr>
      <w:rFonts w:cs="Times New Roman"/>
      <w:szCs w:val="24"/>
    </w:rPr>
  </w:style>
  <w:style w:type="paragraph" w:customStyle="1" w:styleId="69">
    <w:name w:val="CM82"/>
    <w:basedOn w:val="1"/>
    <w:next w:val="1"/>
    <w:qFormat/>
    <w:uiPriority w:val="0"/>
    <w:pPr>
      <w:autoSpaceDE w:val="0"/>
      <w:autoSpaceDN w:val="0"/>
      <w:spacing w:line="326" w:lineRule="atLeast"/>
      <w:jc w:val="left"/>
    </w:pPr>
    <w:rPr>
      <w:rFonts w:cs="Times New Roman"/>
      <w:kern w:val="0"/>
      <w:sz w:val="24"/>
      <w:szCs w:val="20"/>
    </w:rPr>
  </w:style>
  <w:style w:type="paragraph" w:customStyle="1" w:styleId="70">
    <w:name w:val="表名"/>
    <w:basedOn w:val="67"/>
    <w:next w:val="67"/>
    <w:qFormat/>
    <w:uiPriority w:val="0"/>
    <w:pPr>
      <w:ind w:firstLine="0" w:firstLineChars="0"/>
      <w:jc w:val="center"/>
    </w:pPr>
    <w:rPr>
      <w:rFonts w:ascii="宋体" w:hAnsi="宋体"/>
    </w:rPr>
  </w:style>
  <w:style w:type="paragraph" w:customStyle="1" w:styleId="71">
    <w:name w:val="节"/>
    <w:basedOn w:val="1"/>
    <w:qFormat/>
    <w:uiPriority w:val="0"/>
    <w:pPr>
      <w:spacing w:before="312" w:beforeLines="100" w:after="312" w:afterLines="100" w:line="300" w:lineRule="auto"/>
      <w:jc w:val="center"/>
      <w:outlineLvl w:val="1"/>
    </w:pPr>
    <w:rPr>
      <w:rFonts w:cs="Times New Roman"/>
      <w:b/>
      <w:bCs/>
      <w:sz w:val="24"/>
      <w:szCs w:val="24"/>
    </w:rPr>
  </w:style>
  <w:style w:type="character" w:customStyle="1" w:styleId="72">
    <w:name w:val="章 Char"/>
    <w:link w:val="73"/>
    <w:qFormat/>
    <w:uiPriority w:val="0"/>
    <w:rPr>
      <w:b/>
      <w:bCs/>
      <w:sz w:val="28"/>
      <w:szCs w:val="28"/>
    </w:rPr>
  </w:style>
  <w:style w:type="paragraph" w:customStyle="1" w:styleId="73">
    <w:name w:val="章"/>
    <w:basedOn w:val="1"/>
    <w:link w:val="72"/>
    <w:qFormat/>
    <w:uiPriority w:val="0"/>
    <w:pPr>
      <w:spacing w:before="312" w:beforeLines="100" w:after="312" w:afterLines="100" w:line="300" w:lineRule="auto"/>
      <w:jc w:val="center"/>
      <w:outlineLvl w:val="0"/>
    </w:pPr>
    <w:rPr>
      <w:b/>
      <w:bCs/>
      <w:sz w:val="28"/>
      <w:szCs w:val="28"/>
    </w:rPr>
  </w:style>
  <w:style w:type="paragraph" w:customStyle="1" w:styleId="74">
    <w:name w:val="zbf-正文"/>
    <w:basedOn w:val="1"/>
    <w:link w:val="75"/>
    <w:qFormat/>
    <w:uiPriority w:val="0"/>
    <w:rPr>
      <w:rFonts w:cs="宋体"/>
      <w:szCs w:val="21"/>
    </w:rPr>
  </w:style>
  <w:style w:type="character" w:customStyle="1" w:styleId="75">
    <w:name w:val="zbf-正文 Char"/>
    <w:link w:val="74"/>
    <w:qFormat/>
    <w:uiPriority w:val="0"/>
    <w:rPr>
      <w:rFonts w:ascii="Times New Roman" w:hAnsi="Times New Roman" w:eastAsia="宋体" w:cs="宋体"/>
      <w:szCs w:val="21"/>
    </w:rPr>
  </w:style>
  <w:style w:type="character" w:customStyle="1" w:styleId="76">
    <w:name w:val="fontstyle01"/>
    <w:basedOn w:val="34"/>
    <w:qFormat/>
    <w:uiPriority w:val="0"/>
    <w:rPr>
      <w:rFonts w:hint="eastAsia" w:ascii="宋体" w:hAnsi="宋体" w:eastAsia="宋体"/>
      <w:color w:val="000000"/>
      <w:sz w:val="24"/>
      <w:szCs w:val="24"/>
    </w:rPr>
  </w:style>
  <w:style w:type="character" w:customStyle="1" w:styleId="77">
    <w:name w:val="fontstyle31"/>
    <w:basedOn w:val="34"/>
    <w:qFormat/>
    <w:uiPriority w:val="0"/>
    <w:rPr>
      <w:rFonts w:hint="default" w:ascii="TimesNewRomanPSMT" w:hAnsi="TimesNewRomanPSMT"/>
      <w:color w:val="000000"/>
      <w:sz w:val="24"/>
      <w:szCs w:val="24"/>
    </w:rPr>
  </w:style>
  <w:style w:type="character" w:customStyle="1" w:styleId="78">
    <w:name w:val="别的文献来的 Char"/>
    <w:basedOn w:val="34"/>
    <w:link w:val="79"/>
    <w:qFormat/>
    <w:locked/>
    <w:uiPriority w:val="0"/>
    <w:rPr>
      <w:rFonts w:eastAsia="宋体" w:asciiTheme="minorEastAsia" w:hAnsiTheme="minorEastAsia" w:cstheme="minorEastAsia"/>
      <w:szCs w:val="21"/>
    </w:rPr>
  </w:style>
  <w:style w:type="paragraph" w:customStyle="1" w:styleId="79">
    <w:name w:val="别的文献来的"/>
    <w:basedOn w:val="1"/>
    <w:link w:val="78"/>
    <w:qFormat/>
    <w:uiPriority w:val="0"/>
    <w:pPr>
      <w:ind w:firstLine="560"/>
    </w:pPr>
    <w:rPr>
      <w:rFonts w:asciiTheme="minorEastAsia" w:hAnsiTheme="minorEastAsia" w:cstheme="minorEastAsia"/>
      <w:szCs w:val="21"/>
    </w:rPr>
  </w:style>
  <w:style w:type="table" w:customStyle="1" w:styleId="80">
    <w:name w:val="网格型1"/>
    <w:basedOn w:val="32"/>
    <w:qFormat/>
    <w:uiPriority w:val="3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1">
    <w:name w:val="文档结构图 字符"/>
    <w:basedOn w:val="34"/>
    <w:link w:val="12"/>
    <w:semiHidden/>
    <w:qFormat/>
    <w:uiPriority w:val="99"/>
    <w:rPr>
      <w:rFonts w:ascii="宋体" w:hAnsi="Calibri" w:eastAsia="宋体" w:cs="Times New Roman"/>
      <w:sz w:val="18"/>
      <w:szCs w:val="18"/>
      <w:lang w:val="zh-CN" w:eastAsia="zh-CN"/>
    </w:rPr>
  </w:style>
  <w:style w:type="paragraph" w:customStyle="1" w:styleId="82">
    <w:name w:val="论文正文"/>
    <w:basedOn w:val="1"/>
    <w:link w:val="83"/>
    <w:qFormat/>
    <w:uiPriority w:val="0"/>
    <w:pPr>
      <w:spacing w:line="400" w:lineRule="exact"/>
      <w:textAlignment w:val="baseline"/>
    </w:pPr>
    <w:rPr>
      <w:rFonts w:cs="Times New Roman"/>
      <w:color w:val="000000"/>
      <w:kern w:val="0"/>
      <w:sz w:val="24"/>
      <w:szCs w:val="20"/>
      <w:lang w:val="zh-CN"/>
    </w:rPr>
  </w:style>
  <w:style w:type="character" w:customStyle="1" w:styleId="83">
    <w:name w:val="论文正文 Char"/>
    <w:link w:val="82"/>
    <w:qFormat/>
    <w:uiPriority w:val="0"/>
    <w:rPr>
      <w:rFonts w:ascii="Times New Roman" w:hAnsi="Times New Roman" w:eastAsia="宋体" w:cs="Times New Roman"/>
      <w:color w:val="000000"/>
      <w:kern w:val="0"/>
      <w:sz w:val="24"/>
      <w:szCs w:val="20"/>
      <w:lang w:val="zh-CN" w:eastAsia="zh-CN"/>
    </w:rPr>
  </w:style>
  <w:style w:type="character" w:customStyle="1" w:styleId="84">
    <w:name w:val="正文文本缩进 3 字符"/>
    <w:basedOn w:val="34"/>
    <w:link w:val="26"/>
    <w:qFormat/>
    <w:uiPriority w:val="0"/>
    <w:rPr>
      <w:rFonts w:ascii="Times New Roman" w:hAnsi="Times New Roman" w:eastAsia="宋体" w:cs="Times New Roman"/>
      <w:sz w:val="24"/>
      <w:szCs w:val="24"/>
    </w:rPr>
  </w:style>
  <w:style w:type="character" w:customStyle="1" w:styleId="85">
    <w:name w:val="正文文本缩进 字符"/>
    <w:basedOn w:val="34"/>
    <w:link w:val="16"/>
    <w:qFormat/>
    <w:uiPriority w:val="0"/>
    <w:rPr>
      <w:rFonts w:ascii="Calibri" w:hAnsi="Calibri" w:eastAsia="宋体" w:cs="Times New Roman"/>
      <w:snapToGrid w:val="0"/>
      <w:kern w:val="0"/>
      <w:szCs w:val="20"/>
    </w:rPr>
  </w:style>
  <w:style w:type="character" w:customStyle="1" w:styleId="86">
    <w:name w:val="正文文本 字符"/>
    <w:basedOn w:val="34"/>
    <w:link w:val="15"/>
    <w:qFormat/>
    <w:uiPriority w:val="0"/>
    <w:rPr>
      <w:rFonts w:ascii="Times New Roman" w:hAnsi="Times New Roman" w:eastAsia="宋体" w:cs="Times New Roman"/>
      <w:kern w:val="0"/>
      <w:szCs w:val="20"/>
    </w:rPr>
  </w:style>
  <w:style w:type="character" w:customStyle="1" w:styleId="87">
    <w:name w:val="正文文本 3 字符"/>
    <w:basedOn w:val="34"/>
    <w:link w:val="14"/>
    <w:qFormat/>
    <w:uiPriority w:val="0"/>
    <w:rPr>
      <w:rFonts w:ascii="Times New Roman" w:hAnsi="Times New Roman" w:eastAsia="宋体" w:cs="Times New Roman"/>
      <w:sz w:val="28"/>
      <w:szCs w:val="20"/>
    </w:rPr>
  </w:style>
  <w:style w:type="character" w:customStyle="1" w:styleId="88">
    <w:name w:val="正文文本 2 字符"/>
    <w:basedOn w:val="34"/>
    <w:link w:val="28"/>
    <w:qFormat/>
    <w:uiPriority w:val="0"/>
    <w:rPr>
      <w:rFonts w:ascii="Times New Roman" w:hAnsi="Times New Roman" w:eastAsia="宋体" w:cs="Times New Roman"/>
      <w:snapToGrid w:val="0"/>
      <w:kern w:val="0"/>
      <w:sz w:val="18"/>
      <w:szCs w:val="20"/>
    </w:rPr>
  </w:style>
  <w:style w:type="paragraph" w:customStyle="1" w:styleId="89">
    <w:name w:val="样式 首行缩进:  0.74 厘米"/>
    <w:basedOn w:val="1"/>
    <w:qFormat/>
    <w:uiPriority w:val="0"/>
    <w:pPr>
      <w:ind w:firstLine="150" w:firstLineChars="150"/>
    </w:pPr>
    <w:rPr>
      <w:rFonts w:cs="宋体"/>
      <w:szCs w:val="20"/>
    </w:rPr>
  </w:style>
  <w:style w:type="paragraph" w:customStyle="1" w:styleId="90">
    <w:name w:val="样式 样式 样式 样式 样式 行距: 多倍行距 1.2 字行 左  3 字符 + 左侧:  3 字符 + 左侧:  3 字符 首..."/>
    <w:basedOn w:val="1"/>
    <w:qFormat/>
    <w:uiPriority w:val="0"/>
    <w:pPr>
      <w:spacing w:line="288" w:lineRule="auto"/>
      <w:ind w:left="500" w:leftChars="300" w:hanging="200" w:hangingChars="200"/>
    </w:pPr>
    <w:rPr>
      <w:rFonts w:cs="宋体"/>
      <w:szCs w:val="20"/>
    </w:rPr>
  </w:style>
  <w:style w:type="character" w:customStyle="1" w:styleId="91">
    <w:name w:val="16"/>
    <w:qFormat/>
    <w:uiPriority w:val="0"/>
    <w:rPr>
      <w:rFonts w:hint="eastAsia" w:ascii="黑体" w:hAnsi="宋体" w:eastAsia="黑体"/>
      <w:b/>
      <w:bCs/>
      <w:color w:val="000000"/>
      <w:kern w:val="2"/>
      <w:sz w:val="21"/>
      <w:szCs w:val="21"/>
    </w:rPr>
  </w:style>
  <w:style w:type="character" w:customStyle="1" w:styleId="92">
    <w:name w:val="标准正文 Char"/>
    <w:link w:val="93"/>
    <w:qFormat/>
    <w:uiPriority w:val="99"/>
    <w:rPr>
      <w:rFonts w:ascii="宋体" w:hAnsi="宋体" w:eastAsia="宋体"/>
      <w:color w:val="000000"/>
      <w:szCs w:val="21"/>
    </w:rPr>
  </w:style>
  <w:style w:type="paragraph" w:customStyle="1" w:styleId="93">
    <w:name w:val="标准正文"/>
    <w:basedOn w:val="1"/>
    <w:link w:val="92"/>
    <w:qFormat/>
    <w:uiPriority w:val="99"/>
    <w:pPr>
      <w:spacing w:line="288" w:lineRule="auto"/>
    </w:pPr>
    <w:rPr>
      <w:rFonts w:ascii="宋体" w:hAnsi="宋体"/>
      <w:color w:val="000000"/>
      <w:szCs w:val="21"/>
    </w:rPr>
  </w:style>
  <w:style w:type="character" w:customStyle="1" w:styleId="94">
    <w:name w:val="15"/>
    <w:qFormat/>
    <w:uiPriority w:val="99"/>
    <w:rPr>
      <w:rFonts w:hint="eastAsia" w:ascii="宋体" w:hAnsi="宋体" w:eastAsia="宋体"/>
      <w:color w:val="000000"/>
      <w:kern w:val="2"/>
      <w:sz w:val="21"/>
      <w:szCs w:val="21"/>
    </w:rPr>
  </w:style>
  <w:style w:type="paragraph" w:customStyle="1" w:styleId="95">
    <w:name w:val="图表内容"/>
    <w:basedOn w:val="1"/>
    <w:qFormat/>
    <w:uiPriority w:val="0"/>
    <w:pPr>
      <w:jc w:val="center"/>
    </w:pPr>
    <w:rPr>
      <w:rFonts w:cs="Times New Roman"/>
      <w:kern w:val="0"/>
      <w:sz w:val="15"/>
      <w:szCs w:val="15"/>
    </w:rPr>
  </w:style>
  <w:style w:type="paragraph" w:customStyle="1" w:styleId="96">
    <w:name w:val="表头"/>
    <w:basedOn w:val="1"/>
    <w:qFormat/>
    <w:uiPriority w:val="0"/>
    <w:pPr>
      <w:spacing w:line="360" w:lineRule="auto"/>
      <w:jc w:val="center"/>
    </w:pPr>
    <w:rPr>
      <w:rFonts w:eastAsia="黑体" w:cs="Times New Roman"/>
      <w:kern w:val="0"/>
      <w:sz w:val="18"/>
      <w:szCs w:val="18"/>
    </w:rPr>
  </w:style>
  <w:style w:type="character" w:customStyle="1" w:styleId="97">
    <w:name w:val="条、款的编号 Char"/>
    <w:link w:val="98"/>
    <w:qFormat/>
    <w:uiPriority w:val="0"/>
    <w:rPr>
      <w:rFonts w:ascii="黑体" w:hAnsi="宋体" w:eastAsia="黑体"/>
      <w:b/>
      <w:bCs/>
      <w:color w:val="000000"/>
      <w:szCs w:val="21"/>
    </w:rPr>
  </w:style>
  <w:style w:type="paragraph" w:customStyle="1" w:styleId="98">
    <w:name w:val="条、款的编号"/>
    <w:basedOn w:val="1"/>
    <w:link w:val="97"/>
    <w:qFormat/>
    <w:uiPriority w:val="0"/>
    <w:pPr>
      <w:spacing w:line="288" w:lineRule="auto"/>
    </w:pPr>
    <w:rPr>
      <w:rFonts w:ascii="黑体" w:hAnsi="宋体" w:eastAsia="黑体"/>
      <w:b/>
      <w:bCs/>
      <w:color w:val="000000"/>
      <w:szCs w:val="21"/>
    </w:rPr>
  </w:style>
  <w:style w:type="paragraph" w:customStyle="1" w:styleId="99">
    <w:name w:val="注"/>
    <w:basedOn w:val="1"/>
    <w:link w:val="100"/>
    <w:qFormat/>
    <w:uiPriority w:val="0"/>
    <w:pPr>
      <w:spacing w:beforeLines="50" w:after="100" w:afterAutospacing="1" w:line="288" w:lineRule="auto"/>
    </w:pPr>
    <w:rPr>
      <w:rFonts w:ascii="宋体" w:hAnsi="宋体" w:cs="Times New Roman"/>
      <w:kern w:val="0"/>
      <w:sz w:val="15"/>
      <w:szCs w:val="15"/>
    </w:rPr>
  </w:style>
  <w:style w:type="character" w:customStyle="1" w:styleId="100">
    <w:name w:val="注 Char"/>
    <w:link w:val="99"/>
    <w:qFormat/>
    <w:uiPriority w:val="0"/>
    <w:rPr>
      <w:rFonts w:ascii="宋体" w:hAnsi="宋体" w:eastAsia="宋体" w:cs="Times New Roman"/>
      <w:kern w:val="0"/>
      <w:sz w:val="15"/>
      <w:szCs w:val="15"/>
    </w:rPr>
  </w:style>
  <w:style w:type="paragraph" w:customStyle="1" w:styleId="101">
    <w:name w:val="表题及表序号"/>
    <w:basedOn w:val="1"/>
    <w:qFormat/>
    <w:uiPriority w:val="0"/>
    <w:pPr>
      <w:widowControl/>
      <w:autoSpaceDE w:val="0"/>
      <w:autoSpaceDN w:val="0"/>
      <w:spacing w:line="288" w:lineRule="auto"/>
      <w:ind w:firstLine="180" w:firstLineChars="100"/>
      <w:jc w:val="center"/>
    </w:pPr>
    <w:rPr>
      <w:rFonts w:ascii="黑体" w:eastAsia="黑体" w:cs="Times New Roman"/>
      <w:kern w:val="0"/>
      <w:sz w:val="18"/>
      <w:szCs w:val="18"/>
    </w:rPr>
  </w:style>
  <w:style w:type="paragraph" w:customStyle="1" w:styleId="102">
    <w:name w:val="正文内容"/>
    <w:basedOn w:val="1"/>
    <w:qFormat/>
    <w:uiPriority w:val="99"/>
    <w:pPr>
      <w:spacing w:line="288" w:lineRule="auto"/>
    </w:pPr>
    <w:rPr>
      <w:rFonts w:ascii="宋体" w:hAnsi="宋体" w:cs="Times New Roman"/>
      <w:color w:val="000000"/>
      <w:szCs w:val="21"/>
    </w:rPr>
  </w:style>
  <w:style w:type="paragraph" w:customStyle="1" w:styleId="103">
    <w:name w:val="表格中的文字"/>
    <w:basedOn w:val="1"/>
    <w:qFormat/>
    <w:uiPriority w:val="0"/>
    <w:pPr>
      <w:autoSpaceDE w:val="0"/>
      <w:autoSpaceDN w:val="0"/>
      <w:spacing w:line="288" w:lineRule="auto"/>
      <w:jc w:val="center"/>
    </w:pPr>
    <w:rPr>
      <w:rFonts w:ascii="宋体" w:hAnsi="宋体" w:cs="Times New Roman"/>
      <w:color w:val="000000"/>
      <w:kern w:val="0"/>
      <w:sz w:val="15"/>
      <w:szCs w:val="15"/>
    </w:rPr>
  </w:style>
  <w:style w:type="paragraph" w:customStyle="1" w:styleId="104">
    <w:name w:val="公式文字"/>
    <w:basedOn w:val="1"/>
    <w:link w:val="105"/>
    <w:qFormat/>
    <w:uiPriority w:val="0"/>
    <w:pPr>
      <w:spacing w:line="288" w:lineRule="auto"/>
      <w:jc w:val="right"/>
      <w:textAlignment w:val="center"/>
    </w:pPr>
    <w:rPr>
      <w:rFonts w:cs="Times New Roman"/>
      <w:sz w:val="24"/>
      <w:szCs w:val="24"/>
      <w:lang w:val="zh-CN"/>
    </w:rPr>
  </w:style>
  <w:style w:type="character" w:customStyle="1" w:styleId="105">
    <w:name w:val="公式文字 Char"/>
    <w:link w:val="104"/>
    <w:qFormat/>
    <w:uiPriority w:val="0"/>
    <w:rPr>
      <w:rFonts w:ascii="Times New Roman" w:hAnsi="Times New Roman" w:eastAsia="宋体" w:cs="Times New Roman"/>
      <w:sz w:val="24"/>
      <w:szCs w:val="24"/>
      <w:lang w:val="zh-CN" w:eastAsia="zh-CN"/>
    </w:rPr>
  </w:style>
  <w:style w:type="character" w:styleId="106">
    <w:name w:val="Placeholder Text"/>
    <w:basedOn w:val="34"/>
    <w:semiHidden/>
    <w:qFormat/>
    <w:uiPriority w:val="99"/>
    <w:rPr>
      <w:color w:val="808080"/>
    </w:rPr>
  </w:style>
  <w:style w:type="character" w:customStyle="1" w:styleId="107">
    <w:name w:val="占位符文本1"/>
    <w:basedOn w:val="34"/>
    <w:semiHidden/>
    <w:qFormat/>
    <w:uiPriority w:val="99"/>
    <w:rPr>
      <w:color w:val="808080"/>
    </w:rPr>
  </w:style>
  <w:style w:type="table" w:customStyle="1" w:styleId="108">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9">
    <w:name w:val="文档结构图 字符1"/>
    <w:basedOn w:val="34"/>
    <w:semiHidden/>
    <w:qFormat/>
    <w:uiPriority w:val="99"/>
    <w:rPr>
      <w:rFonts w:hint="eastAsia" w:ascii="Microsoft YaHei UI" w:hAnsi="Microsoft YaHei UI" w:eastAsia="Microsoft YaHei UI"/>
      <w:sz w:val="18"/>
      <w:szCs w:val="18"/>
    </w:rPr>
  </w:style>
  <w:style w:type="character" w:customStyle="1" w:styleId="110">
    <w:name w:val="正文文本缩进 3 字符1"/>
    <w:basedOn w:val="34"/>
    <w:semiHidden/>
    <w:qFormat/>
    <w:uiPriority w:val="99"/>
    <w:rPr>
      <w:sz w:val="16"/>
      <w:szCs w:val="16"/>
    </w:rPr>
  </w:style>
  <w:style w:type="character" w:customStyle="1" w:styleId="111">
    <w:name w:val="正文文本 3 字符1"/>
    <w:basedOn w:val="34"/>
    <w:semiHidden/>
    <w:qFormat/>
    <w:uiPriority w:val="99"/>
    <w:rPr>
      <w:sz w:val="16"/>
      <w:szCs w:val="16"/>
    </w:rPr>
  </w:style>
  <w:style w:type="character" w:customStyle="1" w:styleId="112">
    <w:name w:val="正文文本 2 字符1"/>
    <w:basedOn w:val="34"/>
    <w:semiHidden/>
    <w:qFormat/>
    <w:uiPriority w:val="99"/>
  </w:style>
  <w:style w:type="paragraph" w:customStyle="1" w:styleId="113">
    <w:name w:val="列出段落11"/>
    <w:basedOn w:val="1"/>
    <w:qFormat/>
    <w:uiPriority w:val="0"/>
    <w:pPr>
      <w:adjustRightInd/>
      <w:snapToGrid/>
      <w:ind w:firstLine="420"/>
    </w:pPr>
    <w:rPr>
      <w:rFonts w:cs="Times New Roman"/>
      <w:szCs w:val="24"/>
    </w:rPr>
  </w:style>
  <w:style w:type="paragraph" w:customStyle="1" w:styleId="114">
    <w:name w:val="段"/>
    <w:link w:val="115"/>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2"/>
      <w:szCs w:val="21"/>
      <w:lang w:val="en-US" w:eastAsia="zh-CN" w:bidi="ar-SA"/>
    </w:rPr>
  </w:style>
  <w:style w:type="character" w:customStyle="1" w:styleId="115">
    <w:name w:val="段 Char"/>
    <w:link w:val="114"/>
    <w:qFormat/>
    <w:locked/>
    <w:uiPriority w:val="99"/>
    <w:rPr>
      <w:rFonts w:ascii="宋体" w:hAnsi="Times New Roman" w:eastAsia="宋体" w:cs="Times New Roman"/>
      <w:kern w:val="0"/>
      <w:sz w:val="22"/>
      <w:szCs w:val="21"/>
    </w:rPr>
  </w:style>
  <w:style w:type="paragraph" w:customStyle="1" w:styleId="116">
    <w:name w:val="一级条标题"/>
    <w:next w:val="114"/>
    <w:qFormat/>
    <w:uiPriority w:val="99"/>
    <w:pPr>
      <w:numPr>
        <w:ilvl w:val="1"/>
        <w:numId w:val="2"/>
      </w:numPr>
      <w:spacing w:beforeLines="50" w:afterLines="50"/>
      <w:outlineLvl w:val="2"/>
    </w:pPr>
    <w:rPr>
      <w:rFonts w:ascii="黑体" w:hAnsi="Times New Roman" w:eastAsia="黑体" w:cs="黑体"/>
      <w:sz w:val="21"/>
      <w:szCs w:val="21"/>
      <w:lang w:val="en-US" w:eastAsia="zh-CN" w:bidi="ar-SA"/>
    </w:rPr>
  </w:style>
  <w:style w:type="paragraph" w:customStyle="1" w:styleId="117">
    <w:name w:val="二级条标题"/>
    <w:basedOn w:val="116"/>
    <w:next w:val="114"/>
    <w:qFormat/>
    <w:uiPriority w:val="99"/>
    <w:pPr>
      <w:numPr>
        <w:ilvl w:val="2"/>
      </w:numPr>
      <w:spacing w:before="50" w:after="50"/>
      <w:outlineLvl w:val="3"/>
    </w:pPr>
    <w:rPr>
      <w:rFonts w:ascii="Times New Roman" w:eastAsia="宋体"/>
    </w:rPr>
  </w:style>
  <w:style w:type="paragraph" w:customStyle="1" w:styleId="118">
    <w:name w:val="三级条标题"/>
    <w:basedOn w:val="117"/>
    <w:next w:val="114"/>
    <w:qFormat/>
    <w:uiPriority w:val="99"/>
    <w:pPr>
      <w:numPr>
        <w:ilvl w:val="3"/>
      </w:numPr>
      <w:outlineLvl w:val="4"/>
    </w:pPr>
  </w:style>
  <w:style w:type="paragraph" w:customStyle="1" w:styleId="119">
    <w:name w:val="数字编号列项（二级）"/>
    <w:qFormat/>
    <w:uiPriority w:val="99"/>
    <w:pPr>
      <w:numPr>
        <w:ilvl w:val="4"/>
        <w:numId w:val="2"/>
      </w:numPr>
      <w:jc w:val="both"/>
    </w:pPr>
    <w:rPr>
      <w:rFonts w:ascii="宋体" w:hAnsi="Times New Roman" w:eastAsia="宋体" w:cs="宋体"/>
      <w:sz w:val="21"/>
      <w:szCs w:val="21"/>
      <w:lang w:val="en-US" w:eastAsia="zh-CN" w:bidi="ar-SA"/>
    </w:rPr>
  </w:style>
  <w:style w:type="paragraph" w:customStyle="1" w:styleId="120">
    <w:name w:val="四级条标题"/>
    <w:basedOn w:val="118"/>
    <w:next w:val="114"/>
    <w:qFormat/>
    <w:uiPriority w:val="99"/>
    <w:pPr>
      <w:numPr>
        <w:ilvl w:val="5"/>
      </w:numPr>
      <w:outlineLvl w:val="5"/>
    </w:pPr>
  </w:style>
  <w:style w:type="paragraph" w:customStyle="1" w:styleId="121">
    <w:name w:val="正文表标题"/>
    <w:next w:val="114"/>
    <w:qFormat/>
    <w:uiPriority w:val="99"/>
    <w:pPr>
      <w:numPr>
        <w:ilvl w:val="0"/>
        <w:numId w:val="3"/>
      </w:numPr>
      <w:spacing w:beforeLines="50" w:afterLines="50"/>
      <w:jc w:val="center"/>
    </w:pPr>
    <w:rPr>
      <w:rFonts w:ascii="黑体" w:hAnsi="Times New Roman" w:eastAsia="黑体" w:cs="黑体"/>
      <w:sz w:val="21"/>
      <w:szCs w:val="21"/>
      <w:lang w:val="en-US" w:eastAsia="zh-CN" w:bidi="ar-SA"/>
    </w:rPr>
  </w:style>
  <w:style w:type="paragraph" w:customStyle="1" w:styleId="122">
    <w:name w:val="正文公式编号制表符"/>
    <w:basedOn w:val="114"/>
    <w:next w:val="114"/>
    <w:qFormat/>
    <w:uiPriority w:val="99"/>
    <w:pPr>
      <w:ind w:firstLine="0" w:firstLineChars="0"/>
    </w:pPr>
  </w:style>
  <w:style w:type="paragraph" w:customStyle="1" w:styleId="123">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24">
    <w:name w:val="页脚 Char"/>
    <w:basedOn w:val="34"/>
    <w:qFormat/>
    <w:uiPriority w:val="99"/>
    <w:rPr>
      <w:kern w:val="2"/>
      <w:sz w:val="18"/>
      <w:szCs w:val="18"/>
    </w:rPr>
  </w:style>
  <w:style w:type="character" w:customStyle="1" w:styleId="125">
    <w:name w:val="页眉 Char"/>
    <w:basedOn w:val="34"/>
    <w:qFormat/>
    <w:uiPriority w:val="99"/>
    <w:rPr>
      <w:kern w:val="2"/>
      <w:sz w:val="18"/>
      <w:szCs w:val="18"/>
    </w:rPr>
  </w:style>
  <w:style w:type="paragraph" w:customStyle="1" w:styleId="126">
    <w:name w:val="_Style 121"/>
    <w:basedOn w:val="1"/>
    <w:next w:val="53"/>
    <w:qFormat/>
    <w:uiPriority w:val="34"/>
    <w:pPr>
      <w:adjustRightInd/>
      <w:snapToGrid/>
      <w:ind w:firstLine="420"/>
    </w:pPr>
    <w:rPr>
      <w:rFonts w:cs="Times New Roman"/>
      <w:szCs w:val="24"/>
    </w:rPr>
  </w:style>
  <w:style w:type="character" w:customStyle="1" w:styleId="127">
    <w:name w:val="副标题 字符"/>
    <w:basedOn w:val="34"/>
    <w:qFormat/>
    <w:uiPriority w:val="11"/>
    <w:rPr>
      <w:b/>
      <w:bCs/>
      <w:kern w:val="28"/>
      <w:sz w:val="32"/>
      <w:szCs w:val="32"/>
    </w:rPr>
  </w:style>
  <w:style w:type="character" w:customStyle="1" w:styleId="128">
    <w:name w:val="副标题 字符1"/>
    <w:basedOn w:val="34"/>
    <w:link w:val="25"/>
    <w:qFormat/>
    <w:uiPriority w:val="0"/>
    <w:rPr>
      <w:rFonts w:ascii="Cambria" w:hAnsi="Cambria" w:eastAsia="宋体" w:cs="Times New Roman"/>
      <w:b/>
      <w:bCs/>
      <w:kern w:val="28"/>
      <w:sz w:val="32"/>
      <w:szCs w:val="32"/>
    </w:rPr>
  </w:style>
  <w:style w:type="paragraph" w:customStyle="1" w:styleId="129">
    <w:name w:val="列出段落"/>
    <w:basedOn w:val="1"/>
    <w:qFormat/>
    <w:uiPriority w:val="0"/>
    <w:pPr>
      <w:ind w:firstLine="420"/>
    </w:pPr>
    <w:rPr>
      <w:rFonts w:cs="Times New Roman"/>
      <w:szCs w:val="24"/>
    </w:rPr>
  </w:style>
  <w:style w:type="table" w:customStyle="1" w:styleId="130">
    <w:name w:val="网格型3"/>
    <w:basedOn w:val="32"/>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1">
    <w:name w:val="网格型4"/>
    <w:basedOn w:val="3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
    <w:name w:val="网格型5"/>
    <w:basedOn w:val="3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3">
    <w:name w:val="TOC Heading"/>
    <w:basedOn w:val="2"/>
    <w:next w:val="1"/>
    <w:unhideWhenUsed/>
    <w:qFormat/>
    <w:uiPriority w:val="39"/>
    <w:pPr>
      <w:widowControl/>
      <w:adjustRightInd/>
      <w:snapToGrid/>
      <w:spacing w:before="240" w:line="259" w:lineRule="auto"/>
      <w:jc w:val="left"/>
      <w:textAlignment w:val="auto"/>
      <w:outlineLvl w:val="9"/>
    </w:pPr>
    <w:rPr>
      <w:rFonts w:asciiTheme="majorHAnsi" w:hAnsiTheme="majorHAnsi" w:eastAsiaTheme="majorEastAsia" w:cstheme="majorBidi"/>
      <w:color w:val="376092" w:themeColor="accent1" w:themeShade="BF"/>
      <w:kern w:val="0"/>
      <w:sz w:val="32"/>
      <w:szCs w:val="32"/>
      <w:lang w:val="en-US"/>
    </w:rPr>
  </w:style>
  <w:style w:type="paragraph" w:customStyle="1" w:styleId="134">
    <w:name w:val="标题1A"/>
    <w:basedOn w:val="1"/>
    <w:next w:val="1"/>
    <w:link w:val="135"/>
    <w:qFormat/>
    <w:uiPriority w:val="0"/>
    <w:pPr>
      <w:spacing w:line="480" w:lineRule="auto"/>
      <w:jc w:val="center"/>
      <w:outlineLvl w:val="0"/>
    </w:pPr>
    <w:rPr>
      <w:b/>
      <w:sz w:val="30"/>
    </w:rPr>
  </w:style>
  <w:style w:type="character" w:customStyle="1" w:styleId="135">
    <w:name w:val="标题1A 字符"/>
    <w:basedOn w:val="43"/>
    <w:link w:val="134"/>
    <w:qFormat/>
    <w:uiPriority w:val="0"/>
    <w:rPr>
      <w:rFonts w:ascii="Times New Roman" w:hAnsi="Times New Roman" w:eastAsia="宋体" w:cs="Times New Roman"/>
      <w:kern w:val="2"/>
      <w:sz w:val="30"/>
      <w:szCs w:val="22"/>
    </w:rPr>
  </w:style>
  <w:style w:type="paragraph" w:customStyle="1" w:styleId="136">
    <w:name w:val="标题2"/>
    <w:basedOn w:val="1"/>
    <w:qFormat/>
    <w:uiPriority w:val="0"/>
    <w:pPr>
      <w:autoSpaceDE w:val="0"/>
      <w:autoSpaceDN w:val="0"/>
      <w:adjustRightInd w:val="0"/>
      <w:spacing w:line="360" w:lineRule="auto"/>
      <w:jc w:val="center"/>
    </w:pPr>
    <w:rPr>
      <w:rFonts w:ascii="等线" w:hAnsi="等线" w:cs="MS Mincho"/>
      <w:kern w:val="0"/>
      <w:szCs w:val="21"/>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26.bin"/><Relationship Id="rId98" Type="http://schemas.openxmlformats.org/officeDocument/2006/relationships/image" Target="media/image50.wmf"/><Relationship Id="rId97" Type="http://schemas.openxmlformats.org/officeDocument/2006/relationships/oleObject" Target="embeddings/oleObject25.bin"/><Relationship Id="rId96" Type="http://schemas.openxmlformats.org/officeDocument/2006/relationships/image" Target="media/image49.wmf"/><Relationship Id="rId95" Type="http://schemas.openxmlformats.org/officeDocument/2006/relationships/oleObject" Target="embeddings/oleObject24.bin"/><Relationship Id="rId94" Type="http://schemas.openxmlformats.org/officeDocument/2006/relationships/image" Target="media/image48.wmf"/><Relationship Id="rId93" Type="http://schemas.openxmlformats.org/officeDocument/2006/relationships/oleObject" Target="embeddings/oleObject23.bin"/><Relationship Id="rId92" Type="http://schemas.openxmlformats.org/officeDocument/2006/relationships/image" Target="media/image47.wmf"/><Relationship Id="rId91" Type="http://schemas.openxmlformats.org/officeDocument/2006/relationships/oleObject" Target="embeddings/oleObject22.bin"/><Relationship Id="rId90" Type="http://schemas.openxmlformats.org/officeDocument/2006/relationships/image" Target="media/image46.wmf"/><Relationship Id="rId9" Type="http://schemas.openxmlformats.org/officeDocument/2006/relationships/header" Target="header4.xml"/><Relationship Id="rId89" Type="http://schemas.openxmlformats.org/officeDocument/2006/relationships/oleObject" Target="embeddings/oleObject21.bin"/><Relationship Id="rId88" Type="http://schemas.openxmlformats.org/officeDocument/2006/relationships/image" Target="media/image45.wmf"/><Relationship Id="rId87" Type="http://schemas.openxmlformats.org/officeDocument/2006/relationships/oleObject" Target="embeddings/oleObject20.bin"/><Relationship Id="rId86" Type="http://schemas.openxmlformats.org/officeDocument/2006/relationships/image" Target="media/image44.wmf"/><Relationship Id="rId85" Type="http://schemas.openxmlformats.org/officeDocument/2006/relationships/oleObject" Target="embeddings/oleObject19.bin"/><Relationship Id="rId84" Type="http://schemas.openxmlformats.org/officeDocument/2006/relationships/image" Target="media/image43.wmf"/><Relationship Id="rId83" Type="http://schemas.openxmlformats.org/officeDocument/2006/relationships/image" Target="media/image42.wmf"/><Relationship Id="rId82" Type="http://schemas.openxmlformats.org/officeDocument/2006/relationships/oleObject" Target="embeddings/oleObject18.bin"/><Relationship Id="rId81" Type="http://schemas.openxmlformats.org/officeDocument/2006/relationships/image" Target="media/image41.wmf"/><Relationship Id="rId80" Type="http://schemas.openxmlformats.org/officeDocument/2006/relationships/image" Target="media/image40.wmf"/><Relationship Id="rId8" Type="http://schemas.openxmlformats.org/officeDocument/2006/relationships/footer" Target="footer3.xml"/><Relationship Id="rId79" Type="http://schemas.openxmlformats.org/officeDocument/2006/relationships/oleObject" Target="embeddings/oleObject17.bin"/><Relationship Id="rId78" Type="http://schemas.openxmlformats.org/officeDocument/2006/relationships/image" Target="media/image39.wmf"/><Relationship Id="rId77" Type="http://schemas.openxmlformats.org/officeDocument/2006/relationships/oleObject" Target="embeddings/oleObject16.bin"/><Relationship Id="rId76" Type="http://schemas.openxmlformats.org/officeDocument/2006/relationships/image" Target="media/image38.emf"/><Relationship Id="rId75" Type="http://schemas.openxmlformats.org/officeDocument/2006/relationships/image" Target="media/image37.emf"/><Relationship Id="rId74" Type="http://schemas.openxmlformats.org/officeDocument/2006/relationships/image" Target="media/image36.wmf"/><Relationship Id="rId73" Type="http://schemas.openxmlformats.org/officeDocument/2006/relationships/oleObject" Target="embeddings/oleObject15.bin"/><Relationship Id="rId72" Type="http://schemas.openxmlformats.org/officeDocument/2006/relationships/image" Target="media/image35.emf"/><Relationship Id="rId71" Type="http://schemas.openxmlformats.org/officeDocument/2006/relationships/image" Target="media/image34.wmf"/><Relationship Id="rId70" Type="http://schemas.openxmlformats.org/officeDocument/2006/relationships/oleObject" Target="embeddings/oleObject14.bin"/><Relationship Id="rId7" Type="http://schemas.openxmlformats.org/officeDocument/2006/relationships/footer" Target="footer2.xml"/><Relationship Id="rId69" Type="http://schemas.openxmlformats.org/officeDocument/2006/relationships/image" Target="media/image33.wmf"/><Relationship Id="rId68" Type="http://schemas.openxmlformats.org/officeDocument/2006/relationships/oleObject" Target="embeddings/oleObject13.bin"/><Relationship Id="rId67" Type="http://schemas.openxmlformats.org/officeDocument/2006/relationships/image" Target="media/image32.wmf"/><Relationship Id="rId66" Type="http://schemas.openxmlformats.org/officeDocument/2006/relationships/oleObject" Target="embeddings/oleObject12.bin"/><Relationship Id="rId65" Type="http://schemas.openxmlformats.org/officeDocument/2006/relationships/image" Target="media/image31.wmf"/><Relationship Id="rId64" Type="http://schemas.openxmlformats.org/officeDocument/2006/relationships/oleObject" Target="embeddings/oleObject11.bin"/><Relationship Id="rId63" Type="http://schemas.openxmlformats.org/officeDocument/2006/relationships/image" Target="media/image30.wmf"/><Relationship Id="rId62" Type="http://schemas.openxmlformats.org/officeDocument/2006/relationships/oleObject" Target="embeddings/oleObject10.bin"/><Relationship Id="rId613" Type="http://schemas.openxmlformats.org/officeDocument/2006/relationships/fontTable" Target="fontTable.xml"/><Relationship Id="rId612" Type="http://schemas.openxmlformats.org/officeDocument/2006/relationships/customXml" Target="../customXml/item2.xml"/><Relationship Id="rId611" Type="http://schemas.openxmlformats.org/officeDocument/2006/relationships/numbering" Target="numbering.xml"/><Relationship Id="rId610" Type="http://schemas.openxmlformats.org/officeDocument/2006/relationships/customXml" Target="../customXml/item1.xml"/><Relationship Id="rId61" Type="http://schemas.openxmlformats.org/officeDocument/2006/relationships/image" Target="media/image29.wmf"/><Relationship Id="rId609" Type="http://schemas.openxmlformats.org/officeDocument/2006/relationships/image" Target="media/image338.png"/><Relationship Id="rId608" Type="http://schemas.openxmlformats.org/officeDocument/2006/relationships/image" Target="media/image337.wmf"/><Relationship Id="rId607" Type="http://schemas.openxmlformats.org/officeDocument/2006/relationships/oleObject" Target="embeddings/oleObject247.bin"/><Relationship Id="rId606" Type="http://schemas.openxmlformats.org/officeDocument/2006/relationships/image" Target="media/image336.wmf"/><Relationship Id="rId605" Type="http://schemas.openxmlformats.org/officeDocument/2006/relationships/oleObject" Target="embeddings/oleObject246.bin"/><Relationship Id="rId604" Type="http://schemas.openxmlformats.org/officeDocument/2006/relationships/image" Target="media/image335.wmf"/><Relationship Id="rId603" Type="http://schemas.openxmlformats.org/officeDocument/2006/relationships/oleObject" Target="embeddings/oleObject245.bin"/><Relationship Id="rId602" Type="http://schemas.openxmlformats.org/officeDocument/2006/relationships/image" Target="media/image334.wmf"/><Relationship Id="rId601" Type="http://schemas.openxmlformats.org/officeDocument/2006/relationships/oleObject" Target="embeddings/oleObject244.bin"/><Relationship Id="rId600" Type="http://schemas.openxmlformats.org/officeDocument/2006/relationships/image" Target="media/image333.wmf"/><Relationship Id="rId60" Type="http://schemas.openxmlformats.org/officeDocument/2006/relationships/oleObject" Target="embeddings/oleObject9.bin"/><Relationship Id="rId6" Type="http://schemas.openxmlformats.org/officeDocument/2006/relationships/footer" Target="footer1.xml"/><Relationship Id="rId599" Type="http://schemas.openxmlformats.org/officeDocument/2006/relationships/oleObject" Target="embeddings/oleObject243.bin"/><Relationship Id="rId598" Type="http://schemas.openxmlformats.org/officeDocument/2006/relationships/image" Target="media/image332.wmf"/><Relationship Id="rId597" Type="http://schemas.openxmlformats.org/officeDocument/2006/relationships/oleObject" Target="embeddings/oleObject242.bin"/><Relationship Id="rId596" Type="http://schemas.openxmlformats.org/officeDocument/2006/relationships/image" Target="media/image331.wmf"/><Relationship Id="rId595" Type="http://schemas.openxmlformats.org/officeDocument/2006/relationships/oleObject" Target="embeddings/oleObject241.bin"/><Relationship Id="rId594" Type="http://schemas.openxmlformats.org/officeDocument/2006/relationships/image" Target="media/image330.png"/><Relationship Id="rId593" Type="http://schemas.openxmlformats.org/officeDocument/2006/relationships/image" Target="media/image329.wmf"/><Relationship Id="rId592" Type="http://schemas.openxmlformats.org/officeDocument/2006/relationships/oleObject" Target="embeddings/oleObject240.bin"/><Relationship Id="rId591" Type="http://schemas.openxmlformats.org/officeDocument/2006/relationships/image" Target="media/image328.wmf"/><Relationship Id="rId590" Type="http://schemas.openxmlformats.org/officeDocument/2006/relationships/oleObject" Target="embeddings/oleObject239.bin"/><Relationship Id="rId59" Type="http://schemas.openxmlformats.org/officeDocument/2006/relationships/image" Target="media/image28.wmf"/><Relationship Id="rId589" Type="http://schemas.openxmlformats.org/officeDocument/2006/relationships/image" Target="media/image327.wmf"/><Relationship Id="rId588" Type="http://schemas.openxmlformats.org/officeDocument/2006/relationships/oleObject" Target="embeddings/oleObject238.bin"/><Relationship Id="rId587" Type="http://schemas.openxmlformats.org/officeDocument/2006/relationships/image" Target="media/image326.png"/><Relationship Id="rId586" Type="http://schemas.openxmlformats.org/officeDocument/2006/relationships/image" Target="media/image325.png"/><Relationship Id="rId585" Type="http://schemas.openxmlformats.org/officeDocument/2006/relationships/image" Target="media/image324.emf"/><Relationship Id="rId584" Type="http://schemas.openxmlformats.org/officeDocument/2006/relationships/image" Target="media/image323.emf"/><Relationship Id="rId583" Type="http://schemas.openxmlformats.org/officeDocument/2006/relationships/image" Target="media/image322.emf"/><Relationship Id="rId582" Type="http://schemas.openxmlformats.org/officeDocument/2006/relationships/image" Target="media/image321.emf"/><Relationship Id="rId581" Type="http://schemas.openxmlformats.org/officeDocument/2006/relationships/image" Target="media/image320.png"/><Relationship Id="rId580" Type="http://schemas.openxmlformats.org/officeDocument/2006/relationships/image" Target="media/image319.png"/><Relationship Id="rId58" Type="http://schemas.openxmlformats.org/officeDocument/2006/relationships/oleObject" Target="embeddings/oleObject8.bin"/><Relationship Id="rId579" Type="http://schemas.openxmlformats.org/officeDocument/2006/relationships/image" Target="media/image318.png"/><Relationship Id="rId578" Type="http://schemas.openxmlformats.org/officeDocument/2006/relationships/image" Target="media/image317.wmf"/><Relationship Id="rId577" Type="http://schemas.openxmlformats.org/officeDocument/2006/relationships/oleObject" Target="embeddings/oleObject237.bin"/><Relationship Id="rId576" Type="http://schemas.openxmlformats.org/officeDocument/2006/relationships/image" Target="media/image316.wmf"/><Relationship Id="rId575" Type="http://schemas.openxmlformats.org/officeDocument/2006/relationships/oleObject" Target="embeddings/oleObject236.bin"/><Relationship Id="rId574" Type="http://schemas.openxmlformats.org/officeDocument/2006/relationships/image" Target="media/image315.wmf"/><Relationship Id="rId573" Type="http://schemas.openxmlformats.org/officeDocument/2006/relationships/oleObject" Target="embeddings/oleObject235.bin"/><Relationship Id="rId572" Type="http://schemas.openxmlformats.org/officeDocument/2006/relationships/image" Target="media/image314.wmf"/><Relationship Id="rId571" Type="http://schemas.openxmlformats.org/officeDocument/2006/relationships/oleObject" Target="embeddings/oleObject234.bin"/><Relationship Id="rId570" Type="http://schemas.openxmlformats.org/officeDocument/2006/relationships/image" Target="media/image313.wmf"/><Relationship Id="rId57" Type="http://schemas.openxmlformats.org/officeDocument/2006/relationships/image" Target="media/image27.wmf"/><Relationship Id="rId569" Type="http://schemas.openxmlformats.org/officeDocument/2006/relationships/oleObject" Target="embeddings/oleObject233.bin"/><Relationship Id="rId568" Type="http://schemas.openxmlformats.org/officeDocument/2006/relationships/image" Target="media/image312.wmf"/><Relationship Id="rId567" Type="http://schemas.openxmlformats.org/officeDocument/2006/relationships/oleObject" Target="embeddings/oleObject232.bin"/><Relationship Id="rId566" Type="http://schemas.openxmlformats.org/officeDocument/2006/relationships/image" Target="media/image311.wmf"/><Relationship Id="rId565" Type="http://schemas.openxmlformats.org/officeDocument/2006/relationships/oleObject" Target="embeddings/oleObject231.bin"/><Relationship Id="rId564" Type="http://schemas.openxmlformats.org/officeDocument/2006/relationships/image" Target="media/image310.wmf"/><Relationship Id="rId563" Type="http://schemas.openxmlformats.org/officeDocument/2006/relationships/oleObject" Target="embeddings/oleObject230.bin"/><Relationship Id="rId562" Type="http://schemas.openxmlformats.org/officeDocument/2006/relationships/image" Target="media/image309.wmf"/><Relationship Id="rId561" Type="http://schemas.openxmlformats.org/officeDocument/2006/relationships/oleObject" Target="embeddings/oleObject229.bin"/><Relationship Id="rId560" Type="http://schemas.openxmlformats.org/officeDocument/2006/relationships/image" Target="media/image308.wmf"/><Relationship Id="rId56" Type="http://schemas.openxmlformats.org/officeDocument/2006/relationships/oleObject" Target="embeddings/oleObject7.bin"/><Relationship Id="rId559" Type="http://schemas.openxmlformats.org/officeDocument/2006/relationships/oleObject" Target="embeddings/oleObject228.bin"/><Relationship Id="rId558" Type="http://schemas.openxmlformats.org/officeDocument/2006/relationships/image" Target="media/image307.wmf"/><Relationship Id="rId557" Type="http://schemas.openxmlformats.org/officeDocument/2006/relationships/oleObject" Target="embeddings/oleObject227.bin"/><Relationship Id="rId556" Type="http://schemas.openxmlformats.org/officeDocument/2006/relationships/image" Target="media/image306.emf"/><Relationship Id="rId555" Type="http://schemas.openxmlformats.org/officeDocument/2006/relationships/image" Target="media/image305.emf"/><Relationship Id="rId554" Type="http://schemas.openxmlformats.org/officeDocument/2006/relationships/image" Target="media/image304.emf"/><Relationship Id="rId553" Type="http://schemas.openxmlformats.org/officeDocument/2006/relationships/image" Target="media/image303.emf"/><Relationship Id="rId552" Type="http://schemas.openxmlformats.org/officeDocument/2006/relationships/image" Target="media/image302.emf"/><Relationship Id="rId551" Type="http://schemas.openxmlformats.org/officeDocument/2006/relationships/image" Target="media/image301.wmf"/><Relationship Id="rId550" Type="http://schemas.openxmlformats.org/officeDocument/2006/relationships/oleObject" Target="embeddings/oleObject226.bin"/><Relationship Id="rId55" Type="http://schemas.openxmlformats.org/officeDocument/2006/relationships/image" Target="media/image26.wmf"/><Relationship Id="rId549" Type="http://schemas.openxmlformats.org/officeDocument/2006/relationships/image" Target="media/image300.wmf"/><Relationship Id="rId548" Type="http://schemas.openxmlformats.org/officeDocument/2006/relationships/oleObject" Target="embeddings/oleObject225.bin"/><Relationship Id="rId547" Type="http://schemas.openxmlformats.org/officeDocument/2006/relationships/image" Target="media/image299.emf"/><Relationship Id="rId546" Type="http://schemas.openxmlformats.org/officeDocument/2006/relationships/image" Target="media/image298.emf"/><Relationship Id="rId545" Type="http://schemas.openxmlformats.org/officeDocument/2006/relationships/image" Target="media/image297.wmf"/><Relationship Id="rId544" Type="http://schemas.openxmlformats.org/officeDocument/2006/relationships/oleObject" Target="embeddings/oleObject224.bin"/><Relationship Id="rId543" Type="http://schemas.openxmlformats.org/officeDocument/2006/relationships/image" Target="media/image296.wmf"/><Relationship Id="rId542" Type="http://schemas.openxmlformats.org/officeDocument/2006/relationships/oleObject" Target="embeddings/oleObject223.bin"/><Relationship Id="rId541" Type="http://schemas.openxmlformats.org/officeDocument/2006/relationships/image" Target="media/image295.wmf"/><Relationship Id="rId540" Type="http://schemas.openxmlformats.org/officeDocument/2006/relationships/oleObject" Target="embeddings/oleObject222.bin"/><Relationship Id="rId54" Type="http://schemas.openxmlformats.org/officeDocument/2006/relationships/oleObject" Target="embeddings/oleObject6.bin"/><Relationship Id="rId539" Type="http://schemas.openxmlformats.org/officeDocument/2006/relationships/image" Target="media/image294.wmf"/><Relationship Id="rId538" Type="http://schemas.openxmlformats.org/officeDocument/2006/relationships/oleObject" Target="embeddings/oleObject221.bin"/><Relationship Id="rId537" Type="http://schemas.openxmlformats.org/officeDocument/2006/relationships/image" Target="media/image293.wmf"/><Relationship Id="rId536" Type="http://schemas.openxmlformats.org/officeDocument/2006/relationships/oleObject" Target="embeddings/oleObject220.bin"/><Relationship Id="rId535" Type="http://schemas.openxmlformats.org/officeDocument/2006/relationships/image" Target="media/image292.wmf"/><Relationship Id="rId534" Type="http://schemas.openxmlformats.org/officeDocument/2006/relationships/oleObject" Target="embeddings/oleObject219.bin"/><Relationship Id="rId533" Type="http://schemas.openxmlformats.org/officeDocument/2006/relationships/image" Target="media/image291.wmf"/><Relationship Id="rId532" Type="http://schemas.openxmlformats.org/officeDocument/2006/relationships/oleObject" Target="embeddings/oleObject218.bin"/><Relationship Id="rId531" Type="http://schemas.openxmlformats.org/officeDocument/2006/relationships/image" Target="media/image290.wmf"/><Relationship Id="rId530" Type="http://schemas.openxmlformats.org/officeDocument/2006/relationships/oleObject" Target="embeddings/oleObject217.bin"/><Relationship Id="rId53" Type="http://schemas.openxmlformats.org/officeDocument/2006/relationships/image" Target="media/image25.wmf"/><Relationship Id="rId529" Type="http://schemas.openxmlformats.org/officeDocument/2006/relationships/image" Target="media/image289.wmf"/><Relationship Id="rId528" Type="http://schemas.openxmlformats.org/officeDocument/2006/relationships/oleObject" Target="embeddings/oleObject216.bin"/><Relationship Id="rId527" Type="http://schemas.openxmlformats.org/officeDocument/2006/relationships/image" Target="media/image288.wmf"/><Relationship Id="rId526" Type="http://schemas.openxmlformats.org/officeDocument/2006/relationships/oleObject" Target="embeddings/oleObject215.bin"/><Relationship Id="rId525" Type="http://schemas.openxmlformats.org/officeDocument/2006/relationships/image" Target="media/image287.wmf"/><Relationship Id="rId524" Type="http://schemas.openxmlformats.org/officeDocument/2006/relationships/oleObject" Target="embeddings/oleObject214.bin"/><Relationship Id="rId523" Type="http://schemas.openxmlformats.org/officeDocument/2006/relationships/image" Target="media/image286.wmf"/><Relationship Id="rId522" Type="http://schemas.openxmlformats.org/officeDocument/2006/relationships/oleObject" Target="embeddings/oleObject213.bin"/><Relationship Id="rId521" Type="http://schemas.openxmlformats.org/officeDocument/2006/relationships/image" Target="media/image285.wmf"/><Relationship Id="rId520" Type="http://schemas.openxmlformats.org/officeDocument/2006/relationships/oleObject" Target="embeddings/oleObject212.bin"/><Relationship Id="rId52" Type="http://schemas.openxmlformats.org/officeDocument/2006/relationships/oleObject" Target="embeddings/oleObject5.bin"/><Relationship Id="rId519" Type="http://schemas.openxmlformats.org/officeDocument/2006/relationships/image" Target="media/image284.wmf"/><Relationship Id="rId518" Type="http://schemas.openxmlformats.org/officeDocument/2006/relationships/oleObject" Target="embeddings/oleObject211.bin"/><Relationship Id="rId517" Type="http://schemas.openxmlformats.org/officeDocument/2006/relationships/image" Target="media/image283.wmf"/><Relationship Id="rId516" Type="http://schemas.openxmlformats.org/officeDocument/2006/relationships/oleObject" Target="embeddings/oleObject210.bin"/><Relationship Id="rId515" Type="http://schemas.openxmlformats.org/officeDocument/2006/relationships/image" Target="media/image282.wmf"/><Relationship Id="rId514" Type="http://schemas.openxmlformats.org/officeDocument/2006/relationships/oleObject" Target="embeddings/oleObject209.bin"/><Relationship Id="rId513" Type="http://schemas.openxmlformats.org/officeDocument/2006/relationships/image" Target="media/image281.wmf"/><Relationship Id="rId512" Type="http://schemas.openxmlformats.org/officeDocument/2006/relationships/oleObject" Target="embeddings/oleObject208.bin"/><Relationship Id="rId511" Type="http://schemas.openxmlformats.org/officeDocument/2006/relationships/image" Target="media/image280.wmf"/><Relationship Id="rId510" Type="http://schemas.openxmlformats.org/officeDocument/2006/relationships/oleObject" Target="embeddings/oleObject207.bin"/><Relationship Id="rId51" Type="http://schemas.openxmlformats.org/officeDocument/2006/relationships/image" Target="media/image24.wmf"/><Relationship Id="rId509" Type="http://schemas.openxmlformats.org/officeDocument/2006/relationships/image" Target="media/image279.wmf"/><Relationship Id="rId508" Type="http://schemas.openxmlformats.org/officeDocument/2006/relationships/oleObject" Target="embeddings/oleObject206.bin"/><Relationship Id="rId507" Type="http://schemas.openxmlformats.org/officeDocument/2006/relationships/image" Target="media/image278.wmf"/><Relationship Id="rId506" Type="http://schemas.openxmlformats.org/officeDocument/2006/relationships/oleObject" Target="embeddings/oleObject205.bin"/><Relationship Id="rId505" Type="http://schemas.openxmlformats.org/officeDocument/2006/relationships/image" Target="media/image277.emf"/><Relationship Id="rId504" Type="http://schemas.openxmlformats.org/officeDocument/2006/relationships/image" Target="media/image276.emf"/><Relationship Id="rId503" Type="http://schemas.openxmlformats.org/officeDocument/2006/relationships/image" Target="media/image275.emf"/><Relationship Id="rId502" Type="http://schemas.openxmlformats.org/officeDocument/2006/relationships/image" Target="media/image274.emf"/><Relationship Id="rId501" Type="http://schemas.openxmlformats.org/officeDocument/2006/relationships/image" Target="media/image273.emf"/><Relationship Id="rId500" Type="http://schemas.openxmlformats.org/officeDocument/2006/relationships/image" Target="media/image272.emf"/><Relationship Id="rId50" Type="http://schemas.openxmlformats.org/officeDocument/2006/relationships/oleObject" Target="embeddings/oleObject4.bin"/><Relationship Id="rId5" Type="http://schemas.openxmlformats.org/officeDocument/2006/relationships/header" Target="header3.xml"/><Relationship Id="rId499" Type="http://schemas.openxmlformats.org/officeDocument/2006/relationships/image" Target="media/image271.emf"/><Relationship Id="rId498" Type="http://schemas.openxmlformats.org/officeDocument/2006/relationships/image" Target="media/image270.emf"/><Relationship Id="rId497" Type="http://schemas.openxmlformats.org/officeDocument/2006/relationships/image" Target="media/image269.png"/><Relationship Id="rId496" Type="http://schemas.openxmlformats.org/officeDocument/2006/relationships/image" Target="media/image268.wmf"/><Relationship Id="rId495" Type="http://schemas.openxmlformats.org/officeDocument/2006/relationships/oleObject" Target="embeddings/oleObject204.bin"/><Relationship Id="rId494" Type="http://schemas.openxmlformats.org/officeDocument/2006/relationships/image" Target="media/image267.wmf"/><Relationship Id="rId493" Type="http://schemas.openxmlformats.org/officeDocument/2006/relationships/oleObject" Target="embeddings/oleObject203.bin"/><Relationship Id="rId492" Type="http://schemas.openxmlformats.org/officeDocument/2006/relationships/image" Target="media/image266.wmf"/><Relationship Id="rId491" Type="http://schemas.openxmlformats.org/officeDocument/2006/relationships/oleObject" Target="embeddings/oleObject202.bin"/><Relationship Id="rId490" Type="http://schemas.openxmlformats.org/officeDocument/2006/relationships/image" Target="media/image265.wmf"/><Relationship Id="rId49" Type="http://schemas.openxmlformats.org/officeDocument/2006/relationships/image" Target="media/image23.wmf"/><Relationship Id="rId489" Type="http://schemas.openxmlformats.org/officeDocument/2006/relationships/oleObject" Target="embeddings/oleObject201.bin"/><Relationship Id="rId488" Type="http://schemas.openxmlformats.org/officeDocument/2006/relationships/image" Target="media/image264.wmf"/><Relationship Id="rId487" Type="http://schemas.openxmlformats.org/officeDocument/2006/relationships/oleObject" Target="embeddings/oleObject200.bin"/><Relationship Id="rId486" Type="http://schemas.openxmlformats.org/officeDocument/2006/relationships/image" Target="media/image263.wmf"/><Relationship Id="rId485" Type="http://schemas.openxmlformats.org/officeDocument/2006/relationships/oleObject" Target="embeddings/oleObject199.bin"/><Relationship Id="rId484" Type="http://schemas.openxmlformats.org/officeDocument/2006/relationships/image" Target="media/image262.wmf"/><Relationship Id="rId483" Type="http://schemas.openxmlformats.org/officeDocument/2006/relationships/oleObject" Target="embeddings/oleObject198.bin"/><Relationship Id="rId482" Type="http://schemas.openxmlformats.org/officeDocument/2006/relationships/image" Target="media/image261.wmf"/><Relationship Id="rId481" Type="http://schemas.openxmlformats.org/officeDocument/2006/relationships/oleObject" Target="embeddings/oleObject197.bin"/><Relationship Id="rId480" Type="http://schemas.openxmlformats.org/officeDocument/2006/relationships/image" Target="media/image260.wmf"/><Relationship Id="rId48" Type="http://schemas.openxmlformats.org/officeDocument/2006/relationships/oleObject" Target="embeddings/oleObject3.bin"/><Relationship Id="rId479" Type="http://schemas.openxmlformats.org/officeDocument/2006/relationships/oleObject" Target="embeddings/oleObject196.bin"/><Relationship Id="rId478" Type="http://schemas.openxmlformats.org/officeDocument/2006/relationships/image" Target="media/image259.wmf"/><Relationship Id="rId477" Type="http://schemas.openxmlformats.org/officeDocument/2006/relationships/oleObject" Target="embeddings/oleObject195.bin"/><Relationship Id="rId476" Type="http://schemas.openxmlformats.org/officeDocument/2006/relationships/image" Target="media/image258.wmf"/><Relationship Id="rId475" Type="http://schemas.openxmlformats.org/officeDocument/2006/relationships/oleObject" Target="embeddings/oleObject194.bin"/><Relationship Id="rId474" Type="http://schemas.openxmlformats.org/officeDocument/2006/relationships/image" Target="media/image257.wmf"/><Relationship Id="rId473" Type="http://schemas.openxmlformats.org/officeDocument/2006/relationships/oleObject" Target="embeddings/oleObject193.bin"/><Relationship Id="rId472" Type="http://schemas.openxmlformats.org/officeDocument/2006/relationships/image" Target="media/image256.wmf"/><Relationship Id="rId471" Type="http://schemas.openxmlformats.org/officeDocument/2006/relationships/oleObject" Target="embeddings/oleObject192.bin"/><Relationship Id="rId470" Type="http://schemas.openxmlformats.org/officeDocument/2006/relationships/image" Target="media/image255.wmf"/><Relationship Id="rId47" Type="http://schemas.openxmlformats.org/officeDocument/2006/relationships/image" Target="media/image22.wmf"/><Relationship Id="rId469" Type="http://schemas.openxmlformats.org/officeDocument/2006/relationships/oleObject" Target="embeddings/oleObject191.bin"/><Relationship Id="rId468" Type="http://schemas.openxmlformats.org/officeDocument/2006/relationships/image" Target="media/image254.wmf"/><Relationship Id="rId467" Type="http://schemas.openxmlformats.org/officeDocument/2006/relationships/oleObject" Target="embeddings/oleObject190.bin"/><Relationship Id="rId466" Type="http://schemas.openxmlformats.org/officeDocument/2006/relationships/image" Target="media/image253.wmf"/><Relationship Id="rId465" Type="http://schemas.openxmlformats.org/officeDocument/2006/relationships/oleObject" Target="embeddings/oleObject189.bin"/><Relationship Id="rId464" Type="http://schemas.openxmlformats.org/officeDocument/2006/relationships/image" Target="media/image252.emf"/><Relationship Id="rId463" Type="http://schemas.openxmlformats.org/officeDocument/2006/relationships/image" Target="media/image251.wmf"/><Relationship Id="rId462" Type="http://schemas.openxmlformats.org/officeDocument/2006/relationships/oleObject" Target="embeddings/oleObject188.bin"/><Relationship Id="rId461" Type="http://schemas.openxmlformats.org/officeDocument/2006/relationships/image" Target="media/image250.wmf"/><Relationship Id="rId460" Type="http://schemas.openxmlformats.org/officeDocument/2006/relationships/oleObject" Target="embeddings/oleObject187.bin"/><Relationship Id="rId46" Type="http://schemas.openxmlformats.org/officeDocument/2006/relationships/oleObject" Target="embeddings/oleObject2.bin"/><Relationship Id="rId459" Type="http://schemas.openxmlformats.org/officeDocument/2006/relationships/image" Target="media/image249.wmf"/><Relationship Id="rId458" Type="http://schemas.openxmlformats.org/officeDocument/2006/relationships/oleObject" Target="embeddings/oleObject186.bin"/><Relationship Id="rId457" Type="http://schemas.openxmlformats.org/officeDocument/2006/relationships/image" Target="media/image248.wmf"/><Relationship Id="rId456" Type="http://schemas.openxmlformats.org/officeDocument/2006/relationships/oleObject" Target="embeddings/oleObject185.bin"/><Relationship Id="rId455" Type="http://schemas.openxmlformats.org/officeDocument/2006/relationships/image" Target="media/image247.wmf"/><Relationship Id="rId454" Type="http://schemas.openxmlformats.org/officeDocument/2006/relationships/oleObject" Target="embeddings/oleObject184.bin"/><Relationship Id="rId453" Type="http://schemas.openxmlformats.org/officeDocument/2006/relationships/image" Target="media/image246.wmf"/><Relationship Id="rId452" Type="http://schemas.openxmlformats.org/officeDocument/2006/relationships/oleObject" Target="embeddings/oleObject183.bin"/><Relationship Id="rId451" Type="http://schemas.openxmlformats.org/officeDocument/2006/relationships/image" Target="media/image245.wmf"/><Relationship Id="rId450" Type="http://schemas.openxmlformats.org/officeDocument/2006/relationships/oleObject" Target="embeddings/oleObject182.bin"/><Relationship Id="rId45" Type="http://schemas.openxmlformats.org/officeDocument/2006/relationships/image" Target="media/image21.wmf"/><Relationship Id="rId449" Type="http://schemas.openxmlformats.org/officeDocument/2006/relationships/image" Target="media/image244.wmf"/><Relationship Id="rId448" Type="http://schemas.openxmlformats.org/officeDocument/2006/relationships/oleObject" Target="embeddings/oleObject181.bin"/><Relationship Id="rId447" Type="http://schemas.openxmlformats.org/officeDocument/2006/relationships/image" Target="media/image243.wmf"/><Relationship Id="rId446" Type="http://schemas.openxmlformats.org/officeDocument/2006/relationships/oleObject" Target="embeddings/oleObject180.bin"/><Relationship Id="rId445" Type="http://schemas.openxmlformats.org/officeDocument/2006/relationships/image" Target="media/image242.wmf"/><Relationship Id="rId444" Type="http://schemas.openxmlformats.org/officeDocument/2006/relationships/oleObject" Target="embeddings/oleObject179.bin"/><Relationship Id="rId443" Type="http://schemas.openxmlformats.org/officeDocument/2006/relationships/image" Target="media/image241.wmf"/><Relationship Id="rId442" Type="http://schemas.openxmlformats.org/officeDocument/2006/relationships/oleObject" Target="embeddings/oleObject178.bin"/><Relationship Id="rId441" Type="http://schemas.openxmlformats.org/officeDocument/2006/relationships/image" Target="media/image240.wmf"/><Relationship Id="rId440" Type="http://schemas.openxmlformats.org/officeDocument/2006/relationships/oleObject" Target="embeddings/oleObject177.bin"/><Relationship Id="rId44" Type="http://schemas.openxmlformats.org/officeDocument/2006/relationships/oleObject" Target="embeddings/oleObject1.bin"/><Relationship Id="rId439" Type="http://schemas.openxmlformats.org/officeDocument/2006/relationships/image" Target="media/image239.wmf"/><Relationship Id="rId438" Type="http://schemas.openxmlformats.org/officeDocument/2006/relationships/oleObject" Target="embeddings/oleObject176.bin"/><Relationship Id="rId437" Type="http://schemas.openxmlformats.org/officeDocument/2006/relationships/image" Target="media/image238.wmf"/><Relationship Id="rId436" Type="http://schemas.openxmlformats.org/officeDocument/2006/relationships/oleObject" Target="embeddings/oleObject175.bin"/><Relationship Id="rId435" Type="http://schemas.openxmlformats.org/officeDocument/2006/relationships/image" Target="media/image237.wmf"/><Relationship Id="rId434" Type="http://schemas.openxmlformats.org/officeDocument/2006/relationships/oleObject" Target="embeddings/oleObject174.bin"/><Relationship Id="rId433" Type="http://schemas.openxmlformats.org/officeDocument/2006/relationships/image" Target="media/image236.wmf"/><Relationship Id="rId432" Type="http://schemas.openxmlformats.org/officeDocument/2006/relationships/oleObject" Target="embeddings/oleObject173.bin"/><Relationship Id="rId431" Type="http://schemas.openxmlformats.org/officeDocument/2006/relationships/image" Target="media/image235.wmf"/><Relationship Id="rId430" Type="http://schemas.openxmlformats.org/officeDocument/2006/relationships/oleObject" Target="embeddings/oleObject172.bin"/><Relationship Id="rId43" Type="http://schemas.openxmlformats.org/officeDocument/2006/relationships/image" Target="media/image20.png"/><Relationship Id="rId429" Type="http://schemas.openxmlformats.org/officeDocument/2006/relationships/image" Target="media/image234.wmf"/><Relationship Id="rId428" Type="http://schemas.openxmlformats.org/officeDocument/2006/relationships/oleObject" Target="embeddings/oleObject171.bin"/><Relationship Id="rId427" Type="http://schemas.openxmlformats.org/officeDocument/2006/relationships/image" Target="media/image233.wmf"/><Relationship Id="rId426" Type="http://schemas.openxmlformats.org/officeDocument/2006/relationships/oleObject" Target="embeddings/oleObject170.bin"/><Relationship Id="rId425" Type="http://schemas.openxmlformats.org/officeDocument/2006/relationships/image" Target="media/image232.wmf"/><Relationship Id="rId424" Type="http://schemas.openxmlformats.org/officeDocument/2006/relationships/oleObject" Target="embeddings/oleObject169.bin"/><Relationship Id="rId423" Type="http://schemas.openxmlformats.org/officeDocument/2006/relationships/image" Target="media/image231.wmf"/><Relationship Id="rId422" Type="http://schemas.openxmlformats.org/officeDocument/2006/relationships/oleObject" Target="embeddings/oleObject168.bin"/><Relationship Id="rId421" Type="http://schemas.openxmlformats.org/officeDocument/2006/relationships/image" Target="media/image230.wmf"/><Relationship Id="rId420" Type="http://schemas.openxmlformats.org/officeDocument/2006/relationships/oleObject" Target="embeddings/oleObject167.bin"/><Relationship Id="rId42" Type="http://schemas.openxmlformats.org/officeDocument/2006/relationships/image" Target="media/image19.jpeg"/><Relationship Id="rId419" Type="http://schemas.openxmlformats.org/officeDocument/2006/relationships/image" Target="media/image229.wmf"/><Relationship Id="rId418" Type="http://schemas.openxmlformats.org/officeDocument/2006/relationships/oleObject" Target="embeddings/oleObject166.bin"/><Relationship Id="rId417" Type="http://schemas.openxmlformats.org/officeDocument/2006/relationships/image" Target="media/image228.wmf"/><Relationship Id="rId416" Type="http://schemas.openxmlformats.org/officeDocument/2006/relationships/oleObject" Target="embeddings/oleObject165.bin"/><Relationship Id="rId415" Type="http://schemas.openxmlformats.org/officeDocument/2006/relationships/image" Target="media/image227.wmf"/><Relationship Id="rId414" Type="http://schemas.openxmlformats.org/officeDocument/2006/relationships/oleObject" Target="embeddings/oleObject164.bin"/><Relationship Id="rId413" Type="http://schemas.openxmlformats.org/officeDocument/2006/relationships/image" Target="media/image226.wmf"/><Relationship Id="rId412" Type="http://schemas.openxmlformats.org/officeDocument/2006/relationships/oleObject" Target="embeddings/oleObject163.bin"/><Relationship Id="rId411" Type="http://schemas.openxmlformats.org/officeDocument/2006/relationships/image" Target="media/image225.wmf"/><Relationship Id="rId410" Type="http://schemas.openxmlformats.org/officeDocument/2006/relationships/oleObject" Target="embeddings/oleObject162.bin"/><Relationship Id="rId41" Type="http://schemas.openxmlformats.org/officeDocument/2006/relationships/image" Target="media/image18.png"/><Relationship Id="rId409" Type="http://schemas.openxmlformats.org/officeDocument/2006/relationships/image" Target="media/image224.wmf"/><Relationship Id="rId408" Type="http://schemas.openxmlformats.org/officeDocument/2006/relationships/oleObject" Target="embeddings/oleObject161.bin"/><Relationship Id="rId407" Type="http://schemas.openxmlformats.org/officeDocument/2006/relationships/image" Target="media/image223.wmf"/><Relationship Id="rId406" Type="http://schemas.openxmlformats.org/officeDocument/2006/relationships/oleObject" Target="embeddings/oleObject160.bin"/><Relationship Id="rId405" Type="http://schemas.openxmlformats.org/officeDocument/2006/relationships/image" Target="media/image222.wmf"/><Relationship Id="rId404" Type="http://schemas.openxmlformats.org/officeDocument/2006/relationships/oleObject" Target="embeddings/oleObject159.bin"/><Relationship Id="rId403" Type="http://schemas.openxmlformats.org/officeDocument/2006/relationships/image" Target="media/image221.wmf"/><Relationship Id="rId402" Type="http://schemas.openxmlformats.org/officeDocument/2006/relationships/oleObject" Target="embeddings/oleObject158.bin"/><Relationship Id="rId401" Type="http://schemas.openxmlformats.org/officeDocument/2006/relationships/image" Target="media/image220.wmf"/><Relationship Id="rId400" Type="http://schemas.openxmlformats.org/officeDocument/2006/relationships/oleObject" Target="embeddings/oleObject157.bin"/><Relationship Id="rId40" Type="http://schemas.openxmlformats.org/officeDocument/2006/relationships/image" Target="media/image17.png"/><Relationship Id="rId4" Type="http://schemas.openxmlformats.org/officeDocument/2006/relationships/header" Target="header2.xml"/><Relationship Id="rId399" Type="http://schemas.openxmlformats.org/officeDocument/2006/relationships/image" Target="media/image219.wmf"/><Relationship Id="rId398" Type="http://schemas.openxmlformats.org/officeDocument/2006/relationships/oleObject" Target="embeddings/oleObject156.bin"/><Relationship Id="rId397" Type="http://schemas.openxmlformats.org/officeDocument/2006/relationships/image" Target="media/image218.wmf"/><Relationship Id="rId396" Type="http://schemas.openxmlformats.org/officeDocument/2006/relationships/oleObject" Target="embeddings/oleObject155.bin"/><Relationship Id="rId395" Type="http://schemas.openxmlformats.org/officeDocument/2006/relationships/image" Target="media/image217.wmf"/><Relationship Id="rId394" Type="http://schemas.openxmlformats.org/officeDocument/2006/relationships/oleObject" Target="embeddings/oleObject154.bin"/><Relationship Id="rId393" Type="http://schemas.openxmlformats.org/officeDocument/2006/relationships/image" Target="media/image216.wmf"/><Relationship Id="rId392" Type="http://schemas.openxmlformats.org/officeDocument/2006/relationships/oleObject" Target="embeddings/oleObject153.bin"/><Relationship Id="rId391" Type="http://schemas.openxmlformats.org/officeDocument/2006/relationships/image" Target="media/image215.emf"/><Relationship Id="rId390" Type="http://schemas.openxmlformats.org/officeDocument/2006/relationships/image" Target="media/image214.emf"/><Relationship Id="rId39" Type="http://schemas.openxmlformats.org/officeDocument/2006/relationships/image" Target="media/image16.png"/><Relationship Id="rId389" Type="http://schemas.openxmlformats.org/officeDocument/2006/relationships/oleObject" Target="embeddings/oleObject152.bin"/><Relationship Id="rId388" Type="http://schemas.openxmlformats.org/officeDocument/2006/relationships/image" Target="media/image213.wmf"/><Relationship Id="rId387" Type="http://schemas.openxmlformats.org/officeDocument/2006/relationships/oleObject" Target="embeddings/oleObject151.bin"/><Relationship Id="rId386" Type="http://schemas.openxmlformats.org/officeDocument/2006/relationships/image" Target="media/image212.wmf"/><Relationship Id="rId385" Type="http://schemas.openxmlformats.org/officeDocument/2006/relationships/oleObject" Target="embeddings/oleObject150.bin"/><Relationship Id="rId384" Type="http://schemas.openxmlformats.org/officeDocument/2006/relationships/image" Target="media/image211.wmf"/><Relationship Id="rId383" Type="http://schemas.openxmlformats.org/officeDocument/2006/relationships/oleObject" Target="embeddings/oleObject149.bin"/><Relationship Id="rId382" Type="http://schemas.openxmlformats.org/officeDocument/2006/relationships/oleObject" Target="embeddings/oleObject148.bin"/><Relationship Id="rId381" Type="http://schemas.openxmlformats.org/officeDocument/2006/relationships/oleObject" Target="embeddings/oleObject147.bin"/><Relationship Id="rId380" Type="http://schemas.openxmlformats.org/officeDocument/2006/relationships/oleObject" Target="embeddings/oleObject146.bin"/><Relationship Id="rId38" Type="http://schemas.openxmlformats.org/officeDocument/2006/relationships/image" Target="media/image15.png"/><Relationship Id="rId379" Type="http://schemas.openxmlformats.org/officeDocument/2006/relationships/oleObject" Target="embeddings/oleObject145.bin"/><Relationship Id="rId378" Type="http://schemas.openxmlformats.org/officeDocument/2006/relationships/oleObject" Target="embeddings/oleObject144.bin"/><Relationship Id="rId377" Type="http://schemas.openxmlformats.org/officeDocument/2006/relationships/image" Target="media/image210.wmf"/><Relationship Id="rId376" Type="http://schemas.openxmlformats.org/officeDocument/2006/relationships/oleObject" Target="embeddings/oleObject143.bin"/><Relationship Id="rId375" Type="http://schemas.openxmlformats.org/officeDocument/2006/relationships/image" Target="media/image209.wmf"/><Relationship Id="rId374" Type="http://schemas.openxmlformats.org/officeDocument/2006/relationships/oleObject" Target="embeddings/oleObject142.bin"/><Relationship Id="rId373" Type="http://schemas.openxmlformats.org/officeDocument/2006/relationships/image" Target="media/image208.wmf"/><Relationship Id="rId372" Type="http://schemas.openxmlformats.org/officeDocument/2006/relationships/oleObject" Target="embeddings/oleObject141.bin"/><Relationship Id="rId371" Type="http://schemas.openxmlformats.org/officeDocument/2006/relationships/oleObject" Target="embeddings/oleObject140.bin"/><Relationship Id="rId370" Type="http://schemas.openxmlformats.org/officeDocument/2006/relationships/oleObject" Target="embeddings/oleObject139.bin"/><Relationship Id="rId37" Type="http://schemas.openxmlformats.org/officeDocument/2006/relationships/image" Target="media/image14.png"/><Relationship Id="rId369" Type="http://schemas.openxmlformats.org/officeDocument/2006/relationships/oleObject" Target="embeddings/oleObject138.bin"/><Relationship Id="rId368" Type="http://schemas.openxmlformats.org/officeDocument/2006/relationships/oleObject" Target="embeddings/oleObject137.bin"/><Relationship Id="rId367" Type="http://schemas.openxmlformats.org/officeDocument/2006/relationships/oleObject" Target="embeddings/oleObject136.bin"/><Relationship Id="rId366" Type="http://schemas.openxmlformats.org/officeDocument/2006/relationships/image" Target="media/image207.png"/><Relationship Id="rId365" Type="http://schemas.openxmlformats.org/officeDocument/2006/relationships/image" Target="media/image206.wmf"/><Relationship Id="rId364" Type="http://schemas.openxmlformats.org/officeDocument/2006/relationships/oleObject" Target="embeddings/oleObject135.bin"/><Relationship Id="rId363" Type="http://schemas.openxmlformats.org/officeDocument/2006/relationships/image" Target="media/image205.wmf"/><Relationship Id="rId362" Type="http://schemas.openxmlformats.org/officeDocument/2006/relationships/oleObject" Target="embeddings/oleObject134.bin"/><Relationship Id="rId361" Type="http://schemas.openxmlformats.org/officeDocument/2006/relationships/image" Target="media/image204.wmf"/><Relationship Id="rId360" Type="http://schemas.openxmlformats.org/officeDocument/2006/relationships/oleObject" Target="embeddings/oleObject133.bin"/><Relationship Id="rId36" Type="http://schemas.openxmlformats.org/officeDocument/2006/relationships/image" Target="media/image13.png"/><Relationship Id="rId359" Type="http://schemas.openxmlformats.org/officeDocument/2006/relationships/image" Target="media/image203.wmf"/><Relationship Id="rId358" Type="http://schemas.openxmlformats.org/officeDocument/2006/relationships/oleObject" Target="embeddings/oleObject132.bin"/><Relationship Id="rId357" Type="http://schemas.openxmlformats.org/officeDocument/2006/relationships/image" Target="media/image202.wmf"/><Relationship Id="rId356" Type="http://schemas.openxmlformats.org/officeDocument/2006/relationships/oleObject" Target="embeddings/oleObject131.bin"/><Relationship Id="rId355" Type="http://schemas.openxmlformats.org/officeDocument/2006/relationships/image" Target="media/image201.wmf"/><Relationship Id="rId354" Type="http://schemas.openxmlformats.org/officeDocument/2006/relationships/oleObject" Target="embeddings/oleObject130.bin"/><Relationship Id="rId353" Type="http://schemas.openxmlformats.org/officeDocument/2006/relationships/image" Target="media/image200.wmf"/><Relationship Id="rId352" Type="http://schemas.openxmlformats.org/officeDocument/2006/relationships/oleObject" Target="embeddings/oleObject129.bin"/><Relationship Id="rId351" Type="http://schemas.openxmlformats.org/officeDocument/2006/relationships/image" Target="media/image199.wmf"/><Relationship Id="rId350" Type="http://schemas.openxmlformats.org/officeDocument/2006/relationships/oleObject" Target="embeddings/oleObject128.bin"/><Relationship Id="rId35" Type="http://schemas.openxmlformats.org/officeDocument/2006/relationships/image" Target="media/image12.png"/><Relationship Id="rId349" Type="http://schemas.openxmlformats.org/officeDocument/2006/relationships/image" Target="media/image198.wmf"/><Relationship Id="rId348" Type="http://schemas.openxmlformats.org/officeDocument/2006/relationships/oleObject" Target="embeddings/oleObject127.bin"/><Relationship Id="rId347" Type="http://schemas.openxmlformats.org/officeDocument/2006/relationships/image" Target="media/image197.wmf"/><Relationship Id="rId346" Type="http://schemas.openxmlformats.org/officeDocument/2006/relationships/oleObject" Target="embeddings/oleObject126.bin"/><Relationship Id="rId345" Type="http://schemas.openxmlformats.org/officeDocument/2006/relationships/image" Target="media/image196.wmf"/><Relationship Id="rId344" Type="http://schemas.openxmlformats.org/officeDocument/2006/relationships/oleObject" Target="embeddings/oleObject125.bin"/><Relationship Id="rId343" Type="http://schemas.openxmlformats.org/officeDocument/2006/relationships/image" Target="media/image195.wmf"/><Relationship Id="rId342" Type="http://schemas.openxmlformats.org/officeDocument/2006/relationships/oleObject" Target="embeddings/oleObject124.bin"/><Relationship Id="rId341" Type="http://schemas.openxmlformats.org/officeDocument/2006/relationships/image" Target="media/image194.wmf"/><Relationship Id="rId340" Type="http://schemas.openxmlformats.org/officeDocument/2006/relationships/oleObject" Target="embeddings/oleObject123.bin"/><Relationship Id="rId34" Type="http://schemas.openxmlformats.org/officeDocument/2006/relationships/image" Target="media/image11.png"/><Relationship Id="rId339" Type="http://schemas.openxmlformats.org/officeDocument/2006/relationships/image" Target="media/image193.wmf"/><Relationship Id="rId338" Type="http://schemas.openxmlformats.org/officeDocument/2006/relationships/oleObject" Target="embeddings/oleObject122.bin"/><Relationship Id="rId337" Type="http://schemas.openxmlformats.org/officeDocument/2006/relationships/image" Target="media/image192.wmf"/><Relationship Id="rId336" Type="http://schemas.openxmlformats.org/officeDocument/2006/relationships/oleObject" Target="embeddings/oleObject121.bin"/><Relationship Id="rId335" Type="http://schemas.openxmlformats.org/officeDocument/2006/relationships/image" Target="media/image191.wmf"/><Relationship Id="rId334" Type="http://schemas.openxmlformats.org/officeDocument/2006/relationships/oleObject" Target="embeddings/oleObject120.bin"/><Relationship Id="rId333" Type="http://schemas.openxmlformats.org/officeDocument/2006/relationships/image" Target="media/image190.wmf"/><Relationship Id="rId332" Type="http://schemas.openxmlformats.org/officeDocument/2006/relationships/oleObject" Target="embeddings/oleObject119.bin"/><Relationship Id="rId331" Type="http://schemas.openxmlformats.org/officeDocument/2006/relationships/image" Target="media/image189.wmf"/><Relationship Id="rId330" Type="http://schemas.openxmlformats.org/officeDocument/2006/relationships/oleObject" Target="embeddings/oleObject118.bin"/><Relationship Id="rId33" Type="http://schemas.openxmlformats.org/officeDocument/2006/relationships/image" Target="media/image10.png"/><Relationship Id="rId329" Type="http://schemas.openxmlformats.org/officeDocument/2006/relationships/image" Target="media/image188.wmf"/><Relationship Id="rId328" Type="http://schemas.openxmlformats.org/officeDocument/2006/relationships/oleObject" Target="embeddings/oleObject117.bin"/><Relationship Id="rId327" Type="http://schemas.openxmlformats.org/officeDocument/2006/relationships/image" Target="media/image187.wmf"/><Relationship Id="rId326" Type="http://schemas.openxmlformats.org/officeDocument/2006/relationships/oleObject" Target="embeddings/oleObject116.bin"/><Relationship Id="rId325" Type="http://schemas.openxmlformats.org/officeDocument/2006/relationships/image" Target="media/image186.wmf"/><Relationship Id="rId324" Type="http://schemas.openxmlformats.org/officeDocument/2006/relationships/oleObject" Target="embeddings/oleObject115.bin"/><Relationship Id="rId323" Type="http://schemas.openxmlformats.org/officeDocument/2006/relationships/image" Target="media/image185.png"/><Relationship Id="rId322" Type="http://schemas.openxmlformats.org/officeDocument/2006/relationships/image" Target="media/image184.png"/><Relationship Id="rId321" Type="http://schemas.openxmlformats.org/officeDocument/2006/relationships/image" Target="media/image183.png"/><Relationship Id="rId320" Type="http://schemas.openxmlformats.org/officeDocument/2006/relationships/image" Target="media/image182.png"/><Relationship Id="rId32" Type="http://schemas.openxmlformats.org/officeDocument/2006/relationships/image" Target="media/image9.png"/><Relationship Id="rId319" Type="http://schemas.openxmlformats.org/officeDocument/2006/relationships/image" Target="media/image181.png"/><Relationship Id="rId318" Type="http://schemas.openxmlformats.org/officeDocument/2006/relationships/image" Target="media/image180.png"/><Relationship Id="rId317" Type="http://schemas.openxmlformats.org/officeDocument/2006/relationships/image" Target="media/image179.wmf"/><Relationship Id="rId316" Type="http://schemas.openxmlformats.org/officeDocument/2006/relationships/oleObject" Target="embeddings/oleObject114.bin"/><Relationship Id="rId315" Type="http://schemas.openxmlformats.org/officeDocument/2006/relationships/image" Target="media/image178.wmf"/><Relationship Id="rId314" Type="http://schemas.openxmlformats.org/officeDocument/2006/relationships/oleObject" Target="embeddings/oleObject113.bin"/><Relationship Id="rId313" Type="http://schemas.openxmlformats.org/officeDocument/2006/relationships/image" Target="media/image177.wmf"/><Relationship Id="rId312" Type="http://schemas.openxmlformats.org/officeDocument/2006/relationships/oleObject" Target="embeddings/oleObject112.bin"/><Relationship Id="rId311" Type="http://schemas.openxmlformats.org/officeDocument/2006/relationships/oleObject" Target="embeddings/oleObject111.bin"/><Relationship Id="rId310" Type="http://schemas.openxmlformats.org/officeDocument/2006/relationships/oleObject" Target="embeddings/oleObject110.bin"/><Relationship Id="rId31" Type="http://schemas.openxmlformats.org/officeDocument/2006/relationships/image" Target="media/image8.png"/><Relationship Id="rId309" Type="http://schemas.openxmlformats.org/officeDocument/2006/relationships/oleObject" Target="embeddings/oleObject109.bin"/><Relationship Id="rId308" Type="http://schemas.openxmlformats.org/officeDocument/2006/relationships/oleObject" Target="embeddings/oleObject108.bin"/><Relationship Id="rId307" Type="http://schemas.openxmlformats.org/officeDocument/2006/relationships/oleObject" Target="embeddings/oleObject107.bin"/><Relationship Id="rId306" Type="http://schemas.openxmlformats.org/officeDocument/2006/relationships/oleObject" Target="embeddings/oleObject106.bin"/><Relationship Id="rId305" Type="http://schemas.openxmlformats.org/officeDocument/2006/relationships/oleObject" Target="embeddings/oleObject105.bin"/><Relationship Id="rId304" Type="http://schemas.openxmlformats.org/officeDocument/2006/relationships/oleObject" Target="embeddings/oleObject104.bin"/><Relationship Id="rId303" Type="http://schemas.openxmlformats.org/officeDocument/2006/relationships/oleObject" Target="embeddings/oleObject103.bin"/><Relationship Id="rId302" Type="http://schemas.openxmlformats.org/officeDocument/2006/relationships/oleObject" Target="embeddings/oleObject102.bin"/><Relationship Id="rId301" Type="http://schemas.openxmlformats.org/officeDocument/2006/relationships/oleObject" Target="embeddings/oleObject101.bin"/><Relationship Id="rId300" Type="http://schemas.openxmlformats.org/officeDocument/2006/relationships/oleObject" Target="embeddings/oleObject100.bin"/><Relationship Id="rId30" Type="http://schemas.openxmlformats.org/officeDocument/2006/relationships/image" Target="media/image7.emf"/><Relationship Id="rId3" Type="http://schemas.openxmlformats.org/officeDocument/2006/relationships/header" Target="header1.xml"/><Relationship Id="rId299" Type="http://schemas.openxmlformats.org/officeDocument/2006/relationships/oleObject" Target="embeddings/oleObject99.bin"/><Relationship Id="rId298" Type="http://schemas.openxmlformats.org/officeDocument/2006/relationships/oleObject" Target="embeddings/oleObject98.bin"/><Relationship Id="rId297" Type="http://schemas.openxmlformats.org/officeDocument/2006/relationships/oleObject" Target="embeddings/oleObject97.bin"/><Relationship Id="rId296" Type="http://schemas.openxmlformats.org/officeDocument/2006/relationships/oleObject" Target="embeddings/oleObject96.bin"/><Relationship Id="rId295" Type="http://schemas.openxmlformats.org/officeDocument/2006/relationships/oleObject" Target="embeddings/oleObject95.bin"/><Relationship Id="rId294" Type="http://schemas.openxmlformats.org/officeDocument/2006/relationships/oleObject" Target="embeddings/oleObject94.bin"/><Relationship Id="rId293" Type="http://schemas.openxmlformats.org/officeDocument/2006/relationships/oleObject" Target="embeddings/oleObject93.bin"/><Relationship Id="rId292" Type="http://schemas.openxmlformats.org/officeDocument/2006/relationships/oleObject" Target="embeddings/oleObject92.bin"/><Relationship Id="rId291" Type="http://schemas.openxmlformats.org/officeDocument/2006/relationships/oleObject" Target="embeddings/oleObject91.bin"/><Relationship Id="rId290" Type="http://schemas.openxmlformats.org/officeDocument/2006/relationships/oleObject" Target="embeddings/oleObject90.bin"/><Relationship Id="rId29" Type="http://schemas.openxmlformats.org/officeDocument/2006/relationships/image" Target="media/image6.emf"/><Relationship Id="rId289" Type="http://schemas.openxmlformats.org/officeDocument/2006/relationships/oleObject" Target="embeddings/oleObject89.bin"/><Relationship Id="rId288" Type="http://schemas.openxmlformats.org/officeDocument/2006/relationships/oleObject" Target="embeddings/oleObject88.bin"/><Relationship Id="rId287" Type="http://schemas.openxmlformats.org/officeDocument/2006/relationships/oleObject" Target="embeddings/oleObject87.bin"/><Relationship Id="rId286" Type="http://schemas.openxmlformats.org/officeDocument/2006/relationships/oleObject" Target="embeddings/oleObject86.bin"/><Relationship Id="rId285" Type="http://schemas.openxmlformats.org/officeDocument/2006/relationships/oleObject" Target="embeddings/oleObject85.bin"/><Relationship Id="rId284" Type="http://schemas.openxmlformats.org/officeDocument/2006/relationships/oleObject" Target="embeddings/oleObject84.bin"/><Relationship Id="rId283" Type="http://schemas.openxmlformats.org/officeDocument/2006/relationships/oleObject" Target="embeddings/oleObject83.bin"/><Relationship Id="rId282" Type="http://schemas.openxmlformats.org/officeDocument/2006/relationships/oleObject" Target="embeddings/oleObject82.bin"/><Relationship Id="rId281" Type="http://schemas.openxmlformats.org/officeDocument/2006/relationships/oleObject" Target="embeddings/oleObject81.bin"/><Relationship Id="rId280" Type="http://schemas.openxmlformats.org/officeDocument/2006/relationships/oleObject" Target="embeddings/oleObject80.bin"/><Relationship Id="rId28" Type="http://schemas.openxmlformats.org/officeDocument/2006/relationships/image" Target="media/image5.emf"/><Relationship Id="rId279" Type="http://schemas.openxmlformats.org/officeDocument/2006/relationships/oleObject" Target="embeddings/oleObject79.bin"/><Relationship Id="rId278" Type="http://schemas.openxmlformats.org/officeDocument/2006/relationships/oleObject" Target="embeddings/oleObject78.bin"/><Relationship Id="rId277" Type="http://schemas.openxmlformats.org/officeDocument/2006/relationships/oleObject" Target="embeddings/oleObject77.bin"/><Relationship Id="rId276" Type="http://schemas.openxmlformats.org/officeDocument/2006/relationships/oleObject" Target="embeddings/oleObject76.bin"/><Relationship Id="rId275" Type="http://schemas.openxmlformats.org/officeDocument/2006/relationships/image" Target="media/image176.wmf"/><Relationship Id="rId274" Type="http://schemas.openxmlformats.org/officeDocument/2006/relationships/oleObject" Target="embeddings/oleObject75.bin"/><Relationship Id="rId273" Type="http://schemas.openxmlformats.org/officeDocument/2006/relationships/oleObject" Target="embeddings/oleObject74.bin"/><Relationship Id="rId272" Type="http://schemas.openxmlformats.org/officeDocument/2006/relationships/oleObject" Target="embeddings/oleObject73.bin"/><Relationship Id="rId271" Type="http://schemas.openxmlformats.org/officeDocument/2006/relationships/oleObject" Target="embeddings/oleObject72.bin"/><Relationship Id="rId270" Type="http://schemas.openxmlformats.org/officeDocument/2006/relationships/image" Target="media/image175.emf"/><Relationship Id="rId27" Type="http://schemas.openxmlformats.org/officeDocument/2006/relationships/image" Target="media/image4.emf"/><Relationship Id="rId269" Type="http://schemas.openxmlformats.org/officeDocument/2006/relationships/oleObject" Target="embeddings/oleObject71.bin"/><Relationship Id="rId268" Type="http://schemas.openxmlformats.org/officeDocument/2006/relationships/oleObject" Target="embeddings/oleObject70.bin"/><Relationship Id="rId267" Type="http://schemas.openxmlformats.org/officeDocument/2006/relationships/oleObject" Target="embeddings/oleObject69.bin"/><Relationship Id="rId266" Type="http://schemas.openxmlformats.org/officeDocument/2006/relationships/oleObject" Target="embeddings/oleObject68.bin"/><Relationship Id="rId265" Type="http://schemas.openxmlformats.org/officeDocument/2006/relationships/oleObject" Target="embeddings/oleObject67.bin"/><Relationship Id="rId264" Type="http://schemas.openxmlformats.org/officeDocument/2006/relationships/oleObject" Target="embeddings/oleObject66.bin"/><Relationship Id="rId263" Type="http://schemas.openxmlformats.org/officeDocument/2006/relationships/oleObject" Target="embeddings/oleObject65.bin"/><Relationship Id="rId262" Type="http://schemas.openxmlformats.org/officeDocument/2006/relationships/oleObject" Target="embeddings/oleObject64.bin"/><Relationship Id="rId261" Type="http://schemas.openxmlformats.org/officeDocument/2006/relationships/oleObject" Target="embeddings/oleObject63.bin"/><Relationship Id="rId260" Type="http://schemas.openxmlformats.org/officeDocument/2006/relationships/oleObject" Target="embeddings/oleObject62.bin"/><Relationship Id="rId26" Type="http://schemas.openxmlformats.org/officeDocument/2006/relationships/image" Target="media/image3.emf"/><Relationship Id="rId259" Type="http://schemas.openxmlformats.org/officeDocument/2006/relationships/oleObject" Target="embeddings/oleObject61.bin"/><Relationship Id="rId258" Type="http://schemas.openxmlformats.org/officeDocument/2006/relationships/oleObject" Target="embeddings/oleObject60.bin"/><Relationship Id="rId257" Type="http://schemas.openxmlformats.org/officeDocument/2006/relationships/oleObject" Target="embeddings/oleObject59.bin"/><Relationship Id="rId256" Type="http://schemas.openxmlformats.org/officeDocument/2006/relationships/oleObject" Target="embeddings/oleObject58.bin"/><Relationship Id="rId255" Type="http://schemas.openxmlformats.org/officeDocument/2006/relationships/oleObject" Target="embeddings/oleObject57.bin"/><Relationship Id="rId254" Type="http://schemas.openxmlformats.org/officeDocument/2006/relationships/oleObject" Target="embeddings/oleObject56.bin"/><Relationship Id="rId253" Type="http://schemas.openxmlformats.org/officeDocument/2006/relationships/image" Target="media/image174.wmf"/><Relationship Id="rId252" Type="http://schemas.openxmlformats.org/officeDocument/2006/relationships/oleObject" Target="embeddings/oleObject55.bin"/><Relationship Id="rId251" Type="http://schemas.openxmlformats.org/officeDocument/2006/relationships/oleObject" Target="embeddings/oleObject54.bin"/><Relationship Id="rId250" Type="http://schemas.openxmlformats.org/officeDocument/2006/relationships/image" Target="media/image173.wmf"/><Relationship Id="rId25" Type="http://schemas.openxmlformats.org/officeDocument/2006/relationships/image" Target="media/image2.emf"/><Relationship Id="rId249" Type="http://schemas.openxmlformats.org/officeDocument/2006/relationships/oleObject" Target="embeddings/oleObject53.bin"/><Relationship Id="rId248" Type="http://schemas.openxmlformats.org/officeDocument/2006/relationships/image" Target="media/image172.wmf"/><Relationship Id="rId247" Type="http://schemas.openxmlformats.org/officeDocument/2006/relationships/oleObject" Target="embeddings/oleObject52.bin"/><Relationship Id="rId246" Type="http://schemas.openxmlformats.org/officeDocument/2006/relationships/image" Target="media/image171.emf"/><Relationship Id="rId245" Type="http://schemas.openxmlformats.org/officeDocument/2006/relationships/image" Target="media/image170.png"/><Relationship Id="rId244" Type="http://schemas.openxmlformats.org/officeDocument/2006/relationships/image" Target="media/image169.emf"/><Relationship Id="rId243" Type="http://schemas.openxmlformats.org/officeDocument/2006/relationships/image" Target="media/image168.jpeg"/><Relationship Id="rId242" Type="http://schemas.openxmlformats.org/officeDocument/2006/relationships/image" Target="media/image167.jpeg"/><Relationship Id="rId241" Type="http://schemas.openxmlformats.org/officeDocument/2006/relationships/image" Target="media/image166.emf"/><Relationship Id="rId240" Type="http://schemas.openxmlformats.org/officeDocument/2006/relationships/image" Target="media/image165.wmf"/><Relationship Id="rId24" Type="http://schemas.openxmlformats.org/officeDocument/2006/relationships/image" Target="media/image1.emf"/><Relationship Id="rId239" Type="http://schemas.openxmlformats.org/officeDocument/2006/relationships/oleObject" Target="embeddings/oleObject51.bin"/><Relationship Id="rId238" Type="http://schemas.openxmlformats.org/officeDocument/2006/relationships/image" Target="media/image164.wmf"/><Relationship Id="rId237" Type="http://schemas.openxmlformats.org/officeDocument/2006/relationships/oleObject" Target="embeddings/oleObject50.bin"/><Relationship Id="rId236" Type="http://schemas.openxmlformats.org/officeDocument/2006/relationships/image" Target="media/image163.wmf"/><Relationship Id="rId235" Type="http://schemas.openxmlformats.org/officeDocument/2006/relationships/oleObject" Target="embeddings/oleObject49.bin"/><Relationship Id="rId234" Type="http://schemas.openxmlformats.org/officeDocument/2006/relationships/image" Target="media/image162.wmf"/><Relationship Id="rId233" Type="http://schemas.openxmlformats.org/officeDocument/2006/relationships/oleObject" Target="embeddings/oleObject48.bin"/><Relationship Id="rId232" Type="http://schemas.openxmlformats.org/officeDocument/2006/relationships/image" Target="media/image161.png"/><Relationship Id="rId231" Type="http://schemas.openxmlformats.org/officeDocument/2006/relationships/image" Target="media/image160.png"/><Relationship Id="rId230" Type="http://schemas.openxmlformats.org/officeDocument/2006/relationships/image" Target="media/image159.png"/><Relationship Id="rId23" Type="http://schemas.openxmlformats.org/officeDocument/2006/relationships/theme" Target="theme/theme1.xml"/><Relationship Id="rId229" Type="http://schemas.openxmlformats.org/officeDocument/2006/relationships/image" Target="media/image158.png"/><Relationship Id="rId228" Type="http://schemas.openxmlformats.org/officeDocument/2006/relationships/image" Target="media/image157.png"/><Relationship Id="rId227" Type="http://schemas.openxmlformats.org/officeDocument/2006/relationships/image" Target="media/image156.png"/><Relationship Id="rId226" Type="http://schemas.openxmlformats.org/officeDocument/2006/relationships/image" Target="media/image155.png"/><Relationship Id="rId225" Type="http://schemas.openxmlformats.org/officeDocument/2006/relationships/image" Target="media/image154.png"/><Relationship Id="rId224" Type="http://schemas.openxmlformats.org/officeDocument/2006/relationships/image" Target="media/image153.png"/><Relationship Id="rId223" Type="http://schemas.openxmlformats.org/officeDocument/2006/relationships/image" Target="media/image152.png"/><Relationship Id="rId222" Type="http://schemas.openxmlformats.org/officeDocument/2006/relationships/image" Target="media/image151.png"/><Relationship Id="rId221" Type="http://schemas.openxmlformats.org/officeDocument/2006/relationships/image" Target="media/image150.png"/><Relationship Id="rId220" Type="http://schemas.openxmlformats.org/officeDocument/2006/relationships/image" Target="media/image149.png"/><Relationship Id="rId22" Type="http://schemas.openxmlformats.org/officeDocument/2006/relationships/footer" Target="footer11.xml"/><Relationship Id="rId219" Type="http://schemas.openxmlformats.org/officeDocument/2006/relationships/image" Target="media/image148.png"/><Relationship Id="rId218" Type="http://schemas.openxmlformats.org/officeDocument/2006/relationships/image" Target="media/image147.png"/><Relationship Id="rId217" Type="http://schemas.openxmlformats.org/officeDocument/2006/relationships/image" Target="media/image146.png"/><Relationship Id="rId216" Type="http://schemas.openxmlformats.org/officeDocument/2006/relationships/image" Target="media/image145.png"/><Relationship Id="rId215" Type="http://schemas.openxmlformats.org/officeDocument/2006/relationships/image" Target="media/image144.png"/><Relationship Id="rId214" Type="http://schemas.openxmlformats.org/officeDocument/2006/relationships/image" Target="media/image143.png"/><Relationship Id="rId213" Type="http://schemas.openxmlformats.org/officeDocument/2006/relationships/image" Target="media/image142.png"/><Relationship Id="rId212" Type="http://schemas.openxmlformats.org/officeDocument/2006/relationships/image" Target="media/image141.png"/><Relationship Id="rId211" Type="http://schemas.openxmlformats.org/officeDocument/2006/relationships/image" Target="media/image140.png"/><Relationship Id="rId210" Type="http://schemas.openxmlformats.org/officeDocument/2006/relationships/image" Target="media/image139.png"/><Relationship Id="rId21" Type="http://schemas.openxmlformats.org/officeDocument/2006/relationships/footer" Target="footer10.xml"/><Relationship Id="rId209" Type="http://schemas.openxmlformats.org/officeDocument/2006/relationships/image" Target="media/image138.png"/><Relationship Id="rId208" Type="http://schemas.openxmlformats.org/officeDocument/2006/relationships/image" Target="media/image137.png"/><Relationship Id="rId207" Type="http://schemas.openxmlformats.org/officeDocument/2006/relationships/image" Target="media/image136.png"/><Relationship Id="rId206" Type="http://schemas.openxmlformats.org/officeDocument/2006/relationships/image" Target="media/image135.png"/><Relationship Id="rId205" Type="http://schemas.openxmlformats.org/officeDocument/2006/relationships/image" Target="media/image134.png"/><Relationship Id="rId204" Type="http://schemas.openxmlformats.org/officeDocument/2006/relationships/image" Target="media/image133.png"/><Relationship Id="rId203" Type="http://schemas.openxmlformats.org/officeDocument/2006/relationships/image" Target="media/image132.png"/><Relationship Id="rId202" Type="http://schemas.openxmlformats.org/officeDocument/2006/relationships/image" Target="media/image131.png"/><Relationship Id="rId201" Type="http://schemas.openxmlformats.org/officeDocument/2006/relationships/image" Target="media/image130.png"/><Relationship Id="rId200" Type="http://schemas.openxmlformats.org/officeDocument/2006/relationships/image" Target="media/image129.png"/><Relationship Id="rId20" Type="http://schemas.openxmlformats.org/officeDocument/2006/relationships/footer" Target="footer9.xml"/><Relationship Id="rId2" Type="http://schemas.openxmlformats.org/officeDocument/2006/relationships/settings" Target="settings.xml"/><Relationship Id="rId199" Type="http://schemas.openxmlformats.org/officeDocument/2006/relationships/image" Target="media/image128.png"/><Relationship Id="rId198" Type="http://schemas.openxmlformats.org/officeDocument/2006/relationships/image" Target="media/image127.png"/><Relationship Id="rId197" Type="http://schemas.openxmlformats.org/officeDocument/2006/relationships/image" Target="media/image126.png"/><Relationship Id="rId196" Type="http://schemas.openxmlformats.org/officeDocument/2006/relationships/image" Target="media/image125.png"/><Relationship Id="rId195" Type="http://schemas.openxmlformats.org/officeDocument/2006/relationships/image" Target="media/image124.png"/><Relationship Id="rId194" Type="http://schemas.openxmlformats.org/officeDocument/2006/relationships/image" Target="media/image123.png"/><Relationship Id="rId193" Type="http://schemas.openxmlformats.org/officeDocument/2006/relationships/image" Target="media/image122.png"/><Relationship Id="rId192" Type="http://schemas.openxmlformats.org/officeDocument/2006/relationships/image" Target="media/image121.png"/><Relationship Id="rId191" Type="http://schemas.openxmlformats.org/officeDocument/2006/relationships/image" Target="media/image120.png"/><Relationship Id="rId190" Type="http://schemas.openxmlformats.org/officeDocument/2006/relationships/image" Target="media/image119.png"/><Relationship Id="rId19" Type="http://schemas.openxmlformats.org/officeDocument/2006/relationships/footer" Target="footer8.xml"/><Relationship Id="rId189" Type="http://schemas.openxmlformats.org/officeDocument/2006/relationships/image" Target="media/image118.png"/><Relationship Id="rId188" Type="http://schemas.openxmlformats.org/officeDocument/2006/relationships/image" Target="media/image117.png"/><Relationship Id="rId187" Type="http://schemas.openxmlformats.org/officeDocument/2006/relationships/image" Target="media/image116.png"/><Relationship Id="rId186" Type="http://schemas.openxmlformats.org/officeDocument/2006/relationships/image" Target="media/image115.png"/><Relationship Id="rId185" Type="http://schemas.openxmlformats.org/officeDocument/2006/relationships/image" Target="media/image114.png"/><Relationship Id="rId184" Type="http://schemas.openxmlformats.org/officeDocument/2006/relationships/image" Target="media/image113.png"/><Relationship Id="rId183" Type="http://schemas.openxmlformats.org/officeDocument/2006/relationships/image" Target="media/image112.png"/><Relationship Id="rId182" Type="http://schemas.openxmlformats.org/officeDocument/2006/relationships/image" Target="media/image111.png"/><Relationship Id="rId181" Type="http://schemas.openxmlformats.org/officeDocument/2006/relationships/image" Target="media/image110.png"/><Relationship Id="rId180" Type="http://schemas.openxmlformats.org/officeDocument/2006/relationships/image" Target="media/image109.png"/><Relationship Id="rId18" Type="http://schemas.openxmlformats.org/officeDocument/2006/relationships/footer" Target="footer7.xml"/><Relationship Id="rId179" Type="http://schemas.openxmlformats.org/officeDocument/2006/relationships/image" Target="media/image108.png"/><Relationship Id="rId178" Type="http://schemas.openxmlformats.org/officeDocument/2006/relationships/image" Target="media/image107.png"/><Relationship Id="rId177" Type="http://schemas.openxmlformats.org/officeDocument/2006/relationships/image" Target="media/image106.png"/><Relationship Id="rId176" Type="http://schemas.openxmlformats.org/officeDocument/2006/relationships/image" Target="media/image105.png"/><Relationship Id="rId175" Type="http://schemas.openxmlformats.org/officeDocument/2006/relationships/image" Target="media/image104.png"/><Relationship Id="rId174" Type="http://schemas.openxmlformats.org/officeDocument/2006/relationships/image" Target="media/image103.png"/><Relationship Id="rId173" Type="http://schemas.openxmlformats.org/officeDocument/2006/relationships/image" Target="media/image102.png"/><Relationship Id="rId172" Type="http://schemas.openxmlformats.org/officeDocument/2006/relationships/image" Target="media/image101.emf"/><Relationship Id="rId171" Type="http://schemas.openxmlformats.org/officeDocument/2006/relationships/image" Target="media/image100.emf"/><Relationship Id="rId170" Type="http://schemas.openxmlformats.org/officeDocument/2006/relationships/image" Target="media/image99.emf"/><Relationship Id="rId17" Type="http://schemas.openxmlformats.org/officeDocument/2006/relationships/header" Target="header9.xml"/><Relationship Id="rId169" Type="http://schemas.openxmlformats.org/officeDocument/2006/relationships/image" Target="media/image98.emf"/><Relationship Id="rId168" Type="http://schemas.openxmlformats.org/officeDocument/2006/relationships/image" Target="media/image97.emf"/><Relationship Id="rId167" Type="http://schemas.openxmlformats.org/officeDocument/2006/relationships/image" Target="media/image96.wmf"/><Relationship Id="rId166" Type="http://schemas.openxmlformats.org/officeDocument/2006/relationships/oleObject" Target="embeddings/oleObject47.bin"/><Relationship Id="rId165" Type="http://schemas.openxmlformats.org/officeDocument/2006/relationships/image" Target="media/image95.wmf"/><Relationship Id="rId164" Type="http://schemas.openxmlformats.org/officeDocument/2006/relationships/oleObject" Target="embeddings/oleObject46.bin"/><Relationship Id="rId163" Type="http://schemas.openxmlformats.org/officeDocument/2006/relationships/image" Target="media/image94.wmf"/><Relationship Id="rId162" Type="http://schemas.openxmlformats.org/officeDocument/2006/relationships/oleObject" Target="embeddings/oleObject45.bin"/><Relationship Id="rId161" Type="http://schemas.openxmlformats.org/officeDocument/2006/relationships/image" Target="../../../../../../Administrator/AppData/Roaming/Tencent/Users/54261622/QQ/WinTemp/RichOle/OIDDD0V%2525252525252525252525255b%2525252525252525252525257bRPZ%2525252525252525252525257bOM(QE%2525252525252525252525257dJ%2525252525252525252525257dTK.png" TargetMode="External"/><Relationship Id="rId160" Type="http://schemas.openxmlformats.org/officeDocument/2006/relationships/image" Target="media/image93.png"/><Relationship Id="rId16" Type="http://schemas.openxmlformats.org/officeDocument/2006/relationships/header" Target="header8.xml"/><Relationship Id="rId159" Type="http://schemas.openxmlformats.org/officeDocument/2006/relationships/image" Target="media/image92.png"/><Relationship Id="rId158" Type="http://schemas.openxmlformats.org/officeDocument/2006/relationships/image" Target="media/image91.emf"/><Relationship Id="rId157" Type="http://schemas.openxmlformats.org/officeDocument/2006/relationships/image" Target="media/image90.png"/><Relationship Id="rId156" Type="http://schemas.openxmlformats.org/officeDocument/2006/relationships/image" Target="media/image89.emf"/><Relationship Id="rId155" Type="http://schemas.openxmlformats.org/officeDocument/2006/relationships/image" Target="media/image88.wmf"/><Relationship Id="rId154" Type="http://schemas.openxmlformats.org/officeDocument/2006/relationships/oleObject" Target="embeddings/oleObject44.bin"/><Relationship Id="rId153" Type="http://schemas.openxmlformats.org/officeDocument/2006/relationships/image" Target="media/image87.wmf"/><Relationship Id="rId152" Type="http://schemas.openxmlformats.org/officeDocument/2006/relationships/oleObject" Target="embeddings/oleObject43.bin"/><Relationship Id="rId151" Type="http://schemas.openxmlformats.org/officeDocument/2006/relationships/image" Target="media/image86.wmf"/><Relationship Id="rId150" Type="http://schemas.openxmlformats.org/officeDocument/2006/relationships/oleObject" Target="embeddings/oleObject42.bin"/><Relationship Id="rId15" Type="http://schemas.openxmlformats.org/officeDocument/2006/relationships/header" Target="header7.xml"/><Relationship Id="rId149" Type="http://schemas.openxmlformats.org/officeDocument/2006/relationships/image" Target="media/image85.wmf"/><Relationship Id="rId148" Type="http://schemas.openxmlformats.org/officeDocument/2006/relationships/oleObject" Target="embeddings/oleObject41.bin"/><Relationship Id="rId147" Type="http://schemas.openxmlformats.org/officeDocument/2006/relationships/image" Target="media/image84.wmf"/><Relationship Id="rId146" Type="http://schemas.openxmlformats.org/officeDocument/2006/relationships/oleObject" Target="embeddings/oleObject40.bin"/><Relationship Id="rId145" Type="http://schemas.openxmlformats.org/officeDocument/2006/relationships/image" Target="media/image83.wmf"/><Relationship Id="rId144" Type="http://schemas.openxmlformats.org/officeDocument/2006/relationships/oleObject" Target="embeddings/oleObject39.bin"/><Relationship Id="rId143" Type="http://schemas.openxmlformats.org/officeDocument/2006/relationships/image" Target="media/image82.wmf"/><Relationship Id="rId142" Type="http://schemas.openxmlformats.org/officeDocument/2006/relationships/oleObject" Target="embeddings/oleObject38.bin"/><Relationship Id="rId141" Type="http://schemas.openxmlformats.org/officeDocument/2006/relationships/image" Target="media/image81.wmf"/><Relationship Id="rId140" Type="http://schemas.openxmlformats.org/officeDocument/2006/relationships/oleObject" Target="embeddings/oleObject37.bin"/><Relationship Id="rId14" Type="http://schemas.openxmlformats.org/officeDocument/2006/relationships/footer" Target="footer6.xml"/><Relationship Id="rId139" Type="http://schemas.openxmlformats.org/officeDocument/2006/relationships/image" Target="media/image80.wmf"/><Relationship Id="rId138" Type="http://schemas.openxmlformats.org/officeDocument/2006/relationships/oleObject" Target="embeddings/oleObject36.bin"/><Relationship Id="rId137" Type="http://schemas.openxmlformats.org/officeDocument/2006/relationships/image" Target="media/image79.wmf"/><Relationship Id="rId136" Type="http://schemas.openxmlformats.org/officeDocument/2006/relationships/oleObject" Target="embeddings/oleObject35.bin"/><Relationship Id="rId135" Type="http://schemas.openxmlformats.org/officeDocument/2006/relationships/image" Target="media/image78.png"/><Relationship Id="rId134" Type="http://schemas.openxmlformats.org/officeDocument/2006/relationships/image" Target="media/image77.emf"/><Relationship Id="rId133" Type="http://schemas.openxmlformats.org/officeDocument/2006/relationships/image" Target="media/image76.emf"/><Relationship Id="rId132" Type="http://schemas.openxmlformats.org/officeDocument/2006/relationships/image" Target="media/image75.emf"/><Relationship Id="rId131" Type="http://schemas.openxmlformats.org/officeDocument/2006/relationships/image" Target="media/image74.emf"/><Relationship Id="rId130" Type="http://schemas.openxmlformats.org/officeDocument/2006/relationships/image" Target="media/image73.emf"/><Relationship Id="rId13" Type="http://schemas.openxmlformats.org/officeDocument/2006/relationships/footer" Target="footer5.xml"/><Relationship Id="rId129" Type="http://schemas.openxmlformats.org/officeDocument/2006/relationships/image" Target="media/image72.emf"/><Relationship Id="rId128" Type="http://schemas.openxmlformats.org/officeDocument/2006/relationships/image" Target="media/image71.emf"/><Relationship Id="rId127" Type="http://schemas.openxmlformats.org/officeDocument/2006/relationships/image" Target="media/image70.emf"/><Relationship Id="rId126" Type="http://schemas.openxmlformats.org/officeDocument/2006/relationships/oleObject" Target="embeddings/oleObject34.bin"/><Relationship Id="rId125" Type="http://schemas.openxmlformats.org/officeDocument/2006/relationships/image" Target="media/image69.wmf"/><Relationship Id="rId124" Type="http://schemas.openxmlformats.org/officeDocument/2006/relationships/oleObject" Target="embeddings/oleObject33.bin"/><Relationship Id="rId123" Type="http://schemas.openxmlformats.org/officeDocument/2006/relationships/image" Target="media/image68.emf"/><Relationship Id="rId122" Type="http://schemas.openxmlformats.org/officeDocument/2006/relationships/image" Target="media/image67.emf"/><Relationship Id="rId121" Type="http://schemas.openxmlformats.org/officeDocument/2006/relationships/image" Target="media/image66.wmf"/><Relationship Id="rId120" Type="http://schemas.openxmlformats.org/officeDocument/2006/relationships/oleObject" Target="embeddings/oleObject32.bin"/><Relationship Id="rId12" Type="http://schemas.openxmlformats.org/officeDocument/2006/relationships/footer" Target="footer4.xml"/><Relationship Id="rId119" Type="http://schemas.openxmlformats.org/officeDocument/2006/relationships/image" Target="media/image65.wmf"/><Relationship Id="rId118" Type="http://schemas.openxmlformats.org/officeDocument/2006/relationships/oleObject" Target="embeddings/oleObject31.bin"/><Relationship Id="rId117" Type="http://schemas.openxmlformats.org/officeDocument/2006/relationships/image" Target="media/image64.wmf"/><Relationship Id="rId116" Type="http://schemas.openxmlformats.org/officeDocument/2006/relationships/oleObject" Target="embeddings/oleObject30.bin"/><Relationship Id="rId115" Type="http://schemas.openxmlformats.org/officeDocument/2006/relationships/image" Target="media/image63.emf"/><Relationship Id="rId114" Type="http://schemas.openxmlformats.org/officeDocument/2006/relationships/image" Target="media/image62.emf"/><Relationship Id="rId113" Type="http://schemas.openxmlformats.org/officeDocument/2006/relationships/image" Target="media/image61.emf"/><Relationship Id="rId112" Type="http://schemas.openxmlformats.org/officeDocument/2006/relationships/image" Target="media/image60.wmf"/><Relationship Id="rId111" Type="http://schemas.openxmlformats.org/officeDocument/2006/relationships/oleObject" Target="embeddings/oleObject29.bin"/><Relationship Id="rId110" Type="http://schemas.openxmlformats.org/officeDocument/2006/relationships/image" Target="media/image59.wmf"/><Relationship Id="rId11" Type="http://schemas.openxmlformats.org/officeDocument/2006/relationships/header" Target="header6.xml"/><Relationship Id="rId109" Type="http://schemas.openxmlformats.org/officeDocument/2006/relationships/oleObject" Target="embeddings/oleObject28.bin"/><Relationship Id="rId108" Type="http://schemas.openxmlformats.org/officeDocument/2006/relationships/image" Target="media/image58.png"/><Relationship Id="rId107" Type="http://schemas.openxmlformats.org/officeDocument/2006/relationships/image" Target="media/image57.png"/><Relationship Id="rId106" Type="http://schemas.openxmlformats.org/officeDocument/2006/relationships/image" Target="media/image56.png"/><Relationship Id="rId105" Type="http://schemas.openxmlformats.org/officeDocument/2006/relationships/image" Target="media/image55.emf"/><Relationship Id="rId104" Type="http://schemas.openxmlformats.org/officeDocument/2006/relationships/image" Target="media/image54.emf"/><Relationship Id="rId103" Type="http://schemas.openxmlformats.org/officeDocument/2006/relationships/image" Target="media/image53.emf"/><Relationship Id="rId102" Type="http://schemas.openxmlformats.org/officeDocument/2006/relationships/image" Target="media/image52.wmf"/><Relationship Id="rId101" Type="http://schemas.openxmlformats.org/officeDocument/2006/relationships/oleObject" Target="embeddings/oleObject27.bin"/><Relationship Id="rId100" Type="http://schemas.openxmlformats.org/officeDocument/2006/relationships/image" Target="media/image51.wmf"/><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62D9AF-1408-4373-985A-1F05F80D577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18597</Words>
  <Characters>106003</Characters>
  <Lines>883</Lines>
  <Paragraphs>248</Paragraphs>
  <TotalTime>4</TotalTime>
  <ScaleCrop>false</ScaleCrop>
  <LinksUpToDate>false</LinksUpToDate>
  <CharactersWithSpaces>124352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2020-08-11T10:20:00Z</dcterms:created>
  <dc:creator>屈春花</dc:creator>
  <cp:lastModifiedBy>鱼鱼</cp:lastModifiedBy>
  <cp:lastPrinted>2020-08-20T10:42:00Z</cp:lastPrinted>
  <dcterms:modified xsi:type="dcterms:W3CDTF">2020-10-09T03:04:10Z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